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F2" w:rsidRPr="00C50FFB" w:rsidRDefault="007A0BF2" w:rsidP="002601D5">
      <w:pPr>
        <w:pStyle w:val="Heading2"/>
        <w:numPr>
          <w:ilvl w:val="0"/>
          <w:numId w:val="0"/>
        </w:numPr>
        <w:ind w:left="-5"/>
        <w:rPr>
          <w:rFonts w:eastAsiaTheme="minorHAnsi"/>
          <w:b/>
        </w:rPr>
      </w:pPr>
      <w:r w:rsidRPr="00C50FFB">
        <w:rPr>
          <w:rFonts w:eastAsiaTheme="minorHAnsi"/>
          <w:b/>
        </w:rPr>
        <w:t xml:space="preserve">État membre: ROUMANIE </w:t>
      </w:r>
    </w:p>
    <w:p w:rsidR="007A0BF2" w:rsidRPr="00C50FFB" w:rsidRDefault="007A0BF2" w:rsidP="002601D5">
      <w:pPr>
        <w:rPr>
          <w:b/>
        </w:rPr>
      </w:pPr>
      <w:r w:rsidRPr="00C50FFB">
        <w:rPr>
          <w:b/>
        </w:rPr>
        <w:t>Date de la manifestation: le 29 mai 2017, à Bucarest</w:t>
      </w:r>
    </w:p>
    <w:p w:rsidR="007A0BF2" w:rsidRPr="00C50FFB" w:rsidRDefault="007A0BF2" w:rsidP="006F7719">
      <w:pPr>
        <w:ind w:left="-5" w:right="183"/>
      </w:pPr>
      <w:r w:rsidRPr="00C50FFB">
        <w:rPr>
          <w:b/>
        </w:rPr>
        <w:t>Délégation du CESE</w:t>
      </w:r>
      <w:r w:rsidRPr="00C50FFB">
        <w:t xml:space="preserve">: Ana Bontea (gr. I), Minel </w:t>
      </w:r>
      <w:proofErr w:type="spellStart"/>
      <w:r w:rsidRPr="00C50FFB">
        <w:t>Ivașcu</w:t>
      </w:r>
      <w:proofErr w:type="spellEnd"/>
      <w:r w:rsidRPr="00C50FFB">
        <w:t xml:space="preserve"> (gr. II) et Cristian Pîrvulescu (gr. III) </w:t>
      </w:r>
    </w:p>
    <w:p w:rsidR="007A0BF2" w:rsidRPr="00C50FFB" w:rsidRDefault="002601D5" w:rsidP="006F7719">
      <w:pPr>
        <w:ind w:left="-5" w:right="183"/>
      </w:pPr>
      <w:r w:rsidRPr="00C50FFB">
        <w:rPr>
          <w:noProof/>
          <w:sz w:val="20"/>
          <w:lang w:val="en-GB" w:eastAsia="en-GB"/>
        </w:rPr>
        <mc:AlternateContent>
          <mc:Choice Requires="wps">
            <w:drawing>
              <wp:anchor distT="0" distB="0" distL="114300" distR="114300" simplePos="0" relativeHeight="251659264" behindDoc="1" locked="0" layoutInCell="0" allowOverlap="1" wp14:anchorId="10F9BDA1" wp14:editId="57EC7326">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1D5" w:rsidRPr="006F7719" w:rsidRDefault="002601D5">
                            <w:pPr>
                              <w:jc w:val="center"/>
                              <w:rPr>
                                <w:rFonts w:ascii="Arial" w:hAnsi="Arial" w:cs="Arial"/>
                                <w:b/>
                                <w:bCs/>
                                <w:sz w:val="48"/>
                              </w:rPr>
                            </w:pPr>
                            <w:r w:rsidRPr="006F7719">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ZtwIAALk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H+uJpm3AgAA&#10;uQUAAA4AAAAAAAAAAAAAAAAALgIAAGRycy9lMm9Eb2MueG1sUEsBAi0AFAAGAAgAAAAhAOtUMVre&#10;AAAADwEAAA8AAAAAAAAAAAAAAAAAEQUAAGRycy9kb3ducmV2LnhtbFBLBQYAAAAABAAEAPMAAAAc&#10;BgAAAAA=&#10;" o:allowincell="f" filled="f" stroked="f">
                <v:textbox>
                  <w:txbxContent>
                    <w:p w:rsidR="002601D5" w:rsidRPr="006F7719" w:rsidRDefault="002601D5">
                      <w:pPr>
                        <w:jc w:val="center"/>
                        <w:rPr>
                          <w:rFonts w:ascii="Arial" w:hAnsi="Arial" w:cs="Arial"/>
                          <w:b/>
                          <w:bCs/>
                          <w:sz w:val="48"/>
                        </w:rPr>
                      </w:pPr>
                      <w:r w:rsidRPr="006F7719">
                        <w:rPr>
                          <w:rFonts w:ascii="Arial" w:hAnsi="Arial"/>
                          <w:b/>
                          <w:sz w:val="48"/>
                        </w:rPr>
                        <w:t>FR</w:t>
                      </w:r>
                    </w:p>
                  </w:txbxContent>
                </v:textbox>
                <w10:wrap anchorx="page" anchory="page"/>
              </v:shape>
            </w:pict>
          </mc:Fallback>
        </mc:AlternateContent>
      </w:r>
    </w:p>
    <w:p w:rsidR="00DA3725" w:rsidRPr="00C50FFB" w:rsidRDefault="00DA3725" w:rsidP="002601D5">
      <w:pPr>
        <w:pStyle w:val="ListParagraph"/>
        <w:numPr>
          <w:ilvl w:val="0"/>
          <w:numId w:val="9"/>
        </w:numPr>
        <w:ind w:left="567" w:hanging="567"/>
        <w:rPr>
          <w:u w:val="single"/>
        </w:rPr>
      </w:pPr>
      <w:r w:rsidRPr="00C50FFB">
        <w:rPr>
          <w:b/>
          <w:u w:val="single"/>
        </w:rPr>
        <w:t>«Livre blanc sur l</w:t>
      </w:r>
      <w:r w:rsidR="00AD0425" w:rsidRPr="00C50FFB">
        <w:rPr>
          <w:b/>
          <w:u w:val="single"/>
        </w:rPr>
        <w:t>’</w:t>
      </w:r>
      <w:r w:rsidRPr="00C50FFB">
        <w:rPr>
          <w:b/>
          <w:u w:val="single"/>
        </w:rPr>
        <w:t>avenir de l</w:t>
      </w:r>
      <w:r w:rsidR="00AD0425" w:rsidRPr="00C50FFB">
        <w:rPr>
          <w:b/>
          <w:u w:val="single"/>
        </w:rPr>
        <w:t>’</w:t>
      </w:r>
      <w:r w:rsidRPr="00C50FFB">
        <w:rPr>
          <w:b/>
          <w:u w:val="single"/>
        </w:rPr>
        <w:t>Europe – Réflexions et scénarios pour l</w:t>
      </w:r>
      <w:r w:rsidR="00AD0425" w:rsidRPr="00C50FFB">
        <w:rPr>
          <w:b/>
          <w:u w:val="single"/>
        </w:rPr>
        <w:t>’</w:t>
      </w:r>
      <w:r w:rsidRPr="00C50FFB">
        <w:rPr>
          <w:b/>
          <w:u w:val="single"/>
        </w:rPr>
        <w:t>UE-27 à l</w:t>
      </w:r>
      <w:r w:rsidR="00AD0425" w:rsidRPr="00C50FFB">
        <w:rPr>
          <w:b/>
          <w:u w:val="single"/>
        </w:rPr>
        <w:t>’</w:t>
      </w:r>
      <w:r w:rsidRPr="00C50FFB">
        <w:rPr>
          <w:b/>
          <w:u w:val="single"/>
        </w:rPr>
        <w:t>horizon 2025»</w:t>
      </w:r>
    </w:p>
    <w:p w:rsidR="002601D5" w:rsidRPr="00C50FFB" w:rsidRDefault="002601D5" w:rsidP="002601D5">
      <w:pPr>
        <w:tabs>
          <w:tab w:val="left" w:pos="6237"/>
        </w:tabs>
      </w:pPr>
    </w:p>
    <w:p w:rsidR="006A657A" w:rsidRPr="00C50FFB" w:rsidRDefault="006A657A" w:rsidP="002601D5">
      <w:pPr>
        <w:tabs>
          <w:tab w:val="left" w:pos="6237"/>
        </w:tabs>
      </w:pPr>
      <w:r w:rsidRPr="00C50FFB">
        <w:t>Le 1</w:t>
      </w:r>
      <w:r w:rsidRPr="00C50FFB">
        <w:rPr>
          <w:vertAlign w:val="superscript"/>
        </w:rPr>
        <w:t>er</w:t>
      </w:r>
      <w:r w:rsidRPr="00C50FFB">
        <w:t xml:space="preserve"> mars 2017, la Commission européenne a présenté un </w:t>
      </w:r>
      <w:r w:rsidRPr="00C50FFB">
        <w:rPr>
          <w:b/>
          <w:i/>
        </w:rPr>
        <w:t>Livre blanc sur l</w:t>
      </w:r>
      <w:r w:rsidR="00AD0425" w:rsidRPr="00C50FFB">
        <w:rPr>
          <w:b/>
          <w:i/>
        </w:rPr>
        <w:t>’</w:t>
      </w:r>
      <w:r w:rsidRPr="00C50FFB">
        <w:rPr>
          <w:b/>
          <w:i/>
        </w:rPr>
        <w:t>avenir de l</w:t>
      </w:r>
      <w:r w:rsidR="00AD0425" w:rsidRPr="00C50FFB">
        <w:rPr>
          <w:b/>
          <w:i/>
        </w:rPr>
        <w:t>’</w:t>
      </w:r>
      <w:r w:rsidRPr="00C50FFB">
        <w:rPr>
          <w:b/>
          <w:i/>
        </w:rPr>
        <w:t>Europe - Réflexions et scénarios pour l</w:t>
      </w:r>
      <w:r w:rsidR="00AD0425" w:rsidRPr="00C50FFB">
        <w:rPr>
          <w:b/>
          <w:i/>
        </w:rPr>
        <w:t>’</w:t>
      </w:r>
      <w:r w:rsidRPr="00C50FFB">
        <w:rPr>
          <w:b/>
          <w:i/>
        </w:rPr>
        <w:t>UE-27 à l</w:t>
      </w:r>
      <w:r w:rsidR="00AD0425" w:rsidRPr="00C50FFB">
        <w:rPr>
          <w:b/>
          <w:i/>
        </w:rPr>
        <w:t>’</w:t>
      </w:r>
      <w:r w:rsidRPr="00C50FFB">
        <w:rPr>
          <w:b/>
          <w:i/>
        </w:rPr>
        <w:t>horizon 2025</w:t>
      </w:r>
      <w:r w:rsidRPr="00C50FFB">
        <w:t xml:space="preserve">, ouvrant la voie à de larges débats au sein des Parlements nationaux, du Parlement européen, des collectivités locales et régionales, ainsi que dans le cadre de la </w:t>
      </w:r>
      <w:r w:rsidRPr="00C50FFB">
        <w:rPr>
          <w:b/>
        </w:rPr>
        <w:t>société civile</w:t>
      </w:r>
      <w:r w:rsidRPr="00C50FFB">
        <w:t xml:space="preserve"> en général, concernant la situation actuelle de l</w:t>
      </w:r>
      <w:r w:rsidR="00AD0425" w:rsidRPr="00C50FFB">
        <w:t>’</w:t>
      </w:r>
      <w:r w:rsidRPr="00C50FFB">
        <w:t>Union et la voie à suivre dans les années à venir. Le livre blanc examine comment l</w:t>
      </w:r>
      <w:r w:rsidR="00AD0425" w:rsidRPr="00C50FFB">
        <w:t>’</w:t>
      </w:r>
      <w:r w:rsidRPr="00C50FFB">
        <w:t>Europe évoluera durant les dix prochaines années, abordant des sujets qui vont des effets des nouvelles technologies sur la société et l</w:t>
      </w:r>
      <w:r w:rsidR="00AD0425" w:rsidRPr="00C50FFB">
        <w:t>’</w:t>
      </w:r>
      <w:r w:rsidRPr="00C50FFB">
        <w:t>emploi jusqu</w:t>
      </w:r>
      <w:r w:rsidR="00AD0425" w:rsidRPr="00C50FFB">
        <w:t>’</w:t>
      </w:r>
      <w:r w:rsidRPr="00C50FFB">
        <w:t>aux interrogations suscitées par la mondialisation, en passant par les inquiétudes en matière de sécurité et la montée du populisme, et il propose ainsi cinq scénarios:</w:t>
      </w:r>
    </w:p>
    <w:p w:rsidR="002601D5" w:rsidRPr="00C50FFB" w:rsidRDefault="002601D5" w:rsidP="002601D5">
      <w:pPr>
        <w:tabs>
          <w:tab w:val="left" w:pos="6237"/>
        </w:tabs>
      </w:pPr>
    </w:p>
    <w:p w:rsidR="006A657A" w:rsidRPr="00C50FFB" w:rsidRDefault="006A657A" w:rsidP="002601D5">
      <w:pPr>
        <w:pStyle w:val="ListParagraph"/>
        <w:numPr>
          <w:ilvl w:val="0"/>
          <w:numId w:val="8"/>
        </w:numPr>
        <w:tabs>
          <w:tab w:val="clear" w:pos="0"/>
        </w:tabs>
        <w:ind w:left="340" w:hanging="340"/>
      </w:pPr>
      <w:r w:rsidRPr="00C50FFB">
        <w:rPr>
          <w:b/>
        </w:rPr>
        <w:t>Scénario 1:S</w:t>
      </w:r>
      <w:r w:rsidR="00AD0425" w:rsidRPr="00C50FFB">
        <w:rPr>
          <w:b/>
        </w:rPr>
        <w:t>’</w:t>
      </w:r>
      <w:r w:rsidRPr="00C50FFB">
        <w:rPr>
          <w:b/>
        </w:rPr>
        <w:t>inscrire dans la continuité</w:t>
      </w:r>
      <w:r w:rsidRPr="00C50FFB">
        <w:t xml:space="preserve"> – L</w:t>
      </w:r>
      <w:r w:rsidR="00AD0425" w:rsidRPr="00C50FFB">
        <w:t>’</w:t>
      </w:r>
      <w:r w:rsidRPr="00C50FFB">
        <w:t>UE à 27 s</w:t>
      </w:r>
      <w:r w:rsidR="00AD0425" w:rsidRPr="00C50FFB">
        <w:t>’</w:t>
      </w:r>
      <w:r w:rsidRPr="00C50FFB">
        <w:t>emploie à mettre en œuvre son programme actuel de réformes positif, dans l</w:t>
      </w:r>
      <w:r w:rsidR="00AD0425" w:rsidRPr="00C50FFB">
        <w:t>’</w:t>
      </w:r>
      <w:r w:rsidRPr="00C50FFB">
        <w:t xml:space="preserve">esprit de la communication de la Commission européenne de 2014 intitulée </w:t>
      </w:r>
      <w:hyperlink r:id="rId12">
        <w:r w:rsidRPr="00C50FFB">
          <w:t>«Un nouvel élan pour l</w:t>
        </w:r>
        <w:r w:rsidR="00AD0425" w:rsidRPr="00C50FFB">
          <w:t>’</w:t>
        </w:r>
        <w:r w:rsidRPr="00C50FFB">
          <w:t>Europe»</w:t>
        </w:r>
      </w:hyperlink>
      <w:r w:rsidRPr="00C50FFB">
        <w:t xml:space="preserve"> et de la </w:t>
      </w:r>
      <w:hyperlink r:id="rId13">
        <w:r w:rsidRPr="00C50FFB">
          <w:t>déclaration de Bratislava</w:t>
        </w:r>
      </w:hyperlink>
      <w:r w:rsidRPr="00C50FFB">
        <w:t xml:space="preserve"> adoptée en 2016 par l</w:t>
      </w:r>
      <w:r w:rsidR="00AD0425" w:rsidRPr="00C50FFB">
        <w:t>’</w:t>
      </w:r>
      <w:r w:rsidRPr="00C50FFB">
        <w:t xml:space="preserve">ensemble des 27 États membres. </w:t>
      </w:r>
    </w:p>
    <w:p w:rsidR="006A657A" w:rsidRPr="00C50FFB" w:rsidRDefault="006A657A" w:rsidP="002601D5">
      <w:pPr>
        <w:pStyle w:val="ListParagraph"/>
        <w:numPr>
          <w:ilvl w:val="0"/>
          <w:numId w:val="8"/>
        </w:numPr>
        <w:tabs>
          <w:tab w:val="clear" w:pos="0"/>
        </w:tabs>
        <w:ind w:left="340" w:hanging="340"/>
      </w:pPr>
      <w:r w:rsidRPr="00C50FFB">
        <w:rPr>
          <w:b/>
        </w:rPr>
        <w:t>Scénario 2:</w:t>
      </w:r>
      <w:r w:rsidR="006F7719" w:rsidRPr="00C50FFB">
        <w:rPr>
          <w:b/>
        </w:rPr>
        <w:t xml:space="preserve"> </w:t>
      </w:r>
      <w:r w:rsidRPr="00C50FFB">
        <w:rPr>
          <w:b/>
        </w:rPr>
        <w:t>Rien d</w:t>
      </w:r>
      <w:r w:rsidR="00AD0425" w:rsidRPr="00C50FFB">
        <w:rPr>
          <w:b/>
        </w:rPr>
        <w:t>’</w:t>
      </w:r>
      <w:r w:rsidRPr="00C50FFB">
        <w:rPr>
          <w:b/>
        </w:rPr>
        <w:t>autre que le marché unique</w:t>
      </w:r>
      <w:r w:rsidRPr="00C50FFB">
        <w:t xml:space="preserve"> – L</w:t>
      </w:r>
      <w:r w:rsidR="00AD0425" w:rsidRPr="00C50FFB">
        <w:t>’</w:t>
      </w:r>
      <w:r w:rsidRPr="00C50FFB">
        <w:t>UE à 27 est progressivement recentrée sur le marché unique car le nombre de domaines d</w:t>
      </w:r>
      <w:r w:rsidR="00AD0425" w:rsidRPr="00C50FFB">
        <w:t>’</w:t>
      </w:r>
      <w:r w:rsidRPr="00C50FFB">
        <w:t>intervention sur lesquels les 27 États membres ne sont pas en mesure de trouver un terrain d</w:t>
      </w:r>
      <w:r w:rsidR="00AD0425" w:rsidRPr="00C50FFB">
        <w:t>’</w:t>
      </w:r>
      <w:r w:rsidRPr="00C50FFB">
        <w:t xml:space="preserve">entente devient de plus en plus important. </w:t>
      </w:r>
    </w:p>
    <w:p w:rsidR="006A657A" w:rsidRPr="00C50FFB" w:rsidRDefault="006A657A" w:rsidP="002601D5">
      <w:pPr>
        <w:pStyle w:val="ListParagraph"/>
        <w:numPr>
          <w:ilvl w:val="0"/>
          <w:numId w:val="8"/>
        </w:numPr>
        <w:tabs>
          <w:tab w:val="clear" w:pos="0"/>
        </w:tabs>
        <w:ind w:left="340" w:hanging="340"/>
      </w:pPr>
      <w:r w:rsidRPr="00C50FFB">
        <w:rPr>
          <w:b/>
        </w:rPr>
        <w:t>Scénario 3: Ceux qui veulent plus font plus</w:t>
      </w:r>
      <w:r w:rsidRPr="00C50FFB">
        <w:t xml:space="preserve"> – L</w:t>
      </w:r>
      <w:r w:rsidR="00AD0425" w:rsidRPr="00C50FFB">
        <w:t>’</w:t>
      </w:r>
      <w:r w:rsidRPr="00C50FFB">
        <w:t>UE à 27 déploie son activité comme aujourd</w:t>
      </w:r>
      <w:r w:rsidR="00AD0425" w:rsidRPr="00C50FFB">
        <w:t>’</w:t>
      </w:r>
      <w:r w:rsidRPr="00C50FFB">
        <w:t xml:space="preserve">hui mais permet aux États membres qui le souhaitent de faire davantage ensemble dans des domaines spécifiques comme la défense, la sécurité intérieure ou les affaires sociales. Il se forme ainsi une ou plusieurs «coalitions de pays volontaires». </w:t>
      </w:r>
    </w:p>
    <w:p w:rsidR="006A657A" w:rsidRPr="00C50FFB" w:rsidRDefault="006A657A" w:rsidP="002601D5">
      <w:pPr>
        <w:pStyle w:val="ListParagraph"/>
        <w:numPr>
          <w:ilvl w:val="0"/>
          <w:numId w:val="8"/>
        </w:numPr>
        <w:tabs>
          <w:tab w:val="clear" w:pos="0"/>
        </w:tabs>
        <w:ind w:left="340" w:hanging="340"/>
      </w:pPr>
      <w:r w:rsidRPr="00C50FFB">
        <w:rPr>
          <w:b/>
        </w:rPr>
        <w:t>Scénario 4: Faire moins de manière plus efficace</w:t>
      </w:r>
      <w:r w:rsidRPr="00C50FFB">
        <w:t xml:space="preserve"> – L</w:t>
      </w:r>
      <w:r w:rsidR="00AD0425" w:rsidRPr="00C50FFB">
        <w:t>’</w:t>
      </w:r>
      <w:r w:rsidRPr="00C50FFB">
        <w:t>UE à 27 met l</w:t>
      </w:r>
      <w:r w:rsidR="00AD0425" w:rsidRPr="00C50FFB">
        <w:t>’</w:t>
      </w:r>
      <w:r w:rsidRPr="00C50FFB">
        <w:t>accent sur l</w:t>
      </w:r>
      <w:r w:rsidR="00AD0425" w:rsidRPr="00C50FFB">
        <w:t>’</w:t>
      </w:r>
      <w:r w:rsidRPr="00C50FFB">
        <w:t>obtention de résultats plus nombreux et plus rapides dans des domaines d</w:t>
      </w:r>
      <w:r w:rsidR="00AD0425" w:rsidRPr="00C50FFB">
        <w:t>’</w:t>
      </w:r>
      <w:r w:rsidRPr="00C50FFB">
        <w:t>action sélectionnés, et en fait moins dans ceux où son action est perçue comme n</w:t>
      </w:r>
      <w:r w:rsidR="00AD0425" w:rsidRPr="00C50FFB">
        <w:t>’</w:t>
      </w:r>
      <w:r w:rsidRPr="00C50FFB">
        <w:t>ayant pas une valeur ajoutée.</w:t>
      </w:r>
      <w:r w:rsidR="006F7719" w:rsidRPr="00C50FFB">
        <w:t xml:space="preserve"> </w:t>
      </w:r>
      <w:r w:rsidRPr="00C50FFB">
        <w:t>Elle concentre son attention et ses ressources limitées sur un nombre réduit de secteurs d</w:t>
      </w:r>
      <w:r w:rsidR="00AD0425" w:rsidRPr="00C50FFB">
        <w:t>’</w:t>
      </w:r>
      <w:r w:rsidRPr="00C50FFB">
        <w:t xml:space="preserve">intervention. </w:t>
      </w:r>
    </w:p>
    <w:p w:rsidR="006A657A" w:rsidRPr="00C50FFB" w:rsidRDefault="006A657A" w:rsidP="002601D5">
      <w:pPr>
        <w:pStyle w:val="ListParagraph"/>
        <w:numPr>
          <w:ilvl w:val="0"/>
          <w:numId w:val="8"/>
        </w:numPr>
        <w:tabs>
          <w:tab w:val="clear" w:pos="0"/>
        </w:tabs>
        <w:ind w:left="340" w:hanging="340"/>
      </w:pPr>
      <w:r w:rsidRPr="00C50FFB">
        <w:rPr>
          <w:b/>
        </w:rPr>
        <w:t>Scénario 5: Faire beaucoup plus ensemble</w:t>
      </w:r>
      <w:r w:rsidRPr="00C50FFB">
        <w:t xml:space="preserve"> – Les États membres décident de mettre en commun davantage de pouvoirs, de ressources et de processus décisionnels dans tous les secteurs. Les décisions sont adoptées dans des délais plus courts au niveau européen et sont rapidement mises à exécution. </w:t>
      </w:r>
    </w:p>
    <w:p w:rsidR="006A657A" w:rsidRPr="00C50FFB" w:rsidRDefault="006A657A" w:rsidP="006F7719"/>
    <w:p w:rsidR="00DA3725" w:rsidRPr="00C50FFB" w:rsidRDefault="00DA3725" w:rsidP="002601D5">
      <w:pPr>
        <w:pStyle w:val="ListParagraph"/>
        <w:numPr>
          <w:ilvl w:val="0"/>
          <w:numId w:val="9"/>
        </w:numPr>
        <w:ind w:left="567" w:hanging="567"/>
        <w:rPr>
          <w:b/>
          <w:szCs w:val="22"/>
          <w:u w:val="single"/>
        </w:rPr>
      </w:pPr>
      <w:r w:rsidRPr="00C50FFB">
        <w:rPr>
          <w:b/>
          <w:u w:val="single"/>
        </w:rPr>
        <w:t>Débat avec la société civile organisée de Roumanie, à l</w:t>
      </w:r>
      <w:r w:rsidR="00AD0425" w:rsidRPr="00C50FFB">
        <w:rPr>
          <w:b/>
          <w:u w:val="single"/>
        </w:rPr>
        <w:t>’</w:t>
      </w:r>
      <w:r w:rsidRPr="00C50FFB">
        <w:rPr>
          <w:b/>
          <w:u w:val="single"/>
        </w:rPr>
        <w:t>initiative du CESE</w:t>
      </w:r>
    </w:p>
    <w:p w:rsidR="002601D5" w:rsidRPr="00C50FFB" w:rsidRDefault="002601D5" w:rsidP="002601D5"/>
    <w:p w:rsidR="00460A8F" w:rsidRPr="00C50FFB" w:rsidRDefault="00460A8F" w:rsidP="002601D5">
      <w:r w:rsidRPr="00C50FFB">
        <w:t xml:space="preserve">Le </w:t>
      </w:r>
      <w:r w:rsidR="004B1C1D" w:rsidRPr="00C50FFB">
        <w:rPr>
          <w:b/>
        </w:rPr>
        <w:t>29 </w:t>
      </w:r>
      <w:r w:rsidRPr="00C50FFB">
        <w:rPr>
          <w:b/>
        </w:rPr>
        <w:t>mai 2017</w:t>
      </w:r>
      <w:r w:rsidRPr="00C50FFB">
        <w:t>, à l</w:t>
      </w:r>
      <w:r w:rsidR="00AD0425" w:rsidRPr="00C50FFB">
        <w:t>’</w:t>
      </w:r>
      <w:r w:rsidRPr="00C50FFB">
        <w:t xml:space="preserve">initiative du Comité économique et social européen (CESE), un </w:t>
      </w:r>
      <w:r w:rsidRPr="00C50FFB">
        <w:rPr>
          <w:b/>
        </w:rPr>
        <w:t>débat national sur l</w:t>
      </w:r>
      <w:r w:rsidR="00AD0425" w:rsidRPr="00C50FFB">
        <w:rPr>
          <w:b/>
        </w:rPr>
        <w:t>’</w:t>
      </w:r>
      <w:r w:rsidRPr="00C50FFB">
        <w:rPr>
          <w:b/>
        </w:rPr>
        <w:t>avenir de l</w:t>
      </w:r>
      <w:r w:rsidR="00AD0425" w:rsidRPr="00C50FFB">
        <w:rPr>
          <w:b/>
        </w:rPr>
        <w:t>’</w:t>
      </w:r>
      <w:r w:rsidRPr="00C50FFB">
        <w:rPr>
          <w:b/>
        </w:rPr>
        <w:t>Europe</w:t>
      </w:r>
      <w:r w:rsidRPr="00C50FFB">
        <w:t xml:space="preserve"> s</w:t>
      </w:r>
      <w:r w:rsidR="00AD0425" w:rsidRPr="00C50FFB">
        <w:t>’</w:t>
      </w:r>
      <w:r w:rsidRPr="00C50FFB">
        <w:t>est tenu</w:t>
      </w:r>
      <w:r w:rsidR="006F7719" w:rsidRPr="00C50FFB">
        <w:t xml:space="preserve"> </w:t>
      </w:r>
      <w:r w:rsidRPr="00C50FFB">
        <w:rPr>
          <w:b/>
        </w:rPr>
        <w:t xml:space="preserve">avec la société civile de Roumanie </w:t>
      </w:r>
      <w:r w:rsidRPr="00C50FFB">
        <w:t>au siège du Conseil économique et social.</w:t>
      </w:r>
    </w:p>
    <w:p w:rsidR="002601D5" w:rsidRPr="00C50FFB" w:rsidRDefault="002601D5" w:rsidP="002601D5"/>
    <w:p w:rsidR="00460A8F" w:rsidRPr="00C50FFB" w:rsidRDefault="00460A8F" w:rsidP="002601D5">
      <w:r w:rsidRPr="00C50FFB">
        <w:t>Ont participé à cette rencontre le président du CES de Roumanie, M.</w:t>
      </w:r>
      <w:r w:rsidR="001D3E7B" w:rsidRPr="00C50FFB">
        <w:t> </w:t>
      </w:r>
      <w:proofErr w:type="spellStart"/>
      <w:r w:rsidRPr="00C50FFB">
        <w:t>Iacob</w:t>
      </w:r>
      <w:proofErr w:type="spellEnd"/>
      <w:r w:rsidRPr="00C50FFB">
        <w:t xml:space="preserve"> </w:t>
      </w:r>
      <w:proofErr w:type="spellStart"/>
      <w:r w:rsidRPr="00C50FFB">
        <w:t>Baciu</w:t>
      </w:r>
      <w:proofErr w:type="spellEnd"/>
      <w:r w:rsidRPr="00C50FFB">
        <w:t>, le chef adjoint de la représentation de la Commis</w:t>
      </w:r>
      <w:r w:rsidR="001D3E7B" w:rsidRPr="00C50FFB">
        <w:t>sion européenne en Roumanie, M. </w:t>
      </w:r>
      <w:r w:rsidRPr="00C50FFB">
        <w:t xml:space="preserve">Cristian </w:t>
      </w:r>
      <w:proofErr w:type="spellStart"/>
      <w:r w:rsidRPr="00C50FFB">
        <w:t>Buchiu</w:t>
      </w:r>
      <w:proofErr w:type="spellEnd"/>
      <w:r w:rsidRPr="00C50FFB">
        <w:t xml:space="preserve">, les membres du CESE, les représentants des confédérations patronales et des syndicats ayant une représentativité au niveau national, les délégués de la société civile, les membres de la commission pour les droits et </w:t>
      </w:r>
      <w:r w:rsidRPr="00C50FFB">
        <w:lastRenderedPageBreak/>
        <w:t xml:space="preserve">libertés des organisations de la société civile, dans le cadre du Conseil économique et social (annexe 1) </w:t>
      </w:r>
    </w:p>
    <w:p w:rsidR="002601D5" w:rsidRPr="00C50FFB" w:rsidRDefault="002601D5" w:rsidP="002601D5"/>
    <w:p w:rsidR="00765A60" w:rsidRPr="00C50FFB" w:rsidRDefault="00460A8F" w:rsidP="002601D5">
      <w:r w:rsidRPr="00C50FFB">
        <w:t>Dans ce contexte du débat national sur l</w:t>
      </w:r>
      <w:r w:rsidR="00AD0425" w:rsidRPr="00C50FFB">
        <w:t>’</w:t>
      </w:r>
      <w:r w:rsidRPr="00C50FFB">
        <w:t>avenir de l</w:t>
      </w:r>
      <w:r w:rsidR="00AD0425" w:rsidRPr="00C50FFB">
        <w:t>’</w:t>
      </w:r>
      <w:r w:rsidRPr="00C50FFB">
        <w:t>Europe mené avec la société civile de Roumanie, les participants ont formulé divers points de vue concernant les domaines suivants:</w:t>
      </w:r>
    </w:p>
    <w:p w:rsidR="002601D5" w:rsidRPr="00C50FFB" w:rsidRDefault="002601D5" w:rsidP="002601D5"/>
    <w:p w:rsidR="00765A60" w:rsidRPr="00C50FFB" w:rsidRDefault="00460A8F" w:rsidP="002601D5">
      <w:pPr>
        <w:pStyle w:val="ListParagraph"/>
        <w:numPr>
          <w:ilvl w:val="0"/>
          <w:numId w:val="3"/>
        </w:numPr>
        <w:ind w:left="340" w:hanging="340"/>
        <w:rPr>
          <w:szCs w:val="22"/>
        </w:rPr>
      </w:pPr>
      <w:r w:rsidRPr="00C50FFB">
        <w:rPr>
          <w:b/>
        </w:rPr>
        <w:t>Les scénarios exposés dans le libre blanc et les autres possibles</w:t>
      </w:r>
      <w:r w:rsidRPr="00C50FFB">
        <w:t xml:space="preserve"> (Lequel des cinq scénarios présentés correspond selon vous le mieux aux défis internes et externes auxquels l</w:t>
      </w:r>
      <w:r w:rsidR="00AD0425" w:rsidRPr="00C50FFB">
        <w:t>’</w:t>
      </w:r>
      <w:r w:rsidRPr="00C50FFB">
        <w:t>UE est confrontée, et pourquoi? Pourquoi? Un autre scénario, non envisagé dans le livre blanc, serait-il possible et préférable? Le cas échéant, pourquoi? Comment pensez-vous que la confiance puisse être renforcée en Europe?</w:t>
      </w:r>
    </w:p>
    <w:p w:rsidR="00765A60" w:rsidRPr="00C50FFB" w:rsidRDefault="009255A6" w:rsidP="002601D5">
      <w:pPr>
        <w:pStyle w:val="ListParagraph"/>
        <w:numPr>
          <w:ilvl w:val="0"/>
          <w:numId w:val="3"/>
        </w:numPr>
        <w:ind w:left="340" w:hanging="340"/>
        <w:rPr>
          <w:szCs w:val="22"/>
        </w:rPr>
      </w:pPr>
      <w:r w:rsidRPr="00C50FFB">
        <w:rPr>
          <w:b/>
        </w:rPr>
        <w:t>Grands domaines d</w:t>
      </w:r>
      <w:r w:rsidR="00AD0425" w:rsidRPr="00C50FFB">
        <w:rPr>
          <w:b/>
        </w:rPr>
        <w:t>’</w:t>
      </w:r>
      <w:r w:rsidRPr="00C50FFB">
        <w:rPr>
          <w:b/>
        </w:rPr>
        <w:t>action, visibilité, communication</w:t>
      </w:r>
      <w:r w:rsidRPr="00C50FFB">
        <w:t>(Les domaines d</w:t>
      </w:r>
      <w:r w:rsidR="00AD0425" w:rsidRPr="00C50FFB">
        <w:t>’</w:t>
      </w:r>
      <w:r w:rsidRPr="00C50FFB">
        <w:t>action évoqués sont-ils exhaustifs et suffisamment illustratifs? Comment les classeriez-vous par ordre d</w:t>
      </w:r>
      <w:r w:rsidR="00AD0425" w:rsidRPr="00C50FFB">
        <w:t>’</w:t>
      </w:r>
      <w:r w:rsidRPr="00C50FFB">
        <w:t xml:space="preserve">importance? Y </w:t>
      </w:r>
      <w:proofErr w:type="spellStart"/>
      <w:r w:rsidRPr="00C50FFB">
        <w:t>a-t-il</w:t>
      </w:r>
      <w:proofErr w:type="spellEnd"/>
      <w:r w:rsidRPr="00C50FFB">
        <w:t xml:space="preserve"> un domaine d</w:t>
      </w:r>
      <w:r w:rsidR="00AD0425" w:rsidRPr="00C50FFB">
        <w:t>’</w:t>
      </w:r>
      <w:r w:rsidRPr="00C50FFB">
        <w:t>action majeur qui n</w:t>
      </w:r>
      <w:r w:rsidR="00AD0425" w:rsidRPr="00C50FFB">
        <w:t>’</w:t>
      </w:r>
      <w:r w:rsidRPr="00C50FFB">
        <w:t>est pas mentionné ou qui n</w:t>
      </w:r>
      <w:r w:rsidR="00AD0425" w:rsidRPr="00C50FFB">
        <w:t>’</w:t>
      </w:r>
      <w:r w:rsidRPr="00C50FFB">
        <w:t>est pas suffisamment traité? Si c</w:t>
      </w:r>
      <w:r w:rsidR="00AD0425" w:rsidRPr="00C50FFB">
        <w:t>’</w:t>
      </w:r>
      <w:r w:rsidRPr="00C50FFB">
        <w:t>est le cas, duquel s</w:t>
      </w:r>
      <w:r w:rsidR="00AD0425" w:rsidRPr="00C50FFB">
        <w:t>’</w:t>
      </w:r>
      <w:r w:rsidRPr="00C50FFB">
        <w:t>agit-il, et lequel des cinq scénarios correspondrait-il le mieux à son développement? Est-il nécessaire d</w:t>
      </w:r>
      <w:r w:rsidR="00AD0425" w:rsidRPr="00C50FFB">
        <w:t>’</w:t>
      </w:r>
      <w:r w:rsidRPr="00C50FFB">
        <w:t>assurer plus de visibilité et de mieux communiquer sur l</w:t>
      </w:r>
      <w:r w:rsidR="00AD0425" w:rsidRPr="00C50FFB">
        <w:t>’</w:t>
      </w:r>
      <w:r w:rsidRPr="00C50FFB">
        <w:t>Europe, et comment?)</w:t>
      </w:r>
    </w:p>
    <w:p w:rsidR="00460A8F" w:rsidRPr="00C50FFB" w:rsidRDefault="00460A8F" w:rsidP="002601D5">
      <w:pPr>
        <w:pStyle w:val="ListParagraph"/>
        <w:numPr>
          <w:ilvl w:val="0"/>
          <w:numId w:val="3"/>
        </w:numPr>
        <w:ind w:left="340" w:hanging="340"/>
        <w:rPr>
          <w:szCs w:val="22"/>
        </w:rPr>
      </w:pPr>
      <w:r w:rsidRPr="00C50FFB">
        <w:rPr>
          <w:b/>
        </w:rPr>
        <w:t>«La voie à suivre», le rôle de la société civile et les attentes</w:t>
      </w:r>
      <w:r w:rsidRPr="00C50FFB">
        <w:t xml:space="preserve"> (S</w:t>
      </w:r>
      <w:r w:rsidR="00AD0425" w:rsidRPr="00C50FFB">
        <w:t>’</w:t>
      </w:r>
      <w:r w:rsidRPr="00C50FFB">
        <w:t>agissant de la «voie à suivre», comment les «Débats sur l</w:t>
      </w:r>
      <w:r w:rsidR="00AD0425" w:rsidRPr="00C50FFB">
        <w:t>’</w:t>
      </w:r>
      <w:r w:rsidRPr="00C50FFB">
        <w:t>avenir de l</w:t>
      </w:r>
      <w:r w:rsidR="00AD0425" w:rsidRPr="00C50FFB">
        <w:t>’</w:t>
      </w:r>
      <w:r w:rsidRPr="00C50FFB">
        <w:t>Europe» dans les parlements nationaux, les villes et les régions partout en Europe devraient-ils être structurés? Quel rôle la société civile devrait-elle jouer sur cette «voie à suivre», et comment? Comment les citoyens peuvent-ils être davantage impliqués dans le façonnage de l</w:t>
      </w:r>
      <w:r w:rsidR="00AD0425" w:rsidRPr="00C50FFB">
        <w:t>’</w:t>
      </w:r>
      <w:r w:rsidRPr="00C50FFB">
        <w:t>avenir de l</w:t>
      </w:r>
      <w:r w:rsidR="00AD0425" w:rsidRPr="00C50FFB">
        <w:t>’</w:t>
      </w:r>
      <w:r w:rsidRPr="00C50FFB">
        <w:t>Europe? Quelles sont vos attentes particulières concernant l</w:t>
      </w:r>
      <w:r w:rsidR="00AD0425" w:rsidRPr="00C50FFB">
        <w:t>’</w:t>
      </w:r>
      <w:r w:rsidRPr="00C50FFB">
        <w:t xml:space="preserve">issue de la consultation?) </w:t>
      </w:r>
    </w:p>
    <w:p w:rsidR="00765A60" w:rsidRPr="00C50FFB" w:rsidRDefault="00765A60" w:rsidP="002601D5">
      <w:pPr>
        <w:rPr>
          <w:b/>
          <w:u w:val="single"/>
        </w:rPr>
      </w:pPr>
    </w:p>
    <w:p w:rsidR="002F2936" w:rsidRPr="00C50FFB" w:rsidRDefault="002F2936" w:rsidP="002601D5">
      <w:pPr>
        <w:pStyle w:val="ListParagraph"/>
        <w:numPr>
          <w:ilvl w:val="0"/>
          <w:numId w:val="9"/>
        </w:numPr>
        <w:ind w:left="567" w:hanging="567"/>
        <w:rPr>
          <w:b/>
          <w:u w:val="single"/>
        </w:rPr>
      </w:pPr>
      <w:r w:rsidRPr="00C50FFB">
        <w:rPr>
          <w:b/>
          <w:u w:val="single"/>
        </w:rPr>
        <w:t>Conclusions et recommandations</w:t>
      </w:r>
    </w:p>
    <w:p w:rsidR="002601D5" w:rsidRPr="00C50FFB" w:rsidRDefault="002601D5" w:rsidP="002601D5">
      <w:pPr>
        <w:rPr>
          <w:b/>
          <w:u w:val="single"/>
        </w:rPr>
      </w:pPr>
    </w:p>
    <w:p w:rsidR="00053DF0" w:rsidRPr="00C50FFB" w:rsidRDefault="00987813" w:rsidP="002601D5">
      <w:pPr>
        <w:pBdr>
          <w:top w:val="single" w:sz="4" w:space="1" w:color="auto"/>
          <w:left w:val="single" w:sz="4" w:space="4" w:color="auto"/>
          <w:bottom w:val="single" w:sz="4" w:space="1" w:color="auto"/>
          <w:right w:val="single" w:sz="4" w:space="4" w:color="auto"/>
        </w:pBdr>
      </w:pPr>
      <w:r w:rsidRPr="00C50FFB">
        <w:rPr>
          <w:b/>
          <w:u w:val="single"/>
        </w:rPr>
        <w:t>Table ronde I: Les scénarios exposés dans le libre blanc et les autres possibles</w:t>
      </w:r>
      <w:r w:rsidRPr="00C50FFB">
        <w:t xml:space="preserve"> (Lequel des cinq scénarios présentés correspond selon vous le mieux aux défis internes et externes auxquels l</w:t>
      </w:r>
      <w:r w:rsidR="00AD0425" w:rsidRPr="00C50FFB">
        <w:t>’</w:t>
      </w:r>
      <w:r w:rsidRPr="00C50FFB">
        <w:t>UE est confrontée, et pourquoi? Un autre scénario, non envisagé dans le livre blanc, serait-il possible et préférable? Le cas échéant, pourquoi? Comment pensez-vous que la confiance puisse être renforcée en Europe?</w:t>
      </w:r>
    </w:p>
    <w:p w:rsidR="002601D5" w:rsidRPr="00C50FFB" w:rsidRDefault="002601D5" w:rsidP="002601D5">
      <w:pPr>
        <w:ind w:right="45"/>
      </w:pPr>
    </w:p>
    <w:p w:rsidR="00ED6674" w:rsidRPr="00C50FFB" w:rsidRDefault="00582482" w:rsidP="002601D5">
      <w:pPr>
        <w:ind w:right="45"/>
      </w:pPr>
      <w:r w:rsidRPr="00C50FFB">
        <w:t>Le «scénario» à retenir concernant l</w:t>
      </w:r>
      <w:r w:rsidR="00AD0425" w:rsidRPr="00C50FFB">
        <w:t>’</w:t>
      </w:r>
      <w:r w:rsidRPr="00C50FFB">
        <w:t>avenir de l</w:t>
      </w:r>
      <w:r w:rsidR="00AD0425" w:rsidRPr="00C50FFB">
        <w:t>’</w:t>
      </w:r>
      <w:r w:rsidRPr="00C50FFB">
        <w:t xml:space="preserve">Europe </w:t>
      </w:r>
      <w:r w:rsidRPr="00C50FFB">
        <w:rPr>
          <w:b/>
        </w:rPr>
        <w:t>doit en assurer l</w:t>
      </w:r>
      <w:r w:rsidR="00AD0425" w:rsidRPr="00C50FFB">
        <w:rPr>
          <w:b/>
        </w:rPr>
        <w:t>’</w:t>
      </w:r>
      <w:r w:rsidRPr="00C50FFB">
        <w:rPr>
          <w:b/>
        </w:rPr>
        <w:t>unité</w:t>
      </w:r>
      <w:r w:rsidRPr="00C50FFB">
        <w:t xml:space="preserve"> et non semer la division entre les États membres et </w:t>
      </w:r>
      <w:r w:rsidRPr="00C50FFB">
        <w:rPr>
          <w:b/>
        </w:rPr>
        <w:t>ne peut se cantonner aux seuls défis actuels</w:t>
      </w:r>
      <w:r w:rsidRPr="00C50FFB">
        <w:t xml:space="preserve">, intérieurs ou extérieurs, </w:t>
      </w:r>
      <w:r w:rsidRPr="00C50FFB">
        <w:rPr>
          <w:b/>
        </w:rPr>
        <w:t>mais se doit de viser la pleine réalisation des buts et objectifs</w:t>
      </w:r>
      <w:r w:rsidRPr="00C50FFB">
        <w:t xml:space="preserve"> prévus par le traité sur l</w:t>
      </w:r>
      <w:r w:rsidR="00AD0425" w:rsidRPr="00C50FFB">
        <w:t>’</w:t>
      </w:r>
      <w:r w:rsidRPr="00C50FFB">
        <w:t xml:space="preserve">Union européenne, à savoir </w:t>
      </w:r>
      <w:r w:rsidRPr="00C50FFB">
        <w:rPr>
          <w:b/>
        </w:rPr>
        <w:t>promouvoir la paix, ses valeurs et le bien-être, respecter</w:t>
      </w:r>
      <w:r w:rsidRPr="00C50FFB">
        <w:t xml:space="preserve"> les principes de la liberté, de la démocratie, des droits de l</w:t>
      </w:r>
      <w:r w:rsidR="00AD0425" w:rsidRPr="00C50FFB">
        <w:t>’</w:t>
      </w:r>
      <w:r w:rsidRPr="00C50FFB">
        <w:t>homme et des libertés fondamentales, ainsi que l</w:t>
      </w:r>
      <w:r w:rsidR="00AD0425" w:rsidRPr="00C50FFB">
        <w:t>’</w:t>
      </w:r>
      <w:r w:rsidRPr="00C50FFB">
        <w:t xml:space="preserve">État de droit, </w:t>
      </w:r>
      <w:r w:rsidRPr="00C50FFB">
        <w:rPr>
          <w:b/>
        </w:rPr>
        <w:t>la cohésion économique, sociale et territoriale</w:t>
      </w:r>
      <w:r w:rsidRPr="00C50FFB">
        <w:t xml:space="preserve">, ainsi que </w:t>
      </w:r>
      <w:r w:rsidRPr="00C50FFB">
        <w:rPr>
          <w:b/>
        </w:rPr>
        <w:t>le renforcement de la solidarité</w:t>
      </w:r>
      <w:r w:rsidRPr="00C50FFB">
        <w:t>, dans le respect de l</w:t>
      </w:r>
      <w:r w:rsidR="00AD0425" w:rsidRPr="00C50FFB">
        <w:t>’</w:t>
      </w:r>
      <w:r w:rsidRPr="00C50FFB">
        <w:t xml:space="preserve">histoire, de la culture et des traditions des États membres, </w:t>
      </w:r>
      <w:r w:rsidRPr="00C50FFB">
        <w:rPr>
          <w:b/>
        </w:rPr>
        <w:t>la consolidation des économies nationales</w:t>
      </w:r>
      <w:r w:rsidRPr="00C50FFB">
        <w:t xml:space="preserve">, la réalisation de leur convergence, </w:t>
      </w:r>
      <w:r w:rsidRPr="00C50FFB">
        <w:rPr>
          <w:b/>
        </w:rPr>
        <w:t>l</w:t>
      </w:r>
      <w:r w:rsidR="00AD0425" w:rsidRPr="00C50FFB">
        <w:rPr>
          <w:b/>
        </w:rPr>
        <w:t>’</w:t>
      </w:r>
      <w:r w:rsidRPr="00C50FFB">
        <w:rPr>
          <w:b/>
        </w:rPr>
        <w:t>établissement d</w:t>
      </w:r>
      <w:r w:rsidR="00AD0425" w:rsidRPr="00C50FFB">
        <w:rPr>
          <w:b/>
        </w:rPr>
        <w:t>’</w:t>
      </w:r>
      <w:r w:rsidRPr="00C50FFB">
        <w:rPr>
          <w:b/>
        </w:rPr>
        <w:t>une union économique et monétaire pour tous les États membres</w:t>
      </w:r>
      <w:r w:rsidRPr="00C50FFB">
        <w:t xml:space="preserve">, avec une monnaie unique et stable, </w:t>
      </w:r>
      <w:r w:rsidRPr="00C50FFB">
        <w:rPr>
          <w:b/>
        </w:rPr>
        <w:t>la promotion d</w:t>
      </w:r>
      <w:r w:rsidR="00AD0425" w:rsidRPr="00C50FFB">
        <w:rPr>
          <w:b/>
        </w:rPr>
        <w:t>’</w:t>
      </w:r>
      <w:r w:rsidRPr="00C50FFB">
        <w:rPr>
          <w:b/>
        </w:rPr>
        <w:t>un progrès économique et social</w:t>
      </w:r>
      <w:r w:rsidRPr="00C50FFB">
        <w:t xml:space="preserve"> tenant compte du principe du développement durable dans le cadre de la mise en place du marché intérieur, d</w:t>
      </w:r>
      <w:r w:rsidR="00AD0425" w:rsidRPr="00C50FFB">
        <w:t>’</w:t>
      </w:r>
      <w:r w:rsidRPr="00C50FFB">
        <w:t>une cohésion renforcée et de la protection de l</w:t>
      </w:r>
      <w:r w:rsidR="00AD0425" w:rsidRPr="00C50FFB">
        <w:t>’</w:t>
      </w:r>
      <w:r w:rsidRPr="00C50FFB">
        <w:t xml:space="preserve">environnement, </w:t>
      </w:r>
      <w:r w:rsidRPr="00C50FFB">
        <w:rPr>
          <w:b/>
        </w:rPr>
        <w:t>l</w:t>
      </w:r>
      <w:r w:rsidR="00AD0425" w:rsidRPr="00C50FFB">
        <w:rPr>
          <w:b/>
        </w:rPr>
        <w:t>’</w:t>
      </w:r>
      <w:r w:rsidRPr="00C50FFB">
        <w:rPr>
          <w:b/>
        </w:rPr>
        <w:t>accentuation du caractère démocratique et du bon fonctionnement des institutions, la facilitation de la libre circulation des personnes</w:t>
      </w:r>
      <w:r w:rsidRPr="00C50FFB">
        <w:t>, tout en assurant la sûreté et la sécurité, par la mise en place d</w:t>
      </w:r>
      <w:r w:rsidR="00AD0425" w:rsidRPr="00C50FFB">
        <w:t>’</w:t>
      </w:r>
      <w:r w:rsidRPr="00C50FFB">
        <w:t>un</w:t>
      </w:r>
      <w:r w:rsidRPr="00C50FFB">
        <w:rPr>
          <w:b/>
        </w:rPr>
        <w:t xml:space="preserve"> espace de liberté, de sécurité et de justice et la citoyenneté commune</w:t>
      </w:r>
      <w:r w:rsidRPr="00C50FFB">
        <w:t xml:space="preserve"> pour les </w:t>
      </w:r>
      <w:r w:rsidRPr="00C50FFB">
        <w:lastRenderedPageBreak/>
        <w:t xml:space="preserve">ressortissants des États membres, et </w:t>
      </w:r>
      <w:r w:rsidRPr="00C50FFB">
        <w:rPr>
          <w:b/>
        </w:rPr>
        <w:t>une politique étrangère et de sécurité commune</w:t>
      </w:r>
      <w:r w:rsidRPr="00C50FFB">
        <w:t>, dont l</w:t>
      </w:r>
      <w:r w:rsidR="00AD0425" w:rsidRPr="00C50FFB">
        <w:t>’</w:t>
      </w:r>
      <w:r w:rsidRPr="00C50FFB">
        <w:t>élaboration progressive d</w:t>
      </w:r>
      <w:r w:rsidR="00AD0425" w:rsidRPr="00C50FFB">
        <w:t>’</w:t>
      </w:r>
      <w:r w:rsidRPr="00C50FFB">
        <w:t xml:space="preserve">une politique de défense commune, susceptible de déboucher sur une défense commune. </w:t>
      </w:r>
    </w:p>
    <w:p w:rsidR="002601D5" w:rsidRPr="00C50FFB" w:rsidRDefault="002601D5" w:rsidP="002601D5">
      <w:pPr>
        <w:ind w:right="45"/>
      </w:pPr>
    </w:p>
    <w:p w:rsidR="00ED6674" w:rsidRPr="00C50FFB" w:rsidRDefault="0056437E" w:rsidP="007973C2">
      <w:pPr>
        <w:keepNext/>
        <w:keepLines/>
        <w:ind w:right="45"/>
      </w:pPr>
      <w:r w:rsidRPr="00C50FFB">
        <w:rPr>
          <w:b/>
        </w:rPr>
        <w:t xml:space="preserve">La </w:t>
      </w:r>
      <w:proofErr w:type="spellStart"/>
      <w:r w:rsidRPr="00C50FFB">
        <w:rPr>
          <w:b/>
        </w:rPr>
        <w:t>méthode</w:t>
      </w:r>
      <w:r w:rsidRPr="00C50FFB">
        <w:rPr>
          <w:b/>
          <w:i/>
        </w:rPr>
        <w:t>Faire</w:t>
      </w:r>
      <w:proofErr w:type="spellEnd"/>
      <w:r w:rsidRPr="00C50FFB">
        <w:rPr>
          <w:b/>
          <w:i/>
        </w:rPr>
        <w:t xml:space="preserve"> beaucoup plus ensemble</w:t>
      </w:r>
      <w:r w:rsidRPr="00C50FFB">
        <w:t xml:space="preserve"> (mise en commun par les États membres et l</w:t>
      </w:r>
      <w:r w:rsidR="00AD0425" w:rsidRPr="00C50FFB">
        <w:t>’</w:t>
      </w:r>
      <w:r w:rsidRPr="00C50FFB">
        <w:t xml:space="preserve">Union européenne de davantage de pouvoirs, de ressources et de processus décisionnels dans tous les secteurs, coopération approfondie, décisions adoptées dans des délais plus courts et rapidement mises à exécution) </w:t>
      </w:r>
      <w:r w:rsidRPr="00C50FFB">
        <w:rPr>
          <w:b/>
        </w:rPr>
        <w:t>peut aider à accélérer la réalisation des objectifs</w:t>
      </w:r>
      <w:r w:rsidRPr="00C50FFB">
        <w:t xml:space="preserve"> prévus dans le traité sur l</w:t>
      </w:r>
      <w:r w:rsidR="00AD0425" w:rsidRPr="00C50FFB">
        <w:t>’</w:t>
      </w:r>
      <w:r w:rsidRPr="00C50FFB">
        <w:t xml:space="preserve">Union européenne, </w:t>
      </w:r>
      <w:r w:rsidRPr="00C50FFB">
        <w:rPr>
          <w:b/>
        </w:rPr>
        <w:t>débouchant sur d</w:t>
      </w:r>
      <w:r w:rsidR="00AD0425" w:rsidRPr="00C50FFB">
        <w:rPr>
          <w:b/>
        </w:rPr>
        <w:t>’</w:t>
      </w:r>
      <w:r w:rsidRPr="00C50FFB">
        <w:rPr>
          <w:b/>
        </w:rPr>
        <w:t>importants résultats</w:t>
      </w:r>
      <w:r w:rsidRPr="00C50FFB">
        <w:t xml:space="preserve"> concernant </w:t>
      </w:r>
      <w:r w:rsidRPr="00C50FFB">
        <w:rPr>
          <w:b/>
        </w:rPr>
        <w:t>le renforcement du marché unique</w:t>
      </w:r>
      <w:r w:rsidRPr="00C50FFB">
        <w:t xml:space="preserve"> </w:t>
      </w:r>
      <w:r w:rsidRPr="00C50FFB">
        <w:rPr>
          <w:i/>
        </w:rPr>
        <w:t xml:space="preserve">«par la convergence des normes et un contrôle plus strict», </w:t>
      </w:r>
      <w:r w:rsidRPr="00C50FFB">
        <w:rPr>
          <w:b/>
        </w:rPr>
        <w:t xml:space="preserve">son «achèvement» </w:t>
      </w:r>
      <w:r w:rsidRPr="00C50FFB">
        <w:rPr>
          <w:b/>
          <w:i/>
        </w:rPr>
        <w:t>« dans les domaines de l</w:t>
      </w:r>
      <w:r w:rsidR="00AD0425" w:rsidRPr="00C50FFB">
        <w:rPr>
          <w:b/>
          <w:i/>
        </w:rPr>
        <w:t>’</w:t>
      </w:r>
      <w:r w:rsidRPr="00C50FFB">
        <w:rPr>
          <w:b/>
          <w:i/>
        </w:rPr>
        <w:t>énergie, du numérique et des services»</w:t>
      </w:r>
      <w:r w:rsidRPr="00C50FFB">
        <w:t xml:space="preserve">, </w:t>
      </w:r>
      <w:r w:rsidRPr="00C50FFB">
        <w:rPr>
          <w:b/>
        </w:rPr>
        <w:t>la réalisation de l</w:t>
      </w:r>
      <w:r w:rsidR="00AD0425" w:rsidRPr="00C50FFB">
        <w:rPr>
          <w:b/>
        </w:rPr>
        <w:t>’</w:t>
      </w:r>
      <w:r w:rsidRPr="00C50FFB">
        <w:rPr>
          <w:b/>
        </w:rPr>
        <w:t>union économique, financière et fiscale</w:t>
      </w:r>
      <w:r w:rsidRPr="00C50FFB">
        <w:t xml:space="preserve">, par </w:t>
      </w:r>
      <w:r w:rsidRPr="00C50FFB">
        <w:rPr>
          <w:i/>
        </w:rPr>
        <w:t xml:space="preserve">«une </w:t>
      </w:r>
      <w:r w:rsidRPr="00C50FFB">
        <w:rPr>
          <w:b/>
          <w:i/>
        </w:rPr>
        <w:t>coordination</w:t>
      </w:r>
      <w:r w:rsidRPr="00C50FFB">
        <w:rPr>
          <w:i/>
        </w:rPr>
        <w:t xml:space="preserve"> poussée beaucoup plus loin </w:t>
      </w:r>
      <w:r w:rsidRPr="00C50FFB">
        <w:rPr>
          <w:b/>
          <w:i/>
        </w:rPr>
        <w:t>en matière budgétaire, sociale et fiscale</w:t>
      </w:r>
      <w:r w:rsidRPr="00C50FFB">
        <w:rPr>
          <w:i/>
        </w:rPr>
        <w:t>, de même que la surveillance des services financiers»</w:t>
      </w:r>
      <w:r w:rsidRPr="00C50FFB">
        <w:t xml:space="preserve">, </w:t>
      </w:r>
      <w:r w:rsidRPr="00C50FFB">
        <w:rPr>
          <w:i/>
        </w:rPr>
        <w:t>«</w:t>
      </w:r>
      <w:r w:rsidRPr="00C50FFB">
        <w:rPr>
          <w:b/>
          <w:i/>
        </w:rPr>
        <w:t>un soutien financier complémentaire mis à disposition par l</w:t>
      </w:r>
      <w:r w:rsidR="00AD0425" w:rsidRPr="00C50FFB">
        <w:rPr>
          <w:b/>
          <w:i/>
        </w:rPr>
        <w:t>’</w:t>
      </w:r>
      <w:r w:rsidRPr="00C50FFB">
        <w:rPr>
          <w:b/>
          <w:i/>
        </w:rPr>
        <w:t>UE</w:t>
      </w:r>
      <w:r w:rsidRPr="00C50FFB">
        <w:rPr>
          <w:i/>
        </w:rPr>
        <w:t xml:space="preserve"> pour stimuler le développement économique et réagir aux chocs aux niveaux régional, sectoriel et national», «</w:t>
      </w:r>
      <w:r w:rsidRPr="00C50FFB">
        <w:rPr>
          <w:b/>
          <w:i/>
        </w:rPr>
        <w:t>des partenariats plus étroits et des investissements accrus</w:t>
      </w:r>
      <w:r w:rsidRPr="00C50FFB">
        <w:rPr>
          <w:i/>
        </w:rPr>
        <w:t xml:space="preserve"> dans le voisinage de l</w:t>
      </w:r>
      <w:r w:rsidR="00AD0425" w:rsidRPr="00C50FFB">
        <w:rPr>
          <w:i/>
        </w:rPr>
        <w:t>’</w:t>
      </w:r>
      <w:r w:rsidRPr="00C50FFB">
        <w:rPr>
          <w:i/>
        </w:rPr>
        <w:t>Europe et au-delà»</w:t>
      </w:r>
      <w:r w:rsidRPr="00C50FFB">
        <w:t xml:space="preserve"> qui </w:t>
      </w:r>
      <w:r w:rsidRPr="00C50FFB">
        <w:rPr>
          <w:i/>
        </w:rPr>
        <w:t>«facilitent la création de débouchés économiques, la gestion de la migration régulière et la lutte contre les filières clandestines», «</w:t>
      </w:r>
      <w:r w:rsidRPr="00C50FFB">
        <w:rPr>
          <w:b/>
          <w:i/>
        </w:rPr>
        <w:t>des investissements conjoints</w:t>
      </w:r>
      <w:r w:rsidRPr="00C50FFB">
        <w:rPr>
          <w:i/>
        </w:rPr>
        <w:t xml:space="preserve"> en faveur de l</w:t>
      </w:r>
      <w:r w:rsidR="00AD0425" w:rsidRPr="00C50FFB">
        <w:rPr>
          <w:i/>
        </w:rPr>
        <w:t>’</w:t>
      </w:r>
      <w:r w:rsidRPr="00C50FFB">
        <w:rPr>
          <w:i/>
        </w:rPr>
        <w:t>innovation et de la recherche», «</w:t>
      </w:r>
      <w:r w:rsidRPr="00C50FFB">
        <w:rPr>
          <w:b/>
          <w:i/>
        </w:rPr>
        <w:t>des marchés des capitaux pleinement intégrés</w:t>
      </w:r>
      <w:r w:rsidRPr="00C50FFB">
        <w:rPr>
          <w:i/>
        </w:rPr>
        <w:t>»</w:t>
      </w:r>
      <w:r w:rsidRPr="00C50FFB">
        <w:t xml:space="preserve"> qui </w:t>
      </w:r>
      <w:r w:rsidRPr="00C50FFB">
        <w:rPr>
          <w:i/>
        </w:rPr>
        <w:t>«contribuent à mobiliser des fonds en faveur des PME et des grands projets d</w:t>
      </w:r>
      <w:r w:rsidR="00AD0425" w:rsidRPr="00C50FFB">
        <w:rPr>
          <w:i/>
        </w:rPr>
        <w:t>’</w:t>
      </w:r>
      <w:r w:rsidRPr="00C50FFB">
        <w:rPr>
          <w:i/>
        </w:rPr>
        <w:t>infrastructure partout dans l</w:t>
      </w:r>
      <w:r w:rsidR="00AD0425" w:rsidRPr="00C50FFB">
        <w:rPr>
          <w:i/>
        </w:rPr>
        <w:t>’</w:t>
      </w:r>
      <w:r w:rsidRPr="00C50FFB">
        <w:rPr>
          <w:i/>
        </w:rPr>
        <w:t>UE», «</w:t>
      </w:r>
      <w:r w:rsidRPr="00C50FFB">
        <w:rPr>
          <w:b/>
          <w:i/>
        </w:rPr>
        <w:t>une Union de la défense</w:t>
      </w:r>
      <w:r w:rsidRPr="00C50FFB">
        <w:rPr>
          <w:i/>
        </w:rPr>
        <w:t>», «en pleine complémentarité avec l</w:t>
      </w:r>
      <w:r w:rsidR="00AD0425" w:rsidRPr="00C50FFB">
        <w:rPr>
          <w:i/>
        </w:rPr>
        <w:t>’</w:t>
      </w:r>
      <w:r w:rsidRPr="00C50FFB">
        <w:rPr>
          <w:i/>
        </w:rPr>
        <w:t>OTAN»</w:t>
      </w:r>
      <w:r w:rsidRPr="00C50FFB">
        <w:t xml:space="preserve">. </w:t>
      </w:r>
      <w:r w:rsidRPr="00C50FFB">
        <w:rPr>
          <w:b/>
          <w:color w:val="000000"/>
        </w:rPr>
        <w:t>Il convient de tenir compte des objectifs de l</w:t>
      </w:r>
      <w:r w:rsidR="00AD0425" w:rsidRPr="00C50FFB">
        <w:rPr>
          <w:b/>
          <w:color w:val="000000"/>
        </w:rPr>
        <w:t>’</w:t>
      </w:r>
      <w:r w:rsidRPr="00C50FFB">
        <w:rPr>
          <w:b/>
          <w:color w:val="000000"/>
        </w:rPr>
        <w:t xml:space="preserve">Union européenne dans leur ensemble, par rapport à tous les États membres. </w:t>
      </w:r>
    </w:p>
    <w:p w:rsidR="002601D5" w:rsidRPr="00C50FFB" w:rsidRDefault="002601D5" w:rsidP="002601D5">
      <w:pPr>
        <w:ind w:right="45"/>
        <w:rPr>
          <w:color w:val="000000"/>
        </w:rPr>
      </w:pPr>
    </w:p>
    <w:p w:rsidR="00ED6674" w:rsidRPr="00C50FFB" w:rsidRDefault="0056437E" w:rsidP="002601D5">
      <w:pPr>
        <w:ind w:right="45"/>
      </w:pPr>
      <w:r w:rsidRPr="00C50FFB">
        <w:t>Pour 2025, il conviendrait d</w:t>
      </w:r>
      <w:r w:rsidR="00AD0425" w:rsidRPr="00C50FFB">
        <w:t>’</w:t>
      </w:r>
      <w:r w:rsidRPr="00C50FFB">
        <w:t xml:space="preserve">assurer un renforcement de la cohésion et une réduction significative des disparités économiques, sociales et territoriales entre régions et entre États membres, ainsi que de </w:t>
      </w:r>
      <w:r w:rsidRPr="00C50FFB">
        <w:rPr>
          <w:b/>
        </w:rPr>
        <w:t>finaliser l</w:t>
      </w:r>
      <w:r w:rsidR="00AD0425" w:rsidRPr="00C50FFB">
        <w:rPr>
          <w:b/>
        </w:rPr>
        <w:t>’</w:t>
      </w:r>
      <w:r w:rsidRPr="00C50FFB">
        <w:rPr>
          <w:b/>
        </w:rPr>
        <w:t>union monétaire</w:t>
      </w:r>
      <w:r w:rsidRPr="00C50FFB">
        <w:t>, grâce à une devise unique et stable commune à tous les pays de l</w:t>
      </w:r>
      <w:r w:rsidR="00AD0425" w:rsidRPr="00C50FFB">
        <w:t>’</w:t>
      </w:r>
      <w:r w:rsidRPr="00C50FFB">
        <w:t xml:space="preserve">UE. </w:t>
      </w:r>
    </w:p>
    <w:p w:rsidR="002601D5" w:rsidRPr="00C50FFB" w:rsidRDefault="002601D5" w:rsidP="002601D5">
      <w:pPr>
        <w:ind w:right="45"/>
      </w:pPr>
    </w:p>
    <w:p w:rsidR="000E470A" w:rsidRPr="00C50FFB" w:rsidRDefault="00ED6674" w:rsidP="002601D5">
      <w:pPr>
        <w:ind w:right="45"/>
      </w:pPr>
      <w:r w:rsidRPr="00C50FFB">
        <w:t>Pour restaurer la confiance dans l</w:t>
      </w:r>
      <w:r w:rsidR="00AD0425" w:rsidRPr="00C50FFB">
        <w:t>’</w:t>
      </w:r>
      <w:r w:rsidRPr="00C50FFB">
        <w:t>Union européenne, la reprise de plusieurs compétences des autorités nationales suppose d</w:t>
      </w:r>
      <w:r w:rsidR="00AD0425" w:rsidRPr="00C50FFB">
        <w:t>’</w:t>
      </w:r>
      <w:r w:rsidRPr="00C50FFB">
        <w:rPr>
          <w:b/>
        </w:rPr>
        <w:t>enregistrer des résultats nettement améliorés</w:t>
      </w:r>
      <w:r w:rsidRPr="00C50FFB">
        <w:t xml:space="preserve"> dans la réalisation des objectifs fixés par le </w:t>
      </w:r>
      <w:r w:rsidRPr="00C50FFB">
        <w:rPr>
          <w:i/>
        </w:rPr>
        <w:t>traité sur l</w:t>
      </w:r>
      <w:r w:rsidR="00AD0425" w:rsidRPr="00C50FFB">
        <w:rPr>
          <w:i/>
        </w:rPr>
        <w:t>’</w:t>
      </w:r>
      <w:r w:rsidRPr="00C50FFB">
        <w:rPr>
          <w:i/>
        </w:rPr>
        <w:t>Union européenne</w:t>
      </w:r>
      <w:r w:rsidRPr="00C50FFB">
        <w:t>, avec des répercussions au niveau des communes, des régions, des États, de l</w:t>
      </w:r>
      <w:r w:rsidR="00AD0425" w:rsidRPr="00C50FFB">
        <w:t>’</w:t>
      </w:r>
      <w:r w:rsidRPr="00C50FFB">
        <w:t xml:space="preserve">Europe et des individus (citoyens). </w:t>
      </w:r>
      <w:r w:rsidRPr="00C50FFB">
        <w:rPr>
          <w:b/>
        </w:rPr>
        <w:t>La confiance au niveau de l</w:t>
      </w:r>
      <w:r w:rsidR="00AD0425" w:rsidRPr="00C50FFB">
        <w:rPr>
          <w:b/>
        </w:rPr>
        <w:t>’</w:t>
      </w:r>
      <w:r w:rsidRPr="00C50FFB">
        <w:rPr>
          <w:b/>
        </w:rPr>
        <w:t>Union sera confortée par un dialogue permanent et de qualité avec la société civile organisée.</w:t>
      </w:r>
      <w:r w:rsidRPr="00C50FFB">
        <w:t xml:space="preserve"> </w:t>
      </w:r>
    </w:p>
    <w:p w:rsidR="002601D5" w:rsidRPr="00C50FFB" w:rsidRDefault="002601D5" w:rsidP="002601D5">
      <w:pPr>
        <w:ind w:right="45"/>
      </w:pPr>
    </w:p>
    <w:p w:rsidR="002F2936" w:rsidRPr="00C50FFB" w:rsidRDefault="00893AA0" w:rsidP="002601D5">
      <w:pPr>
        <w:pBdr>
          <w:top w:val="single" w:sz="4" w:space="1" w:color="auto"/>
          <w:left w:val="single" w:sz="4" w:space="4" w:color="auto"/>
          <w:bottom w:val="single" w:sz="4" w:space="1" w:color="auto"/>
          <w:right w:val="single" w:sz="4" w:space="4" w:color="auto"/>
        </w:pBdr>
        <w:ind w:left="-6" w:right="45"/>
        <w:rPr>
          <w:b/>
        </w:rPr>
      </w:pPr>
      <w:r w:rsidRPr="00C50FFB">
        <w:rPr>
          <w:b/>
          <w:u w:val="single"/>
        </w:rPr>
        <w:t>Table ronde III - Grands domaines d</w:t>
      </w:r>
      <w:r w:rsidR="00AD0425" w:rsidRPr="00C50FFB">
        <w:rPr>
          <w:b/>
          <w:u w:val="single"/>
        </w:rPr>
        <w:t>’</w:t>
      </w:r>
      <w:r w:rsidRPr="00C50FFB">
        <w:rPr>
          <w:b/>
          <w:u w:val="single"/>
        </w:rPr>
        <w:t>action, visibilité, communication</w:t>
      </w:r>
      <w:r w:rsidRPr="00C50FFB">
        <w:t>(Les domaines d</w:t>
      </w:r>
      <w:r w:rsidR="00AD0425" w:rsidRPr="00C50FFB">
        <w:t>’</w:t>
      </w:r>
      <w:r w:rsidRPr="00C50FFB">
        <w:t>action évoqués sont-ils exhaustifs et suffisamment illustratifs? Comment les classeriez-vous par ordre d</w:t>
      </w:r>
      <w:r w:rsidR="00AD0425" w:rsidRPr="00C50FFB">
        <w:t>’</w:t>
      </w:r>
      <w:r w:rsidRPr="00C50FFB">
        <w:t xml:space="preserve">importance? Y </w:t>
      </w:r>
      <w:proofErr w:type="spellStart"/>
      <w:r w:rsidRPr="00C50FFB">
        <w:t>a-t-il</w:t>
      </w:r>
      <w:proofErr w:type="spellEnd"/>
      <w:r w:rsidRPr="00C50FFB">
        <w:t xml:space="preserve"> un domaine d</w:t>
      </w:r>
      <w:r w:rsidR="00AD0425" w:rsidRPr="00C50FFB">
        <w:t>’</w:t>
      </w:r>
      <w:r w:rsidRPr="00C50FFB">
        <w:t>action majeur qui n</w:t>
      </w:r>
      <w:r w:rsidR="00AD0425" w:rsidRPr="00C50FFB">
        <w:t>’</w:t>
      </w:r>
      <w:r w:rsidRPr="00C50FFB">
        <w:t>est pas mentionné ou qui n</w:t>
      </w:r>
      <w:r w:rsidR="00AD0425" w:rsidRPr="00C50FFB">
        <w:t>’</w:t>
      </w:r>
      <w:r w:rsidRPr="00C50FFB">
        <w:t>est pas suffisamment traité? Si c</w:t>
      </w:r>
      <w:r w:rsidR="00AD0425" w:rsidRPr="00C50FFB">
        <w:t>’</w:t>
      </w:r>
      <w:r w:rsidRPr="00C50FFB">
        <w:t>est le cas, duquel s</w:t>
      </w:r>
      <w:r w:rsidR="00AD0425" w:rsidRPr="00C50FFB">
        <w:t>’</w:t>
      </w:r>
      <w:r w:rsidRPr="00C50FFB">
        <w:t xml:space="preserve">agit-il et lequel des cinq scénarios correspondrait-il le mieux à son développement? </w:t>
      </w:r>
    </w:p>
    <w:p w:rsidR="002601D5" w:rsidRPr="00C50FFB" w:rsidRDefault="002601D5" w:rsidP="002601D5"/>
    <w:p w:rsidR="003830EB" w:rsidRPr="00C50FFB" w:rsidRDefault="000E1C34" w:rsidP="002601D5">
      <w:r w:rsidRPr="00C50FFB">
        <w:t>Il conviendrait que les champs de l</w:t>
      </w:r>
      <w:r w:rsidR="00AD0425" w:rsidRPr="00C50FFB">
        <w:t>’</w:t>
      </w:r>
      <w:r w:rsidRPr="00C50FFB">
        <w:t>action politique ne se limitent pas aux problématiques d</w:t>
      </w:r>
      <w:r w:rsidR="00AD0425" w:rsidRPr="00C50FFB">
        <w:t>’</w:t>
      </w:r>
      <w:r w:rsidRPr="00C50FFB">
        <w:t>aujourd</w:t>
      </w:r>
      <w:r w:rsidR="00AD0425" w:rsidRPr="00C50FFB">
        <w:t>’</w:t>
      </w:r>
      <w:r w:rsidRPr="00C50FFB">
        <w:t>hui, internes ou externes, mais qu</w:t>
      </w:r>
      <w:r w:rsidR="00AD0425" w:rsidRPr="00C50FFB">
        <w:t>’</w:t>
      </w:r>
      <w:r w:rsidRPr="00C50FFB">
        <w:t xml:space="preserve">ils </w:t>
      </w:r>
      <w:r w:rsidRPr="00C50FFB">
        <w:rPr>
          <w:b/>
        </w:rPr>
        <w:t>couvrent tous les d</w:t>
      </w:r>
      <w:r w:rsidR="00AD0425" w:rsidRPr="00C50FFB">
        <w:rPr>
          <w:b/>
        </w:rPr>
        <w:t>omaines prévus par les articles </w:t>
      </w:r>
      <w:r w:rsidRPr="00C50FFB">
        <w:rPr>
          <w:b/>
        </w:rPr>
        <w:t xml:space="preserve">2 à 6 du </w:t>
      </w:r>
      <w:r w:rsidRPr="00C50FFB">
        <w:rPr>
          <w:b/>
          <w:i/>
        </w:rPr>
        <w:t>traité sur le fonctionnement de l</w:t>
      </w:r>
      <w:r w:rsidR="00AD0425" w:rsidRPr="00C50FFB">
        <w:rPr>
          <w:b/>
          <w:i/>
        </w:rPr>
        <w:t>’</w:t>
      </w:r>
      <w:r w:rsidRPr="00C50FFB">
        <w:rPr>
          <w:b/>
          <w:i/>
        </w:rPr>
        <w:t>Union européenne</w:t>
      </w:r>
      <w:r w:rsidRPr="00C50FFB">
        <w:t xml:space="preserve"> (version consolidée), </w:t>
      </w:r>
      <w:r w:rsidRPr="00C50FFB">
        <w:rPr>
          <w:b/>
        </w:rPr>
        <w:t>ainsi que les défis de moyen et long terme</w:t>
      </w:r>
      <w:r w:rsidRPr="00C50FFB">
        <w:t xml:space="preserve">. </w:t>
      </w:r>
      <w:r w:rsidRPr="00C50FFB">
        <w:rPr>
          <w:b/>
        </w:rPr>
        <w:t xml:space="preserve">Certains des secteurs visés dans les articles 2 à 6 du </w:t>
      </w:r>
      <w:r w:rsidRPr="00C50FFB">
        <w:rPr>
          <w:b/>
          <w:i/>
        </w:rPr>
        <w:t>traité</w:t>
      </w:r>
      <w:r w:rsidRPr="00C50FFB">
        <w:rPr>
          <w:b/>
        </w:rPr>
        <w:t>, des plus importants, manquent à l</w:t>
      </w:r>
      <w:r w:rsidR="00AD0425" w:rsidRPr="00C50FFB">
        <w:rPr>
          <w:b/>
        </w:rPr>
        <w:t>’</w:t>
      </w:r>
      <w:r w:rsidRPr="00C50FFB">
        <w:rPr>
          <w:b/>
        </w:rPr>
        <w:t>appel</w:t>
      </w:r>
      <w:r w:rsidRPr="00C50FFB">
        <w:t>, alors qu</w:t>
      </w:r>
      <w:r w:rsidR="00AD0425" w:rsidRPr="00C50FFB">
        <w:t>’</w:t>
      </w:r>
      <w:r w:rsidRPr="00C50FFB">
        <w:t xml:space="preserve">ils ne devraient pas être ignorés. </w:t>
      </w:r>
    </w:p>
    <w:p w:rsidR="003830EB" w:rsidRPr="00C50FFB" w:rsidRDefault="003830EB" w:rsidP="002601D5"/>
    <w:p w:rsidR="003830EB" w:rsidRPr="00C50FFB" w:rsidRDefault="003830EB" w:rsidP="002601D5">
      <w:r w:rsidRPr="00C50FFB">
        <w:t xml:space="preserve">Il convient de </w:t>
      </w:r>
      <w:r w:rsidRPr="00C50FFB">
        <w:rPr>
          <w:b/>
        </w:rPr>
        <w:t>promouvoir et d</w:t>
      </w:r>
      <w:r w:rsidR="00AD0425" w:rsidRPr="00C50FFB">
        <w:rPr>
          <w:b/>
        </w:rPr>
        <w:t>’</w:t>
      </w:r>
      <w:r w:rsidRPr="00C50FFB">
        <w:rPr>
          <w:b/>
        </w:rPr>
        <w:t>encourager</w:t>
      </w:r>
      <w:r w:rsidRPr="00C50FFB">
        <w:t xml:space="preserve"> </w:t>
      </w:r>
      <w:r w:rsidRPr="00C50FFB">
        <w:rPr>
          <w:b/>
          <w:u w:val="single"/>
        </w:rPr>
        <w:t>une culture démocratique européenne commune</w:t>
      </w:r>
      <w:r w:rsidRPr="00C50FFB">
        <w:t>: l</w:t>
      </w:r>
      <w:r w:rsidR="00AD0425" w:rsidRPr="00C50FFB">
        <w:t>’</w:t>
      </w:r>
      <w:r w:rsidRPr="00C50FFB">
        <w:t>héritage culturel, religieux et humaniste de l</w:t>
      </w:r>
      <w:r w:rsidR="00AD0425" w:rsidRPr="00C50FFB">
        <w:t>’</w:t>
      </w:r>
      <w:r w:rsidRPr="00C50FFB">
        <w:t>Europe, terreau sur lequel se sont développées les valeurs universelles qui constituent les droits inviolables et inaliénables de la personne, tels que la liberté, la démocratie, l</w:t>
      </w:r>
      <w:r w:rsidR="00AD0425" w:rsidRPr="00C50FFB">
        <w:t>’</w:t>
      </w:r>
      <w:r w:rsidRPr="00C50FFB">
        <w:t>égalité et l</w:t>
      </w:r>
      <w:r w:rsidR="00AD0425" w:rsidRPr="00C50FFB">
        <w:t>’</w:t>
      </w:r>
      <w:r w:rsidRPr="00C50FFB">
        <w:t>État de droit, le pluralisme, la non-discrimination, la tolérance, la justice, la solidarité, revêtant la plus haute importance pour les</w:t>
      </w:r>
      <w:r w:rsidR="006F7719" w:rsidRPr="00C50FFB">
        <w:t xml:space="preserve"> </w:t>
      </w:r>
      <w:r w:rsidRPr="00C50FFB">
        <w:t>citoyens et les États membres, tout comme la reconnaissance de la portée historique qui s</w:t>
      </w:r>
      <w:r w:rsidR="00AD0425" w:rsidRPr="00C50FFB">
        <w:t>’</w:t>
      </w:r>
      <w:r w:rsidRPr="00C50FFB">
        <w:t>attache à la fin de la division du continent européen et la nécessité de jeter des bases solides pour l</w:t>
      </w:r>
      <w:r w:rsidR="00AD0425" w:rsidRPr="00C50FFB">
        <w:t>’</w:t>
      </w:r>
      <w:r w:rsidRPr="00C50FFB">
        <w:t>architecture de l</w:t>
      </w:r>
      <w:r w:rsidR="00AD0425" w:rsidRPr="00C50FFB">
        <w:t>’</w:t>
      </w:r>
      <w:r w:rsidRPr="00C50FFB">
        <w:t xml:space="preserve">Europe de demain. </w:t>
      </w:r>
    </w:p>
    <w:p w:rsidR="003830EB" w:rsidRPr="00C50FFB" w:rsidRDefault="003830EB" w:rsidP="002601D5"/>
    <w:p w:rsidR="00655C81" w:rsidRPr="00C50FFB" w:rsidRDefault="003830EB" w:rsidP="002601D5">
      <w:r w:rsidRPr="00C50FFB">
        <w:t xml:space="preserve">Les débats ont fait ressortir </w:t>
      </w:r>
      <w:r w:rsidRPr="00C50FFB">
        <w:rPr>
          <w:b/>
        </w:rPr>
        <w:t>l</w:t>
      </w:r>
      <w:r w:rsidR="00AD0425" w:rsidRPr="00C50FFB">
        <w:rPr>
          <w:b/>
        </w:rPr>
        <w:t>’</w:t>
      </w:r>
      <w:r w:rsidRPr="00C50FFB">
        <w:rPr>
          <w:b/>
        </w:rPr>
        <w:t>importance particulière que les hommes politiques attachent au marché unique</w:t>
      </w:r>
      <w:r w:rsidRPr="00C50FFB">
        <w:t xml:space="preserve"> et aux échanges, s</w:t>
      </w:r>
      <w:r w:rsidR="00AD0425" w:rsidRPr="00C50FFB">
        <w:t>’</w:t>
      </w:r>
      <w:r w:rsidRPr="00C50FFB">
        <w:t>agissant de l</w:t>
      </w:r>
      <w:r w:rsidR="00AD0425" w:rsidRPr="00C50FFB">
        <w:t>’</w:t>
      </w:r>
      <w:r w:rsidRPr="00C50FFB">
        <w:t>exercice de la libre circulation des personnes, des biens, des services et des capitaux, de l</w:t>
      </w:r>
      <w:r w:rsidR="00AD0425" w:rsidRPr="00C50FFB">
        <w:t>’</w:t>
      </w:r>
      <w:r w:rsidRPr="00C50FFB">
        <w:t>union économique et monétaire, de la sécurité, de la coopération pour la gestion des frontières, de la politique extérieure et de défense, du budget de l</w:t>
      </w:r>
      <w:r w:rsidR="00AD0425" w:rsidRPr="00C50FFB">
        <w:t>’</w:t>
      </w:r>
      <w:r w:rsidRPr="00C50FFB">
        <w:t>UE et de sa capacité à parvenir à des résultats.</w:t>
      </w:r>
    </w:p>
    <w:p w:rsidR="003830EB" w:rsidRPr="00C50FFB" w:rsidRDefault="003830EB" w:rsidP="002601D5"/>
    <w:p w:rsidR="00655C81" w:rsidRPr="00C50FFB" w:rsidRDefault="003830EB" w:rsidP="002601D5">
      <w:pPr>
        <w:pBdr>
          <w:top w:val="single" w:sz="4" w:space="1" w:color="auto"/>
          <w:left w:val="single" w:sz="4" w:space="4" w:color="auto"/>
          <w:bottom w:val="single" w:sz="4" w:space="1" w:color="auto"/>
          <w:right w:val="single" w:sz="4" w:space="4" w:color="auto"/>
        </w:pBdr>
        <w:ind w:left="-6" w:right="45"/>
        <w:rPr>
          <w:b/>
        </w:rPr>
      </w:pPr>
      <w:r w:rsidRPr="00C50FFB">
        <w:rPr>
          <w:b/>
          <w:u w:val="single"/>
        </w:rPr>
        <w:t>Table ronde III - «La voie à suivre», rôle de la société civile, attentes</w:t>
      </w:r>
      <w:r w:rsidRPr="00C50FFB">
        <w:t xml:space="preserve"> (S</w:t>
      </w:r>
      <w:r w:rsidR="00AD0425" w:rsidRPr="00C50FFB">
        <w:t>’</w:t>
      </w:r>
      <w:r w:rsidRPr="00C50FFB">
        <w:t>agissant de «la voie à suivre», comment les «Débats sur l</w:t>
      </w:r>
      <w:r w:rsidR="00AD0425" w:rsidRPr="00C50FFB">
        <w:t>’</w:t>
      </w:r>
      <w:r w:rsidRPr="00C50FFB">
        <w:t>avenir de l</w:t>
      </w:r>
      <w:r w:rsidR="00AD0425" w:rsidRPr="00C50FFB">
        <w:t>’</w:t>
      </w:r>
      <w:r w:rsidRPr="00C50FFB">
        <w:t>Europe» dans les parlements nationaux, les villes et les régions partout en Europe devraient-ils être structurés? Est-il nécessaire d</w:t>
      </w:r>
      <w:r w:rsidR="00AD0425" w:rsidRPr="00C50FFB">
        <w:t>’</w:t>
      </w:r>
      <w:r w:rsidRPr="00C50FFB">
        <w:t>assurer plus de visibilité et de mieux communiquer sur l</w:t>
      </w:r>
      <w:r w:rsidR="00AD0425" w:rsidRPr="00C50FFB">
        <w:t>’</w:t>
      </w:r>
      <w:r w:rsidRPr="00C50FFB">
        <w:t>Europe, et comment? Quel rôle la société civile devrait-elle jouer sur cette «voie à suivre», et comment? Comment les citoyens peuvent-ils être davantage impliqués dans le façonnage de l</w:t>
      </w:r>
      <w:r w:rsidR="00AD0425" w:rsidRPr="00C50FFB">
        <w:t>’</w:t>
      </w:r>
      <w:r w:rsidRPr="00C50FFB">
        <w:t>avenir de l</w:t>
      </w:r>
      <w:r w:rsidR="00AD0425" w:rsidRPr="00C50FFB">
        <w:t>’</w:t>
      </w:r>
      <w:r w:rsidRPr="00C50FFB">
        <w:t>Europe? Quelles sont vos attentes particulières concernant l</w:t>
      </w:r>
      <w:r w:rsidR="00AD0425" w:rsidRPr="00C50FFB">
        <w:t>’</w:t>
      </w:r>
      <w:r w:rsidRPr="00C50FFB">
        <w:t xml:space="preserve">issue de la consultation?) </w:t>
      </w:r>
    </w:p>
    <w:p w:rsidR="002601D5" w:rsidRPr="00C50FFB" w:rsidRDefault="002601D5" w:rsidP="002601D5"/>
    <w:p w:rsidR="002E79A4" w:rsidRPr="00C50FFB" w:rsidRDefault="002E79A4" w:rsidP="002601D5">
      <w:r w:rsidRPr="00C50FFB">
        <w:t>En ce qui concerne la «voie à suivre», les débats sur l</w:t>
      </w:r>
      <w:r w:rsidR="00AD0425" w:rsidRPr="00C50FFB">
        <w:t>’</w:t>
      </w:r>
      <w:r w:rsidRPr="00C50FFB">
        <w:t>avenir de l</w:t>
      </w:r>
      <w:r w:rsidR="00AD0425" w:rsidRPr="00C50FFB">
        <w:t>’</w:t>
      </w:r>
      <w:r w:rsidRPr="00C50FFB">
        <w:t xml:space="preserve">Europe devraient cibler </w:t>
      </w:r>
      <w:r w:rsidRPr="00C50FFB">
        <w:rPr>
          <w:b/>
        </w:rPr>
        <w:t>tous les niveaux</w:t>
      </w:r>
      <w:r w:rsidRPr="00C50FFB">
        <w:t xml:space="preserve"> (local, régional, national et européen), notamment dans le cadre des campagnes pour les élections des députés au Parlement européen. </w:t>
      </w:r>
    </w:p>
    <w:p w:rsidR="002601D5" w:rsidRPr="00C50FFB" w:rsidRDefault="002601D5" w:rsidP="002601D5"/>
    <w:p w:rsidR="00C3397F" w:rsidRPr="00C50FFB" w:rsidRDefault="002E79A4" w:rsidP="002601D5">
      <w:r w:rsidRPr="00C50FFB">
        <w:rPr>
          <w:b/>
        </w:rPr>
        <w:t>Une visibilité accrue et une communication améliorée</w:t>
      </w:r>
      <w:r w:rsidRPr="00C50FFB">
        <w:t xml:space="preserve"> sur l</w:t>
      </w:r>
      <w:r w:rsidR="00AD0425" w:rsidRPr="00C50FFB">
        <w:t>’</w:t>
      </w:r>
      <w:r w:rsidRPr="00C50FFB">
        <w:t>Union européenne sont nécessaires, à l</w:t>
      </w:r>
      <w:r w:rsidR="00AD0425" w:rsidRPr="00C50FFB">
        <w:t>’</w:t>
      </w:r>
      <w:r w:rsidRPr="00C50FFB">
        <w:t xml:space="preserve">échelon des citoyens, de la société civile organisée, au plan local, régional et national. </w:t>
      </w:r>
    </w:p>
    <w:p w:rsidR="002601D5" w:rsidRPr="00C50FFB" w:rsidRDefault="002601D5" w:rsidP="002601D5"/>
    <w:p w:rsidR="002E79A4" w:rsidRPr="00C50FFB" w:rsidRDefault="002E79A4" w:rsidP="002601D5">
      <w:r w:rsidRPr="00C50FFB">
        <w:t>Les institutions de l</w:t>
      </w:r>
      <w:r w:rsidR="00AD0425" w:rsidRPr="00C50FFB">
        <w:t>’</w:t>
      </w:r>
      <w:r w:rsidRPr="00C50FFB">
        <w:t>Union européenne doivent assurer</w:t>
      </w:r>
      <w:r w:rsidRPr="00C50FFB">
        <w:rPr>
          <w:b/>
        </w:rPr>
        <w:t xml:space="preserve"> en permanence un dialogue social et citoyen, placé sous le signe de la qualité et de la transparence,</w:t>
      </w:r>
      <w:r w:rsidRPr="00C50FFB">
        <w:t xml:space="preserve"> avec les partenaires sociaux et la société civile. Il a été proposé de créer une </w:t>
      </w:r>
      <w:r w:rsidRPr="00C50FFB">
        <w:rPr>
          <w:b/>
          <w:u w:val="single"/>
        </w:rPr>
        <w:t>plate-forme interactive</w:t>
      </w:r>
      <w:r w:rsidRPr="00C50FFB">
        <w:t xml:space="preserve"> </w:t>
      </w:r>
      <w:r w:rsidRPr="00C50FFB">
        <w:rPr>
          <w:b/>
        </w:rPr>
        <w:t>en ligne, au niveau du CESE</w:t>
      </w:r>
      <w:r w:rsidRPr="00C50FFB">
        <w:t xml:space="preserve">, afin de communiquer les documents concernés à toutes les personnes intéressées, ainsi que </w:t>
      </w:r>
      <w:r w:rsidRPr="00C50FFB">
        <w:rPr>
          <w:b/>
        </w:rPr>
        <w:t>d</w:t>
      </w:r>
      <w:r w:rsidR="00AD0425" w:rsidRPr="00C50FFB">
        <w:rPr>
          <w:b/>
        </w:rPr>
        <w:t>’</w:t>
      </w:r>
      <w:r w:rsidRPr="00C50FFB">
        <w:rPr>
          <w:b/>
        </w:rPr>
        <w:t>autres plates-formes ou instruments plus actifs ou accessibles</w:t>
      </w:r>
      <w:r w:rsidRPr="00C50FFB">
        <w:t xml:space="preserve"> à des fins de consultation, notamment </w:t>
      </w:r>
      <w:r w:rsidRPr="00C50FFB">
        <w:rPr>
          <w:b/>
        </w:rPr>
        <w:t>des groupes de dialogue citoyen ou de discussion</w:t>
      </w:r>
      <w:r w:rsidRPr="00C50FFB">
        <w:t>, qui seraient axés sur des thèmes spécifiques et gérés par les institutions de l</w:t>
      </w:r>
      <w:r w:rsidR="00AD0425" w:rsidRPr="00C50FFB">
        <w:t>’</w:t>
      </w:r>
      <w:r w:rsidRPr="00C50FFB">
        <w:t>UE et les députés européens, afin de renforcer la transparence et le dialogue avec la société civile.</w:t>
      </w:r>
    </w:p>
    <w:p w:rsidR="002601D5" w:rsidRPr="00C50FFB" w:rsidRDefault="002601D5" w:rsidP="002601D5"/>
    <w:p w:rsidR="00C3397F" w:rsidRPr="00C50FFB" w:rsidRDefault="00C3397F" w:rsidP="002601D5">
      <w:r w:rsidRPr="00C50FFB">
        <w:t>Il est nécessaire d</w:t>
      </w:r>
      <w:r w:rsidR="00AD0425" w:rsidRPr="00C50FFB">
        <w:t>’</w:t>
      </w:r>
      <w:r w:rsidRPr="00C50FFB">
        <w:t xml:space="preserve">encourager </w:t>
      </w:r>
      <w:r w:rsidRPr="00C50FFB">
        <w:rPr>
          <w:b/>
        </w:rPr>
        <w:t>une participation accrue</w:t>
      </w:r>
      <w:r w:rsidRPr="00C50FFB">
        <w:t xml:space="preserve"> des partenaires sociaux et de la société civile dans les procédures de consultation au niveau européen; sur ce point, il est suggéré de </w:t>
      </w:r>
      <w:r w:rsidRPr="00C50FFB">
        <w:rPr>
          <w:b/>
          <w:u w:val="single"/>
        </w:rPr>
        <w:t>créer une commission ad hoc au niveau du Conseil économique et social de Roumanie</w:t>
      </w:r>
      <w:r w:rsidRPr="00C50FFB">
        <w:t>, ainsi que d</w:t>
      </w:r>
      <w:r w:rsidR="00AD0425" w:rsidRPr="00C50FFB">
        <w:t>’</w:t>
      </w:r>
      <w:r w:rsidRPr="00C50FFB">
        <w:t>organiser des débats à l</w:t>
      </w:r>
      <w:r w:rsidR="00AD0425" w:rsidRPr="00C50FFB">
        <w:t>’</w:t>
      </w:r>
      <w:r w:rsidRPr="00C50FFB">
        <w:t>échelon local, régional et national, pour assurer un cadre interactif de consultation.</w:t>
      </w:r>
      <w:r w:rsidR="006F7719" w:rsidRPr="00C50FFB">
        <w:t xml:space="preserve"> </w:t>
      </w:r>
    </w:p>
    <w:p w:rsidR="002601D5" w:rsidRPr="00C50FFB" w:rsidRDefault="002601D5" w:rsidP="002601D5"/>
    <w:p w:rsidR="00765A60" w:rsidRPr="00C50FFB" w:rsidRDefault="00765A60" w:rsidP="002601D5">
      <w:r w:rsidRPr="00C50FFB">
        <w:t xml:space="preserve">Durant les débats, les participants ont été </w:t>
      </w:r>
      <w:r w:rsidRPr="00C50FFB">
        <w:rPr>
          <w:b/>
        </w:rPr>
        <w:t>unanimes à reconnaître la nécessité de poursuivre le dialogue sur l</w:t>
      </w:r>
      <w:r w:rsidR="00AD0425" w:rsidRPr="00C50FFB">
        <w:rPr>
          <w:b/>
        </w:rPr>
        <w:t>’</w:t>
      </w:r>
      <w:r w:rsidRPr="00C50FFB">
        <w:rPr>
          <w:b/>
        </w:rPr>
        <w:t>avenir de l</w:t>
      </w:r>
      <w:r w:rsidR="00AD0425" w:rsidRPr="00C50FFB">
        <w:rPr>
          <w:b/>
        </w:rPr>
        <w:t>’</w:t>
      </w:r>
      <w:r w:rsidRPr="00C50FFB">
        <w:rPr>
          <w:b/>
        </w:rPr>
        <w:t>Europe et d</w:t>
      </w:r>
      <w:r w:rsidR="00AD0425" w:rsidRPr="00C50FFB">
        <w:rPr>
          <w:b/>
        </w:rPr>
        <w:t>’</w:t>
      </w:r>
      <w:r w:rsidRPr="00C50FFB">
        <w:rPr>
          <w:b/>
        </w:rPr>
        <w:t>approfondir l</w:t>
      </w:r>
      <w:r w:rsidR="00AD0425" w:rsidRPr="00C50FFB">
        <w:rPr>
          <w:b/>
        </w:rPr>
        <w:t>’</w:t>
      </w:r>
      <w:r w:rsidRPr="00C50FFB">
        <w:rPr>
          <w:b/>
        </w:rPr>
        <w:t>analyse des impacts, des aspects positifs et des risques pour chacun des scénarios en particulier</w:t>
      </w:r>
      <w:r w:rsidRPr="00C50FFB">
        <w:t xml:space="preserve">, en exploitant de manière adéquate les propositions formulées par les partenaires sociaux et les organisations de la société civile. </w:t>
      </w:r>
    </w:p>
    <w:p w:rsidR="00765A60" w:rsidRPr="00C50FFB" w:rsidRDefault="00765A60" w:rsidP="002601D5"/>
    <w:p w:rsidR="002601D5" w:rsidRDefault="002601D5">
      <w:pPr>
        <w:overflowPunct w:val="0"/>
        <w:autoSpaceDE w:val="0"/>
        <w:autoSpaceDN w:val="0"/>
        <w:adjustRightInd w:val="0"/>
        <w:jc w:val="center"/>
        <w:textAlignment w:val="baseline"/>
      </w:pPr>
      <w:r w:rsidRPr="00C50FFB">
        <w:t>_____________</w:t>
      </w:r>
    </w:p>
    <w:p w:rsidR="008A36F6" w:rsidRDefault="008A36F6">
      <w:pPr>
        <w:overflowPunct w:val="0"/>
        <w:autoSpaceDE w:val="0"/>
        <w:autoSpaceDN w:val="0"/>
        <w:adjustRightInd w:val="0"/>
        <w:jc w:val="center"/>
        <w:textAlignment w:val="baseline"/>
      </w:pPr>
    </w:p>
    <w:p w:rsidR="008A36F6" w:rsidRDefault="008A36F6">
      <w:pPr>
        <w:overflowPunct w:val="0"/>
        <w:autoSpaceDE w:val="0"/>
        <w:autoSpaceDN w:val="0"/>
        <w:adjustRightInd w:val="0"/>
        <w:jc w:val="center"/>
        <w:textAlignment w:val="baseline"/>
      </w:pPr>
    </w:p>
    <w:p w:rsidR="008A36F6" w:rsidRDefault="008A36F6">
      <w:pPr>
        <w:overflowPunct w:val="0"/>
        <w:autoSpaceDE w:val="0"/>
        <w:autoSpaceDN w:val="0"/>
        <w:adjustRightInd w:val="0"/>
        <w:jc w:val="center"/>
        <w:textAlignment w:val="baseline"/>
      </w:pPr>
    </w:p>
    <w:p w:rsidR="008A36F6" w:rsidRDefault="008A36F6">
      <w:pPr>
        <w:spacing w:after="160" w:line="259" w:lineRule="auto"/>
        <w:jc w:val="left"/>
      </w:pPr>
      <w:r>
        <w:br w:type="page"/>
      </w:r>
    </w:p>
    <w:p w:rsidR="008A36F6" w:rsidRDefault="008A36F6" w:rsidP="008A36F6">
      <w:pPr>
        <w:overflowPunct w:val="0"/>
        <w:autoSpaceDE w:val="0"/>
        <w:autoSpaceDN w:val="0"/>
        <w:adjustRightInd w:val="0"/>
        <w:jc w:val="left"/>
        <w:textAlignment w:val="baseline"/>
      </w:pPr>
      <w:r>
        <w:t>Annexe</w:t>
      </w:r>
    </w:p>
    <w:p w:rsidR="008A36F6" w:rsidRDefault="008A36F6">
      <w:pPr>
        <w:overflowPunct w:val="0"/>
        <w:autoSpaceDE w:val="0"/>
        <w:autoSpaceDN w:val="0"/>
        <w:adjustRightInd w:val="0"/>
        <w:jc w:val="center"/>
        <w:textAlignment w:val="baseline"/>
      </w:pPr>
    </w:p>
    <w:p w:rsidR="008A36F6" w:rsidRDefault="008A36F6" w:rsidP="008A36F6">
      <w:pPr>
        <w:overflowPunct w:val="0"/>
        <w:autoSpaceDE w:val="0"/>
        <w:autoSpaceDN w:val="0"/>
        <w:adjustRightInd w:val="0"/>
        <w:jc w:val="center"/>
        <w:textAlignment w:val="baseline"/>
        <w:rPr>
          <w:b/>
          <w:sz w:val="24"/>
          <w:szCs w:val="24"/>
          <w:lang w:val="ro-RO" w:eastAsia="ro-RO" w:bidi="ro-RO"/>
        </w:rPr>
      </w:pPr>
      <w:r>
        <w:rPr>
          <w:b/>
          <w:sz w:val="24"/>
          <w:szCs w:val="24"/>
          <w:lang w:val="ro-RO" w:eastAsia="ro-RO" w:bidi="ro-RO"/>
        </w:rPr>
        <w:t xml:space="preserve">Liste des </w:t>
      </w:r>
      <w:proofErr w:type="spellStart"/>
      <w:r>
        <w:rPr>
          <w:b/>
          <w:sz w:val="24"/>
          <w:szCs w:val="24"/>
          <w:lang w:val="ro-RO" w:eastAsia="ro-RO" w:bidi="ro-RO"/>
        </w:rPr>
        <w:t>participants</w:t>
      </w:r>
      <w:proofErr w:type="spellEnd"/>
      <w:r>
        <w:rPr>
          <w:b/>
          <w:sz w:val="24"/>
          <w:szCs w:val="24"/>
          <w:lang w:val="ro-RO" w:eastAsia="ro-RO" w:bidi="ro-RO"/>
        </w:rPr>
        <w:t xml:space="preserve"> </w:t>
      </w:r>
    </w:p>
    <w:p w:rsidR="008A36F6" w:rsidRPr="004A6B34" w:rsidRDefault="008A36F6" w:rsidP="008A36F6">
      <w:pPr>
        <w:overflowPunct w:val="0"/>
        <w:autoSpaceDE w:val="0"/>
        <w:autoSpaceDN w:val="0"/>
        <w:adjustRightInd w:val="0"/>
        <w:jc w:val="center"/>
        <w:textAlignment w:val="baseline"/>
        <w:rPr>
          <w:b/>
          <w:sz w:val="24"/>
          <w:szCs w:val="24"/>
          <w:lang w:val="ro-RO" w:eastAsia="ro-RO" w:bidi="ro-RO"/>
        </w:rPr>
      </w:pPr>
      <w:r w:rsidRPr="000E0D45">
        <w:rPr>
          <w:b/>
          <w:sz w:val="24"/>
          <w:szCs w:val="24"/>
          <w:lang w:val="ro-RO" w:eastAsia="ro-RO" w:bidi="ro-RO"/>
        </w:rPr>
        <w:t xml:space="preserve">«Livre blanc sur </w:t>
      </w:r>
      <w:proofErr w:type="spellStart"/>
      <w:r w:rsidRPr="000E0D45">
        <w:rPr>
          <w:b/>
          <w:sz w:val="24"/>
          <w:szCs w:val="24"/>
          <w:lang w:val="ro-RO" w:eastAsia="ro-RO" w:bidi="ro-RO"/>
        </w:rPr>
        <w:t>l’avenir</w:t>
      </w:r>
      <w:proofErr w:type="spellEnd"/>
      <w:r w:rsidRPr="000E0D45">
        <w:rPr>
          <w:b/>
          <w:sz w:val="24"/>
          <w:szCs w:val="24"/>
          <w:lang w:val="ro-RO" w:eastAsia="ro-RO" w:bidi="ro-RO"/>
        </w:rPr>
        <w:t xml:space="preserve"> de </w:t>
      </w:r>
      <w:proofErr w:type="spellStart"/>
      <w:r w:rsidRPr="000E0D45">
        <w:rPr>
          <w:b/>
          <w:sz w:val="24"/>
          <w:szCs w:val="24"/>
          <w:lang w:val="ro-RO" w:eastAsia="ro-RO" w:bidi="ro-RO"/>
        </w:rPr>
        <w:t>l’Europe</w:t>
      </w:r>
      <w:proofErr w:type="spellEnd"/>
      <w:r w:rsidRPr="000E0D45">
        <w:rPr>
          <w:b/>
          <w:sz w:val="24"/>
          <w:szCs w:val="24"/>
          <w:lang w:val="ro-RO" w:eastAsia="ro-RO" w:bidi="ro-RO"/>
        </w:rPr>
        <w:t xml:space="preserve"> – </w:t>
      </w:r>
      <w:proofErr w:type="spellStart"/>
      <w:r w:rsidRPr="000E0D45">
        <w:rPr>
          <w:b/>
          <w:sz w:val="24"/>
          <w:szCs w:val="24"/>
          <w:lang w:val="ro-RO" w:eastAsia="ro-RO" w:bidi="ro-RO"/>
        </w:rPr>
        <w:t>Réflexions</w:t>
      </w:r>
      <w:proofErr w:type="spellEnd"/>
      <w:r w:rsidRPr="000E0D45">
        <w:rPr>
          <w:b/>
          <w:sz w:val="24"/>
          <w:szCs w:val="24"/>
          <w:lang w:val="ro-RO" w:eastAsia="ro-RO" w:bidi="ro-RO"/>
        </w:rPr>
        <w:t xml:space="preserve"> et </w:t>
      </w:r>
      <w:proofErr w:type="spellStart"/>
      <w:r w:rsidRPr="000E0D45">
        <w:rPr>
          <w:b/>
          <w:sz w:val="24"/>
          <w:szCs w:val="24"/>
          <w:lang w:val="ro-RO" w:eastAsia="ro-RO" w:bidi="ro-RO"/>
        </w:rPr>
        <w:t>scénarios</w:t>
      </w:r>
      <w:proofErr w:type="spellEnd"/>
      <w:r w:rsidRPr="000E0D45">
        <w:rPr>
          <w:b/>
          <w:sz w:val="24"/>
          <w:szCs w:val="24"/>
          <w:lang w:val="ro-RO" w:eastAsia="ro-RO" w:bidi="ro-RO"/>
        </w:rPr>
        <w:t xml:space="preserve"> </w:t>
      </w:r>
      <w:proofErr w:type="spellStart"/>
      <w:r w:rsidRPr="000E0D45">
        <w:rPr>
          <w:b/>
          <w:sz w:val="24"/>
          <w:szCs w:val="24"/>
          <w:lang w:val="ro-RO" w:eastAsia="ro-RO" w:bidi="ro-RO"/>
        </w:rPr>
        <w:t>pour</w:t>
      </w:r>
      <w:proofErr w:type="spellEnd"/>
      <w:r w:rsidRPr="000E0D45">
        <w:rPr>
          <w:b/>
          <w:sz w:val="24"/>
          <w:szCs w:val="24"/>
          <w:lang w:val="ro-RO" w:eastAsia="ro-RO" w:bidi="ro-RO"/>
        </w:rPr>
        <w:t xml:space="preserve"> l’UE-27 à </w:t>
      </w:r>
      <w:proofErr w:type="spellStart"/>
      <w:r w:rsidRPr="000E0D45">
        <w:rPr>
          <w:b/>
          <w:sz w:val="24"/>
          <w:szCs w:val="24"/>
          <w:lang w:val="ro-RO" w:eastAsia="ro-RO" w:bidi="ro-RO"/>
        </w:rPr>
        <w:t>l’horizon</w:t>
      </w:r>
      <w:proofErr w:type="spellEnd"/>
      <w:r w:rsidRPr="000E0D45">
        <w:rPr>
          <w:b/>
          <w:sz w:val="24"/>
          <w:szCs w:val="24"/>
          <w:lang w:val="ro-RO" w:eastAsia="ro-RO" w:bidi="ro-RO"/>
        </w:rPr>
        <w:t xml:space="preserve"> 2025»</w:t>
      </w:r>
    </w:p>
    <w:p w:rsidR="008A36F6" w:rsidRDefault="008A36F6" w:rsidP="008A36F6">
      <w:pPr>
        <w:overflowPunct w:val="0"/>
        <w:autoSpaceDE w:val="0"/>
        <w:autoSpaceDN w:val="0"/>
        <w:adjustRightInd w:val="0"/>
        <w:jc w:val="center"/>
        <w:textAlignment w:val="baseline"/>
        <w:rPr>
          <w:b/>
          <w:sz w:val="24"/>
          <w:szCs w:val="24"/>
          <w:lang w:val="ro-RO" w:eastAsia="ro-RO" w:bidi="ro-RO"/>
        </w:rPr>
      </w:pPr>
    </w:p>
    <w:p w:rsidR="008A36F6" w:rsidRPr="00383338" w:rsidRDefault="008A36F6" w:rsidP="008A36F6">
      <w:pPr>
        <w:overflowPunct w:val="0"/>
        <w:autoSpaceDE w:val="0"/>
        <w:autoSpaceDN w:val="0"/>
        <w:adjustRightInd w:val="0"/>
        <w:jc w:val="center"/>
        <w:textAlignment w:val="baseline"/>
        <w:rPr>
          <w:b/>
          <w:szCs w:val="20"/>
          <w:lang w:val="ro-RO" w:eastAsia="ro-RO" w:bidi="ro-RO"/>
        </w:rPr>
      </w:pPr>
      <w:r>
        <w:rPr>
          <w:b/>
          <w:sz w:val="24"/>
          <w:szCs w:val="24"/>
          <w:lang w:val="ro-RO" w:eastAsia="ro-RO" w:bidi="ro-RO"/>
        </w:rPr>
        <w:t>29 mai</w:t>
      </w:r>
      <w:r w:rsidRPr="004A6B34">
        <w:rPr>
          <w:b/>
          <w:sz w:val="24"/>
          <w:szCs w:val="24"/>
          <w:lang w:val="ro-RO" w:eastAsia="ro-RO" w:bidi="ro-RO"/>
        </w:rPr>
        <w:t xml:space="preserve"> 2017</w:t>
      </w:r>
      <w:r w:rsidRPr="0001430A">
        <w:rPr>
          <w:b/>
          <w:color w:val="FF0000"/>
          <w:sz w:val="30"/>
        </w:rPr>
        <w:br/>
      </w:r>
    </w:p>
    <w:p w:rsidR="008A36F6" w:rsidRPr="00383338" w:rsidRDefault="008A36F6" w:rsidP="008A36F6">
      <w:pPr>
        <w:tabs>
          <w:tab w:val="center" w:pos="4904"/>
        </w:tabs>
        <w:overflowPunct w:val="0"/>
        <w:autoSpaceDE w:val="0"/>
        <w:autoSpaceDN w:val="0"/>
        <w:adjustRightInd w:val="0"/>
        <w:jc w:val="center"/>
        <w:textAlignment w:val="baseline"/>
        <w:rPr>
          <w:b/>
          <w:sz w:val="26"/>
          <w:szCs w:val="28"/>
          <w:lang w:val="ro-RO" w:eastAsia="ro-RO" w:bidi="ro-RO"/>
        </w:rPr>
      </w:pPr>
    </w:p>
    <w:tbl>
      <w:tblPr>
        <w:tblStyle w:val="TableGrid"/>
        <w:tblW w:w="5000" w:type="pct"/>
        <w:tblLook w:val="04A0" w:firstRow="1" w:lastRow="0" w:firstColumn="1" w:lastColumn="0" w:noHBand="0" w:noVBand="1"/>
      </w:tblPr>
      <w:tblGrid>
        <w:gridCol w:w="528"/>
        <w:gridCol w:w="2074"/>
        <w:gridCol w:w="1332"/>
        <w:gridCol w:w="5352"/>
      </w:tblGrid>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b/>
                <w:szCs w:val="20"/>
                <w:lang w:val="ro-RO" w:eastAsia="ro-RO" w:bidi="ro-RO"/>
              </w:rPr>
            </w:pPr>
            <w:r w:rsidRPr="00383338">
              <w:rPr>
                <w:b/>
                <w:szCs w:val="20"/>
                <w:lang w:val="ro-RO" w:eastAsia="ro-RO" w:bidi="ro-RO"/>
              </w:rPr>
              <w:t>Nr.</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b/>
                <w:szCs w:val="20"/>
                <w:lang w:val="ro-RO" w:eastAsia="ro-RO" w:bidi="ro-RO"/>
              </w:rPr>
            </w:pPr>
            <w:r>
              <w:rPr>
                <w:b/>
                <w:szCs w:val="20"/>
                <w:lang w:val="ro-RO" w:eastAsia="ro-RO" w:bidi="ro-RO"/>
              </w:rPr>
              <w:t>Nom</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b/>
                <w:szCs w:val="20"/>
                <w:lang w:val="ro-RO" w:eastAsia="ro-RO" w:bidi="ro-RO"/>
              </w:rPr>
            </w:pPr>
            <w:r w:rsidRPr="00484007">
              <w:rPr>
                <w:b/>
                <w:szCs w:val="20"/>
                <w:lang w:eastAsia="ro-RO" w:bidi="ro-RO"/>
              </w:rPr>
              <w:t>Prénom</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b/>
                <w:szCs w:val="20"/>
                <w:lang w:val="ro-RO" w:eastAsia="ro-RO" w:bidi="ro-RO"/>
              </w:rPr>
            </w:pPr>
            <w:proofErr w:type="spellStart"/>
            <w:r>
              <w:rPr>
                <w:b/>
                <w:szCs w:val="20"/>
                <w:lang w:val="ro-RO" w:eastAsia="ro-RO" w:bidi="ro-RO"/>
              </w:rPr>
              <w:t>Organisation</w:t>
            </w:r>
            <w:proofErr w:type="spellEnd"/>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BONTEA</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Ana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Membru al CESE, Grupul "Angajatori"</w:t>
            </w:r>
          </w:p>
        </w:tc>
      </w:tr>
      <w:tr w:rsidR="008A36F6" w:rsidRPr="00383338" w:rsidTr="0083464B">
        <w:trPr>
          <w:trHeight w:val="339"/>
        </w:trPr>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DRAGOMIR</w:t>
            </w:r>
            <w:r>
              <w:rPr>
                <w:b/>
                <w:szCs w:val="20"/>
                <w:lang w:val="ro-RO" w:eastAsia="ro-RO" w:bidi="ro-RO"/>
              </w:rPr>
              <w:t>ESCU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Cori</w:t>
            </w:r>
            <w:r w:rsidRPr="00383338">
              <w:rPr>
                <w:szCs w:val="20"/>
                <w:lang w:val="ro-RO" w:eastAsia="ro-RO" w:bidi="ro-RO"/>
              </w:rPr>
              <w:t>na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Vicep</w:t>
            </w:r>
            <w:r w:rsidRPr="00383338">
              <w:rPr>
                <w:szCs w:val="20"/>
                <w:lang w:val="ro-RO" w:eastAsia="ro-RO" w:bidi="ro-RO"/>
              </w:rPr>
              <w:t>reşedinte</w:t>
            </w:r>
            <w:r>
              <w:rPr>
                <w:szCs w:val="20"/>
                <w:lang w:val="ro-RO" w:eastAsia="ro-RO" w:bidi="ro-RO"/>
              </w:rPr>
              <w:t>,</w:t>
            </w:r>
            <w:r w:rsidRPr="00383338">
              <w:rPr>
                <w:bCs/>
                <w:szCs w:val="20"/>
                <w:lang w:val="ro-RO" w:eastAsia="ro-RO" w:bidi="ro-RO"/>
              </w:rPr>
              <w:t xml:space="preserve"> </w:t>
            </w:r>
            <w:r w:rsidRPr="00383338">
              <w:rPr>
                <w:szCs w:val="20"/>
                <w:lang w:val="ro-RO" w:eastAsia="ro-RO" w:bidi="ro-RO"/>
              </w:rPr>
              <w:t xml:space="preserve">Academia de </w:t>
            </w:r>
            <w:proofErr w:type="spellStart"/>
            <w:r w:rsidRPr="00383338">
              <w:rPr>
                <w:szCs w:val="20"/>
                <w:lang w:val="ro-RO" w:eastAsia="ro-RO" w:bidi="ro-RO"/>
              </w:rPr>
              <w:t>Advocacy</w:t>
            </w:r>
            <w:proofErr w:type="spellEnd"/>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sidRPr="00383338">
              <w:rPr>
                <w:szCs w:val="20"/>
                <w:lang w:val="ro-RO" w:eastAsia="ro-RO" w:bidi="ro-RO"/>
              </w:rPr>
              <w:t>3</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MIRICĂ</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Paul</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 xml:space="preserve">General manager, Metarom </w:t>
            </w:r>
            <w:r>
              <w:rPr>
                <w:szCs w:val="20"/>
                <w:lang w:val="ro-RO" w:eastAsia="ro-RO" w:bidi="ro-RO"/>
              </w:rPr>
              <w:t xml:space="preserve">Group / </w:t>
            </w:r>
            <w:r w:rsidRPr="00FF055C">
              <w:rPr>
                <w:szCs w:val="20"/>
                <w:lang w:val="ro-RO" w:eastAsia="ro-RO" w:bidi="ro-RO"/>
              </w:rPr>
              <w:t xml:space="preserve">Confederația Patronală din Industria Română </w:t>
            </w:r>
            <w:r>
              <w:rPr>
                <w:szCs w:val="20"/>
                <w:lang w:val="ro-RO" w:eastAsia="ro-RO" w:bidi="ro-RO"/>
              </w:rPr>
              <w:t>(CONPIROM)</w:t>
            </w:r>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4</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NICO</w:t>
            </w:r>
            <w:r>
              <w:rPr>
                <w:b/>
                <w:szCs w:val="20"/>
                <w:lang w:val="ro-RO" w:eastAsia="ro-RO" w:bidi="ro-RO"/>
              </w:rPr>
              <w:t>S</w:t>
            </w:r>
            <w:r w:rsidRPr="00383338">
              <w:rPr>
                <w:b/>
                <w:szCs w:val="20"/>
                <w:lang w:val="ro-RO" w:eastAsia="ro-RO" w:bidi="ro-RO"/>
              </w:rPr>
              <w:t>EVICI</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Radu</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 xml:space="preserve">Preşedinte, Academia de </w:t>
            </w:r>
            <w:proofErr w:type="spellStart"/>
            <w:r w:rsidRPr="00383338">
              <w:rPr>
                <w:szCs w:val="20"/>
                <w:lang w:val="ro-RO" w:eastAsia="ro-RO" w:bidi="ro-RO"/>
              </w:rPr>
              <w:t>Advocacy</w:t>
            </w:r>
            <w:proofErr w:type="spellEnd"/>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5</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NICULAE</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Elena</w:t>
            </w:r>
          </w:p>
        </w:tc>
        <w:tc>
          <w:tcPr>
            <w:tcW w:w="2882" w:type="pct"/>
            <w:tcMar>
              <w:top w:w="57" w:type="dxa"/>
              <w:bottom w:w="57" w:type="dxa"/>
            </w:tcMar>
            <w:vAlign w:val="center"/>
          </w:tcPr>
          <w:p w:rsidR="008A36F6" w:rsidRPr="00383338" w:rsidRDefault="008A36F6" w:rsidP="0083464B">
            <w:pPr>
              <w:shd w:val="clear" w:color="auto" w:fill="FFFFFF"/>
              <w:overflowPunct w:val="0"/>
              <w:autoSpaceDE w:val="0"/>
              <w:autoSpaceDN w:val="0"/>
              <w:adjustRightInd w:val="0"/>
              <w:spacing w:before="30" w:line="300" w:lineRule="atLeast"/>
              <w:textAlignment w:val="baseline"/>
              <w:outlineLvl w:val="2"/>
              <w:rPr>
                <w:szCs w:val="20"/>
                <w:lang w:val="ro-RO" w:eastAsia="ro-RO" w:bidi="ro-RO"/>
              </w:rPr>
            </w:pPr>
            <w:r w:rsidRPr="00383338">
              <w:rPr>
                <w:szCs w:val="20"/>
                <w:lang w:val="ro-RO" w:eastAsia="ro-RO" w:bidi="ro-RO"/>
              </w:rPr>
              <w:t>Consilier juridic, Consiliul Național al Întreprinderilor Private Mici și Mijlocii din România (CNIPMMR)</w:t>
            </w:r>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6</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P</w:t>
            </w:r>
            <w:r>
              <w:rPr>
                <w:b/>
                <w:szCs w:val="20"/>
                <w:lang w:val="ro-RO" w:eastAsia="ro-RO" w:bidi="ro-RO"/>
              </w:rPr>
              <w:t>OPESCU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Andrei</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Administrator, Comitetul Economic şi Social European (CESE)</w:t>
            </w:r>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7</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S</w:t>
            </w:r>
            <w:r>
              <w:rPr>
                <w:b/>
                <w:szCs w:val="20"/>
                <w:lang w:val="ro-RO" w:eastAsia="ro-RO" w:bidi="ro-RO"/>
              </w:rPr>
              <w:t>ȊRBU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Iulia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Specialist comunicare și PR</w:t>
            </w:r>
            <w:r>
              <w:rPr>
                <w:szCs w:val="20"/>
                <w:lang w:val="ro-RO" w:eastAsia="ro-RO" w:bidi="ro-RO"/>
              </w:rPr>
              <w:t xml:space="preserve">, </w:t>
            </w:r>
            <w:r w:rsidRPr="00383338">
              <w:rPr>
                <w:szCs w:val="20"/>
                <w:lang w:val="ro-RO" w:eastAsia="ro-RO" w:bidi="ro-RO"/>
              </w:rPr>
              <w:t>Consiliul Național al Întreprinderilor Private Mici și Mijlocii din România (CNIPMMR)</w:t>
            </w:r>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8</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VARFALVI</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Ştefan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Prim-vicep</w:t>
            </w:r>
            <w:r w:rsidRPr="00383338">
              <w:rPr>
                <w:szCs w:val="20"/>
                <w:lang w:val="ro-RO" w:eastAsia="ro-RO" w:bidi="ro-RO"/>
              </w:rPr>
              <w:t>reşedinte, Uniunea General</w:t>
            </w:r>
            <w:r>
              <w:rPr>
                <w:szCs w:val="20"/>
                <w:lang w:val="ro-RO" w:eastAsia="ro-RO" w:bidi="ro-RO"/>
              </w:rPr>
              <w:t>ă</w:t>
            </w:r>
            <w:r w:rsidRPr="00383338">
              <w:rPr>
                <w:szCs w:val="20"/>
                <w:lang w:val="ro-RO" w:eastAsia="ro-RO" w:bidi="ro-RO"/>
              </w:rPr>
              <w:t xml:space="preserve"> a Industria</w:t>
            </w:r>
            <w:r>
              <w:rPr>
                <w:szCs w:val="20"/>
                <w:lang w:val="ro-RO" w:eastAsia="ro-RO" w:bidi="ro-RO"/>
              </w:rPr>
              <w:t>și</w:t>
            </w:r>
            <w:r w:rsidRPr="00383338">
              <w:rPr>
                <w:szCs w:val="20"/>
                <w:lang w:val="ro-RO" w:eastAsia="ro-RO" w:bidi="ro-RO"/>
              </w:rPr>
              <w:t xml:space="preserve">lor din România </w:t>
            </w:r>
            <w:r>
              <w:rPr>
                <w:szCs w:val="20"/>
                <w:lang w:val="ro-RO" w:eastAsia="ro-RO" w:bidi="ro-RO"/>
              </w:rPr>
              <w:t xml:space="preserve"> </w:t>
            </w:r>
            <w:r w:rsidRPr="00383338">
              <w:rPr>
                <w:szCs w:val="20"/>
                <w:lang w:val="ro-RO" w:eastAsia="ro-RO" w:bidi="ro-RO"/>
              </w:rPr>
              <w:t>(UGIR)</w:t>
            </w:r>
          </w:p>
        </w:tc>
      </w:tr>
      <w:tr w:rsidR="008A36F6" w:rsidRPr="00383338" w:rsidTr="0083464B">
        <w:tc>
          <w:tcPr>
            <w:tcW w:w="284" w:type="pct"/>
            <w:tcMar>
              <w:top w:w="57" w:type="dxa"/>
              <w:bottom w:w="57" w:type="dxa"/>
            </w:tcMar>
            <w:vAlign w:val="center"/>
          </w:tcPr>
          <w:p w:rsidR="008A36F6" w:rsidRPr="00383338"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9</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sidRPr="00383338">
              <w:rPr>
                <w:b/>
                <w:szCs w:val="20"/>
                <w:lang w:val="ro-RO" w:eastAsia="ro-RO" w:bidi="ro-RO"/>
              </w:rPr>
              <w:t>VIERU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Dumitru</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sidRPr="00383338">
              <w:rPr>
                <w:szCs w:val="20"/>
                <w:lang w:val="ro-RO" w:eastAsia="ro-RO" w:bidi="ro-RO"/>
              </w:rPr>
              <w:t>Consilier juridic, Consiliul Național al Întreprinderilor Private Mici și Mijlocii din România (CNIPMMR)</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 xml:space="preserve">10 </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MANOLIU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Mihai</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CNPR- CESE</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11</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VOICU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Mihail</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 xml:space="preserve">CNSLR- </w:t>
            </w:r>
            <w:proofErr w:type="spellStart"/>
            <w:r>
              <w:rPr>
                <w:szCs w:val="20"/>
                <w:lang w:val="ro-RO" w:eastAsia="ro-RO" w:bidi="ro-RO"/>
              </w:rPr>
              <w:t>Fratia</w:t>
            </w:r>
            <w:proofErr w:type="spellEnd"/>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12</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PETRARIU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Ioan-Radu</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CES</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13</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BAN</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Simona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 xml:space="preserve">ASE </w:t>
            </w:r>
            <w:proofErr w:type="spellStart"/>
            <w:r>
              <w:rPr>
                <w:szCs w:val="20"/>
                <w:lang w:val="ro-RO" w:eastAsia="ro-RO" w:bidi="ro-RO"/>
              </w:rPr>
              <w:t>Bucuresti</w:t>
            </w:r>
            <w:proofErr w:type="spellEnd"/>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14</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BUCHIU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Cristian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Reprezentanta Comisiei Europene</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15</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ONU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Ana Maria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Institutul National pentru IMM</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16</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NICA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Sorana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INIMM</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17</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ENACHE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Florentina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 xml:space="preserve">CNSLR </w:t>
            </w:r>
            <w:proofErr w:type="spellStart"/>
            <w:r>
              <w:rPr>
                <w:szCs w:val="20"/>
                <w:lang w:val="ro-RO" w:eastAsia="ro-RO" w:bidi="ro-RO"/>
              </w:rPr>
              <w:t>fratia</w:t>
            </w:r>
            <w:proofErr w:type="spellEnd"/>
            <w:r>
              <w:rPr>
                <w:szCs w:val="20"/>
                <w:lang w:val="ro-RO" w:eastAsia="ro-RO" w:bidi="ro-RO"/>
              </w:rPr>
              <w:t xml:space="preserve"> </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18</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PADURE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roofErr w:type="spellStart"/>
            <w:r>
              <w:rPr>
                <w:szCs w:val="20"/>
                <w:lang w:val="ro-RO" w:eastAsia="ro-RO" w:bidi="ro-RO"/>
              </w:rPr>
              <w:t>Stefanita</w:t>
            </w:r>
            <w:proofErr w:type="spellEnd"/>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CMPR</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19</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MINEA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 xml:space="preserve">Radu </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CSDR – CES</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20</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GRECU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Gheorghe</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CSDR – CES</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21</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BENEA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Ion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PNR</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22</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BACIU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Iacob</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CSDR- CES</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23</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STEFANESCU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Ion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CSDR – CES</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24</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PETRARIU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Ioan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USR</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25</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MURESANU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Mircea</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CSN Meridian</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26</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CHIRILA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Florin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Times Romania</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27</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MARIN</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Florian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BNS</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28</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RUSU</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Sabin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CSDR</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29</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PAUL</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roofErr w:type="spellStart"/>
            <w:r>
              <w:rPr>
                <w:szCs w:val="20"/>
                <w:lang w:val="ro-RO" w:eastAsia="ro-RO" w:bidi="ro-RO"/>
              </w:rPr>
              <w:t>Mirica</w:t>
            </w:r>
            <w:proofErr w:type="spellEnd"/>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CONPIROM</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30</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COSTI</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Andrei</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Reporter</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31</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LUCAN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Eugen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Angel Association</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r>
              <w:rPr>
                <w:szCs w:val="20"/>
                <w:lang w:val="ro-RO" w:eastAsia="ro-RO" w:bidi="ro-RO"/>
              </w:rPr>
              <w:t>32</w:t>
            </w: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r>
              <w:rPr>
                <w:b/>
                <w:szCs w:val="20"/>
                <w:lang w:val="ro-RO" w:eastAsia="ro-RO" w:bidi="ro-RO"/>
              </w:rPr>
              <w:t xml:space="preserve">MACOVEI </w:t>
            </w: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Ion</w:t>
            </w: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r>
              <w:rPr>
                <w:szCs w:val="20"/>
                <w:lang w:val="ro-RO" w:eastAsia="ro-RO" w:bidi="ro-RO"/>
              </w:rPr>
              <w:t>Asociația Pro Carpatina</w:t>
            </w: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r w:rsidR="008A36F6" w:rsidRPr="00383338" w:rsidTr="0083464B">
        <w:tc>
          <w:tcPr>
            <w:tcW w:w="284" w:type="pct"/>
            <w:tcMar>
              <w:top w:w="57" w:type="dxa"/>
              <w:bottom w:w="57" w:type="dxa"/>
            </w:tcMar>
            <w:vAlign w:val="center"/>
          </w:tcPr>
          <w:p w:rsidR="008A36F6" w:rsidRDefault="008A36F6" w:rsidP="0083464B">
            <w:pPr>
              <w:overflowPunct w:val="0"/>
              <w:autoSpaceDE w:val="0"/>
              <w:autoSpaceDN w:val="0"/>
              <w:adjustRightInd w:val="0"/>
              <w:jc w:val="center"/>
              <w:textAlignment w:val="baseline"/>
              <w:rPr>
                <w:szCs w:val="20"/>
                <w:lang w:val="ro-RO" w:eastAsia="ro-RO" w:bidi="ro-RO"/>
              </w:rPr>
            </w:pPr>
          </w:p>
        </w:tc>
        <w:tc>
          <w:tcPr>
            <w:tcW w:w="1116"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b/>
                <w:szCs w:val="20"/>
                <w:lang w:val="ro-RO" w:eastAsia="ro-RO" w:bidi="ro-RO"/>
              </w:rPr>
            </w:pPr>
          </w:p>
        </w:tc>
        <w:tc>
          <w:tcPr>
            <w:tcW w:w="718"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c>
          <w:tcPr>
            <w:tcW w:w="2882" w:type="pct"/>
            <w:tcMar>
              <w:top w:w="57" w:type="dxa"/>
              <w:bottom w:w="57" w:type="dxa"/>
            </w:tcMar>
            <w:vAlign w:val="center"/>
          </w:tcPr>
          <w:p w:rsidR="008A36F6" w:rsidRPr="00383338" w:rsidRDefault="008A36F6" w:rsidP="0083464B">
            <w:pPr>
              <w:overflowPunct w:val="0"/>
              <w:autoSpaceDE w:val="0"/>
              <w:autoSpaceDN w:val="0"/>
              <w:adjustRightInd w:val="0"/>
              <w:textAlignment w:val="baseline"/>
              <w:rPr>
                <w:szCs w:val="20"/>
                <w:lang w:val="ro-RO" w:eastAsia="ro-RO" w:bidi="ro-RO"/>
              </w:rPr>
            </w:pPr>
          </w:p>
        </w:tc>
      </w:tr>
    </w:tbl>
    <w:p w:rsidR="008A36F6" w:rsidRDefault="008A36F6" w:rsidP="008A36F6"/>
    <w:p w:rsidR="008A36F6" w:rsidRDefault="008A36F6">
      <w:pPr>
        <w:overflowPunct w:val="0"/>
        <w:autoSpaceDE w:val="0"/>
        <w:autoSpaceDN w:val="0"/>
        <w:adjustRightInd w:val="0"/>
        <w:jc w:val="center"/>
        <w:textAlignment w:val="baseline"/>
      </w:pPr>
      <w:bookmarkStart w:id="0" w:name="_GoBack"/>
      <w:bookmarkEnd w:id="0"/>
    </w:p>
    <w:p w:rsidR="008A36F6" w:rsidRPr="00C50FFB" w:rsidRDefault="008A36F6">
      <w:pPr>
        <w:overflowPunct w:val="0"/>
        <w:autoSpaceDE w:val="0"/>
        <w:autoSpaceDN w:val="0"/>
        <w:adjustRightInd w:val="0"/>
        <w:jc w:val="center"/>
        <w:textAlignment w:val="baseline"/>
      </w:pPr>
    </w:p>
    <w:sectPr w:rsidR="008A36F6" w:rsidRPr="00C50FFB" w:rsidSect="006F7719">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74" w:rsidRDefault="00340974" w:rsidP="00460A8F">
      <w:pPr>
        <w:spacing w:line="240" w:lineRule="auto"/>
      </w:pPr>
      <w:r>
        <w:separator/>
      </w:r>
    </w:p>
  </w:endnote>
  <w:endnote w:type="continuationSeparator" w:id="0">
    <w:p w:rsidR="00340974" w:rsidRDefault="00340974" w:rsidP="0046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9" w:rsidRPr="006F7719" w:rsidRDefault="006F7719" w:rsidP="006F7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7F" w:rsidRPr="006F7719" w:rsidRDefault="006F7719" w:rsidP="006F7719">
    <w:pPr>
      <w:pStyle w:val="Footer"/>
    </w:pPr>
    <w:r>
      <w:t xml:space="preserve">EESC-2017-02833-00-00-TCD-TRA (RO) </w:t>
    </w:r>
    <w:r>
      <w:fldChar w:fldCharType="begin"/>
    </w:r>
    <w:r>
      <w:instrText xml:space="preserve"> PAGE  \* Arabic  \* MERGEFORMAT </w:instrText>
    </w:r>
    <w:r>
      <w:fldChar w:fldCharType="separate"/>
    </w:r>
    <w:r w:rsidR="008A36F6">
      <w:rPr>
        <w:noProof/>
      </w:rPr>
      <w:t>7</w:t>
    </w:r>
    <w:r>
      <w:fldChar w:fldCharType="end"/>
    </w:r>
    <w:r>
      <w:t>/</w:t>
    </w:r>
    <w:r>
      <w:fldChar w:fldCharType="begin"/>
    </w:r>
    <w:r>
      <w:instrText xml:space="preserve"> = </w:instrText>
    </w:r>
    <w:r w:rsidR="008A36F6">
      <w:fldChar w:fldCharType="begin"/>
    </w:r>
    <w:r w:rsidR="008A36F6">
      <w:instrText xml:space="preserve"> NUMPAGES </w:instrText>
    </w:r>
    <w:r w:rsidR="008A36F6">
      <w:fldChar w:fldCharType="separate"/>
    </w:r>
    <w:r w:rsidR="008A36F6">
      <w:rPr>
        <w:noProof/>
      </w:rPr>
      <w:instrText>7</w:instrText>
    </w:r>
    <w:r w:rsidR="008A36F6">
      <w:rPr>
        <w:noProof/>
      </w:rPr>
      <w:fldChar w:fldCharType="end"/>
    </w:r>
    <w:r>
      <w:instrText xml:space="preserve"> -0 </w:instrText>
    </w:r>
    <w:r>
      <w:fldChar w:fldCharType="separate"/>
    </w:r>
    <w:r w:rsidR="008A36F6">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9" w:rsidRPr="006F7719" w:rsidRDefault="006F7719" w:rsidP="006F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974" w:rsidRDefault="00340974" w:rsidP="00460A8F">
      <w:pPr>
        <w:spacing w:line="240" w:lineRule="auto"/>
      </w:pPr>
      <w:r>
        <w:separator/>
      </w:r>
    </w:p>
  </w:footnote>
  <w:footnote w:type="continuationSeparator" w:id="0">
    <w:p w:rsidR="00340974" w:rsidRDefault="00340974" w:rsidP="00460A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9" w:rsidRPr="006F7719" w:rsidRDefault="006F7719" w:rsidP="006F7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9" w:rsidRPr="006F7719" w:rsidRDefault="006F7719" w:rsidP="006F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9" w:rsidRPr="006F7719" w:rsidRDefault="006F7719" w:rsidP="006F7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6C1225"/>
    <w:multiLevelType w:val="hybridMultilevel"/>
    <w:tmpl w:val="CB947926"/>
    <w:lvl w:ilvl="0" w:tplc="AAC4A39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4CD9"/>
    <w:multiLevelType w:val="hybridMultilevel"/>
    <w:tmpl w:val="6B04078A"/>
    <w:lvl w:ilvl="0" w:tplc="CAB2A9C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8199E"/>
    <w:multiLevelType w:val="singleLevel"/>
    <w:tmpl w:val="F3C6BE36"/>
    <w:lvl w:ilvl="0">
      <w:start w:val="1"/>
      <w:numFmt w:val="bullet"/>
      <w:lvlText w:val=""/>
      <w:lvlJc w:val="left"/>
      <w:pPr>
        <w:ind w:left="720" w:hanging="360"/>
      </w:pPr>
      <w:rPr>
        <w:rFonts w:ascii="Symbol" w:hAnsi="Symbol" w:hint="default"/>
      </w:rPr>
    </w:lvl>
  </w:abstractNum>
  <w:abstractNum w:abstractNumId="4">
    <w:nsid w:val="1B8274B8"/>
    <w:multiLevelType w:val="hybridMultilevel"/>
    <w:tmpl w:val="1B8E9DF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CB20FF2"/>
    <w:multiLevelType w:val="hybridMultilevel"/>
    <w:tmpl w:val="6FB0336C"/>
    <w:lvl w:ilvl="0" w:tplc="CBC60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C473D"/>
    <w:multiLevelType w:val="hybridMultilevel"/>
    <w:tmpl w:val="65A01CF4"/>
    <w:lvl w:ilvl="0" w:tplc="BB3EBE30">
      <w:start w:val="1"/>
      <w:numFmt w:val="upp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B50D4"/>
    <w:multiLevelType w:val="hybridMultilevel"/>
    <w:tmpl w:val="4EDA6B9A"/>
    <w:lvl w:ilvl="0" w:tplc="561247F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D5204"/>
    <w:multiLevelType w:val="hybridMultilevel"/>
    <w:tmpl w:val="840E7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A3C82"/>
    <w:multiLevelType w:val="hybridMultilevel"/>
    <w:tmpl w:val="1A86DB4E"/>
    <w:lvl w:ilvl="0" w:tplc="2D104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0"/>
  </w:num>
  <w:num w:numId="6">
    <w:abstractNumId w:val="3"/>
  </w:num>
  <w:num w:numId="7">
    <w:abstractNumId w:val="1"/>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2"/>
    <w:rsid w:val="00012D95"/>
    <w:rsid w:val="00022406"/>
    <w:rsid w:val="00053DF0"/>
    <w:rsid w:val="000E1C34"/>
    <w:rsid w:val="000E3B68"/>
    <w:rsid w:val="000E470A"/>
    <w:rsid w:val="00105A73"/>
    <w:rsid w:val="00133289"/>
    <w:rsid w:val="001501F7"/>
    <w:rsid w:val="00166CA3"/>
    <w:rsid w:val="00193771"/>
    <w:rsid w:val="001D1D6B"/>
    <w:rsid w:val="001D3E7B"/>
    <w:rsid w:val="001F3EDA"/>
    <w:rsid w:val="002244C3"/>
    <w:rsid w:val="002520BC"/>
    <w:rsid w:val="002601D5"/>
    <w:rsid w:val="00267463"/>
    <w:rsid w:val="0027735D"/>
    <w:rsid w:val="00292AA2"/>
    <w:rsid w:val="002B12A9"/>
    <w:rsid w:val="002E79A4"/>
    <w:rsid w:val="002F2936"/>
    <w:rsid w:val="003368EB"/>
    <w:rsid w:val="00340974"/>
    <w:rsid w:val="00377EDE"/>
    <w:rsid w:val="00380CD1"/>
    <w:rsid w:val="003830EB"/>
    <w:rsid w:val="003A4E1D"/>
    <w:rsid w:val="003D4D15"/>
    <w:rsid w:val="003D6164"/>
    <w:rsid w:val="0040025F"/>
    <w:rsid w:val="00442D72"/>
    <w:rsid w:val="00460A8F"/>
    <w:rsid w:val="00487A5E"/>
    <w:rsid w:val="004B1C1D"/>
    <w:rsid w:val="004E3C9A"/>
    <w:rsid w:val="0054068A"/>
    <w:rsid w:val="0056437E"/>
    <w:rsid w:val="0057083F"/>
    <w:rsid w:val="00582482"/>
    <w:rsid w:val="00596993"/>
    <w:rsid w:val="005C19F7"/>
    <w:rsid w:val="005D0969"/>
    <w:rsid w:val="005D378A"/>
    <w:rsid w:val="0060190C"/>
    <w:rsid w:val="00626C3A"/>
    <w:rsid w:val="0064023C"/>
    <w:rsid w:val="00655C81"/>
    <w:rsid w:val="00696083"/>
    <w:rsid w:val="006A657A"/>
    <w:rsid w:val="006D68D5"/>
    <w:rsid w:val="006E0CBB"/>
    <w:rsid w:val="006F7719"/>
    <w:rsid w:val="007011D8"/>
    <w:rsid w:val="00764402"/>
    <w:rsid w:val="00765A60"/>
    <w:rsid w:val="007973C2"/>
    <w:rsid w:val="007A0BF2"/>
    <w:rsid w:val="00840585"/>
    <w:rsid w:val="00893AA0"/>
    <w:rsid w:val="008A2893"/>
    <w:rsid w:val="008A36F6"/>
    <w:rsid w:val="009255A6"/>
    <w:rsid w:val="00932BD2"/>
    <w:rsid w:val="00961D94"/>
    <w:rsid w:val="00976B87"/>
    <w:rsid w:val="009812CC"/>
    <w:rsid w:val="00987813"/>
    <w:rsid w:val="009B7256"/>
    <w:rsid w:val="00A833FD"/>
    <w:rsid w:val="00A93DC3"/>
    <w:rsid w:val="00AC3263"/>
    <w:rsid w:val="00AD0425"/>
    <w:rsid w:val="00B40398"/>
    <w:rsid w:val="00BA2FA3"/>
    <w:rsid w:val="00C07122"/>
    <w:rsid w:val="00C3397F"/>
    <w:rsid w:val="00C46E50"/>
    <w:rsid w:val="00C50FFB"/>
    <w:rsid w:val="00C72648"/>
    <w:rsid w:val="00C958D6"/>
    <w:rsid w:val="00CE75AC"/>
    <w:rsid w:val="00CF58A4"/>
    <w:rsid w:val="00D100B5"/>
    <w:rsid w:val="00D26DFE"/>
    <w:rsid w:val="00D33499"/>
    <w:rsid w:val="00D34EB8"/>
    <w:rsid w:val="00D77F2B"/>
    <w:rsid w:val="00DA3725"/>
    <w:rsid w:val="00DE3527"/>
    <w:rsid w:val="00E044F2"/>
    <w:rsid w:val="00E06BF0"/>
    <w:rsid w:val="00ED6674"/>
    <w:rsid w:val="00EE536B"/>
    <w:rsid w:val="00F007B1"/>
    <w:rsid w:val="00F060A0"/>
    <w:rsid w:val="00F913DE"/>
    <w:rsid w:val="00FA784A"/>
    <w:rsid w:val="00FD4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19"/>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6F7719"/>
    <w:pPr>
      <w:numPr>
        <w:numId w:val="5"/>
      </w:numPr>
      <w:ind w:left="567" w:hanging="567"/>
      <w:outlineLvl w:val="0"/>
    </w:pPr>
    <w:rPr>
      <w:kern w:val="28"/>
    </w:rPr>
  </w:style>
  <w:style w:type="paragraph" w:styleId="Heading2">
    <w:name w:val="heading 2"/>
    <w:basedOn w:val="Normal"/>
    <w:next w:val="Normal"/>
    <w:link w:val="Heading2Char"/>
    <w:qFormat/>
    <w:rsid w:val="006F7719"/>
    <w:pPr>
      <w:numPr>
        <w:ilvl w:val="1"/>
        <w:numId w:val="5"/>
      </w:numPr>
      <w:ind w:left="567" w:hanging="567"/>
      <w:outlineLvl w:val="1"/>
    </w:pPr>
  </w:style>
  <w:style w:type="paragraph" w:styleId="Heading3">
    <w:name w:val="heading 3"/>
    <w:basedOn w:val="Normal"/>
    <w:next w:val="Normal"/>
    <w:link w:val="Heading3Char"/>
    <w:qFormat/>
    <w:rsid w:val="006F7719"/>
    <w:pPr>
      <w:numPr>
        <w:ilvl w:val="2"/>
        <w:numId w:val="5"/>
      </w:numPr>
      <w:ind w:left="567" w:hanging="567"/>
      <w:outlineLvl w:val="2"/>
    </w:pPr>
  </w:style>
  <w:style w:type="paragraph" w:styleId="Heading4">
    <w:name w:val="heading 4"/>
    <w:basedOn w:val="Normal"/>
    <w:next w:val="Normal"/>
    <w:link w:val="Heading4Char"/>
    <w:qFormat/>
    <w:rsid w:val="006F7719"/>
    <w:pPr>
      <w:numPr>
        <w:ilvl w:val="3"/>
        <w:numId w:val="5"/>
      </w:numPr>
      <w:ind w:left="567" w:hanging="567"/>
      <w:outlineLvl w:val="3"/>
    </w:pPr>
  </w:style>
  <w:style w:type="paragraph" w:styleId="Heading5">
    <w:name w:val="heading 5"/>
    <w:basedOn w:val="Normal"/>
    <w:next w:val="Normal"/>
    <w:link w:val="Heading5Char"/>
    <w:qFormat/>
    <w:rsid w:val="006F7719"/>
    <w:pPr>
      <w:numPr>
        <w:ilvl w:val="4"/>
        <w:numId w:val="5"/>
      </w:numPr>
      <w:ind w:left="567" w:hanging="567"/>
      <w:outlineLvl w:val="4"/>
    </w:pPr>
  </w:style>
  <w:style w:type="paragraph" w:styleId="Heading6">
    <w:name w:val="heading 6"/>
    <w:basedOn w:val="Normal"/>
    <w:next w:val="Normal"/>
    <w:link w:val="Heading6Char"/>
    <w:qFormat/>
    <w:rsid w:val="006F7719"/>
    <w:pPr>
      <w:numPr>
        <w:ilvl w:val="5"/>
        <w:numId w:val="5"/>
      </w:numPr>
      <w:ind w:left="567" w:hanging="567"/>
      <w:outlineLvl w:val="5"/>
    </w:pPr>
  </w:style>
  <w:style w:type="paragraph" w:styleId="Heading7">
    <w:name w:val="heading 7"/>
    <w:basedOn w:val="Normal"/>
    <w:next w:val="Normal"/>
    <w:link w:val="Heading7Char"/>
    <w:qFormat/>
    <w:rsid w:val="006F7719"/>
    <w:pPr>
      <w:numPr>
        <w:ilvl w:val="6"/>
        <w:numId w:val="5"/>
      </w:numPr>
      <w:ind w:left="567" w:hanging="567"/>
      <w:outlineLvl w:val="6"/>
    </w:pPr>
  </w:style>
  <w:style w:type="paragraph" w:styleId="Heading8">
    <w:name w:val="heading 8"/>
    <w:basedOn w:val="Normal"/>
    <w:next w:val="Normal"/>
    <w:link w:val="Heading8Char"/>
    <w:qFormat/>
    <w:rsid w:val="006F7719"/>
    <w:pPr>
      <w:numPr>
        <w:ilvl w:val="7"/>
        <w:numId w:val="5"/>
      </w:numPr>
      <w:ind w:left="567" w:hanging="567"/>
      <w:outlineLvl w:val="7"/>
    </w:pPr>
  </w:style>
  <w:style w:type="paragraph" w:styleId="Heading9">
    <w:name w:val="heading 9"/>
    <w:basedOn w:val="Normal"/>
    <w:next w:val="Normal"/>
    <w:link w:val="Heading9Char"/>
    <w:qFormat/>
    <w:rsid w:val="006F7719"/>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25"/>
    <w:pPr>
      <w:overflowPunct w:val="0"/>
      <w:autoSpaceDE w:val="0"/>
      <w:autoSpaceDN w:val="0"/>
      <w:adjustRightInd w:val="0"/>
      <w:ind w:left="720"/>
      <w:contextualSpacing/>
      <w:textAlignment w:val="baseline"/>
    </w:pPr>
    <w:rPr>
      <w:szCs w:val="20"/>
      <w:lang w:eastAsia="fr-FR" w:bidi="fr-FR"/>
    </w:rPr>
  </w:style>
  <w:style w:type="paragraph" w:styleId="Header">
    <w:name w:val="header"/>
    <w:basedOn w:val="Normal"/>
    <w:link w:val="HeaderChar"/>
    <w:qFormat/>
    <w:rsid w:val="006F7719"/>
  </w:style>
  <w:style w:type="character" w:customStyle="1" w:styleId="HeaderChar">
    <w:name w:val="Header Char"/>
    <w:basedOn w:val="DefaultParagraphFont"/>
    <w:link w:val="Header"/>
    <w:rsid w:val="00460A8F"/>
    <w:rPr>
      <w:rFonts w:ascii="Times New Roman" w:eastAsia="Times New Roman" w:hAnsi="Times New Roman" w:cs="Times New Roman"/>
      <w:lang w:val="en-US" w:eastAsia="en-US" w:bidi="ar-SA"/>
    </w:rPr>
  </w:style>
  <w:style w:type="paragraph" w:styleId="Footer">
    <w:name w:val="footer"/>
    <w:basedOn w:val="Normal"/>
    <w:link w:val="FooterChar"/>
    <w:qFormat/>
    <w:rsid w:val="006F7719"/>
  </w:style>
  <w:style w:type="character" w:customStyle="1" w:styleId="FooterChar">
    <w:name w:val="Footer Char"/>
    <w:basedOn w:val="DefaultParagraphFont"/>
    <w:link w:val="Footer"/>
    <w:rsid w:val="00460A8F"/>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rsid w:val="00987813"/>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987813"/>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987813"/>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987813"/>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987813"/>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987813"/>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987813"/>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987813"/>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987813"/>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6F7719"/>
    <w:pPr>
      <w:keepLines/>
      <w:spacing w:after="60" w:line="240" w:lineRule="auto"/>
      <w:ind w:left="567" w:hanging="567"/>
    </w:pPr>
    <w:rPr>
      <w:sz w:val="16"/>
    </w:rPr>
  </w:style>
  <w:style w:type="character" w:customStyle="1" w:styleId="FootnoteTextChar">
    <w:name w:val="Footnote Text Char"/>
    <w:basedOn w:val="DefaultParagraphFont"/>
    <w:link w:val="FootnoteText"/>
    <w:rsid w:val="002601D5"/>
    <w:rPr>
      <w:rFonts w:ascii="Times New Roman" w:eastAsia="Times New Roman" w:hAnsi="Times New Roman" w:cs="Times New Roman"/>
      <w:sz w:val="16"/>
      <w:lang w:val="en-US" w:eastAsia="en-US" w:bidi="ar-SA"/>
    </w:rPr>
  </w:style>
  <w:style w:type="paragraph" w:customStyle="1" w:styleId="quotes">
    <w:name w:val="quotes"/>
    <w:basedOn w:val="Normal"/>
    <w:next w:val="Normal"/>
    <w:rsid w:val="006F7719"/>
    <w:pPr>
      <w:ind w:left="720"/>
    </w:pPr>
    <w:rPr>
      <w:i/>
    </w:rPr>
  </w:style>
  <w:style w:type="character" w:styleId="FootnoteReference">
    <w:name w:val="footnote reference"/>
    <w:basedOn w:val="DefaultParagraphFont"/>
    <w:unhideWhenUsed/>
    <w:qFormat/>
    <w:rsid w:val="006F7719"/>
    <w:rPr>
      <w:sz w:val="24"/>
      <w:vertAlign w:val="superscript"/>
    </w:rPr>
  </w:style>
  <w:style w:type="table" w:styleId="TableGrid">
    <w:name w:val="Table Grid"/>
    <w:basedOn w:val="TableNormal"/>
    <w:uiPriority w:val="59"/>
    <w:rsid w:val="008A36F6"/>
    <w:pPr>
      <w:spacing w:after="0" w:line="240" w:lineRule="auto"/>
    </w:pPr>
    <w:rPr>
      <w:lang w:val="fr-B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19"/>
    <w:pPr>
      <w:spacing w:after="0" w:line="288" w:lineRule="auto"/>
      <w:jc w:val="both"/>
    </w:pPr>
    <w:rPr>
      <w:rFonts w:ascii="Times New Roman" w:eastAsia="Times New Roman" w:hAnsi="Times New Roman" w:cs="Times New Roman"/>
      <w:lang w:eastAsia="en-US" w:bidi="ar-SA"/>
    </w:rPr>
  </w:style>
  <w:style w:type="paragraph" w:styleId="Heading1">
    <w:name w:val="heading 1"/>
    <w:basedOn w:val="Normal"/>
    <w:next w:val="Normal"/>
    <w:link w:val="Heading1Char"/>
    <w:qFormat/>
    <w:rsid w:val="006F7719"/>
    <w:pPr>
      <w:numPr>
        <w:numId w:val="5"/>
      </w:numPr>
      <w:ind w:left="567" w:hanging="567"/>
      <w:outlineLvl w:val="0"/>
    </w:pPr>
    <w:rPr>
      <w:kern w:val="28"/>
    </w:rPr>
  </w:style>
  <w:style w:type="paragraph" w:styleId="Heading2">
    <w:name w:val="heading 2"/>
    <w:basedOn w:val="Normal"/>
    <w:next w:val="Normal"/>
    <w:link w:val="Heading2Char"/>
    <w:qFormat/>
    <w:rsid w:val="006F7719"/>
    <w:pPr>
      <w:numPr>
        <w:ilvl w:val="1"/>
        <w:numId w:val="5"/>
      </w:numPr>
      <w:ind w:left="567" w:hanging="567"/>
      <w:outlineLvl w:val="1"/>
    </w:pPr>
  </w:style>
  <w:style w:type="paragraph" w:styleId="Heading3">
    <w:name w:val="heading 3"/>
    <w:basedOn w:val="Normal"/>
    <w:next w:val="Normal"/>
    <w:link w:val="Heading3Char"/>
    <w:qFormat/>
    <w:rsid w:val="006F7719"/>
    <w:pPr>
      <w:numPr>
        <w:ilvl w:val="2"/>
        <w:numId w:val="5"/>
      </w:numPr>
      <w:ind w:left="567" w:hanging="567"/>
      <w:outlineLvl w:val="2"/>
    </w:pPr>
  </w:style>
  <w:style w:type="paragraph" w:styleId="Heading4">
    <w:name w:val="heading 4"/>
    <w:basedOn w:val="Normal"/>
    <w:next w:val="Normal"/>
    <w:link w:val="Heading4Char"/>
    <w:qFormat/>
    <w:rsid w:val="006F7719"/>
    <w:pPr>
      <w:numPr>
        <w:ilvl w:val="3"/>
        <w:numId w:val="5"/>
      </w:numPr>
      <w:ind w:left="567" w:hanging="567"/>
      <w:outlineLvl w:val="3"/>
    </w:pPr>
  </w:style>
  <w:style w:type="paragraph" w:styleId="Heading5">
    <w:name w:val="heading 5"/>
    <w:basedOn w:val="Normal"/>
    <w:next w:val="Normal"/>
    <w:link w:val="Heading5Char"/>
    <w:qFormat/>
    <w:rsid w:val="006F7719"/>
    <w:pPr>
      <w:numPr>
        <w:ilvl w:val="4"/>
        <w:numId w:val="5"/>
      </w:numPr>
      <w:ind w:left="567" w:hanging="567"/>
      <w:outlineLvl w:val="4"/>
    </w:pPr>
  </w:style>
  <w:style w:type="paragraph" w:styleId="Heading6">
    <w:name w:val="heading 6"/>
    <w:basedOn w:val="Normal"/>
    <w:next w:val="Normal"/>
    <w:link w:val="Heading6Char"/>
    <w:qFormat/>
    <w:rsid w:val="006F7719"/>
    <w:pPr>
      <w:numPr>
        <w:ilvl w:val="5"/>
        <w:numId w:val="5"/>
      </w:numPr>
      <w:ind w:left="567" w:hanging="567"/>
      <w:outlineLvl w:val="5"/>
    </w:pPr>
  </w:style>
  <w:style w:type="paragraph" w:styleId="Heading7">
    <w:name w:val="heading 7"/>
    <w:basedOn w:val="Normal"/>
    <w:next w:val="Normal"/>
    <w:link w:val="Heading7Char"/>
    <w:qFormat/>
    <w:rsid w:val="006F7719"/>
    <w:pPr>
      <w:numPr>
        <w:ilvl w:val="6"/>
        <w:numId w:val="5"/>
      </w:numPr>
      <w:ind w:left="567" w:hanging="567"/>
      <w:outlineLvl w:val="6"/>
    </w:pPr>
  </w:style>
  <w:style w:type="paragraph" w:styleId="Heading8">
    <w:name w:val="heading 8"/>
    <w:basedOn w:val="Normal"/>
    <w:next w:val="Normal"/>
    <w:link w:val="Heading8Char"/>
    <w:qFormat/>
    <w:rsid w:val="006F7719"/>
    <w:pPr>
      <w:numPr>
        <w:ilvl w:val="7"/>
        <w:numId w:val="5"/>
      </w:numPr>
      <w:ind w:left="567" w:hanging="567"/>
      <w:outlineLvl w:val="7"/>
    </w:pPr>
  </w:style>
  <w:style w:type="paragraph" w:styleId="Heading9">
    <w:name w:val="heading 9"/>
    <w:basedOn w:val="Normal"/>
    <w:next w:val="Normal"/>
    <w:link w:val="Heading9Char"/>
    <w:qFormat/>
    <w:rsid w:val="006F7719"/>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25"/>
    <w:pPr>
      <w:overflowPunct w:val="0"/>
      <w:autoSpaceDE w:val="0"/>
      <w:autoSpaceDN w:val="0"/>
      <w:adjustRightInd w:val="0"/>
      <w:ind w:left="720"/>
      <w:contextualSpacing/>
      <w:textAlignment w:val="baseline"/>
    </w:pPr>
    <w:rPr>
      <w:szCs w:val="20"/>
      <w:lang w:eastAsia="fr-FR" w:bidi="fr-FR"/>
    </w:rPr>
  </w:style>
  <w:style w:type="paragraph" w:styleId="Header">
    <w:name w:val="header"/>
    <w:basedOn w:val="Normal"/>
    <w:link w:val="HeaderChar"/>
    <w:qFormat/>
    <w:rsid w:val="006F7719"/>
  </w:style>
  <w:style w:type="character" w:customStyle="1" w:styleId="HeaderChar">
    <w:name w:val="Header Char"/>
    <w:basedOn w:val="DefaultParagraphFont"/>
    <w:link w:val="Header"/>
    <w:rsid w:val="00460A8F"/>
    <w:rPr>
      <w:rFonts w:ascii="Times New Roman" w:eastAsia="Times New Roman" w:hAnsi="Times New Roman" w:cs="Times New Roman"/>
      <w:lang w:val="en-US" w:eastAsia="en-US" w:bidi="ar-SA"/>
    </w:rPr>
  </w:style>
  <w:style w:type="paragraph" w:styleId="Footer">
    <w:name w:val="footer"/>
    <w:basedOn w:val="Normal"/>
    <w:link w:val="FooterChar"/>
    <w:qFormat/>
    <w:rsid w:val="006F7719"/>
  </w:style>
  <w:style w:type="character" w:customStyle="1" w:styleId="FooterChar">
    <w:name w:val="Footer Char"/>
    <w:basedOn w:val="DefaultParagraphFont"/>
    <w:link w:val="Footer"/>
    <w:rsid w:val="00460A8F"/>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rsid w:val="00987813"/>
    <w:rPr>
      <w:rFonts w:ascii="Times New Roman" w:eastAsia="Times New Roman" w:hAnsi="Times New Roman" w:cs="Times New Roman"/>
      <w:kern w:val="28"/>
      <w:lang w:val="en-US" w:eastAsia="en-US" w:bidi="ar-SA"/>
    </w:rPr>
  </w:style>
  <w:style w:type="character" w:customStyle="1" w:styleId="Heading2Char">
    <w:name w:val="Heading 2 Char"/>
    <w:basedOn w:val="DefaultParagraphFont"/>
    <w:link w:val="Heading2"/>
    <w:rsid w:val="00987813"/>
    <w:rPr>
      <w:rFonts w:ascii="Times New Roman" w:eastAsia="Times New Roman" w:hAnsi="Times New Roman" w:cs="Times New Roman"/>
      <w:lang w:val="en-US" w:eastAsia="en-US" w:bidi="ar-SA"/>
    </w:rPr>
  </w:style>
  <w:style w:type="character" w:customStyle="1" w:styleId="Heading3Char">
    <w:name w:val="Heading 3 Char"/>
    <w:basedOn w:val="DefaultParagraphFont"/>
    <w:link w:val="Heading3"/>
    <w:rsid w:val="00987813"/>
    <w:rPr>
      <w:rFonts w:ascii="Times New Roman" w:eastAsia="Times New Roman" w:hAnsi="Times New Roman" w:cs="Times New Roman"/>
      <w:lang w:val="en-US" w:eastAsia="en-US" w:bidi="ar-SA"/>
    </w:rPr>
  </w:style>
  <w:style w:type="character" w:customStyle="1" w:styleId="Heading4Char">
    <w:name w:val="Heading 4 Char"/>
    <w:basedOn w:val="DefaultParagraphFont"/>
    <w:link w:val="Heading4"/>
    <w:rsid w:val="00987813"/>
    <w:rPr>
      <w:rFonts w:ascii="Times New Roman" w:eastAsia="Times New Roman" w:hAnsi="Times New Roman" w:cs="Times New Roman"/>
      <w:lang w:val="en-US" w:eastAsia="en-US" w:bidi="ar-SA"/>
    </w:rPr>
  </w:style>
  <w:style w:type="character" w:customStyle="1" w:styleId="Heading5Char">
    <w:name w:val="Heading 5 Char"/>
    <w:basedOn w:val="DefaultParagraphFont"/>
    <w:link w:val="Heading5"/>
    <w:rsid w:val="00987813"/>
    <w:rPr>
      <w:rFonts w:ascii="Times New Roman" w:eastAsia="Times New Roman" w:hAnsi="Times New Roman" w:cs="Times New Roman"/>
      <w:lang w:val="en-US" w:eastAsia="en-US" w:bidi="ar-SA"/>
    </w:rPr>
  </w:style>
  <w:style w:type="character" w:customStyle="1" w:styleId="Heading6Char">
    <w:name w:val="Heading 6 Char"/>
    <w:basedOn w:val="DefaultParagraphFont"/>
    <w:link w:val="Heading6"/>
    <w:rsid w:val="00987813"/>
    <w:rPr>
      <w:rFonts w:ascii="Times New Roman" w:eastAsia="Times New Roman" w:hAnsi="Times New Roman" w:cs="Times New Roman"/>
      <w:lang w:val="en-US" w:eastAsia="en-US" w:bidi="ar-SA"/>
    </w:rPr>
  </w:style>
  <w:style w:type="character" w:customStyle="1" w:styleId="Heading7Char">
    <w:name w:val="Heading 7 Char"/>
    <w:basedOn w:val="DefaultParagraphFont"/>
    <w:link w:val="Heading7"/>
    <w:rsid w:val="00987813"/>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987813"/>
    <w:rPr>
      <w:rFonts w:ascii="Times New Roman" w:eastAsia="Times New Roman" w:hAnsi="Times New Roman" w:cs="Times New Roman"/>
      <w:lang w:val="en-US" w:eastAsia="en-US" w:bidi="ar-SA"/>
    </w:rPr>
  </w:style>
  <w:style w:type="character" w:customStyle="1" w:styleId="Heading9Char">
    <w:name w:val="Heading 9 Char"/>
    <w:basedOn w:val="DefaultParagraphFont"/>
    <w:link w:val="Heading9"/>
    <w:rsid w:val="00987813"/>
    <w:rPr>
      <w:rFonts w:ascii="Times New Roman" w:eastAsia="Times New Roman" w:hAnsi="Times New Roman" w:cs="Times New Roman"/>
      <w:lang w:val="en-US" w:eastAsia="en-US" w:bidi="ar-SA"/>
    </w:rPr>
  </w:style>
  <w:style w:type="paragraph" w:styleId="FootnoteText">
    <w:name w:val="footnote text"/>
    <w:basedOn w:val="Normal"/>
    <w:link w:val="FootnoteTextChar"/>
    <w:qFormat/>
    <w:rsid w:val="006F7719"/>
    <w:pPr>
      <w:keepLines/>
      <w:spacing w:after="60" w:line="240" w:lineRule="auto"/>
      <w:ind w:left="567" w:hanging="567"/>
    </w:pPr>
    <w:rPr>
      <w:sz w:val="16"/>
    </w:rPr>
  </w:style>
  <w:style w:type="character" w:customStyle="1" w:styleId="FootnoteTextChar">
    <w:name w:val="Footnote Text Char"/>
    <w:basedOn w:val="DefaultParagraphFont"/>
    <w:link w:val="FootnoteText"/>
    <w:rsid w:val="002601D5"/>
    <w:rPr>
      <w:rFonts w:ascii="Times New Roman" w:eastAsia="Times New Roman" w:hAnsi="Times New Roman" w:cs="Times New Roman"/>
      <w:sz w:val="16"/>
      <w:lang w:val="en-US" w:eastAsia="en-US" w:bidi="ar-SA"/>
    </w:rPr>
  </w:style>
  <w:style w:type="paragraph" w:customStyle="1" w:styleId="quotes">
    <w:name w:val="quotes"/>
    <w:basedOn w:val="Normal"/>
    <w:next w:val="Normal"/>
    <w:rsid w:val="006F7719"/>
    <w:pPr>
      <w:ind w:left="720"/>
    </w:pPr>
    <w:rPr>
      <w:i/>
    </w:rPr>
  </w:style>
  <w:style w:type="character" w:styleId="FootnoteReference">
    <w:name w:val="footnote reference"/>
    <w:basedOn w:val="DefaultParagraphFont"/>
    <w:unhideWhenUsed/>
    <w:qFormat/>
    <w:rsid w:val="006F7719"/>
    <w:rPr>
      <w:sz w:val="24"/>
      <w:vertAlign w:val="superscript"/>
    </w:rPr>
  </w:style>
  <w:style w:type="table" w:styleId="TableGrid">
    <w:name w:val="Table Grid"/>
    <w:basedOn w:val="TableNormal"/>
    <w:uiPriority w:val="59"/>
    <w:rsid w:val="008A36F6"/>
    <w:pPr>
      <w:spacing w:after="0" w:line="240" w:lineRule="auto"/>
    </w:pPr>
    <w:rPr>
      <w:lang w:val="fr-B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711">
      <w:bodyDiv w:val="1"/>
      <w:marLeft w:val="0"/>
      <w:marRight w:val="0"/>
      <w:marTop w:val="0"/>
      <w:marBottom w:val="0"/>
      <w:divBdr>
        <w:top w:val="none" w:sz="0" w:space="0" w:color="auto"/>
        <w:left w:val="none" w:sz="0" w:space="0" w:color="auto"/>
        <w:bottom w:val="none" w:sz="0" w:space="0" w:color="auto"/>
        <w:right w:val="none" w:sz="0" w:space="0" w:color="auto"/>
      </w:divBdr>
    </w:div>
    <w:div w:id="378676317">
      <w:bodyDiv w:val="1"/>
      <w:marLeft w:val="0"/>
      <w:marRight w:val="0"/>
      <w:marTop w:val="0"/>
      <w:marBottom w:val="0"/>
      <w:divBdr>
        <w:top w:val="none" w:sz="0" w:space="0" w:color="auto"/>
        <w:left w:val="none" w:sz="0" w:space="0" w:color="auto"/>
        <w:bottom w:val="none" w:sz="0" w:space="0" w:color="auto"/>
        <w:right w:val="none" w:sz="0" w:space="0" w:color="auto"/>
      </w:divBdr>
      <w:divsChild>
        <w:div w:id="587271054">
          <w:marLeft w:val="0"/>
          <w:marRight w:val="0"/>
          <w:marTop w:val="0"/>
          <w:marBottom w:val="0"/>
          <w:divBdr>
            <w:top w:val="none" w:sz="0" w:space="0" w:color="auto"/>
            <w:left w:val="none" w:sz="0" w:space="0" w:color="auto"/>
            <w:bottom w:val="none" w:sz="0" w:space="0" w:color="auto"/>
            <w:right w:val="none" w:sz="0" w:space="0" w:color="auto"/>
          </w:divBdr>
        </w:div>
        <w:div w:id="1448503097">
          <w:marLeft w:val="0"/>
          <w:marRight w:val="0"/>
          <w:marTop w:val="0"/>
          <w:marBottom w:val="0"/>
          <w:divBdr>
            <w:top w:val="none" w:sz="0" w:space="0" w:color="auto"/>
            <w:left w:val="none" w:sz="0" w:space="0" w:color="auto"/>
            <w:bottom w:val="none" w:sz="0" w:space="0" w:color="auto"/>
            <w:right w:val="none" w:sz="0" w:space="0" w:color="auto"/>
          </w:divBdr>
        </w:div>
        <w:div w:id="593788116">
          <w:marLeft w:val="0"/>
          <w:marRight w:val="0"/>
          <w:marTop w:val="0"/>
          <w:marBottom w:val="0"/>
          <w:divBdr>
            <w:top w:val="none" w:sz="0" w:space="0" w:color="auto"/>
            <w:left w:val="none" w:sz="0" w:space="0" w:color="auto"/>
            <w:bottom w:val="none" w:sz="0" w:space="0" w:color="auto"/>
            <w:right w:val="none" w:sz="0" w:space="0" w:color="auto"/>
          </w:divBdr>
        </w:div>
        <w:div w:id="164590149">
          <w:marLeft w:val="0"/>
          <w:marRight w:val="0"/>
          <w:marTop w:val="0"/>
          <w:marBottom w:val="0"/>
          <w:divBdr>
            <w:top w:val="none" w:sz="0" w:space="0" w:color="auto"/>
            <w:left w:val="none" w:sz="0" w:space="0" w:color="auto"/>
            <w:bottom w:val="none" w:sz="0" w:space="0" w:color="auto"/>
            <w:right w:val="none" w:sz="0" w:space="0" w:color="auto"/>
          </w:divBdr>
        </w:div>
        <w:div w:id="1737892178">
          <w:marLeft w:val="0"/>
          <w:marRight w:val="0"/>
          <w:marTop w:val="0"/>
          <w:marBottom w:val="0"/>
          <w:divBdr>
            <w:top w:val="none" w:sz="0" w:space="0" w:color="auto"/>
            <w:left w:val="none" w:sz="0" w:space="0" w:color="auto"/>
            <w:bottom w:val="none" w:sz="0" w:space="0" w:color="auto"/>
            <w:right w:val="none" w:sz="0" w:space="0" w:color="auto"/>
          </w:divBdr>
        </w:div>
        <w:div w:id="1475101454">
          <w:marLeft w:val="0"/>
          <w:marRight w:val="0"/>
          <w:marTop w:val="0"/>
          <w:marBottom w:val="0"/>
          <w:divBdr>
            <w:top w:val="none" w:sz="0" w:space="0" w:color="auto"/>
            <w:left w:val="none" w:sz="0" w:space="0" w:color="auto"/>
            <w:bottom w:val="none" w:sz="0" w:space="0" w:color="auto"/>
            <w:right w:val="none" w:sz="0" w:space="0" w:color="auto"/>
          </w:divBdr>
        </w:div>
        <w:div w:id="452789646">
          <w:marLeft w:val="0"/>
          <w:marRight w:val="0"/>
          <w:marTop w:val="0"/>
          <w:marBottom w:val="0"/>
          <w:divBdr>
            <w:top w:val="none" w:sz="0" w:space="0" w:color="auto"/>
            <w:left w:val="none" w:sz="0" w:space="0" w:color="auto"/>
            <w:bottom w:val="none" w:sz="0" w:space="0" w:color="auto"/>
            <w:right w:val="none" w:sz="0" w:space="0" w:color="auto"/>
          </w:divBdr>
        </w:div>
      </w:divsChild>
    </w:div>
    <w:div w:id="38765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4736">
          <w:marLeft w:val="0"/>
          <w:marRight w:val="0"/>
          <w:marTop w:val="0"/>
          <w:marBottom w:val="0"/>
          <w:divBdr>
            <w:top w:val="none" w:sz="0" w:space="0" w:color="auto"/>
            <w:left w:val="none" w:sz="0" w:space="0" w:color="auto"/>
            <w:bottom w:val="none" w:sz="0" w:space="0" w:color="auto"/>
            <w:right w:val="none" w:sz="0" w:space="0" w:color="auto"/>
          </w:divBdr>
        </w:div>
        <w:div w:id="418602843">
          <w:marLeft w:val="0"/>
          <w:marRight w:val="0"/>
          <w:marTop w:val="0"/>
          <w:marBottom w:val="0"/>
          <w:divBdr>
            <w:top w:val="none" w:sz="0" w:space="0" w:color="auto"/>
            <w:left w:val="none" w:sz="0" w:space="0" w:color="auto"/>
            <w:bottom w:val="none" w:sz="0" w:space="0" w:color="auto"/>
            <w:right w:val="none" w:sz="0" w:space="0" w:color="auto"/>
          </w:divBdr>
        </w:div>
        <w:div w:id="1005091949">
          <w:marLeft w:val="0"/>
          <w:marRight w:val="0"/>
          <w:marTop w:val="0"/>
          <w:marBottom w:val="0"/>
          <w:divBdr>
            <w:top w:val="none" w:sz="0" w:space="0" w:color="auto"/>
            <w:left w:val="none" w:sz="0" w:space="0" w:color="auto"/>
            <w:bottom w:val="none" w:sz="0" w:space="0" w:color="auto"/>
            <w:right w:val="none" w:sz="0" w:space="0" w:color="auto"/>
          </w:divBdr>
        </w:div>
      </w:divsChild>
    </w:div>
    <w:div w:id="439882229">
      <w:bodyDiv w:val="1"/>
      <w:marLeft w:val="0"/>
      <w:marRight w:val="0"/>
      <w:marTop w:val="0"/>
      <w:marBottom w:val="0"/>
      <w:divBdr>
        <w:top w:val="none" w:sz="0" w:space="0" w:color="auto"/>
        <w:left w:val="none" w:sz="0" w:space="0" w:color="auto"/>
        <w:bottom w:val="none" w:sz="0" w:space="0" w:color="auto"/>
        <w:right w:val="none" w:sz="0" w:space="0" w:color="auto"/>
      </w:divBdr>
    </w:div>
    <w:div w:id="860125080">
      <w:bodyDiv w:val="1"/>
      <w:marLeft w:val="0"/>
      <w:marRight w:val="0"/>
      <w:marTop w:val="0"/>
      <w:marBottom w:val="0"/>
      <w:divBdr>
        <w:top w:val="none" w:sz="0" w:space="0" w:color="auto"/>
        <w:left w:val="none" w:sz="0" w:space="0" w:color="auto"/>
        <w:bottom w:val="none" w:sz="0" w:space="0" w:color="auto"/>
        <w:right w:val="none" w:sz="0" w:space="0" w:color="auto"/>
      </w:divBdr>
    </w:div>
    <w:div w:id="1024479729">
      <w:bodyDiv w:val="1"/>
      <w:marLeft w:val="0"/>
      <w:marRight w:val="0"/>
      <w:marTop w:val="0"/>
      <w:marBottom w:val="0"/>
      <w:divBdr>
        <w:top w:val="none" w:sz="0" w:space="0" w:color="auto"/>
        <w:left w:val="none" w:sz="0" w:space="0" w:color="auto"/>
        <w:bottom w:val="none" w:sz="0" w:space="0" w:color="auto"/>
        <w:right w:val="none" w:sz="0" w:space="0" w:color="auto"/>
      </w:divBdr>
    </w:div>
    <w:div w:id="1095516403">
      <w:bodyDiv w:val="1"/>
      <w:marLeft w:val="0"/>
      <w:marRight w:val="0"/>
      <w:marTop w:val="0"/>
      <w:marBottom w:val="0"/>
      <w:divBdr>
        <w:top w:val="none" w:sz="0" w:space="0" w:color="auto"/>
        <w:left w:val="none" w:sz="0" w:space="0" w:color="auto"/>
        <w:bottom w:val="none" w:sz="0" w:space="0" w:color="auto"/>
        <w:right w:val="none" w:sz="0" w:space="0" w:color="auto"/>
      </w:divBdr>
    </w:div>
    <w:div w:id="1373194447">
      <w:bodyDiv w:val="1"/>
      <w:marLeft w:val="0"/>
      <w:marRight w:val="0"/>
      <w:marTop w:val="0"/>
      <w:marBottom w:val="0"/>
      <w:divBdr>
        <w:top w:val="none" w:sz="0" w:space="0" w:color="auto"/>
        <w:left w:val="none" w:sz="0" w:space="0" w:color="auto"/>
        <w:bottom w:val="none" w:sz="0" w:space="0" w:color="auto"/>
        <w:right w:val="none" w:sz="0" w:space="0" w:color="auto"/>
      </w:divBdr>
    </w:div>
    <w:div w:id="1429158368">
      <w:bodyDiv w:val="1"/>
      <w:marLeft w:val="0"/>
      <w:marRight w:val="0"/>
      <w:marTop w:val="0"/>
      <w:marBottom w:val="0"/>
      <w:divBdr>
        <w:top w:val="none" w:sz="0" w:space="0" w:color="auto"/>
        <w:left w:val="none" w:sz="0" w:space="0" w:color="auto"/>
        <w:bottom w:val="none" w:sz="0" w:space="0" w:color="auto"/>
        <w:right w:val="none" w:sz="0" w:space="0" w:color="auto"/>
      </w:divBdr>
    </w:div>
    <w:div w:id="1679310747">
      <w:bodyDiv w:val="1"/>
      <w:marLeft w:val="0"/>
      <w:marRight w:val="0"/>
      <w:marTop w:val="0"/>
      <w:marBottom w:val="0"/>
      <w:divBdr>
        <w:top w:val="none" w:sz="0" w:space="0" w:color="auto"/>
        <w:left w:val="none" w:sz="0" w:space="0" w:color="auto"/>
        <w:bottom w:val="none" w:sz="0" w:space="0" w:color="auto"/>
        <w:right w:val="none" w:sz="0" w:space="0" w:color="auto"/>
      </w:divBdr>
      <w:divsChild>
        <w:div w:id="115410284">
          <w:marLeft w:val="0"/>
          <w:marRight w:val="0"/>
          <w:marTop w:val="0"/>
          <w:marBottom w:val="0"/>
          <w:divBdr>
            <w:top w:val="none" w:sz="0" w:space="0" w:color="auto"/>
            <w:left w:val="none" w:sz="0" w:space="0" w:color="auto"/>
            <w:bottom w:val="none" w:sz="0" w:space="0" w:color="auto"/>
            <w:right w:val="none" w:sz="0" w:space="0" w:color="auto"/>
          </w:divBdr>
        </w:div>
        <w:div w:id="252516621">
          <w:marLeft w:val="0"/>
          <w:marRight w:val="0"/>
          <w:marTop w:val="0"/>
          <w:marBottom w:val="0"/>
          <w:divBdr>
            <w:top w:val="none" w:sz="0" w:space="0" w:color="auto"/>
            <w:left w:val="none" w:sz="0" w:space="0" w:color="auto"/>
            <w:bottom w:val="none" w:sz="0" w:space="0" w:color="auto"/>
            <w:right w:val="none" w:sz="0" w:space="0" w:color="auto"/>
          </w:divBdr>
        </w:div>
        <w:div w:id="237790462">
          <w:marLeft w:val="0"/>
          <w:marRight w:val="0"/>
          <w:marTop w:val="0"/>
          <w:marBottom w:val="0"/>
          <w:divBdr>
            <w:top w:val="none" w:sz="0" w:space="0" w:color="auto"/>
            <w:left w:val="none" w:sz="0" w:space="0" w:color="auto"/>
            <w:bottom w:val="none" w:sz="0" w:space="0" w:color="auto"/>
            <w:right w:val="none" w:sz="0" w:space="0" w:color="auto"/>
          </w:divBdr>
        </w:div>
        <w:div w:id="71897215">
          <w:marLeft w:val="0"/>
          <w:marRight w:val="0"/>
          <w:marTop w:val="0"/>
          <w:marBottom w:val="0"/>
          <w:divBdr>
            <w:top w:val="none" w:sz="0" w:space="0" w:color="auto"/>
            <w:left w:val="none" w:sz="0" w:space="0" w:color="auto"/>
            <w:bottom w:val="none" w:sz="0" w:space="0" w:color="auto"/>
            <w:right w:val="none" w:sz="0" w:space="0" w:color="auto"/>
          </w:divBdr>
        </w:div>
        <w:div w:id="1586457236">
          <w:marLeft w:val="0"/>
          <w:marRight w:val="0"/>
          <w:marTop w:val="0"/>
          <w:marBottom w:val="0"/>
          <w:divBdr>
            <w:top w:val="none" w:sz="0" w:space="0" w:color="auto"/>
            <w:left w:val="none" w:sz="0" w:space="0" w:color="auto"/>
            <w:bottom w:val="none" w:sz="0" w:space="0" w:color="auto"/>
            <w:right w:val="none" w:sz="0" w:space="0" w:color="auto"/>
          </w:divBdr>
        </w:div>
        <w:div w:id="1440947374">
          <w:marLeft w:val="0"/>
          <w:marRight w:val="0"/>
          <w:marTop w:val="0"/>
          <w:marBottom w:val="0"/>
          <w:divBdr>
            <w:top w:val="none" w:sz="0" w:space="0" w:color="auto"/>
            <w:left w:val="none" w:sz="0" w:space="0" w:color="auto"/>
            <w:bottom w:val="none" w:sz="0" w:space="0" w:color="auto"/>
            <w:right w:val="none" w:sz="0" w:space="0" w:color="auto"/>
          </w:divBdr>
        </w:div>
        <w:div w:id="1514301475">
          <w:marLeft w:val="0"/>
          <w:marRight w:val="0"/>
          <w:marTop w:val="0"/>
          <w:marBottom w:val="0"/>
          <w:divBdr>
            <w:top w:val="none" w:sz="0" w:space="0" w:color="auto"/>
            <w:left w:val="none" w:sz="0" w:space="0" w:color="auto"/>
            <w:bottom w:val="none" w:sz="0" w:space="0" w:color="auto"/>
            <w:right w:val="none" w:sz="0" w:space="0" w:color="auto"/>
          </w:divBdr>
        </w:div>
        <w:div w:id="1039088479">
          <w:marLeft w:val="0"/>
          <w:marRight w:val="0"/>
          <w:marTop w:val="0"/>
          <w:marBottom w:val="0"/>
          <w:divBdr>
            <w:top w:val="none" w:sz="0" w:space="0" w:color="auto"/>
            <w:left w:val="none" w:sz="0" w:space="0" w:color="auto"/>
            <w:bottom w:val="none" w:sz="0" w:space="0" w:color="auto"/>
            <w:right w:val="none" w:sz="0" w:space="0" w:color="auto"/>
          </w:divBdr>
        </w:div>
        <w:div w:id="1411388333">
          <w:marLeft w:val="0"/>
          <w:marRight w:val="0"/>
          <w:marTop w:val="0"/>
          <w:marBottom w:val="0"/>
          <w:divBdr>
            <w:top w:val="none" w:sz="0" w:space="0" w:color="auto"/>
            <w:left w:val="none" w:sz="0" w:space="0" w:color="auto"/>
            <w:bottom w:val="none" w:sz="0" w:space="0" w:color="auto"/>
            <w:right w:val="none" w:sz="0" w:space="0" w:color="auto"/>
          </w:divBdr>
        </w:div>
        <w:div w:id="1530753708">
          <w:marLeft w:val="0"/>
          <w:marRight w:val="0"/>
          <w:marTop w:val="0"/>
          <w:marBottom w:val="0"/>
          <w:divBdr>
            <w:top w:val="none" w:sz="0" w:space="0" w:color="auto"/>
            <w:left w:val="none" w:sz="0" w:space="0" w:color="auto"/>
            <w:bottom w:val="none" w:sz="0" w:space="0" w:color="auto"/>
            <w:right w:val="none" w:sz="0" w:space="0" w:color="auto"/>
          </w:divBdr>
        </w:div>
        <w:div w:id="1287739296">
          <w:marLeft w:val="0"/>
          <w:marRight w:val="0"/>
          <w:marTop w:val="0"/>
          <w:marBottom w:val="0"/>
          <w:divBdr>
            <w:top w:val="none" w:sz="0" w:space="0" w:color="auto"/>
            <w:left w:val="none" w:sz="0" w:space="0" w:color="auto"/>
            <w:bottom w:val="none" w:sz="0" w:space="0" w:color="auto"/>
            <w:right w:val="none" w:sz="0" w:space="0" w:color="auto"/>
          </w:divBdr>
        </w:div>
        <w:div w:id="1205294349">
          <w:marLeft w:val="0"/>
          <w:marRight w:val="0"/>
          <w:marTop w:val="0"/>
          <w:marBottom w:val="0"/>
          <w:divBdr>
            <w:top w:val="none" w:sz="0" w:space="0" w:color="auto"/>
            <w:left w:val="none" w:sz="0" w:space="0" w:color="auto"/>
            <w:bottom w:val="none" w:sz="0" w:space="0" w:color="auto"/>
            <w:right w:val="none" w:sz="0" w:space="0" w:color="auto"/>
          </w:divBdr>
        </w:div>
        <w:div w:id="1657955951">
          <w:marLeft w:val="0"/>
          <w:marRight w:val="0"/>
          <w:marTop w:val="0"/>
          <w:marBottom w:val="0"/>
          <w:divBdr>
            <w:top w:val="none" w:sz="0" w:space="0" w:color="auto"/>
            <w:left w:val="none" w:sz="0" w:space="0" w:color="auto"/>
            <w:bottom w:val="none" w:sz="0" w:space="0" w:color="auto"/>
            <w:right w:val="none" w:sz="0" w:space="0" w:color="auto"/>
          </w:divBdr>
        </w:div>
        <w:div w:id="1241909912">
          <w:marLeft w:val="0"/>
          <w:marRight w:val="0"/>
          <w:marTop w:val="0"/>
          <w:marBottom w:val="0"/>
          <w:divBdr>
            <w:top w:val="none" w:sz="0" w:space="0" w:color="auto"/>
            <w:left w:val="none" w:sz="0" w:space="0" w:color="auto"/>
            <w:bottom w:val="none" w:sz="0" w:space="0" w:color="auto"/>
            <w:right w:val="none" w:sz="0" w:space="0" w:color="auto"/>
          </w:divBdr>
        </w:div>
      </w:divsChild>
    </w:div>
    <w:div w:id="20036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ilium.europa.eu/fr/press/press-releases/2016/09/16-bratislava-declaration-and-roadma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commission/publications/president-junckers-political-guidelines_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WTPCSN73YJ26-5-5086</_dlc_DocId>
    <_dlc_DocIdUrl xmlns="8a3471f6-0f36-4ccf-b5ee-1ca67ea797ef">
      <Url>http://dm/EESC/2017/_layouts/DocIdRedir.aspx?ID=WTPCSN73YJ26-5-5086</Url>
      <Description>WTPCSN73YJ26-5-5086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1332135-b17a-446f-a1ae-f2f9eb486b6d"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cumentNumber xmlns="d1332135-b17a-446f-a1ae-f2f9eb486b6d">2833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17</Value>
      <Value>37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6610</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Direction A - Planification législative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F2E69B9A178FF4F86235F65FC497A74" ma:contentTypeVersion="4" ma:contentTypeDescription="Defines the documents for Document Manager V2" ma:contentTypeScope="" ma:versionID="7c76dc00318021c4131402d5d550c55a">
  <xsd:schema xmlns:xsd="http://www.w3.org/2001/XMLSchema" xmlns:xs="http://www.w3.org/2001/XMLSchema" xmlns:p="http://schemas.microsoft.com/office/2006/metadata/properties" xmlns:ns2="8a3471f6-0f36-4ccf-b5ee-1ca67ea797ef" xmlns:ns3="http://schemas.microsoft.com/sharepoint/v3/fields" xmlns:ns4="d1332135-b17a-446f-a1ae-f2f9eb486b6d" targetNamespace="http://schemas.microsoft.com/office/2006/metadata/properties" ma:root="true" ma:fieldsID="328337ce365f822503f6772e098c50a7" ns2:_="" ns3:_="" ns4:_="">
    <xsd:import namespace="8a3471f6-0f36-4ccf-b5ee-1ca67ea797ef"/>
    <xsd:import namespace="http://schemas.microsoft.com/sharepoint/v3/fields"/>
    <xsd:import namespace="d1332135-b17a-446f-a1ae-f2f9eb48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332135-b17a-446f-a1ae-f2f9eb486b6d"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848C2-A2CE-4668-A084-5BA3E1E1E343}">
  <ds:schemaRefs>
    <ds:schemaRef ds:uri="http://schemas.microsoft.com/sharepoint/v3/contenttype/forms"/>
  </ds:schemaRefs>
</ds:datastoreItem>
</file>

<file path=customXml/itemProps2.xml><?xml version="1.0" encoding="utf-8"?>
<ds:datastoreItem xmlns:ds="http://schemas.openxmlformats.org/officeDocument/2006/customXml" ds:itemID="{47AB29DF-AEB5-468C-BA9C-94BA9C742571}">
  <ds:schemaRefs>
    <ds:schemaRef ds:uri="http://schemas.microsoft.com/sharepoint/events"/>
  </ds:schemaRefs>
</ds:datastoreItem>
</file>

<file path=customXml/itemProps3.xml><?xml version="1.0" encoding="utf-8"?>
<ds:datastoreItem xmlns:ds="http://schemas.openxmlformats.org/officeDocument/2006/customXml" ds:itemID="{7FF0C4E5-FCBA-4D0D-B4DE-F6B16E65FF0B}">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d1332135-b17a-446f-a1ae-f2f9eb486b6d"/>
  </ds:schemaRefs>
</ds:datastoreItem>
</file>

<file path=customXml/itemProps4.xml><?xml version="1.0" encoding="utf-8"?>
<ds:datastoreItem xmlns:ds="http://schemas.openxmlformats.org/officeDocument/2006/customXml" ds:itemID="{E8C6D556-9FCB-436A-A806-69ABDAA9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d1332135-b17a-446f-a1ae-f2f9eb48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Livre Blanc - Rapport Roumanie - futur de l'Europe</vt:lpstr>
    </vt:vector>
  </TitlesOfParts>
  <Company>CESE-CdR</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Blanc - Rapport Roumanie - futur de l'Europe</dc:title>
  <dc:subject>Travaux consultatifs divers</dc:subject>
  <dc:creator>Bianca Cozar</dc:creator>
  <cp:keywords>EESC-2017-02833-00-00-TCD-TRA-FR</cp:keywords>
  <dc:description>Rapporteur : -_x000d_
Langue originale : RO_x000d_
Date du document : 19/06/2017_x000d_
Date de la réunion : _x000d_
Documents externes : -_x000d_
Fonctionnaire responsable : Popescu Andrei, téléphone : + 2 546 9186_x000d_
_x000d_
Résumé :</dc:description>
  <cp:lastModifiedBy>Andrei Popescu</cp:lastModifiedBy>
  <cp:revision>3</cp:revision>
  <cp:lastPrinted>2017-06-09T07:38:00Z</cp:lastPrinted>
  <dcterms:created xsi:type="dcterms:W3CDTF">2017-06-19T11:10:00Z</dcterms:created>
  <dcterms:modified xsi:type="dcterms:W3CDTF">2017-06-19T12:56:00Z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12/06/2017</vt:lpwstr>
  </property>
  <property fmtid="{D5CDD505-2E9C-101B-9397-08002B2CF9AE}" pid="4" name="Pref_Time">
    <vt:lpwstr>11:16:06</vt:lpwstr>
  </property>
  <property fmtid="{D5CDD505-2E9C-101B-9397-08002B2CF9AE}" pid="5" name="Pref_User">
    <vt:lpwstr>hnic</vt:lpwstr>
  </property>
  <property fmtid="{D5CDD505-2E9C-101B-9397-08002B2CF9AE}" pid="6" name="Pref_FileName">
    <vt:lpwstr>EESC-2017-02833-00-00-TCD-TRA-RO-CRR.docx</vt:lpwstr>
  </property>
  <property fmtid="{D5CDD505-2E9C-101B-9397-08002B2CF9AE}" pid="7" name="ContentTypeId">
    <vt:lpwstr>0x010100EA97B91038054C99906057A708A1480A003F2E69B9A178FF4F86235F65FC497A74</vt:lpwstr>
  </property>
  <property fmtid="{D5CDD505-2E9C-101B-9397-08002B2CF9AE}" pid="8" name="_dlc_DocIdItemGuid">
    <vt:lpwstr>0313173f-b358-49d1-b58d-cfec6d58eaea</vt:lpwstr>
  </property>
  <property fmtid="{D5CDD505-2E9C-101B-9397-08002B2CF9AE}" pid="9" name="DocumentType_0">
    <vt:lpwstr>TCD|cd9d6eb6-3f4f-424a-b2d1-57c9d450eaaf</vt:lpwstr>
  </property>
  <property fmtid="{D5CDD505-2E9C-101B-9397-08002B2CF9AE}" pid="10" name="AvailableTranslations">
    <vt:lpwstr>37;#RO|feb747a2-64cd-4299-af12-4833ddc30497;#8;#FR|d2afafd3-4c81-4f60-8f52-ee33f2f54ff3;#4;#EN|f2175f21-25d7-44a3-96da-d6a61b075e1b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2833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Direction A - Planification législative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37;#RO|feb747a2-64cd-4299-af12-4833ddc30497</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RO|feb747a2-64cd-4299-af12-4833ddc30497</vt:lpwstr>
  </property>
  <property fmtid="{D5CDD505-2E9C-101B-9397-08002B2CF9AE}" pid="29" name="TaxCatchAll">
    <vt:lpwstr>4;#EN|f2175f21-25d7-44a3-96da-d6a61b075e1b;#6;#Final|ea5e6674-7b27-4bac-b091-73adbb394efe;#17;#TCD|cd9d6eb6-3f4f-424a-b2d1-57c9d450eaaf;#5;#Unrestricted|826e22d7-d029-4ec0-a450-0c28ff673572;#37;#RO|feb747a2-64cd-4299-af12-4833ddc30497;#2;#TRA|150d2a88-143</vt:lpwstr>
  </property>
  <property fmtid="{D5CDD505-2E9C-101B-9397-08002B2CF9AE}" pid="30" name="AvailableTranslations_0">
    <vt:lpwstr>RO|feb747a2-64cd-4299-af12-4833ddc30497;EN|f2175f21-25d7-44a3-96da-d6a61b075e1b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6610</vt:i4>
  </property>
  <property fmtid="{D5CDD505-2E9C-101B-9397-08002B2CF9AE}" pid="34" name="DocumentYear">
    <vt:i4>2017</vt:i4>
  </property>
  <property fmtid="{D5CDD505-2E9C-101B-9397-08002B2CF9AE}" pid="35" name="DocumentLanguage">
    <vt:lpwstr>8;#FR|d2afafd3-4c81-4f60-8f52-ee33f2f54ff3</vt:lpwstr>
  </property>
</Properties>
</file>