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28" w:rsidRPr="00E367BD" w:rsidRDefault="00C32F28" w:rsidP="00635837">
      <w:pPr>
        <w:jc w:val="center"/>
        <w:rPr>
          <w:rFonts w:ascii="Times New Roman" w:hAnsi="Times New Roman" w:cs="Times New Roman"/>
          <w:b/>
          <w:sz w:val="24"/>
          <w:szCs w:val="24"/>
        </w:rPr>
      </w:pPr>
      <w:r w:rsidRPr="00E367BD">
        <w:rPr>
          <w:rFonts w:ascii="Times New Roman" w:hAnsi="Times New Roman" w:cs="Times New Roman"/>
          <w:noProof/>
          <w:sz w:val="24"/>
          <w:szCs w:val="24"/>
          <w:lang w:val="en-GB" w:eastAsia="en-GB"/>
        </w:rPr>
        <w:drawing>
          <wp:inline distT="0" distB="0" distL="0" distR="0" wp14:anchorId="10400724" wp14:editId="035EAB20">
            <wp:extent cx="2973788" cy="1184745"/>
            <wp:effectExtent l="0" t="0" r="0" b="0"/>
            <wp:docPr id="2" name="Picture 2"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130" cy="1185678"/>
                    </a:xfrm>
                    <a:prstGeom prst="rect">
                      <a:avLst/>
                    </a:prstGeom>
                    <a:noFill/>
                    <a:ln>
                      <a:noFill/>
                    </a:ln>
                  </pic:spPr>
                </pic:pic>
              </a:graphicData>
            </a:graphic>
          </wp:inline>
        </w:drawing>
      </w:r>
    </w:p>
    <w:p w:rsidR="00C32F28" w:rsidRPr="00E367BD" w:rsidRDefault="00C32F28" w:rsidP="00E367BD">
      <w:pPr>
        <w:jc w:val="both"/>
        <w:rPr>
          <w:rFonts w:ascii="Times New Roman" w:hAnsi="Times New Roman" w:cs="Times New Roman"/>
          <w:b/>
          <w:sz w:val="24"/>
          <w:szCs w:val="24"/>
        </w:rPr>
      </w:pPr>
    </w:p>
    <w:p w:rsidR="00C32F28" w:rsidRPr="00E367BD" w:rsidRDefault="00C32F28" w:rsidP="00E367BD">
      <w:pPr>
        <w:jc w:val="center"/>
        <w:rPr>
          <w:rFonts w:ascii="Times New Roman" w:hAnsi="Times New Roman" w:cs="Times New Roman"/>
          <w:b/>
          <w:sz w:val="24"/>
          <w:szCs w:val="24"/>
        </w:rPr>
      </w:pPr>
      <w:r w:rsidRPr="00E367BD">
        <w:rPr>
          <w:rFonts w:ascii="Times New Roman" w:hAnsi="Times New Roman" w:cs="Times New Roman"/>
          <w:b/>
          <w:sz w:val="24"/>
          <w:szCs w:val="24"/>
        </w:rPr>
        <w:t>2</w:t>
      </w:r>
      <w:r w:rsidRPr="00E367BD">
        <w:rPr>
          <w:rFonts w:ascii="Times New Roman" w:hAnsi="Times New Roman" w:cs="Times New Roman"/>
          <w:b/>
          <w:sz w:val="24"/>
          <w:szCs w:val="24"/>
          <w:vertAlign w:val="superscript"/>
        </w:rPr>
        <w:t>nd</w:t>
      </w:r>
      <w:r w:rsidRPr="00E367BD">
        <w:rPr>
          <w:rFonts w:ascii="Times New Roman" w:hAnsi="Times New Roman" w:cs="Times New Roman"/>
          <w:b/>
          <w:sz w:val="24"/>
          <w:szCs w:val="24"/>
        </w:rPr>
        <w:t xml:space="preserve"> meeting of the EU-Georgia Civil Society Platform</w:t>
      </w:r>
    </w:p>
    <w:p w:rsidR="00C32F28" w:rsidRPr="00E367BD" w:rsidRDefault="00C32F28" w:rsidP="00E367BD">
      <w:pPr>
        <w:jc w:val="center"/>
        <w:rPr>
          <w:rFonts w:ascii="Times New Roman" w:hAnsi="Times New Roman" w:cs="Times New Roman"/>
          <w:b/>
          <w:sz w:val="24"/>
          <w:szCs w:val="24"/>
        </w:rPr>
      </w:pPr>
      <w:r w:rsidRPr="00E367BD">
        <w:rPr>
          <w:rFonts w:ascii="Times New Roman" w:hAnsi="Times New Roman" w:cs="Times New Roman"/>
          <w:b/>
          <w:i/>
          <w:sz w:val="24"/>
          <w:szCs w:val="24"/>
        </w:rPr>
        <w:t>Brussels, 16 February 2017</w:t>
      </w:r>
    </w:p>
    <w:p w:rsidR="00C32F28" w:rsidRPr="00E367BD" w:rsidRDefault="00C32F28" w:rsidP="00E367BD">
      <w:pPr>
        <w:jc w:val="both"/>
        <w:rPr>
          <w:rFonts w:ascii="Times New Roman" w:hAnsi="Times New Roman" w:cs="Times New Roman"/>
          <w:b/>
          <w:sz w:val="24"/>
          <w:szCs w:val="24"/>
        </w:rPr>
      </w:pPr>
    </w:p>
    <w:p w:rsidR="00C32F28" w:rsidRPr="00E367BD" w:rsidRDefault="00C32F28" w:rsidP="00EE0B86">
      <w:pPr>
        <w:jc w:val="center"/>
        <w:rPr>
          <w:rFonts w:ascii="Times New Roman" w:hAnsi="Times New Roman" w:cs="Times New Roman"/>
          <w:b/>
          <w:sz w:val="24"/>
          <w:szCs w:val="24"/>
          <w:u w:val="single"/>
        </w:rPr>
      </w:pPr>
      <w:r w:rsidRPr="00E367BD">
        <w:rPr>
          <w:rFonts w:ascii="Times New Roman" w:hAnsi="Times New Roman" w:cs="Times New Roman"/>
          <w:b/>
          <w:sz w:val="24"/>
          <w:szCs w:val="24"/>
          <w:u w:val="single"/>
        </w:rPr>
        <w:t>EQUAL OPPORTUNITIES FOR MEN AND WOMEN IN THE LABOUR MARKET IN THE CONTEXT OF THE EU-GEORGIA ASSOCIATION AGREEMENT</w:t>
      </w:r>
    </w:p>
    <w:p w:rsidR="00C32F28" w:rsidRPr="00E367BD" w:rsidRDefault="00C32F28" w:rsidP="00E367BD">
      <w:pPr>
        <w:jc w:val="both"/>
        <w:rPr>
          <w:rFonts w:ascii="Times New Roman" w:hAnsi="Times New Roman" w:cs="Times New Roman"/>
          <w:sz w:val="24"/>
          <w:szCs w:val="24"/>
        </w:rPr>
      </w:pPr>
    </w:p>
    <w:p w:rsidR="00C32F28" w:rsidRPr="00E367BD" w:rsidRDefault="00C32F28" w:rsidP="00E367BD">
      <w:pPr>
        <w:jc w:val="both"/>
        <w:rPr>
          <w:rFonts w:ascii="Times New Roman" w:hAnsi="Times New Roman" w:cs="Times New Roman"/>
          <w:noProof/>
          <w:sz w:val="24"/>
          <w:szCs w:val="24"/>
        </w:rPr>
      </w:pPr>
      <w:r w:rsidRPr="00E367BD">
        <w:rPr>
          <w:rFonts w:ascii="Times New Roman" w:hAnsi="Times New Roman" w:cs="Times New Roman"/>
          <w:b/>
          <w:i/>
          <w:sz w:val="24"/>
          <w:szCs w:val="24"/>
        </w:rPr>
        <w:t xml:space="preserve">Drafted by: </w:t>
      </w:r>
      <w:r w:rsidRPr="00E367BD">
        <w:rPr>
          <w:rFonts w:ascii="Times New Roman" w:hAnsi="Times New Roman" w:cs="Times New Roman"/>
          <w:b/>
          <w:i/>
          <w:color w:val="000000"/>
          <w:sz w:val="24"/>
          <w:szCs w:val="24"/>
        </w:rPr>
        <w:t>Ana Natsvlishvili, chairwoman of Georgian Young Lawyers’ Association (GYLA)</w:t>
      </w:r>
    </w:p>
    <w:p w:rsidR="00AF0E8A" w:rsidRDefault="00AF0E8A" w:rsidP="00E367BD">
      <w:pPr>
        <w:jc w:val="both"/>
        <w:rPr>
          <w:rFonts w:ascii="Times New Roman" w:hAnsi="Times New Roman" w:cs="Times New Roman"/>
          <w:sz w:val="24"/>
          <w:szCs w:val="24"/>
        </w:rPr>
      </w:pPr>
    </w:p>
    <w:p w:rsidR="00C32F28" w:rsidRPr="00E367BD" w:rsidRDefault="00C32F28" w:rsidP="00E367BD">
      <w:pPr>
        <w:jc w:val="both"/>
        <w:rPr>
          <w:rFonts w:ascii="Times New Roman" w:hAnsi="Times New Roman" w:cs="Times New Roman"/>
          <w:sz w:val="24"/>
          <w:szCs w:val="24"/>
        </w:rPr>
      </w:pPr>
      <w:r w:rsidRPr="00E367BD">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1" locked="0" layoutInCell="0" allowOverlap="1" wp14:anchorId="7486CB11" wp14:editId="72294BFA">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28" w:rsidRPr="00260E65" w:rsidRDefault="00C32F28" w:rsidP="00C32F28">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D7A332" id="_x0000_t202" coordsize="21600,21600" o:spt="202" path="m,l,21600r21600,l21600,xe">
                <v:stroke joinstyle="miter"/>
                <v:path gradientshapeok="t" o:connecttype="rect"/>
              </v:shapetype>
              <v:shape id="Text Box 2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J/4ALYCAAC5&#10;BQAADgAAAAAAAAAAAAAAAAAuAgAAZHJzL2Uyb0RvYy54bWxQSwECLQAUAAYACAAAACEA61QxWt4A&#10;AAAPAQAADwAAAAAAAAAAAAAAAAAQBQAAZHJzL2Rvd25yZXYueG1sUEsFBgAAAAAEAAQA8wAAABsG&#10;AAAAAA==&#10;" o:allowincell="f" filled="f" stroked="f">
                <v:textbox>
                  <w:txbxContent>
                    <w:p w:rsidR="00C32F28" w:rsidRPr="00260E65" w:rsidRDefault="00C32F28" w:rsidP="00C32F28">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C32F28" w:rsidRPr="00E367BD" w:rsidRDefault="00C32F28" w:rsidP="00E367BD">
      <w:pPr>
        <w:jc w:val="both"/>
        <w:rPr>
          <w:rFonts w:ascii="Times New Roman" w:hAnsi="Times New Roman" w:cs="Times New Roman"/>
          <w:b/>
          <w:sz w:val="24"/>
          <w:szCs w:val="24"/>
        </w:rPr>
      </w:pPr>
      <w:r w:rsidRPr="00E367BD">
        <w:rPr>
          <w:rFonts w:ascii="Times New Roman" w:hAnsi="Times New Roman" w:cs="Times New Roman"/>
          <w:b/>
          <w:sz w:val="24"/>
          <w:szCs w:val="24"/>
        </w:rPr>
        <w:t>Introduction</w:t>
      </w:r>
    </w:p>
    <w:p w:rsidR="00FF4F70" w:rsidRDefault="00AE0032" w:rsidP="00E367BD">
      <w:pPr>
        <w:jc w:val="both"/>
        <w:rPr>
          <w:rFonts w:ascii="Times New Roman" w:hAnsi="Times New Roman" w:cs="Times New Roman"/>
          <w:sz w:val="24"/>
          <w:szCs w:val="24"/>
        </w:rPr>
      </w:pPr>
      <w:r w:rsidRPr="00E367BD">
        <w:rPr>
          <w:rFonts w:ascii="Times New Roman" w:hAnsi="Times New Roman" w:cs="Times New Roman"/>
          <w:sz w:val="24"/>
          <w:szCs w:val="24"/>
        </w:rPr>
        <w:t>Equality between men and women is enshri</w:t>
      </w:r>
      <w:r w:rsidR="00C32F28" w:rsidRPr="00E367BD">
        <w:rPr>
          <w:rFonts w:ascii="Times New Roman" w:hAnsi="Times New Roman" w:cs="Times New Roman"/>
          <w:sz w:val="24"/>
          <w:szCs w:val="24"/>
        </w:rPr>
        <w:t xml:space="preserve">ned in the Constitution </w:t>
      </w:r>
      <w:r w:rsidRPr="00E367BD">
        <w:rPr>
          <w:rFonts w:ascii="Times New Roman" w:hAnsi="Times New Roman" w:cs="Times New Roman"/>
          <w:sz w:val="24"/>
          <w:szCs w:val="24"/>
        </w:rPr>
        <w:t>(of 1995), as well as laws and number of policies and strategies</w:t>
      </w:r>
      <w:r w:rsidR="00C32F28" w:rsidRPr="00E367BD">
        <w:rPr>
          <w:rFonts w:ascii="Times New Roman" w:hAnsi="Times New Roman" w:cs="Times New Roman"/>
          <w:sz w:val="24"/>
          <w:szCs w:val="24"/>
        </w:rPr>
        <w:t xml:space="preserve"> in Georgia</w:t>
      </w:r>
      <w:r w:rsidR="00733E0C">
        <w:rPr>
          <w:rFonts w:ascii="Times New Roman" w:hAnsi="Times New Roman" w:cs="Times New Roman"/>
          <w:sz w:val="24"/>
          <w:szCs w:val="24"/>
        </w:rPr>
        <w:t xml:space="preserve"> (</w:t>
      </w:r>
      <w:r w:rsidR="00733E0C" w:rsidRPr="00733E0C">
        <w:rPr>
          <w:rFonts w:ascii="Times New Roman" w:hAnsi="Times New Roman" w:cs="Times New Roman"/>
          <w:i/>
          <w:sz w:val="24"/>
          <w:szCs w:val="24"/>
        </w:rPr>
        <w:t>see</w:t>
      </w:r>
      <w:r w:rsidR="00733E0C">
        <w:rPr>
          <w:rFonts w:ascii="Times New Roman" w:hAnsi="Times New Roman" w:cs="Times New Roman"/>
          <w:sz w:val="24"/>
          <w:szCs w:val="24"/>
        </w:rPr>
        <w:t xml:space="preserve"> Annex).</w:t>
      </w:r>
      <w:r w:rsidRPr="00E367BD">
        <w:rPr>
          <w:rFonts w:ascii="Times New Roman" w:hAnsi="Times New Roman" w:cs="Times New Roman"/>
          <w:sz w:val="24"/>
          <w:szCs w:val="24"/>
        </w:rPr>
        <w:t xml:space="preserve"> </w:t>
      </w:r>
      <w:r w:rsidR="00572999" w:rsidRPr="00E367BD">
        <w:rPr>
          <w:rFonts w:ascii="Times New Roman" w:hAnsi="Times New Roman" w:cs="Times New Roman"/>
          <w:sz w:val="24"/>
          <w:szCs w:val="24"/>
        </w:rPr>
        <w:t xml:space="preserve">The progress </w:t>
      </w:r>
      <w:r w:rsidR="00C32F28" w:rsidRPr="00E367BD">
        <w:rPr>
          <w:rFonts w:ascii="Times New Roman" w:hAnsi="Times New Roman" w:cs="Times New Roman"/>
          <w:sz w:val="24"/>
          <w:szCs w:val="24"/>
        </w:rPr>
        <w:t>the country</w:t>
      </w:r>
      <w:r w:rsidR="00572999" w:rsidRPr="00E367BD">
        <w:rPr>
          <w:rFonts w:ascii="Times New Roman" w:hAnsi="Times New Roman" w:cs="Times New Roman"/>
          <w:sz w:val="24"/>
          <w:szCs w:val="24"/>
        </w:rPr>
        <w:t xml:space="preserve"> has made in setting up and refining its legislative and policy frameworks has been widely acknowledged nationally</w:t>
      </w:r>
      <w:r w:rsidR="00733E0C">
        <w:rPr>
          <w:rStyle w:val="FootnoteReference"/>
          <w:rFonts w:ascii="Times New Roman" w:hAnsi="Times New Roman" w:cs="Times New Roman"/>
          <w:sz w:val="24"/>
          <w:szCs w:val="24"/>
        </w:rPr>
        <w:footnoteReference w:id="1"/>
      </w:r>
      <w:r w:rsidR="00572999" w:rsidRPr="00E367BD">
        <w:rPr>
          <w:rFonts w:ascii="Times New Roman" w:hAnsi="Times New Roman" w:cs="Times New Roman"/>
          <w:sz w:val="24"/>
          <w:szCs w:val="24"/>
        </w:rPr>
        <w:t xml:space="preserve"> as well as internationally.</w:t>
      </w:r>
      <w:r w:rsidR="00572999" w:rsidRPr="00E367BD">
        <w:rPr>
          <w:rStyle w:val="FootnoteReference"/>
          <w:rFonts w:ascii="Times New Roman" w:hAnsi="Times New Roman" w:cs="Times New Roman"/>
          <w:sz w:val="24"/>
          <w:szCs w:val="24"/>
        </w:rPr>
        <w:footnoteReference w:id="2"/>
      </w:r>
      <w:r w:rsidR="00572999" w:rsidRPr="00E367BD">
        <w:rPr>
          <w:rFonts w:ascii="Times New Roman" w:hAnsi="Times New Roman" w:cs="Times New Roman"/>
          <w:sz w:val="24"/>
          <w:szCs w:val="24"/>
        </w:rPr>
        <w:t xml:space="preserve"> Nevertheless</w:t>
      </w:r>
      <w:r w:rsidR="00C32F28" w:rsidRPr="00E367BD">
        <w:rPr>
          <w:rFonts w:ascii="Times New Roman" w:hAnsi="Times New Roman" w:cs="Times New Roman"/>
          <w:sz w:val="24"/>
          <w:szCs w:val="24"/>
        </w:rPr>
        <w:t>, in terms of practice,</w:t>
      </w:r>
      <w:r w:rsidR="00572999" w:rsidRPr="00E367BD">
        <w:rPr>
          <w:rFonts w:ascii="Times New Roman" w:hAnsi="Times New Roman" w:cs="Times New Roman"/>
          <w:sz w:val="24"/>
          <w:szCs w:val="24"/>
        </w:rPr>
        <w:t xml:space="preserve"> gender equality in almost all fields of life remains a considerable challenge for Georgia and a daily struggle for women and women’s rights activists here. </w:t>
      </w:r>
      <w:r w:rsidR="00C32F28" w:rsidRPr="00E367BD">
        <w:rPr>
          <w:rFonts w:ascii="Times New Roman" w:hAnsi="Times New Roman" w:cs="Times New Roman"/>
          <w:sz w:val="24"/>
          <w:szCs w:val="24"/>
        </w:rPr>
        <w:t>E</w:t>
      </w:r>
      <w:r w:rsidR="00572999" w:rsidRPr="00E367BD">
        <w:rPr>
          <w:rFonts w:ascii="Times New Roman" w:hAnsi="Times New Roman" w:cs="Times New Roman"/>
          <w:sz w:val="24"/>
          <w:szCs w:val="24"/>
        </w:rPr>
        <w:t xml:space="preserve">ffective implementation of those laws and policies remains poor, </w:t>
      </w:r>
      <w:r w:rsidR="00C32F28" w:rsidRPr="00E367BD">
        <w:rPr>
          <w:rFonts w:ascii="Times New Roman" w:hAnsi="Times New Roman" w:cs="Times New Roman"/>
          <w:sz w:val="24"/>
          <w:szCs w:val="24"/>
        </w:rPr>
        <w:t>there is low public awareness about existing provisions and no</w:t>
      </w:r>
      <w:r w:rsidR="00572999" w:rsidRPr="00E367BD">
        <w:rPr>
          <w:rFonts w:ascii="Times New Roman" w:hAnsi="Times New Roman" w:cs="Times New Roman"/>
          <w:sz w:val="24"/>
          <w:szCs w:val="24"/>
        </w:rPr>
        <w:t xml:space="preserve"> effective enforcement mechanisms.</w:t>
      </w:r>
      <w:r w:rsidR="00572999" w:rsidRPr="00E367BD">
        <w:rPr>
          <w:rStyle w:val="FootnoteReference"/>
          <w:rFonts w:ascii="Times New Roman" w:hAnsi="Times New Roman" w:cs="Times New Roman"/>
          <w:sz w:val="24"/>
          <w:szCs w:val="24"/>
        </w:rPr>
        <w:footnoteReference w:id="3"/>
      </w:r>
      <w:r w:rsidR="00572999" w:rsidRPr="00E367BD">
        <w:rPr>
          <w:rFonts w:ascii="Times New Roman" w:hAnsi="Times New Roman" w:cs="Times New Roman"/>
          <w:sz w:val="24"/>
          <w:szCs w:val="24"/>
        </w:rPr>
        <w:t xml:space="preserve"> The situation in a number of spheres</w:t>
      </w:r>
      <w:r w:rsidR="0004327A" w:rsidRPr="00E367BD">
        <w:rPr>
          <w:rFonts w:ascii="Times New Roman" w:hAnsi="Times New Roman" w:cs="Times New Roman"/>
          <w:sz w:val="24"/>
          <w:szCs w:val="24"/>
        </w:rPr>
        <w:t xml:space="preserve">, including </w:t>
      </w:r>
      <w:r w:rsidR="00C32F28" w:rsidRPr="00E367BD">
        <w:rPr>
          <w:rFonts w:ascii="Times New Roman" w:hAnsi="Times New Roman" w:cs="Times New Roman"/>
          <w:sz w:val="24"/>
          <w:szCs w:val="24"/>
        </w:rPr>
        <w:t xml:space="preserve">gender equality in the labour market and </w:t>
      </w:r>
      <w:r w:rsidR="0004327A" w:rsidRPr="00E367BD">
        <w:rPr>
          <w:rFonts w:ascii="Times New Roman" w:hAnsi="Times New Roman" w:cs="Times New Roman"/>
          <w:sz w:val="24"/>
          <w:szCs w:val="24"/>
        </w:rPr>
        <w:t>work rights,</w:t>
      </w:r>
      <w:r w:rsidR="00572999" w:rsidRPr="00E367BD">
        <w:rPr>
          <w:rFonts w:ascii="Times New Roman" w:hAnsi="Times New Roman" w:cs="Times New Roman"/>
          <w:sz w:val="24"/>
          <w:szCs w:val="24"/>
        </w:rPr>
        <w:t xml:space="preserve"> requires special attention.</w:t>
      </w:r>
    </w:p>
    <w:p w:rsidR="00AF0E8A" w:rsidRPr="006418CE" w:rsidRDefault="00733E0C" w:rsidP="00E367BD">
      <w:pPr>
        <w:jc w:val="both"/>
        <w:rPr>
          <w:rFonts w:ascii="Times New Roman" w:hAnsi="Times New Roman" w:cs="Times New Roman"/>
          <w:sz w:val="24"/>
          <w:szCs w:val="24"/>
        </w:rPr>
      </w:pPr>
      <w:r w:rsidRPr="006418CE">
        <w:rPr>
          <w:rFonts w:ascii="Times New Roman" w:hAnsi="Times New Roman" w:cs="Times New Roman"/>
          <w:sz w:val="24"/>
          <w:szCs w:val="24"/>
        </w:rPr>
        <w:t xml:space="preserve">Among Georgia’s other obligations and commitments, </w:t>
      </w:r>
      <w:r w:rsidR="006418CE" w:rsidRPr="006418CE">
        <w:rPr>
          <w:rFonts w:ascii="Times New Roman" w:hAnsi="Times New Roman" w:cs="Times New Roman"/>
          <w:sz w:val="24"/>
          <w:szCs w:val="24"/>
        </w:rPr>
        <w:t>enhancing "gender equality and ensuring equal treatment between women and men in social, political and economic life" is Georgia’s obligation under EU-Georgia Association Agreement.</w:t>
      </w:r>
    </w:p>
    <w:p w:rsidR="00C32F28" w:rsidRPr="00E367BD" w:rsidRDefault="00C32F28" w:rsidP="00E367BD">
      <w:pPr>
        <w:jc w:val="both"/>
        <w:rPr>
          <w:rFonts w:ascii="Times New Roman" w:hAnsi="Times New Roman" w:cs="Times New Roman"/>
          <w:b/>
          <w:sz w:val="24"/>
          <w:szCs w:val="24"/>
        </w:rPr>
      </w:pPr>
      <w:r w:rsidRPr="00E367BD">
        <w:rPr>
          <w:rFonts w:ascii="Times New Roman" w:hAnsi="Times New Roman" w:cs="Times New Roman"/>
          <w:b/>
          <w:sz w:val="24"/>
          <w:szCs w:val="24"/>
        </w:rPr>
        <w:lastRenderedPageBreak/>
        <w:t>General Context of Women</w:t>
      </w:r>
      <w:r w:rsidR="00263E07" w:rsidRPr="00E367BD">
        <w:rPr>
          <w:rFonts w:ascii="Times New Roman" w:hAnsi="Times New Roman" w:cs="Times New Roman"/>
          <w:b/>
          <w:sz w:val="24"/>
          <w:szCs w:val="24"/>
        </w:rPr>
        <w:t>’s Rights and Gender E</w:t>
      </w:r>
      <w:r w:rsidRPr="00E367BD">
        <w:rPr>
          <w:rFonts w:ascii="Times New Roman" w:hAnsi="Times New Roman" w:cs="Times New Roman"/>
          <w:b/>
          <w:sz w:val="24"/>
          <w:szCs w:val="24"/>
        </w:rPr>
        <w:t>quality in Georgia</w:t>
      </w:r>
    </w:p>
    <w:p w:rsidR="00397DAB" w:rsidRPr="00E367BD" w:rsidRDefault="00C32F28" w:rsidP="005F4F02">
      <w:pPr>
        <w:pStyle w:val="SingleTxtG"/>
        <w:ind w:left="0" w:right="4"/>
        <w:rPr>
          <w:bCs/>
        </w:rPr>
      </w:pPr>
      <w:r w:rsidRPr="00E367BD">
        <w:rPr>
          <w:lang w:val="en-US"/>
        </w:rPr>
        <w:t>Gender discrimination and v</w:t>
      </w:r>
      <w:r w:rsidR="0004327A" w:rsidRPr="00E367BD">
        <w:t>iolence</w:t>
      </w:r>
      <w:r w:rsidR="00263E07" w:rsidRPr="00E367BD">
        <w:t xml:space="preserve"> [VAW]</w:t>
      </w:r>
      <w:r w:rsidR="0004327A" w:rsidRPr="00E367BD">
        <w:t xml:space="preserve"> against women,</w:t>
      </w:r>
      <w:r w:rsidRPr="00E367BD">
        <w:t xml:space="preserve"> particularly,</w:t>
      </w:r>
      <w:r w:rsidR="0004327A" w:rsidRPr="00E367BD">
        <w:t xml:space="preserve"> </w:t>
      </w:r>
      <w:r w:rsidRPr="00E367BD">
        <w:t xml:space="preserve">domestic violence, including physical, sexual and psychological abuse, is still considered as a private matter and not a public concern in most parts of the country, and is hence </w:t>
      </w:r>
      <w:r w:rsidR="0004327A" w:rsidRPr="00E367BD">
        <w:t>widely and silen</w:t>
      </w:r>
      <w:r w:rsidRPr="00E367BD">
        <w:t>tly accepted by many in Georgia, owing to the persistence of entrenched patriarchal attitudes and gender stereotypes</w:t>
      </w:r>
      <w:r w:rsidR="00263E07" w:rsidRPr="00E367BD">
        <w:t xml:space="preserve"> regarding the roles and responsibilities of women and men in the family and in society. These are even further strengthened by the increased sexualization of women in the media, undermining women’s social status, participation in public life and professional careers.</w:t>
      </w:r>
      <w:r w:rsidR="00263E07" w:rsidRPr="00E367BD">
        <w:rPr>
          <w:rStyle w:val="FootnoteReference"/>
        </w:rPr>
        <w:footnoteReference w:id="4"/>
      </w:r>
      <w:r w:rsidR="00263E07" w:rsidRPr="00E367BD">
        <w:rPr>
          <w:rStyle w:val="FootnoteReference"/>
        </w:rPr>
        <w:t xml:space="preserve"> </w:t>
      </w:r>
      <w:r w:rsidR="00263E07" w:rsidRPr="00E367BD">
        <w:rPr>
          <w:rStyle w:val="FootnoteReference"/>
        </w:rPr>
        <w:footnoteReference w:id="5"/>
      </w:r>
    </w:p>
    <w:p w:rsidR="00263E07" w:rsidRPr="00E367BD" w:rsidRDefault="00263E07"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As further noted by the UN Special Rapporteur on Violence against Women, </w:t>
      </w:r>
    </w:p>
    <w:p w:rsidR="00397DAB" w:rsidRPr="00E367BD" w:rsidRDefault="00C32F28" w:rsidP="00E367BD">
      <w:pPr>
        <w:ind w:left="720"/>
        <w:jc w:val="both"/>
        <w:rPr>
          <w:rFonts w:ascii="Times New Roman" w:hAnsi="Times New Roman" w:cs="Times New Roman"/>
          <w:sz w:val="24"/>
          <w:szCs w:val="24"/>
          <w:lang w:val="en-GB"/>
        </w:rPr>
      </w:pPr>
      <w:r w:rsidRPr="00E367BD">
        <w:rPr>
          <w:rFonts w:ascii="Times New Roman" w:hAnsi="Times New Roman" w:cs="Times New Roman"/>
          <w:sz w:val="24"/>
          <w:szCs w:val="24"/>
        </w:rPr>
        <w:t>The incidence of domestic violence is still underreported, due to inter alia the lack of public awareness about this societal problem, the fear of retaliation and stigmatization, the lack of trust in law enforcement agencies, as well as the existing services and protection mechanisms for victims of violence.</w:t>
      </w:r>
      <w:r w:rsidRPr="00E367BD">
        <w:rPr>
          <w:rStyle w:val="FootnoteReference"/>
          <w:rFonts w:ascii="Times New Roman" w:hAnsi="Times New Roman" w:cs="Times New Roman"/>
          <w:sz w:val="24"/>
          <w:szCs w:val="24"/>
        </w:rPr>
        <w:footnoteReference w:id="6"/>
      </w:r>
      <w:r w:rsidR="00263E07" w:rsidRPr="00E367BD">
        <w:rPr>
          <w:rFonts w:ascii="Times New Roman" w:hAnsi="Times New Roman" w:cs="Times New Roman"/>
          <w:sz w:val="24"/>
          <w:szCs w:val="24"/>
        </w:rPr>
        <w:t xml:space="preserve"> </w:t>
      </w:r>
    </w:p>
    <w:p w:rsidR="006418CE" w:rsidRDefault="006418CE" w:rsidP="00E367BD">
      <w:pPr>
        <w:jc w:val="both"/>
        <w:rPr>
          <w:rFonts w:ascii="Times New Roman" w:hAnsi="Times New Roman" w:cs="Times New Roman"/>
          <w:b/>
          <w:i/>
          <w:sz w:val="24"/>
          <w:szCs w:val="24"/>
        </w:rPr>
      </w:pPr>
    </w:p>
    <w:p w:rsidR="00263E07" w:rsidRPr="00E367BD" w:rsidRDefault="00FF31D1" w:rsidP="00E367BD">
      <w:pPr>
        <w:jc w:val="both"/>
        <w:rPr>
          <w:rFonts w:ascii="Times New Roman" w:hAnsi="Times New Roman" w:cs="Times New Roman"/>
          <w:b/>
          <w:i/>
          <w:sz w:val="24"/>
          <w:szCs w:val="24"/>
        </w:rPr>
      </w:pPr>
      <w:r w:rsidRPr="00E367BD">
        <w:rPr>
          <w:rFonts w:ascii="Times New Roman" w:hAnsi="Times New Roman" w:cs="Times New Roman"/>
          <w:b/>
          <w:i/>
          <w:sz w:val="24"/>
          <w:szCs w:val="24"/>
        </w:rPr>
        <w:t>The Role of Economic F</w:t>
      </w:r>
      <w:r w:rsidR="00263E07" w:rsidRPr="00E367BD">
        <w:rPr>
          <w:rFonts w:ascii="Times New Roman" w:hAnsi="Times New Roman" w:cs="Times New Roman"/>
          <w:b/>
          <w:i/>
          <w:sz w:val="24"/>
          <w:szCs w:val="24"/>
        </w:rPr>
        <w:t xml:space="preserve">actors in </w:t>
      </w:r>
      <w:r w:rsidR="006418CE">
        <w:rPr>
          <w:rFonts w:ascii="Times New Roman" w:hAnsi="Times New Roman" w:cs="Times New Roman"/>
          <w:b/>
          <w:i/>
          <w:sz w:val="24"/>
          <w:szCs w:val="24"/>
        </w:rPr>
        <w:t xml:space="preserve">Gender Discrimination and </w:t>
      </w:r>
      <w:r w:rsidR="00263E07" w:rsidRPr="00E367BD">
        <w:rPr>
          <w:rFonts w:ascii="Times New Roman" w:hAnsi="Times New Roman" w:cs="Times New Roman"/>
          <w:b/>
          <w:i/>
          <w:sz w:val="24"/>
          <w:szCs w:val="24"/>
        </w:rPr>
        <w:t>VAW</w:t>
      </w:r>
    </w:p>
    <w:p w:rsidR="002F3C10" w:rsidRPr="00E367BD" w:rsidRDefault="0004327A"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In addition to strong gender stereotypes and conservative moors of the society, root causes of gender inequality and VAW often can </w:t>
      </w:r>
      <w:r w:rsidR="00263E07" w:rsidRPr="00E367BD">
        <w:rPr>
          <w:rFonts w:ascii="Times New Roman" w:hAnsi="Times New Roman" w:cs="Times New Roman"/>
          <w:sz w:val="24"/>
          <w:szCs w:val="24"/>
        </w:rPr>
        <w:t xml:space="preserve">often </w:t>
      </w:r>
      <w:r w:rsidRPr="00E367BD">
        <w:rPr>
          <w:rFonts w:ascii="Times New Roman" w:hAnsi="Times New Roman" w:cs="Times New Roman"/>
          <w:sz w:val="24"/>
          <w:szCs w:val="24"/>
        </w:rPr>
        <w:t>be traced in economic factors.</w:t>
      </w:r>
      <w:r w:rsidR="002F3C10" w:rsidRPr="00E367BD">
        <w:rPr>
          <w:rFonts w:ascii="Times New Roman" w:hAnsi="Times New Roman" w:cs="Times New Roman"/>
          <w:sz w:val="24"/>
          <w:szCs w:val="24"/>
        </w:rPr>
        <w:t xml:space="preserve"> </w:t>
      </w:r>
      <w:r w:rsidRPr="00E367BD">
        <w:rPr>
          <w:rFonts w:ascii="Times New Roman" w:hAnsi="Times New Roman" w:cs="Times New Roman"/>
          <w:sz w:val="24"/>
          <w:szCs w:val="24"/>
        </w:rPr>
        <w:t xml:space="preserve">Available evidence suggests a direct link between women’s economic independence with women’s safety and dignified life, and vice versa – women with better socio-economic conditions are less prone to violence and discrimination. </w:t>
      </w:r>
    </w:p>
    <w:p w:rsidR="00397DAB" w:rsidRPr="00E367BD" w:rsidRDefault="00397DAB"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As UN Special Rapporteur noted in her report about Georgia “ among the factors that most likely increase the risk of intimate-partner violence are discriminatory gender stereotypes and patriarchal attitudes, women’s low awareness of their rights, the occurrence of child and forced marriages and the lack </w:t>
      </w:r>
      <w:r w:rsidRPr="00E367BD">
        <w:rPr>
          <w:rFonts w:ascii="Times New Roman" w:hAnsi="Times New Roman" w:cs="Times New Roman"/>
          <w:b/>
          <w:sz w:val="24"/>
          <w:szCs w:val="24"/>
        </w:rPr>
        <w:t>of economic independence, among others.”</w:t>
      </w:r>
      <w:r w:rsidRPr="00E367BD">
        <w:rPr>
          <w:rStyle w:val="FootnoteReference"/>
          <w:rFonts w:ascii="Times New Roman" w:hAnsi="Times New Roman" w:cs="Times New Roman"/>
          <w:b/>
          <w:sz w:val="24"/>
          <w:szCs w:val="24"/>
        </w:rPr>
        <w:footnoteReference w:id="7"/>
      </w:r>
    </w:p>
    <w:p w:rsidR="00263E07" w:rsidRPr="00E367BD" w:rsidRDefault="0004327A" w:rsidP="00E367BD">
      <w:pPr>
        <w:jc w:val="both"/>
        <w:rPr>
          <w:rFonts w:ascii="Times New Roman" w:hAnsi="Times New Roman" w:cs="Times New Roman"/>
          <w:b/>
          <w:sz w:val="24"/>
          <w:szCs w:val="24"/>
        </w:rPr>
      </w:pPr>
      <w:r w:rsidRPr="00E367BD">
        <w:rPr>
          <w:rFonts w:ascii="Times New Roman" w:hAnsi="Times New Roman" w:cs="Times New Roman"/>
          <w:sz w:val="24"/>
          <w:szCs w:val="24"/>
        </w:rPr>
        <w:t xml:space="preserve">The most striking evidence of that link </w:t>
      </w:r>
      <w:r w:rsidR="00263E07" w:rsidRPr="00E367BD">
        <w:rPr>
          <w:rFonts w:ascii="Times New Roman" w:hAnsi="Times New Roman" w:cs="Times New Roman"/>
          <w:sz w:val="24"/>
          <w:szCs w:val="24"/>
        </w:rPr>
        <w:t xml:space="preserve">between gender discrimination/VAW and economic factors </w:t>
      </w:r>
      <w:r w:rsidRPr="00E367BD">
        <w:rPr>
          <w:rFonts w:ascii="Times New Roman" w:hAnsi="Times New Roman" w:cs="Times New Roman"/>
          <w:sz w:val="24"/>
          <w:szCs w:val="24"/>
        </w:rPr>
        <w:t>is the study carried out in Georgia about selective abortion</w:t>
      </w:r>
      <w:r w:rsidR="00397DAB" w:rsidRPr="00E367BD">
        <w:rPr>
          <w:rFonts w:ascii="Times New Roman" w:hAnsi="Times New Roman" w:cs="Times New Roman"/>
          <w:sz w:val="24"/>
          <w:szCs w:val="24"/>
        </w:rPr>
        <w:t xml:space="preserve"> [prenatal sex abortion]</w:t>
      </w:r>
      <w:r w:rsidR="00263E07" w:rsidRPr="00E367BD">
        <w:rPr>
          <w:rFonts w:ascii="Times New Roman" w:hAnsi="Times New Roman" w:cs="Times New Roman"/>
          <w:sz w:val="24"/>
          <w:szCs w:val="24"/>
        </w:rPr>
        <w:t>.</w:t>
      </w:r>
      <w:r w:rsidR="00397DAB" w:rsidRPr="00E367BD">
        <w:rPr>
          <w:rStyle w:val="FootnoteReference"/>
          <w:rFonts w:ascii="Times New Roman" w:hAnsi="Times New Roman" w:cs="Times New Roman"/>
          <w:sz w:val="24"/>
          <w:szCs w:val="24"/>
        </w:rPr>
        <w:footnoteReference w:id="8"/>
      </w:r>
      <w:r w:rsidRPr="00E367BD">
        <w:rPr>
          <w:rFonts w:ascii="Times New Roman" w:hAnsi="Times New Roman" w:cs="Times New Roman"/>
          <w:sz w:val="24"/>
          <w:szCs w:val="24"/>
        </w:rPr>
        <w:t xml:space="preserve"> </w:t>
      </w:r>
      <w:r w:rsidR="00263E07" w:rsidRPr="00E367BD">
        <w:rPr>
          <w:rFonts w:ascii="Times New Roman" w:hAnsi="Times New Roman" w:cs="Times New Roman"/>
          <w:sz w:val="24"/>
          <w:szCs w:val="24"/>
        </w:rPr>
        <w:t>The study</w:t>
      </w:r>
      <w:r w:rsidRPr="00E367BD">
        <w:rPr>
          <w:rFonts w:ascii="Times New Roman" w:hAnsi="Times New Roman" w:cs="Times New Roman"/>
          <w:sz w:val="24"/>
          <w:szCs w:val="24"/>
        </w:rPr>
        <w:t xml:space="preserve"> shows that </w:t>
      </w:r>
      <w:r w:rsidR="00397DAB" w:rsidRPr="00E367BD">
        <w:rPr>
          <w:rFonts w:ascii="Times New Roman" w:hAnsi="Times New Roman" w:cs="Times New Roman"/>
          <w:sz w:val="24"/>
          <w:szCs w:val="24"/>
        </w:rPr>
        <w:t>“a</w:t>
      </w:r>
      <w:r w:rsidRPr="00E367BD">
        <w:rPr>
          <w:rFonts w:ascii="Times New Roman" w:hAnsi="Times New Roman" w:cs="Times New Roman"/>
          <w:sz w:val="24"/>
          <w:szCs w:val="24"/>
        </w:rPr>
        <w:t xml:space="preserve">mong the reasons for which families decide to undergo a sex-selective abortion are the greater value placed on sons, the pressure on couples to have a son, as </w:t>
      </w:r>
      <w:r w:rsidRPr="00E367BD">
        <w:rPr>
          <w:rFonts w:ascii="Times New Roman" w:hAnsi="Times New Roman" w:cs="Times New Roman"/>
          <w:b/>
          <w:sz w:val="24"/>
          <w:szCs w:val="24"/>
        </w:rPr>
        <w:t>well as economic concerns, including the assumption that boys are more likely to provide financial support to their parents.</w:t>
      </w:r>
      <w:r w:rsidR="00397DAB" w:rsidRPr="00E367BD">
        <w:rPr>
          <w:rFonts w:ascii="Times New Roman" w:hAnsi="Times New Roman" w:cs="Times New Roman"/>
          <w:b/>
          <w:sz w:val="24"/>
          <w:szCs w:val="24"/>
        </w:rPr>
        <w:t>”</w:t>
      </w:r>
      <w:r w:rsidRPr="00E367BD">
        <w:rPr>
          <w:rStyle w:val="FootnoteReference"/>
          <w:rFonts w:ascii="Times New Roman" w:hAnsi="Times New Roman" w:cs="Times New Roman"/>
          <w:b/>
          <w:sz w:val="24"/>
          <w:szCs w:val="24"/>
        </w:rPr>
        <w:footnoteReference w:id="9"/>
      </w:r>
      <w:r w:rsidR="00263E07" w:rsidRPr="00E367BD">
        <w:rPr>
          <w:rFonts w:ascii="Times New Roman" w:hAnsi="Times New Roman" w:cs="Times New Roman"/>
          <w:b/>
          <w:sz w:val="24"/>
          <w:szCs w:val="24"/>
        </w:rPr>
        <w:t xml:space="preserve"> </w:t>
      </w:r>
    </w:p>
    <w:p w:rsidR="00263E07" w:rsidRPr="00E367BD" w:rsidRDefault="00397DAB"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According to the Public Defender’s special report on </w:t>
      </w:r>
      <w:r w:rsidR="00263E07" w:rsidRPr="00E367BD">
        <w:rPr>
          <w:rFonts w:ascii="Times New Roman" w:hAnsi="Times New Roman" w:cs="Times New Roman"/>
          <w:sz w:val="24"/>
          <w:szCs w:val="24"/>
        </w:rPr>
        <w:t>violence against women</w:t>
      </w:r>
    </w:p>
    <w:p w:rsidR="00263E07" w:rsidRPr="00E367BD" w:rsidRDefault="00263E07" w:rsidP="00E367BD">
      <w:pPr>
        <w:ind w:left="720"/>
        <w:jc w:val="both"/>
        <w:rPr>
          <w:rFonts w:ascii="Times New Roman" w:hAnsi="Times New Roman" w:cs="Times New Roman"/>
          <w:b/>
          <w:sz w:val="24"/>
          <w:szCs w:val="24"/>
        </w:rPr>
      </w:pPr>
      <w:r w:rsidRPr="00E367BD">
        <w:rPr>
          <w:rFonts w:ascii="Times New Roman" w:hAnsi="Times New Roman" w:cs="Times New Roman"/>
          <w:sz w:val="24"/>
          <w:szCs w:val="24"/>
        </w:rPr>
        <w:lastRenderedPageBreak/>
        <w:t xml:space="preserve"> …in 2014 </w:t>
      </w:r>
      <w:r w:rsidR="00397DAB" w:rsidRPr="00E367BD">
        <w:rPr>
          <w:rFonts w:ascii="Times New Roman" w:hAnsi="Times New Roman" w:cs="Times New Roman"/>
          <w:sz w:val="24"/>
          <w:szCs w:val="24"/>
        </w:rPr>
        <w:t>and 2015, the most common forms of domestic violence were psychological together with physical violence. According to the 2009 National Research, insults (14.3%), belittling/humiliations (5.3%) intimidation (5.1%) and threats (3.8%) were the most common components of psychological abuse reported by the women interviewed.</w:t>
      </w:r>
      <w:r w:rsidR="00464651" w:rsidRPr="00E367BD">
        <w:rPr>
          <w:rFonts w:ascii="Times New Roman" w:hAnsi="Times New Roman" w:cs="Times New Roman"/>
          <w:sz w:val="24"/>
          <w:szCs w:val="24"/>
        </w:rPr>
        <w:t xml:space="preserve"> </w:t>
      </w:r>
      <w:r w:rsidR="00397DAB" w:rsidRPr="00E367BD">
        <w:rPr>
          <w:rFonts w:ascii="Times New Roman" w:hAnsi="Times New Roman" w:cs="Times New Roman"/>
          <w:sz w:val="24"/>
          <w:szCs w:val="24"/>
        </w:rPr>
        <w:t xml:space="preserve">35.9% of women reported their exposure to acts intended to control their behaviour, </w:t>
      </w:r>
      <w:r w:rsidR="00397DAB" w:rsidRPr="00E367BD">
        <w:rPr>
          <w:rFonts w:ascii="Times New Roman" w:hAnsi="Times New Roman" w:cs="Times New Roman"/>
          <w:b/>
          <w:sz w:val="24"/>
          <w:szCs w:val="24"/>
        </w:rPr>
        <w:t xml:space="preserve">with a higher prevalence among the women with incomplete secondary education (60% </w:t>
      </w:r>
      <w:r w:rsidR="00397DAB" w:rsidRPr="00E367BD">
        <w:rPr>
          <w:rFonts w:ascii="Times New Roman" w:hAnsi="Times New Roman" w:cs="Times New Roman"/>
          <w:sz w:val="24"/>
          <w:szCs w:val="24"/>
        </w:rPr>
        <w:t>of them) than those having completed their secondary, technical or higher education (35% of them</w:t>
      </w:r>
      <w:r w:rsidR="00397DAB" w:rsidRPr="00E367BD">
        <w:rPr>
          <w:rFonts w:ascii="Times New Roman" w:hAnsi="Times New Roman" w:cs="Times New Roman"/>
          <w:b/>
          <w:sz w:val="24"/>
          <w:szCs w:val="24"/>
        </w:rPr>
        <w:t>) and among women who do not earn money (76.6%).</w:t>
      </w:r>
      <w:r w:rsidR="00397DAB" w:rsidRPr="00E367BD">
        <w:rPr>
          <w:rStyle w:val="FootnoteReference"/>
          <w:rFonts w:ascii="Times New Roman" w:hAnsi="Times New Roman" w:cs="Times New Roman"/>
          <w:sz w:val="24"/>
          <w:szCs w:val="24"/>
        </w:rPr>
        <w:footnoteReference w:id="10"/>
      </w:r>
    </w:p>
    <w:p w:rsidR="00263E07" w:rsidRPr="00E367BD" w:rsidRDefault="00263E07"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According to the 2010 reproductive health survey, verbal and/or physical abuse in marriage was, in general, greater among women with less formal education and </w:t>
      </w:r>
      <w:r w:rsidRPr="00E367BD">
        <w:rPr>
          <w:rFonts w:ascii="Times New Roman" w:hAnsi="Times New Roman" w:cs="Times New Roman"/>
          <w:b/>
          <w:sz w:val="24"/>
          <w:szCs w:val="24"/>
        </w:rPr>
        <w:t>lowest socioeconomic status,</w:t>
      </w:r>
      <w:r w:rsidRPr="00E367BD">
        <w:rPr>
          <w:rFonts w:ascii="Times New Roman" w:hAnsi="Times New Roman" w:cs="Times New Roman"/>
          <w:sz w:val="24"/>
          <w:szCs w:val="24"/>
        </w:rPr>
        <w:t xml:space="preserve"> as well as among Azeri women or from other ethnic backgrounds.</w:t>
      </w:r>
      <w:r w:rsidRPr="00E367BD">
        <w:rPr>
          <w:rStyle w:val="FootnoteReference"/>
          <w:rFonts w:ascii="Times New Roman" w:hAnsi="Times New Roman" w:cs="Times New Roman"/>
          <w:sz w:val="24"/>
          <w:szCs w:val="24"/>
        </w:rPr>
        <w:footnoteReference w:id="11"/>
      </w:r>
    </w:p>
    <w:p w:rsidR="006418CE" w:rsidRDefault="006418CE" w:rsidP="00E367BD">
      <w:pPr>
        <w:jc w:val="both"/>
        <w:rPr>
          <w:rFonts w:ascii="Times New Roman" w:hAnsi="Times New Roman" w:cs="Times New Roman"/>
          <w:b/>
          <w:i/>
          <w:sz w:val="24"/>
          <w:szCs w:val="24"/>
        </w:rPr>
      </w:pPr>
    </w:p>
    <w:p w:rsidR="001F558A" w:rsidRPr="00E367BD" w:rsidRDefault="001F558A" w:rsidP="00E367BD">
      <w:pPr>
        <w:jc w:val="both"/>
        <w:rPr>
          <w:rFonts w:ascii="Times New Roman" w:hAnsi="Times New Roman" w:cs="Times New Roman"/>
          <w:b/>
          <w:i/>
          <w:sz w:val="24"/>
          <w:szCs w:val="24"/>
        </w:rPr>
      </w:pPr>
      <w:r w:rsidRPr="00E367BD">
        <w:rPr>
          <w:rFonts w:ascii="Times New Roman" w:hAnsi="Times New Roman" w:cs="Times New Roman"/>
          <w:b/>
          <w:i/>
          <w:sz w:val="24"/>
          <w:szCs w:val="24"/>
        </w:rPr>
        <w:t>Social stereotypes strengthening women’s economic inequality</w:t>
      </w:r>
    </w:p>
    <w:p w:rsidR="00FF4F70" w:rsidRPr="00E367BD" w:rsidRDefault="002F3C10" w:rsidP="00E367BD">
      <w:pPr>
        <w:jc w:val="both"/>
        <w:rPr>
          <w:rFonts w:ascii="Times New Roman" w:hAnsi="Times New Roman" w:cs="Times New Roman"/>
          <w:sz w:val="24"/>
          <w:szCs w:val="24"/>
        </w:rPr>
      </w:pPr>
      <w:r w:rsidRPr="00E367BD">
        <w:rPr>
          <w:rFonts w:ascii="Times New Roman" w:hAnsi="Times New Roman" w:cs="Times New Roman"/>
          <w:sz w:val="24"/>
          <w:szCs w:val="24"/>
        </w:rPr>
        <w:t>While, as showed above, womens’ low (or poor) socio-economic status and financial condition makes them more vulnerable to abuse, it is concerning that social stereotypes nearly forbid women (especially outside the capital and big cities) to strive towards economic empowerment, thus –</w:t>
      </w:r>
      <w:r w:rsidR="00263E07" w:rsidRPr="00E367BD">
        <w:rPr>
          <w:rFonts w:ascii="Times New Roman" w:hAnsi="Times New Roman" w:cs="Times New Roman"/>
          <w:sz w:val="24"/>
          <w:szCs w:val="24"/>
        </w:rPr>
        <w:t xml:space="preserve"> </w:t>
      </w:r>
      <w:r w:rsidRPr="00E367BD">
        <w:rPr>
          <w:rFonts w:ascii="Times New Roman" w:hAnsi="Times New Roman" w:cs="Times New Roman"/>
          <w:sz w:val="24"/>
          <w:szCs w:val="24"/>
        </w:rPr>
        <w:t xml:space="preserve">leaving them </w:t>
      </w:r>
      <w:r w:rsidR="00263E07" w:rsidRPr="00E367BD">
        <w:rPr>
          <w:rFonts w:ascii="Times New Roman" w:hAnsi="Times New Roman" w:cs="Times New Roman"/>
          <w:sz w:val="24"/>
          <w:szCs w:val="24"/>
        </w:rPr>
        <w:t xml:space="preserve">vulnerable to abuse. </w:t>
      </w:r>
    </w:p>
    <w:p w:rsidR="00263E07" w:rsidRPr="00E367BD" w:rsidRDefault="00263E07" w:rsidP="00E367BD">
      <w:pPr>
        <w:jc w:val="both"/>
        <w:rPr>
          <w:rFonts w:ascii="Times New Roman" w:hAnsi="Times New Roman" w:cs="Times New Roman"/>
          <w:sz w:val="24"/>
          <w:szCs w:val="24"/>
        </w:rPr>
      </w:pPr>
      <w:r w:rsidRPr="00E367BD">
        <w:rPr>
          <w:rFonts w:ascii="Times New Roman" w:hAnsi="Times New Roman" w:cs="Times New Roman"/>
          <w:sz w:val="24"/>
          <w:szCs w:val="24"/>
        </w:rPr>
        <w:t>UN Special Rapporteur noted:</w:t>
      </w:r>
    </w:p>
    <w:p w:rsidR="002F3C10" w:rsidRPr="00E367BD" w:rsidRDefault="00263E07" w:rsidP="00E367BD">
      <w:pPr>
        <w:pStyle w:val="SingleTxtG"/>
        <w:rPr>
          <w:b/>
        </w:rPr>
      </w:pPr>
      <w:r w:rsidRPr="00E367BD">
        <w:t>….</w:t>
      </w:r>
      <w:r w:rsidR="002F3C10" w:rsidRPr="00E367BD">
        <w:t>especially in rural areas, a lot is yet to be done to change patriarchal norms and public attitudes towards gender roles.</w:t>
      </w:r>
      <w:r w:rsidR="00464651" w:rsidRPr="00E367BD">
        <w:rPr>
          <w:b/>
        </w:rPr>
        <w:t xml:space="preserve"> </w:t>
      </w:r>
      <w:r w:rsidR="002F3C10" w:rsidRPr="00E367BD">
        <w:rPr>
          <w:b/>
        </w:rPr>
        <w:t>According to a 2014 Survey on Men and Gender Relations in Georgia, 89 of the respondents agreed that the main responsibility of women is to take care of their family.</w:t>
      </w:r>
      <w:r w:rsidR="002F3C10" w:rsidRPr="00E367BD">
        <w:rPr>
          <w:rStyle w:val="FootnoteReference"/>
          <w:b/>
        </w:rPr>
        <w:footnoteReference w:id="12"/>
      </w:r>
    </w:p>
    <w:p w:rsidR="00FF31D1" w:rsidRPr="00E367BD" w:rsidRDefault="00FF31D1" w:rsidP="00E367BD">
      <w:pPr>
        <w:jc w:val="both"/>
        <w:rPr>
          <w:rFonts w:ascii="Times New Roman" w:hAnsi="Times New Roman" w:cs="Times New Roman"/>
          <w:b/>
          <w:color w:val="FF0000"/>
          <w:sz w:val="24"/>
          <w:szCs w:val="24"/>
        </w:rPr>
      </w:pPr>
      <w:r w:rsidRPr="00E367BD">
        <w:rPr>
          <w:rFonts w:ascii="Times New Roman" w:hAnsi="Times New Roman" w:cs="Times New Roman"/>
          <w:sz w:val="24"/>
          <w:szCs w:val="24"/>
        </w:rPr>
        <w:t>Such social attitudes cause those women who are employed, to carry out full housework activities, in addition to official job activities, since there is no culture of equal division of household and childcare activities among men and women in Georgia. This makes women who want to participate in public life or strive towards minimum financial autonomy - be overworked and unacknowledged.</w:t>
      </w:r>
    </w:p>
    <w:p w:rsidR="00AF0E8A" w:rsidRPr="00E367BD" w:rsidRDefault="00AF0E8A" w:rsidP="00E367BD">
      <w:pPr>
        <w:jc w:val="both"/>
        <w:rPr>
          <w:rFonts w:ascii="Times New Roman" w:hAnsi="Times New Roman" w:cs="Times New Roman"/>
          <w:b/>
          <w:sz w:val="24"/>
          <w:szCs w:val="24"/>
        </w:rPr>
      </w:pPr>
    </w:p>
    <w:p w:rsidR="00FF31D1" w:rsidRPr="00E367BD" w:rsidRDefault="00FF31D1" w:rsidP="00E367BD">
      <w:pPr>
        <w:jc w:val="both"/>
        <w:rPr>
          <w:rFonts w:ascii="Times New Roman" w:hAnsi="Times New Roman" w:cs="Times New Roman"/>
          <w:b/>
          <w:sz w:val="24"/>
          <w:szCs w:val="24"/>
        </w:rPr>
      </w:pPr>
      <w:r w:rsidRPr="00E367BD">
        <w:rPr>
          <w:rFonts w:ascii="Times New Roman" w:hAnsi="Times New Roman" w:cs="Times New Roman"/>
          <w:b/>
          <w:sz w:val="24"/>
          <w:szCs w:val="24"/>
        </w:rPr>
        <w:t>Labour Market and Gender Equality</w:t>
      </w:r>
    </w:p>
    <w:p w:rsidR="00FF31D1" w:rsidRDefault="00FF31D1" w:rsidP="00E367BD">
      <w:pPr>
        <w:jc w:val="both"/>
        <w:rPr>
          <w:rFonts w:ascii="Times New Roman" w:hAnsi="Times New Roman" w:cs="Times New Roman"/>
          <w:sz w:val="24"/>
          <w:szCs w:val="24"/>
        </w:rPr>
      </w:pPr>
      <w:r w:rsidRPr="00E367BD">
        <w:rPr>
          <w:rFonts w:ascii="Times New Roman" w:hAnsi="Times New Roman" w:cs="Times New Roman"/>
          <w:sz w:val="24"/>
          <w:szCs w:val="24"/>
        </w:rPr>
        <w:t>Gender barriers while entering the labour market, as well as the issues of equal pay for equal work, prohibition of discrimination and career advancement remain a problem for women.</w:t>
      </w:r>
      <w:r w:rsidRPr="00E367BD">
        <w:rPr>
          <w:rStyle w:val="FootnoteReference"/>
          <w:rFonts w:ascii="Times New Roman" w:hAnsi="Times New Roman" w:cs="Times New Roman"/>
          <w:sz w:val="24"/>
          <w:szCs w:val="24"/>
        </w:rPr>
        <w:footnoteReference w:id="13"/>
      </w:r>
      <w:r w:rsidRPr="00E367BD">
        <w:rPr>
          <w:rFonts w:ascii="Times New Roman" w:hAnsi="Times New Roman" w:cs="Times New Roman"/>
          <w:sz w:val="24"/>
          <w:szCs w:val="24"/>
        </w:rPr>
        <w:t xml:space="preserve"> </w:t>
      </w:r>
      <w:r w:rsidR="00733E0C">
        <w:rPr>
          <w:rFonts w:ascii="Times New Roman" w:hAnsi="Times New Roman" w:cs="Times New Roman"/>
          <w:sz w:val="24"/>
          <w:szCs w:val="24"/>
        </w:rPr>
        <w:lastRenderedPageBreak/>
        <w:t>Although better than some 10 years ago, Georgia’s legislation pertaining to labour relations and gender equality contains several important flaws.</w:t>
      </w:r>
      <w:r w:rsidR="00733E0C">
        <w:rPr>
          <w:rStyle w:val="FootnoteReference"/>
          <w:rFonts w:ascii="Times New Roman" w:hAnsi="Times New Roman" w:cs="Times New Roman"/>
          <w:sz w:val="24"/>
          <w:szCs w:val="24"/>
        </w:rPr>
        <w:footnoteReference w:id="14"/>
      </w:r>
    </w:p>
    <w:p w:rsidR="00AF0E8A" w:rsidRPr="00AF0E8A" w:rsidRDefault="00AF0E8A" w:rsidP="00E367BD">
      <w:pPr>
        <w:jc w:val="both"/>
        <w:rPr>
          <w:rFonts w:ascii="Times New Roman" w:hAnsi="Times New Roman" w:cs="Times New Roman"/>
          <w:sz w:val="24"/>
          <w:szCs w:val="24"/>
        </w:rPr>
      </w:pPr>
    </w:p>
    <w:p w:rsidR="00FF31D1" w:rsidRPr="00E367BD" w:rsidRDefault="00FF31D1" w:rsidP="00E367BD">
      <w:pPr>
        <w:jc w:val="both"/>
        <w:rPr>
          <w:rFonts w:ascii="Times New Roman" w:hAnsi="Times New Roman" w:cs="Times New Roman"/>
          <w:b/>
          <w:i/>
          <w:sz w:val="24"/>
          <w:szCs w:val="24"/>
        </w:rPr>
      </w:pPr>
      <w:r w:rsidRPr="00E367BD">
        <w:rPr>
          <w:rFonts w:ascii="Times New Roman" w:hAnsi="Times New Roman" w:cs="Times New Roman"/>
          <w:b/>
          <w:i/>
          <w:sz w:val="24"/>
          <w:szCs w:val="24"/>
        </w:rPr>
        <w:t>Interview and pre-contractual stage</w:t>
      </w:r>
      <w:r w:rsidR="00733E0C">
        <w:rPr>
          <w:rStyle w:val="FootnoteReference"/>
          <w:rFonts w:ascii="Times New Roman" w:hAnsi="Times New Roman" w:cs="Times New Roman"/>
          <w:b/>
          <w:i/>
          <w:sz w:val="24"/>
          <w:szCs w:val="24"/>
        </w:rPr>
        <w:footnoteReference w:id="15"/>
      </w:r>
    </w:p>
    <w:p w:rsidR="00FF31D1" w:rsidRPr="00E367BD" w:rsidRDefault="00FF31D1" w:rsidP="00E367BD">
      <w:pPr>
        <w:autoSpaceDE w:val="0"/>
        <w:autoSpaceDN w:val="0"/>
        <w:adjustRightInd w:val="0"/>
        <w:spacing w:after="0" w:line="240" w:lineRule="auto"/>
        <w:jc w:val="both"/>
        <w:rPr>
          <w:rFonts w:ascii="Times New Roman" w:hAnsi="Times New Roman" w:cs="Times New Roman"/>
          <w:sz w:val="24"/>
          <w:szCs w:val="24"/>
        </w:rPr>
      </w:pPr>
      <w:r w:rsidRPr="00E367BD">
        <w:rPr>
          <w:rFonts w:ascii="Times New Roman" w:hAnsi="Times New Roman" w:cs="Times New Roman"/>
          <w:sz w:val="24"/>
          <w:szCs w:val="24"/>
        </w:rPr>
        <w:t>One of the key element of the right to work is the right to free choice of employment and access to work. Until 2013 amendments Labour Code of Georgia (LCG) failed to explicitly refer to prohibition of discrimination on pre-contractual stage. Therefore observance of the principle of gender equality and controlling of different perceptions and treatment of men and women was impossible.</w:t>
      </w:r>
    </w:p>
    <w:p w:rsidR="00FF31D1" w:rsidRPr="00E367BD" w:rsidRDefault="00FF31D1" w:rsidP="00E367BD">
      <w:pPr>
        <w:autoSpaceDE w:val="0"/>
        <w:autoSpaceDN w:val="0"/>
        <w:adjustRightInd w:val="0"/>
        <w:spacing w:after="0" w:line="240" w:lineRule="auto"/>
        <w:jc w:val="both"/>
        <w:rPr>
          <w:rFonts w:ascii="Times New Roman" w:hAnsi="Times New Roman" w:cs="Times New Roman"/>
          <w:sz w:val="24"/>
          <w:szCs w:val="24"/>
        </w:rPr>
      </w:pPr>
      <w:r w:rsidRPr="00E367BD">
        <w:rPr>
          <w:rFonts w:ascii="Times New Roman" w:hAnsi="Times New Roman" w:cs="Times New Roman"/>
          <w:sz w:val="24"/>
          <w:szCs w:val="24"/>
        </w:rPr>
        <w:t xml:space="preserve">Amendments of June 12, 2013 introduced </w:t>
      </w:r>
      <w:r w:rsidR="004D605D" w:rsidRPr="00E367BD">
        <w:rPr>
          <w:rFonts w:ascii="Times New Roman" w:hAnsi="Times New Roman" w:cs="Times New Roman"/>
          <w:sz w:val="24"/>
          <w:szCs w:val="24"/>
        </w:rPr>
        <w:t xml:space="preserve">a </w:t>
      </w:r>
      <w:r w:rsidRPr="00E367BD">
        <w:rPr>
          <w:rFonts w:ascii="Times New Roman" w:hAnsi="Times New Roman" w:cs="Times New Roman"/>
          <w:sz w:val="24"/>
          <w:szCs w:val="24"/>
        </w:rPr>
        <w:t xml:space="preserve">new provision in paragraph 3 of Article 2 concerning antidiscrimination in pre-contractual relations based on different grounds, including sex. However, as far as the LCG does not regulate </w:t>
      </w:r>
      <w:r w:rsidRPr="00E367BD">
        <w:rPr>
          <w:rFonts w:ascii="Times New Roman" w:hAnsi="Times New Roman" w:cs="Times New Roman"/>
          <w:i/>
          <w:sz w:val="24"/>
          <w:szCs w:val="24"/>
        </w:rPr>
        <w:t>advertisement of vacancy</w:t>
      </w:r>
      <w:r w:rsidRPr="00E367BD">
        <w:rPr>
          <w:rFonts w:ascii="Times New Roman" w:hAnsi="Times New Roman" w:cs="Times New Roman"/>
          <w:sz w:val="24"/>
          <w:szCs w:val="24"/>
        </w:rPr>
        <w:t xml:space="preserve"> and </w:t>
      </w:r>
      <w:r w:rsidRPr="00E367BD">
        <w:rPr>
          <w:rFonts w:ascii="Times New Roman" w:hAnsi="Times New Roman" w:cs="Times New Roman"/>
          <w:i/>
          <w:sz w:val="24"/>
          <w:szCs w:val="24"/>
        </w:rPr>
        <w:t>interview process</w:t>
      </w:r>
      <w:r w:rsidRPr="00E367BD">
        <w:rPr>
          <w:rFonts w:ascii="Times New Roman" w:hAnsi="Times New Roman" w:cs="Times New Roman"/>
          <w:sz w:val="24"/>
          <w:szCs w:val="24"/>
        </w:rPr>
        <w:t xml:space="preserve">, application of the LCG new provision will only depend upon the judicial interpretation. </w:t>
      </w:r>
    </w:p>
    <w:p w:rsidR="001F558A" w:rsidRPr="00E367BD" w:rsidRDefault="001F558A" w:rsidP="00E367BD">
      <w:pPr>
        <w:autoSpaceDE w:val="0"/>
        <w:autoSpaceDN w:val="0"/>
        <w:adjustRightInd w:val="0"/>
        <w:spacing w:after="0" w:line="240" w:lineRule="auto"/>
        <w:jc w:val="both"/>
        <w:rPr>
          <w:rFonts w:ascii="Times New Roman" w:hAnsi="Times New Roman" w:cs="Times New Roman"/>
          <w:sz w:val="24"/>
          <w:szCs w:val="24"/>
        </w:rPr>
      </w:pPr>
    </w:p>
    <w:p w:rsidR="004D605D" w:rsidRPr="006418CE" w:rsidRDefault="004D605D" w:rsidP="006418CE">
      <w:pPr>
        <w:autoSpaceDE w:val="0"/>
        <w:autoSpaceDN w:val="0"/>
        <w:adjustRightInd w:val="0"/>
        <w:spacing w:after="0" w:line="240" w:lineRule="auto"/>
        <w:jc w:val="both"/>
        <w:rPr>
          <w:rFonts w:ascii="Times New Roman" w:hAnsi="Times New Roman" w:cs="Times New Roman"/>
          <w:sz w:val="24"/>
          <w:szCs w:val="24"/>
        </w:rPr>
      </w:pPr>
      <w:r w:rsidRPr="00E367BD">
        <w:rPr>
          <w:rFonts w:ascii="Times New Roman" w:hAnsi="Times New Roman" w:cs="Times New Roman"/>
          <w:sz w:val="24"/>
          <w:szCs w:val="24"/>
        </w:rPr>
        <w:t>There is no comprehensive statistical data, however based on general overview of job-fear sites it may be stated that quite often employers set gender as a precondition employment. LCG does not specify the means of obtaining information about the candidate. There are no regulations on admissibility of interview questions</w:t>
      </w:r>
      <w:r w:rsidR="006418CE">
        <w:rPr>
          <w:rFonts w:ascii="Times New Roman" w:hAnsi="Times New Roman" w:cs="Times New Roman"/>
          <w:sz w:val="24"/>
          <w:szCs w:val="24"/>
        </w:rPr>
        <w:t>. Moreover, the</w:t>
      </w:r>
      <w:r w:rsidR="006418CE" w:rsidRPr="006418CE">
        <w:rPr>
          <w:rFonts w:ascii="Times New Roman" w:hAnsi="Times New Roman" w:cs="Times New Roman"/>
          <w:sz w:val="24"/>
          <w:szCs w:val="24"/>
        </w:rPr>
        <w:t xml:space="preserve"> LCG does not regulate rights of pregnant women during pre-contractual stage; nor</w:t>
      </w:r>
      <w:r w:rsidR="006418CE">
        <w:rPr>
          <w:rFonts w:ascii="Times New Roman" w:hAnsi="Times New Roman" w:cs="Times New Roman"/>
          <w:sz w:val="24"/>
          <w:szCs w:val="24"/>
        </w:rPr>
        <w:t xml:space="preserve"> </w:t>
      </w:r>
      <w:r w:rsidR="006418CE" w:rsidRPr="006418CE">
        <w:rPr>
          <w:rFonts w:ascii="Times New Roman" w:hAnsi="Times New Roman" w:cs="Times New Roman"/>
          <w:sz w:val="24"/>
          <w:szCs w:val="24"/>
        </w:rPr>
        <w:t>does the LCG provide inadmissibility of questions on pregnancy.</w:t>
      </w:r>
      <w:r w:rsidR="006418CE">
        <w:rPr>
          <w:rFonts w:ascii="Times New Roman" w:hAnsi="Times New Roman" w:cs="Times New Roman"/>
          <w:sz w:val="24"/>
          <w:szCs w:val="24"/>
        </w:rPr>
        <w:t xml:space="preserve"> </w:t>
      </w:r>
      <w:r w:rsidRPr="006418CE">
        <w:rPr>
          <w:rFonts w:ascii="Times New Roman" w:hAnsi="Times New Roman" w:cs="Times New Roman"/>
          <w:sz w:val="24"/>
          <w:szCs w:val="24"/>
        </w:rPr>
        <w:t xml:space="preserve">Thus this stage of labour </w:t>
      </w:r>
      <w:r w:rsidR="001F558A" w:rsidRPr="006418CE">
        <w:rPr>
          <w:rFonts w:ascii="Times New Roman" w:hAnsi="Times New Roman" w:cs="Times New Roman"/>
          <w:sz w:val="24"/>
          <w:szCs w:val="24"/>
        </w:rPr>
        <w:t xml:space="preserve">relations is not regulated, leaving a room for </w:t>
      </w:r>
      <w:r w:rsidRPr="006418CE">
        <w:rPr>
          <w:rFonts w:ascii="Times New Roman" w:hAnsi="Times New Roman" w:cs="Times New Roman"/>
          <w:sz w:val="24"/>
          <w:szCs w:val="24"/>
        </w:rPr>
        <w:t>interfering in personal life of a candidate and arbitrary decision-making.</w:t>
      </w:r>
    </w:p>
    <w:p w:rsidR="00FF31D1" w:rsidRPr="00E367BD" w:rsidRDefault="00FF31D1" w:rsidP="00E367BD">
      <w:pPr>
        <w:jc w:val="both"/>
        <w:rPr>
          <w:rFonts w:ascii="Times New Roman" w:hAnsi="Times New Roman" w:cs="Times New Roman"/>
          <w:b/>
          <w:sz w:val="24"/>
          <w:szCs w:val="24"/>
        </w:rPr>
      </w:pPr>
    </w:p>
    <w:p w:rsidR="00B349F5" w:rsidRPr="00E367BD" w:rsidRDefault="00FD6E49" w:rsidP="00E367BD">
      <w:pPr>
        <w:jc w:val="both"/>
        <w:rPr>
          <w:rFonts w:ascii="Times New Roman" w:hAnsi="Times New Roman" w:cs="Times New Roman"/>
          <w:b/>
          <w:i/>
          <w:sz w:val="24"/>
          <w:szCs w:val="24"/>
        </w:rPr>
      </w:pPr>
      <w:r w:rsidRPr="00E367BD">
        <w:rPr>
          <w:rFonts w:ascii="Times New Roman" w:hAnsi="Times New Roman" w:cs="Times New Roman"/>
          <w:b/>
          <w:i/>
          <w:sz w:val="24"/>
          <w:szCs w:val="24"/>
        </w:rPr>
        <w:t xml:space="preserve">Wage gap </w:t>
      </w:r>
    </w:p>
    <w:p w:rsidR="001F558A" w:rsidRPr="00E367BD" w:rsidRDefault="001F558A"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The law does not define the minimum amount of wage. The Decree N351 of the President of Georgia dated 4 June 1999, approved 20 GEL as a minimum wage. This amount is now 8 </w:t>
      </w:r>
      <w:r w:rsidR="00E367BD" w:rsidRPr="00E367BD">
        <w:rPr>
          <w:rFonts w:ascii="Times New Roman" w:hAnsi="Times New Roman" w:cs="Times New Roman"/>
          <w:sz w:val="24"/>
          <w:szCs w:val="24"/>
        </w:rPr>
        <w:t>times less than the living-wage and</w:t>
      </w:r>
      <w:r w:rsidRPr="00E367BD">
        <w:rPr>
          <w:rFonts w:ascii="Times New Roman" w:hAnsi="Times New Roman" w:cs="Times New Roman"/>
          <w:sz w:val="24"/>
          <w:szCs w:val="24"/>
        </w:rPr>
        <w:t xml:space="preserve"> can in no way be considered adequate.</w:t>
      </w:r>
      <w:r w:rsidRPr="00E367BD">
        <w:rPr>
          <w:rStyle w:val="FootnoteReference"/>
          <w:rFonts w:ascii="Times New Roman" w:hAnsi="Times New Roman" w:cs="Times New Roman"/>
          <w:sz w:val="24"/>
          <w:szCs w:val="24"/>
        </w:rPr>
        <w:footnoteReference w:id="16"/>
      </w:r>
    </w:p>
    <w:p w:rsidR="006418CE" w:rsidRDefault="00B349F5" w:rsidP="00E367BD">
      <w:pPr>
        <w:jc w:val="both"/>
        <w:rPr>
          <w:rFonts w:ascii="Times New Roman" w:hAnsi="Times New Roman" w:cs="Times New Roman"/>
          <w:sz w:val="24"/>
          <w:szCs w:val="24"/>
        </w:rPr>
      </w:pPr>
      <w:r w:rsidRPr="00E367BD">
        <w:rPr>
          <w:rFonts w:ascii="Times New Roman" w:hAnsi="Times New Roman" w:cs="Times New Roman"/>
          <w:sz w:val="24"/>
          <w:szCs w:val="24"/>
        </w:rPr>
        <w:t xml:space="preserve">According to 2015 Global Gender Gap Report, Georgia belongs to a lower-middle income group. Georgia is 60th among 145 countries by women’s economic participation and opportunity and 83rd by the labor force participation where men (79) exceed women (61). According to the same data, Georgia ranks 25th by the indicator of wage equality for similar work. The ratio of average income indicator differs by sexes with Georgia ranking 100th among 145 countries. </w:t>
      </w:r>
      <w:r w:rsidRPr="00E367BD">
        <w:rPr>
          <w:rFonts w:ascii="Times New Roman" w:hAnsi="Times New Roman" w:cs="Times New Roman"/>
          <w:b/>
          <w:sz w:val="24"/>
          <w:szCs w:val="24"/>
        </w:rPr>
        <w:t>An average annual income of man is twice as many as that of a woman, amounting to 10,272 USD as compared to 5,183 USD earned by a woman on average.</w:t>
      </w:r>
      <w:r w:rsidR="00FD6E49" w:rsidRPr="00E367BD">
        <w:rPr>
          <w:rStyle w:val="FootnoteReference"/>
          <w:rFonts w:ascii="Times New Roman" w:hAnsi="Times New Roman" w:cs="Times New Roman"/>
          <w:b/>
          <w:sz w:val="24"/>
          <w:szCs w:val="24"/>
        </w:rPr>
        <w:footnoteReference w:id="17"/>
      </w:r>
      <w:r w:rsidRPr="00E367BD">
        <w:rPr>
          <w:rFonts w:ascii="Times New Roman" w:hAnsi="Times New Roman" w:cs="Times New Roman"/>
          <w:sz w:val="24"/>
          <w:szCs w:val="24"/>
        </w:rPr>
        <w:t xml:space="preserve"> </w:t>
      </w:r>
    </w:p>
    <w:p w:rsidR="000571F1" w:rsidRPr="00E367BD" w:rsidRDefault="00B349F5" w:rsidP="00E367BD">
      <w:pPr>
        <w:jc w:val="both"/>
        <w:rPr>
          <w:rFonts w:ascii="Times New Roman" w:hAnsi="Times New Roman" w:cs="Times New Roman"/>
          <w:b/>
          <w:i/>
          <w:sz w:val="24"/>
          <w:szCs w:val="24"/>
        </w:rPr>
      </w:pPr>
      <w:r w:rsidRPr="00E367BD">
        <w:rPr>
          <w:rFonts w:ascii="Times New Roman" w:hAnsi="Times New Roman" w:cs="Times New Roman"/>
          <w:b/>
          <w:i/>
          <w:sz w:val="24"/>
          <w:szCs w:val="24"/>
        </w:rPr>
        <w:lastRenderedPageBreak/>
        <w:t xml:space="preserve">Sexual harassment at workplace </w:t>
      </w:r>
    </w:p>
    <w:p w:rsidR="00FD6E49" w:rsidRPr="00E367BD" w:rsidRDefault="00FD6E49" w:rsidP="00E367BD">
      <w:pPr>
        <w:jc w:val="both"/>
        <w:rPr>
          <w:rFonts w:ascii="Times New Roman" w:hAnsi="Times New Roman" w:cs="Times New Roman"/>
          <w:sz w:val="24"/>
          <w:szCs w:val="24"/>
        </w:rPr>
      </w:pPr>
      <w:r w:rsidRPr="00E367BD">
        <w:rPr>
          <w:rFonts w:ascii="Times New Roman" w:hAnsi="Times New Roman" w:cs="Times New Roman"/>
          <w:sz w:val="24"/>
          <w:szCs w:val="24"/>
        </w:rPr>
        <w:t>Reportedly, sexu</w:t>
      </w:r>
      <w:r w:rsidR="001F558A" w:rsidRPr="00E367BD">
        <w:rPr>
          <w:rFonts w:ascii="Times New Roman" w:hAnsi="Times New Roman" w:cs="Times New Roman"/>
          <w:sz w:val="24"/>
          <w:szCs w:val="24"/>
        </w:rPr>
        <w:t>al harassment at workplace is “</w:t>
      </w:r>
      <w:r w:rsidRPr="00E367BD">
        <w:rPr>
          <w:rFonts w:ascii="Times New Roman" w:hAnsi="Times New Roman" w:cs="Times New Roman"/>
          <w:sz w:val="24"/>
          <w:szCs w:val="24"/>
        </w:rPr>
        <w:t>the most widespread and at the same time, underreported problem negatively affecting the quality of performed work, endangering the wellbeing of women and men and undermining the degree of gender equality.”</w:t>
      </w:r>
      <w:r w:rsidRPr="00E367BD">
        <w:rPr>
          <w:rStyle w:val="FootnoteReference"/>
          <w:rFonts w:ascii="Times New Roman" w:hAnsi="Times New Roman" w:cs="Times New Roman"/>
          <w:sz w:val="24"/>
          <w:szCs w:val="24"/>
        </w:rPr>
        <w:footnoteReference w:id="18"/>
      </w:r>
      <w:r w:rsidR="001F558A" w:rsidRPr="00E367BD">
        <w:rPr>
          <w:rFonts w:ascii="Times New Roman" w:hAnsi="Times New Roman" w:cs="Times New Roman"/>
          <w:sz w:val="24"/>
          <w:szCs w:val="24"/>
        </w:rPr>
        <w:t>However,</w:t>
      </w:r>
      <w:r w:rsidR="0084433C" w:rsidRPr="00E367BD">
        <w:rPr>
          <w:rFonts w:ascii="Times New Roman" w:hAnsi="Times New Roman" w:cs="Times New Roman"/>
          <w:sz w:val="24"/>
          <w:szCs w:val="24"/>
        </w:rPr>
        <w:t xml:space="preserve"> no exact data </w:t>
      </w:r>
      <w:r w:rsidR="001F558A" w:rsidRPr="00E367BD">
        <w:rPr>
          <w:rFonts w:ascii="Times New Roman" w:hAnsi="Times New Roman" w:cs="Times New Roman"/>
          <w:sz w:val="24"/>
          <w:szCs w:val="24"/>
        </w:rPr>
        <w:t xml:space="preserve">is </w:t>
      </w:r>
      <w:r w:rsidR="0084433C" w:rsidRPr="00E367BD">
        <w:rPr>
          <w:rFonts w:ascii="Times New Roman" w:hAnsi="Times New Roman" w:cs="Times New Roman"/>
          <w:sz w:val="24"/>
          <w:szCs w:val="24"/>
        </w:rPr>
        <w:t>available on the prevalence of sexual harassment</w:t>
      </w:r>
      <w:r w:rsidR="001F558A" w:rsidRPr="00E367BD">
        <w:rPr>
          <w:rFonts w:ascii="Times New Roman" w:hAnsi="Times New Roman" w:cs="Times New Roman"/>
          <w:sz w:val="24"/>
          <w:szCs w:val="24"/>
        </w:rPr>
        <w:t xml:space="preserve"> at workplace.</w:t>
      </w:r>
      <w:r w:rsidR="0084433C" w:rsidRPr="00E367BD">
        <w:rPr>
          <w:rStyle w:val="FootnoteReference"/>
          <w:rFonts w:ascii="Times New Roman" w:hAnsi="Times New Roman" w:cs="Times New Roman"/>
          <w:sz w:val="24"/>
          <w:szCs w:val="24"/>
        </w:rPr>
        <w:footnoteReference w:id="19"/>
      </w:r>
    </w:p>
    <w:p w:rsidR="00FD6E49" w:rsidRPr="00E367BD" w:rsidRDefault="001F558A" w:rsidP="00E367BD">
      <w:pPr>
        <w:jc w:val="both"/>
        <w:rPr>
          <w:rFonts w:ascii="Times New Roman" w:hAnsi="Times New Roman" w:cs="Times New Roman"/>
          <w:sz w:val="24"/>
          <w:szCs w:val="24"/>
        </w:rPr>
      </w:pPr>
      <w:r w:rsidRPr="00E367BD">
        <w:rPr>
          <w:rFonts w:ascii="Times New Roman" w:hAnsi="Times New Roman" w:cs="Times New Roman"/>
          <w:sz w:val="24"/>
          <w:szCs w:val="24"/>
        </w:rPr>
        <w:t>Existing legal framework</w:t>
      </w:r>
      <w:r w:rsidR="00FD6E49" w:rsidRPr="00E367BD">
        <w:rPr>
          <w:rFonts w:ascii="Times New Roman" w:hAnsi="Times New Roman" w:cs="Times New Roman"/>
          <w:sz w:val="24"/>
          <w:szCs w:val="24"/>
        </w:rPr>
        <w:t xml:space="preserve"> does not provide for legal response to sexual harassment at workplace.</w:t>
      </w:r>
      <w:r w:rsidR="00FD6E49" w:rsidRPr="00E367BD">
        <w:rPr>
          <w:rStyle w:val="FootnoteReference"/>
          <w:rFonts w:ascii="Times New Roman" w:hAnsi="Times New Roman" w:cs="Times New Roman"/>
          <w:sz w:val="24"/>
          <w:szCs w:val="24"/>
        </w:rPr>
        <w:footnoteReference w:id="20"/>
      </w:r>
      <w:r w:rsidR="00FD6E49" w:rsidRPr="00E367BD">
        <w:rPr>
          <w:rFonts w:ascii="Times New Roman" w:hAnsi="Times New Roman" w:cs="Times New Roman"/>
          <w:sz w:val="24"/>
          <w:szCs w:val="24"/>
        </w:rPr>
        <w:t xml:space="preserve"> Georgia has signed but still not ratified the Istanbul Convention, </w:t>
      </w:r>
      <w:r w:rsidRPr="00E367BD">
        <w:rPr>
          <w:rFonts w:ascii="Times New Roman" w:hAnsi="Times New Roman" w:cs="Times New Roman"/>
          <w:sz w:val="24"/>
          <w:szCs w:val="24"/>
        </w:rPr>
        <w:t>which addresses this issue, among others. H</w:t>
      </w:r>
      <w:r w:rsidR="00FD6E49" w:rsidRPr="00E367BD">
        <w:rPr>
          <w:rFonts w:ascii="Times New Roman" w:hAnsi="Times New Roman" w:cs="Times New Roman"/>
          <w:sz w:val="24"/>
          <w:szCs w:val="24"/>
        </w:rPr>
        <w:t xml:space="preserve">owever most recently the </w:t>
      </w:r>
      <w:r w:rsidRPr="00E367BD">
        <w:rPr>
          <w:rFonts w:ascii="Times New Roman" w:hAnsi="Times New Roman" w:cs="Times New Roman"/>
          <w:sz w:val="24"/>
          <w:szCs w:val="24"/>
        </w:rPr>
        <w:t>Ministry of Justice</w:t>
      </w:r>
      <w:r w:rsidR="00FD6E49" w:rsidRPr="00E367BD">
        <w:rPr>
          <w:rFonts w:ascii="Times New Roman" w:hAnsi="Times New Roman" w:cs="Times New Roman"/>
          <w:sz w:val="24"/>
          <w:szCs w:val="24"/>
        </w:rPr>
        <w:t xml:space="preserve"> has sent </w:t>
      </w:r>
      <w:r w:rsidRPr="00E367BD">
        <w:rPr>
          <w:rFonts w:ascii="Times New Roman" w:hAnsi="Times New Roman" w:cs="Times New Roman"/>
          <w:sz w:val="24"/>
          <w:szCs w:val="24"/>
        </w:rPr>
        <w:t xml:space="preserve">a </w:t>
      </w:r>
      <w:r w:rsidR="00FD6E49" w:rsidRPr="00E367BD">
        <w:rPr>
          <w:rFonts w:ascii="Times New Roman" w:hAnsi="Times New Roman" w:cs="Times New Roman"/>
          <w:sz w:val="24"/>
          <w:szCs w:val="24"/>
        </w:rPr>
        <w:t xml:space="preserve">relevant </w:t>
      </w:r>
      <w:r w:rsidRPr="00E367BD">
        <w:rPr>
          <w:rFonts w:ascii="Times New Roman" w:hAnsi="Times New Roman" w:cs="Times New Roman"/>
          <w:sz w:val="24"/>
          <w:szCs w:val="24"/>
        </w:rPr>
        <w:t xml:space="preserve">legislative </w:t>
      </w:r>
      <w:r w:rsidR="00FD6E49" w:rsidRPr="00E367BD">
        <w:rPr>
          <w:rFonts w:ascii="Times New Roman" w:hAnsi="Times New Roman" w:cs="Times New Roman"/>
          <w:sz w:val="24"/>
          <w:szCs w:val="24"/>
        </w:rPr>
        <w:t>package t</w:t>
      </w:r>
      <w:r w:rsidRPr="00E367BD">
        <w:rPr>
          <w:rFonts w:ascii="Times New Roman" w:hAnsi="Times New Roman" w:cs="Times New Roman"/>
          <w:sz w:val="24"/>
          <w:szCs w:val="24"/>
        </w:rPr>
        <w:t>o the Cabinet of Ministers for approval</w:t>
      </w:r>
      <w:r w:rsidR="00FD6E49" w:rsidRPr="00E367BD">
        <w:rPr>
          <w:rFonts w:ascii="Times New Roman" w:hAnsi="Times New Roman" w:cs="Times New Roman"/>
          <w:sz w:val="24"/>
          <w:szCs w:val="24"/>
        </w:rPr>
        <w:t xml:space="preserve">, after which the package will go to the Parliament for adoption. Hopefully, adoption of this package, in addition to many other gender equality problems, will create normative framework to effectively address workplace sexual harassment. </w:t>
      </w:r>
    </w:p>
    <w:p w:rsidR="0084433C" w:rsidRPr="00E367BD" w:rsidRDefault="0084433C" w:rsidP="00E367BD">
      <w:pPr>
        <w:jc w:val="both"/>
        <w:rPr>
          <w:rFonts w:ascii="Times New Roman" w:hAnsi="Times New Roman" w:cs="Times New Roman"/>
          <w:sz w:val="24"/>
          <w:szCs w:val="24"/>
        </w:rPr>
      </w:pPr>
    </w:p>
    <w:p w:rsidR="00947B60" w:rsidRPr="00733E0C" w:rsidRDefault="00947B60" w:rsidP="00E367BD">
      <w:pPr>
        <w:jc w:val="both"/>
        <w:rPr>
          <w:rFonts w:ascii="Times New Roman" w:hAnsi="Times New Roman" w:cs="Times New Roman"/>
          <w:b/>
          <w:i/>
          <w:sz w:val="24"/>
          <w:szCs w:val="24"/>
        </w:rPr>
      </w:pPr>
      <w:r w:rsidRPr="00733E0C">
        <w:rPr>
          <w:rFonts w:ascii="Times New Roman" w:hAnsi="Times New Roman" w:cs="Times New Roman"/>
          <w:b/>
          <w:i/>
          <w:sz w:val="24"/>
          <w:szCs w:val="24"/>
        </w:rPr>
        <w:t>Lack of institutional mechanisms for the protection of labour rights</w:t>
      </w:r>
    </w:p>
    <w:p w:rsidR="00947B60" w:rsidRDefault="001F558A" w:rsidP="00E367BD">
      <w:pPr>
        <w:jc w:val="both"/>
        <w:rPr>
          <w:rFonts w:ascii="Times New Roman" w:hAnsi="Times New Roman" w:cs="Times New Roman"/>
          <w:sz w:val="24"/>
          <w:szCs w:val="24"/>
        </w:rPr>
      </w:pPr>
      <w:r w:rsidRPr="00E367BD">
        <w:rPr>
          <w:rFonts w:ascii="Times New Roman" w:hAnsi="Times New Roman" w:cs="Times New Roman"/>
          <w:sz w:val="24"/>
          <w:szCs w:val="24"/>
        </w:rPr>
        <w:t>One of the key problems in the field of work right, including from gender equality perspective, is the lack of a s</w:t>
      </w:r>
      <w:r w:rsidR="00947B60" w:rsidRPr="00E367BD">
        <w:rPr>
          <w:rFonts w:ascii="Times New Roman" w:hAnsi="Times New Roman" w:cs="Times New Roman"/>
          <w:sz w:val="24"/>
          <w:szCs w:val="24"/>
        </w:rPr>
        <w:t>tate institution responsible for the monitoring of the labour rights and the safe working environment. Although in early 2015, the State Programme for Monitoring the Labour Conditions was approved by the Governmental decree, this cannot be considered as an effective monitoring mechanism. In particular, in the framework of the programme, only those enterprises are monitored, which express their consent beforehand in case of finding the violations, the monitors have the right to issue the non-binding recommendations.</w:t>
      </w:r>
      <w:r w:rsidR="000571F1" w:rsidRPr="00E367BD">
        <w:rPr>
          <w:rStyle w:val="FootnoteReference"/>
          <w:rFonts w:ascii="Times New Roman" w:hAnsi="Times New Roman" w:cs="Times New Roman"/>
          <w:sz w:val="24"/>
          <w:szCs w:val="24"/>
        </w:rPr>
        <w:footnoteReference w:id="21"/>
      </w:r>
      <w:r w:rsidR="0084433C" w:rsidRPr="00E367BD">
        <w:rPr>
          <w:rFonts w:ascii="Times New Roman" w:hAnsi="Times New Roman" w:cs="Times New Roman"/>
          <w:sz w:val="24"/>
          <w:szCs w:val="24"/>
        </w:rPr>
        <w:t xml:space="preserve"> I</w:t>
      </w:r>
      <w:r w:rsidR="00947B60" w:rsidRPr="00E367BD">
        <w:rPr>
          <w:rFonts w:ascii="Times New Roman" w:hAnsi="Times New Roman" w:cs="Times New Roman"/>
          <w:sz w:val="24"/>
          <w:szCs w:val="24"/>
        </w:rPr>
        <w:t>n case of the lack of consent of the employer, except for implementing inspection for identifying the forced labour and labour exploitation, no mechanism exists for identifying the violations and responding to them.</w:t>
      </w:r>
      <w:r w:rsidR="000571F1" w:rsidRPr="00E367BD">
        <w:rPr>
          <w:rStyle w:val="FootnoteReference"/>
          <w:rFonts w:ascii="Times New Roman" w:hAnsi="Times New Roman" w:cs="Times New Roman"/>
          <w:sz w:val="24"/>
          <w:szCs w:val="24"/>
        </w:rPr>
        <w:footnoteReference w:id="22"/>
      </w:r>
      <w:r w:rsidR="0084433C" w:rsidRPr="00E367BD">
        <w:rPr>
          <w:rFonts w:ascii="Times New Roman" w:hAnsi="Times New Roman" w:cs="Times New Roman"/>
          <w:sz w:val="24"/>
          <w:szCs w:val="24"/>
        </w:rPr>
        <w:t xml:space="preserve"> In addition, the mandate of the programme does not include </w:t>
      </w:r>
      <w:r w:rsidRPr="00E367BD">
        <w:rPr>
          <w:rFonts w:ascii="Times New Roman" w:hAnsi="Times New Roman" w:cs="Times New Roman"/>
          <w:sz w:val="24"/>
          <w:szCs w:val="24"/>
        </w:rPr>
        <w:t>e.g. monitoring the issues relevant for gender discrimination, e.g., compliance of interview stage or concluded contracts with the laws of Georgia, etc.</w:t>
      </w:r>
    </w:p>
    <w:p w:rsidR="00AF0E8A" w:rsidRPr="00E367BD" w:rsidRDefault="00AF0E8A" w:rsidP="00E367BD">
      <w:pPr>
        <w:jc w:val="both"/>
        <w:rPr>
          <w:rFonts w:ascii="Times New Roman" w:hAnsi="Times New Roman" w:cs="Times New Roman"/>
          <w:sz w:val="24"/>
          <w:szCs w:val="24"/>
        </w:rPr>
      </w:pPr>
    </w:p>
    <w:p w:rsidR="00010B4C" w:rsidRPr="00E367BD" w:rsidRDefault="001F558A" w:rsidP="00E367BD">
      <w:pPr>
        <w:jc w:val="both"/>
        <w:rPr>
          <w:rFonts w:ascii="Times New Roman" w:hAnsi="Times New Roman" w:cs="Times New Roman"/>
          <w:b/>
          <w:sz w:val="24"/>
          <w:szCs w:val="24"/>
        </w:rPr>
      </w:pPr>
      <w:r w:rsidRPr="00E367BD">
        <w:rPr>
          <w:rFonts w:ascii="Times New Roman" w:hAnsi="Times New Roman" w:cs="Times New Roman"/>
          <w:b/>
          <w:sz w:val="24"/>
          <w:szCs w:val="24"/>
        </w:rPr>
        <w:t>Recommendations</w:t>
      </w:r>
    </w:p>
    <w:p w:rsidR="00E367BD"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t>Introduce measures, including awareness raising campaigns, to counter gender stereotypes and fight effectively gender discrimination and VAW</w:t>
      </w:r>
    </w:p>
    <w:p w:rsidR="00E367BD"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t xml:space="preserve">Define sexual harassment in the law and determine corresponding system of sanctions. </w:t>
      </w:r>
    </w:p>
    <w:p w:rsidR="00E367BD"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lastRenderedPageBreak/>
        <w:t>Public as well as private institutions must establish an internal institutional mechanism of preventing sexual harassment and respond effectively to such occurrences</w:t>
      </w:r>
    </w:p>
    <w:p w:rsidR="00E367BD"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t>Introduce independent, fully-fledged Labour Inspection with the mandate of, inter alia, monitoring gender dimension of labour relations</w:t>
      </w:r>
    </w:p>
    <w:p w:rsidR="001F558A"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t xml:space="preserve">Regulate the issue of minimum wage by law, </w:t>
      </w:r>
      <w:r w:rsidR="001F558A" w:rsidRPr="00E367BD">
        <w:rPr>
          <w:rFonts w:ascii="Times New Roman" w:hAnsi="Times New Roman" w:cs="Times New Roman"/>
          <w:sz w:val="24"/>
          <w:szCs w:val="24"/>
        </w:rPr>
        <w:t xml:space="preserve">so that the State ensures the protection of the employees from receiving the </w:t>
      </w:r>
      <w:r w:rsidRPr="00E367BD">
        <w:rPr>
          <w:rFonts w:ascii="Times New Roman" w:hAnsi="Times New Roman" w:cs="Times New Roman"/>
          <w:sz w:val="24"/>
          <w:szCs w:val="24"/>
        </w:rPr>
        <w:t>tight</w:t>
      </w:r>
      <w:r w:rsidR="001F558A" w:rsidRPr="00E367BD">
        <w:rPr>
          <w:rFonts w:ascii="Times New Roman" w:hAnsi="Times New Roman" w:cs="Times New Roman"/>
          <w:sz w:val="24"/>
          <w:szCs w:val="24"/>
        </w:rPr>
        <w:t xml:space="preserve"> wages</w:t>
      </w:r>
      <w:r w:rsidRPr="00E367BD">
        <w:rPr>
          <w:rFonts w:ascii="Times New Roman" w:hAnsi="Times New Roman" w:cs="Times New Roman"/>
          <w:sz w:val="24"/>
          <w:szCs w:val="24"/>
        </w:rPr>
        <w:t>.</w:t>
      </w:r>
    </w:p>
    <w:p w:rsidR="00E367BD" w:rsidRPr="00E367BD" w:rsidRDefault="00E367BD" w:rsidP="00E367BD">
      <w:pPr>
        <w:pStyle w:val="ListParagraph"/>
        <w:numPr>
          <w:ilvl w:val="0"/>
          <w:numId w:val="1"/>
        </w:numPr>
        <w:jc w:val="both"/>
        <w:rPr>
          <w:rFonts w:ascii="Times New Roman" w:hAnsi="Times New Roman" w:cs="Times New Roman"/>
          <w:sz w:val="24"/>
          <w:szCs w:val="24"/>
        </w:rPr>
      </w:pPr>
      <w:r w:rsidRPr="00E367BD">
        <w:rPr>
          <w:rFonts w:ascii="Times New Roman" w:hAnsi="Times New Roman" w:cs="Times New Roman"/>
          <w:sz w:val="24"/>
          <w:szCs w:val="24"/>
        </w:rPr>
        <w:t>Introduce measures to address gender wage gap</w:t>
      </w:r>
    </w:p>
    <w:p w:rsidR="00010B4C" w:rsidRPr="00E367BD" w:rsidRDefault="00010B4C" w:rsidP="00E367BD">
      <w:pPr>
        <w:jc w:val="both"/>
        <w:rPr>
          <w:rFonts w:ascii="Times New Roman" w:hAnsi="Times New Roman" w:cs="Times New Roman"/>
          <w:b/>
          <w:sz w:val="24"/>
          <w:szCs w:val="24"/>
          <w:lang w:val="en-GB"/>
        </w:rPr>
      </w:pPr>
    </w:p>
    <w:p w:rsidR="00E367BD" w:rsidRPr="00E367BD" w:rsidRDefault="00E367BD" w:rsidP="00E367BD">
      <w:pPr>
        <w:pStyle w:val="SingleTxt"/>
        <w:ind w:left="0"/>
        <w:rPr>
          <w:b/>
          <w:sz w:val="24"/>
          <w:szCs w:val="24"/>
        </w:rPr>
      </w:pPr>
    </w:p>
    <w:p w:rsidR="00E367BD" w:rsidRPr="00E367BD" w:rsidRDefault="00E367BD" w:rsidP="00E367BD">
      <w:pPr>
        <w:pStyle w:val="SingleTxt"/>
        <w:ind w:left="0"/>
        <w:rPr>
          <w:b/>
          <w:sz w:val="24"/>
          <w:szCs w:val="24"/>
        </w:rPr>
      </w:pPr>
    </w:p>
    <w:p w:rsidR="00572999" w:rsidRPr="00E367BD" w:rsidRDefault="00572999" w:rsidP="00E367BD">
      <w:pPr>
        <w:pStyle w:val="SingleTxt"/>
        <w:ind w:left="0"/>
        <w:rPr>
          <w:b/>
          <w:sz w:val="24"/>
          <w:szCs w:val="24"/>
        </w:rPr>
      </w:pPr>
      <w:r w:rsidRPr="00E367BD">
        <w:rPr>
          <w:b/>
          <w:sz w:val="24"/>
          <w:szCs w:val="24"/>
        </w:rPr>
        <w:t>Annex</w:t>
      </w:r>
    </w:p>
    <w:p w:rsidR="00E367BD" w:rsidRPr="00E367BD" w:rsidRDefault="00E367BD" w:rsidP="00E367BD">
      <w:pPr>
        <w:pStyle w:val="SingleTxt"/>
        <w:ind w:left="0"/>
        <w:rPr>
          <w:b/>
          <w:sz w:val="24"/>
          <w:szCs w:val="24"/>
        </w:rPr>
      </w:pPr>
      <w:r w:rsidRPr="00E367BD">
        <w:rPr>
          <w:b/>
          <w:sz w:val="24"/>
          <w:szCs w:val="24"/>
        </w:rPr>
        <w:t>Georgia has the following laws in place:</w:t>
      </w:r>
    </w:p>
    <w:p w:rsidR="00572999" w:rsidRPr="00E367BD" w:rsidRDefault="00572999" w:rsidP="00E367BD">
      <w:pPr>
        <w:pStyle w:val="SingleTxt"/>
        <w:rPr>
          <w:sz w:val="24"/>
          <w:szCs w:val="24"/>
        </w:rPr>
      </w:pPr>
      <w:r w:rsidRPr="00E367BD">
        <w:rPr>
          <w:sz w:val="24"/>
          <w:szCs w:val="24"/>
        </w:rPr>
        <w:tab/>
        <w:t>(a)</w:t>
      </w:r>
      <w:r w:rsidRPr="00E367BD">
        <w:rPr>
          <w:sz w:val="24"/>
          <w:szCs w:val="24"/>
        </w:rPr>
        <w:tab/>
        <w:t>Act on the Elimination of All Forms of Discrimination, in 2014, which includes the prohibition of discrimination based on sex, as well as on sexual orientation and gender identity,</w:t>
      </w:r>
    </w:p>
    <w:p w:rsidR="00572999" w:rsidRPr="00E367BD" w:rsidRDefault="00572999" w:rsidP="00E367BD">
      <w:pPr>
        <w:pStyle w:val="SingleTxt"/>
        <w:rPr>
          <w:sz w:val="24"/>
          <w:szCs w:val="24"/>
        </w:rPr>
      </w:pPr>
      <w:r w:rsidRPr="00E367BD">
        <w:rPr>
          <w:sz w:val="24"/>
          <w:szCs w:val="24"/>
        </w:rPr>
        <w:tab/>
        <w:t>(b)</w:t>
      </w:r>
      <w:r w:rsidRPr="00E367BD">
        <w:rPr>
          <w:sz w:val="24"/>
          <w:szCs w:val="24"/>
        </w:rPr>
        <w:tab/>
        <w:t xml:space="preserve">Act on Internally Displaced Persons — Persecuted from the Occupied Territories of Georgia, providing for protection of the rights of internally displaced persons and their reintegration, in 2014; </w:t>
      </w:r>
    </w:p>
    <w:p w:rsidR="00572999" w:rsidRPr="00E367BD" w:rsidRDefault="00572999" w:rsidP="00E367BD">
      <w:pPr>
        <w:pStyle w:val="SingleTxt"/>
        <w:rPr>
          <w:sz w:val="24"/>
          <w:szCs w:val="24"/>
        </w:rPr>
      </w:pPr>
      <w:r w:rsidRPr="00E367BD">
        <w:rPr>
          <w:sz w:val="24"/>
          <w:szCs w:val="24"/>
        </w:rPr>
        <w:tab/>
        <w:t>(c)</w:t>
      </w:r>
      <w:r w:rsidRPr="00E367BD">
        <w:rPr>
          <w:sz w:val="24"/>
          <w:szCs w:val="24"/>
        </w:rPr>
        <w:tab/>
        <w:t xml:space="preserve">Amendments to the Labour Code, enhancing the protection of the rights of women in the workplace, in 2013; </w:t>
      </w:r>
    </w:p>
    <w:p w:rsidR="00572999" w:rsidRPr="00E367BD" w:rsidRDefault="00572999" w:rsidP="00E367BD">
      <w:pPr>
        <w:pStyle w:val="SingleTxt"/>
        <w:rPr>
          <w:sz w:val="24"/>
          <w:szCs w:val="24"/>
        </w:rPr>
      </w:pPr>
      <w:r w:rsidRPr="00E367BD">
        <w:rPr>
          <w:sz w:val="24"/>
          <w:szCs w:val="24"/>
        </w:rPr>
        <w:tab/>
        <w:t>(d)</w:t>
      </w:r>
      <w:r w:rsidRPr="00E367BD">
        <w:rPr>
          <w:sz w:val="24"/>
          <w:szCs w:val="24"/>
        </w:rPr>
        <w:tab/>
        <w:t>Amendments to the Criminal Code, introducing provisions defining the scope and categories of domestic violence, in 2012;</w:t>
      </w:r>
    </w:p>
    <w:p w:rsidR="00572999" w:rsidRPr="00E367BD" w:rsidRDefault="00572999" w:rsidP="00E367BD">
      <w:pPr>
        <w:pStyle w:val="SingleTxt"/>
        <w:rPr>
          <w:sz w:val="24"/>
          <w:szCs w:val="24"/>
        </w:rPr>
      </w:pPr>
      <w:r w:rsidRPr="00E367BD">
        <w:rPr>
          <w:sz w:val="24"/>
          <w:szCs w:val="24"/>
        </w:rPr>
        <w:tab/>
        <w:t>(e)</w:t>
      </w:r>
      <w:r w:rsidRPr="00E367BD">
        <w:rPr>
          <w:sz w:val="24"/>
          <w:szCs w:val="24"/>
        </w:rPr>
        <w:tab/>
        <w:t xml:space="preserve">Amendments to the Election Code and the Organization Act on the Political Unions of Citizens, providing for financial incentives to political parties that nominate women candidates for parliamentary elections, in 2011 and 2013, respectively; </w:t>
      </w:r>
    </w:p>
    <w:p w:rsidR="00572999" w:rsidRPr="00E367BD" w:rsidRDefault="00572999" w:rsidP="00E367BD">
      <w:pPr>
        <w:pStyle w:val="SingleTxt"/>
        <w:rPr>
          <w:sz w:val="24"/>
          <w:szCs w:val="24"/>
        </w:rPr>
      </w:pPr>
      <w:r w:rsidRPr="00E367BD">
        <w:rPr>
          <w:sz w:val="24"/>
          <w:szCs w:val="24"/>
        </w:rPr>
        <w:tab/>
        <w:t>(f)</w:t>
      </w:r>
      <w:r w:rsidRPr="00E367BD">
        <w:rPr>
          <w:sz w:val="24"/>
          <w:szCs w:val="24"/>
        </w:rPr>
        <w:tab/>
        <w:t xml:space="preserve">Act on Gender Equality, defining legal mechanisms and conditions for the implementation of equal rights and opportunities of women and men, in 2010; </w:t>
      </w:r>
    </w:p>
    <w:p w:rsidR="00572999" w:rsidRPr="00E367BD" w:rsidRDefault="00572999" w:rsidP="00E367BD">
      <w:pPr>
        <w:pStyle w:val="SingleTxt"/>
        <w:rPr>
          <w:sz w:val="24"/>
          <w:szCs w:val="24"/>
        </w:rPr>
      </w:pPr>
      <w:r w:rsidRPr="00E367BD">
        <w:rPr>
          <w:sz w:val="24"/>
          <w:szCs w:val="24"/>
        </w:rPr>
        <w:tab/>
        <w:t>(g)</w:t>
      </w:r>
      <w:r w:rsidRPr="00E367BD">
        <w:rPr>
          <w:sz w:val="24"/>
          <w:szCs w:val="24"/>
        </w:rPr>
        <w:tab/>
        <w:t xml:space="preserve">Amendments to the Criminal Code, criminalizing the use of services of (statutory) victims of trafficking in persons, in 2007. </w:t>
      </w:r>
    </w:p>
    <w:p w:rsidR="00572999" w:rsidRPr="00E367BD" w:rsidRDefault="00572999" w:rsidP="00E367BD">
      <w:pPr>
        <w:pStyle w:val="SingleTxt"/>
        <w:rPr>
          <w:sz w:val="24"/>
          <w:szCs w:val="24"/>
        </w:rPr>
      </w:pPr>
    </w:p>
    <w:p w:rsidR="00572999" w:rsidRPr="006418CE" w:rsidRDefault="00572999" w:rsidP="00E367BD">
      <w:pPr>
        <w:pStyle w:val="SingleTxt"/>
        <w:ind w:left="0"/>
        <w:rPr>
          <w:b/>
          <w:sz w:val="24"/>
          <w:szCs w:val="24"/>
        </w:rPr>
      </w:pPr>
      <w:r w:rsidRPr="006418CE">
        <w:rPr>
          <w:b/>
          <w:sz w:val="24"/>
          <w:szCs w:val="24"/>
        </w:rPr>
        <w:t>As far as the policy framework is concerned, Georgia has the following:</w:t>
      </w:r>
    </w:p>
    <w:p w:rsidR="00572999" w:rsidRPr="00E367BD" w:rsidRDefault="00572999" w:rsidP="00E367BD">
      <w:pPr>
        <w:pStyle w:val="SingleTxt"/>
        <w:rPr>
          <w:sz w:val="24"/>
          <w:szCs w:val="24"/>
        </w:rPr>
      </w:pPr>
      <w:r w:rsidRPr="00E367BD">
        <w:rPr>
          <w:sz w:val="24"/>
          <w:szCs w:val="24"/>
        </w:rPr>
        <w:tab/>
        <w:t>(a)</w:t>
      </w:r>
      <w:r w:rsidRPr="00E367BD">
        <w:rPr>
          <w:sz w:val="24"/>
          <w:szCs w:val="24"/>
        </w:rPr>
        <w:tab/>
        <w:t>Strategy of Health Protection System 2014-2020, aimed at promoting the health of mothers and children;</w:t>
      </w:r>
    </w:p>
    <w:p w:rsidR="00572999" w:rsidRPr="00E367BD" w:rsidRDefault="00572999" w:rsidP="00E367BD">
      <w:pPr>
        <w:pStyle w:val="SingleTxt"/>
        <w:rPr>
          <w:sz w:val="24"/>
          <w:szCs w:val="24"/>
        </w:rPr>
      </w:pPr>
      <w:r w:rsidRPr="00E367BD">
        <w:rPr>
          <w:sz w:val="24"/>
          <w:szCs w:val="24"/>
        </w:rPr>
        <w:tab/>
        <w:t>(b)</w:t>
      </w:r>
      <w:r w:rsidRPr="00E367BD">
        <w:rPr>
          <w:sz w:val="24"/>
          <w:szCs w:val="24"/>
        </w:rPr>
        <w:tab/>
        <w:t xml:space="preserve">National Action Plan on Gender Equality for 2014-2016; </w:t>
      </w:r>
    </w:p>
    <w:p w:rsidR="00572999" w:rsidRPr="00E367BD" w:rsidRDefault="00572999" w:rsidP="00E367BD">
      <w:pPr>
        <w:pStyle w:val="SingleTxt"/>
        <w:rPr>
          <w:sz w:val="24"/>
          <w:szCs w:val="24"/>
        </w:rPr>
      </w:pPr>
      <w:r w:rsidRPr="00E367BD">
        <w:rPr>
          <w:sz w:val="24"/>
          <w:szCs w:val="24"/>
        </w:rPr>
        <w:tab/>
        <w:t>(c)</w:t>
      </w:r>
      <w:r w:rsidRPr="00E367BD">
        <w:rPr>
          <w:sz w:val="24"/>
          <w:szCs w:val="24"/>
        </w:rPr>
        <w:tab/>
        <w:t>National Action Plan for the Implementation of the Gender Equality Policy for 2007-2009;</w:t>
      </w:r>
    </w:p>
    <w:p w:rsidR="00572999" w:rsidRPr="00E367BD" w:rsidRDefault="00572999" w:rsidP="00E367BD">
      <w:pPr>
        <w:pStyle w:val="SingleTxt"/>
        <w:rPr>
          <w:color w:val="FF0000"/>
          <w:sz w:val="24"/>
          <w:szCs w:val="24"/>
        </w:rPr>
      </w:pPr>
      <w:r w:rsidRPr="00E367BD">
        <w:rPr>
          <w:sz w:val="24"/>
          <w:szCs w:val="24"/>
        </w:rPr>
        <w:lastRenderedPageBreak/>
        <w:tab/>
      </w:r>
      <w:r w:rsidRPr="006418CE">
        <w:rPr>
          <w:sz w:val="24"/>
          <w:szCs w:val="24"/>
        </w:rPr>
        <w:t>(d)</w:t>
      </w:r>
      <w:r w:rsidRPr="006418CE">
        <w:rPr>
          <w:sz w:val="24"/>
          <w:szCs w:val="24"/>
        </w:rPr>
        <w:tab/>
        <w:t xml:space="preserve">National human rights strategy and action plan for the period 2014-2015; which had as specific objective the realization of gender equality through </w:t>
      </w:r>
      <w:r w:rsidRPr="00E367BD">
        <w:rPr>
          <w:sz w:val="24"/>
          <w:szCs w:val="24"/>
        </w:rPr>
        <w:t>the empowerment of women and the fight against domestic violence</w:t>
      </w:r>
    </w:p>
    <w:p w:rsidR="00572999" w:rsidRPr="00E367BD" w:rsidRDefault="00572999" w:rsidP="00E367BD">
      <w:pPr>
        <w:pStyle w:val="SingleTxt"/>
        <w:rPr>
          <w:sz w:val="24"/>
          <w:szCs w:val="24"/>
        </w:rPr>
      </w:pPr>
      <w:r w:rsidRPr="00E367BD">
        <w:rPr>
          <w:sz w:val="24"/>
          <w:szCs w:val="24"/>
        </w:rPr>
        <w:tab/>
        <w:t>(e)</w:t>
      </w:r>
      <w:r w:rsidRPr="00E367BD">
        <w:rPr>
          <w:sz w:val="24"/>
          <w:szCs w:val="24"/>
        </w:rPr>
        <w:tab/>
        <w:t xml:space="preserve">Action Plan for Combating Domestic Violence and Implementing Measures for the Protection of Victims of Domestic Violence for 2013-2015; </w:t>
      </w:r>
    </w:p>
    <w:p w:rsidR="00572999" w:rsidRPr="00E367BD" w:rsidRDefault="00572999" w:rsidP="00E367BD">
      <w:pPr>
        <w:pStyle w:val="SingleTxt"/>
        <w:rPr>
          <w:sz w:val="24"/>
          <w:szCs w:val="24"/>
        </w:rPr>
      </w:pPr>
      <w:r w:rsidRPr="00E367BD">
        <w:rPr>
          <w:sz w:val="24"/>
          <w:szCs w:val="24"/>
        </w:rPr>
        <w:tab/>
        <w:t>(f)</w:t>
      </w:r>
      <w:r w:rsidRPr="00E367BD">
        <w:rPr>
          <w:sz w:val="24"/>
          <w:szCs w:val="24"/>
        </w:rPr>
        <w:tab/>
        <w:t xml:space="preserve">National action plan for the implementation of Security Council resolutions </w:t>
      </w:r>
      <w:hyperlink r:id="rId10" w:history="1">
        <w:r w:rsidRPr="00E367BD">
          <w:rPr>
            <w:rStyle w:val="Hyperlink"/>
            <w:sz w:val="24"/>
            <w:szCs w:val="24"/>
          </w:rPr>
          <w:t>1325 (2000)</w:t>
        </w:r>
      </w:hyperlink>
      <w:r w:rsidRPr="00E367BD">
        <w:rPr>
          <w:sz w:val="24"/>
          <w:szCs w:val="24"/>
        </w:rPr>
        <w:t xml:space="preserve">, </w:t>
      </w:r>
      <w:hyperlink r:id="rId11" w:history="1">
        <w:r w:rsidRPr="00E367BD">
          <w:rPr>
            <w:rStyle w:val="Hyperlink"/>
            <w:sz w:val="24"/>
            <w:szCs w:val="24"/>
          </w:rPr>
          <w:t>1820 (2008)</w:t>
        </w:r>
      </w:hyperlink>
      <w:r w:rsidRPr="00E367BD">
        <w:rPr>
          <w:sz w:val="24"/>
          <w:szCs w:val="24"/>
        </w:rPr>
        <w:t xml:space="preserve">, </w:t>
      </w:r>
      <w:hyperlink r:id="rId12" w:history="1">
        <w:r w:rsidRPr="00E367BD">
          <w:rPr>
            <w:rStyle w:val="Hyperlink"/>
            <w:sz w:val="24"/>
            <w:szCs w:val="24"/>
          </w:rPr>
          <w:t>1888 (2009)</w:t>
        </w:r>
      </w:hyperlink>
      <w:r w:rsidRPr="00E367BD">
        <w:rPr>
          <w:sz w:val="24"/>
          <w:szCs w:val="24"/>
        </w:rPr>
        <w:t xml:space="preserve">, </w:t>
      </w:r>
      <w:hyperlink r:id="rId13" w:history="1">
        <w:r w:rsidRPr="00E367BD">
          <w:rPr>
            <w:rStyle w:val="Hyperlink"/>
            <w:sz w:val="24"/>
            <w:szCs w:val="24"/>
          </w:rPr>
          <w:t>1889 (2009)</w:t>
        </w:r>
      </w:hyperlink>
      <w:r w:rsidRPr="00E367BD">
        <w:rPr>
          <w:sz w:val="24"/>
          <w:szCs w:val="24"/>
        </w:rPr>
        <w:t xml:space="preserve"> and </w:t>
      </w:r>
      <w:hyperlink r:id="rId14" w:history="1">
        <w:r w:rsidRPr="00E367BD">
          <w:rPr>
            <w:rStyle w:val="Hyperlink"/>
            <w:sz w:val="24"/>
            <w:szCs w:val="24"/>
          </w:rPr>
          <w:t>1960 (2010)</w:t>
        </w:r>
      </w:hyperlink>
      <w:r w:rsidRPr="00E367BD">
        <w:rPr>
          <w:sz w:val="24"/>
          <w:szCs w:val="24"/>
        </w:rPr>
        <w:t xml:space="preserve"> on women and peace and security, covering the period 2012-2015;</w:t>
      </w:r>
    </w:p>
    <w:p w:rsidR="00572999" w:rsidRPr="00E367BD" w:rsidRDefault="00572999" w:rsidP="00E367BD">
      <w:pPr>
        <w:pStyle w:val="SingleTxtG"/>
        <w:rPr>
          <w:color w:val="FF0000"/>
        </w:rPr>
      </w:pPr>
      <w:r w:rsidRPr="00E367BD">
        <w:t xml:space="preserve">The 2014-2016 Gender Action Plan elaborated by the Ministry of Internal Affairs was adopted with the objective to improve gender equality in all aspects of political, economic and social life. </w:t>
      </w:r>
    </w:p>
    <w:p w:rsidR="00572999" w:rsidRPr="00E367BD" w:rsidRDefault="00572999" w:rsidP="00E367BD">
      <w:pPr>
        <w:pStyle w:val="SingleTxt"/>
        <w:rPr>
          <w:sz w:val="24"/>
          <w:szCs w:val="24"/>
        </w:rPr>
      </w:pPr>
    </w:p>
    <w:p w:rsidR="00572999" w:rsidRPr="006418CE" w:rsidRDefault="00572999" w:rsidP="00E367BD">
      <w:pPr>
        <w:pStyle w:val="SingleTxt"/>
        <w:ind w:left="0"/>
        <w:rPr>
          <w:sz w:val="24"/>
          <w:szCs w:val="24"/>
        </w:rPr>
      </w:pPr>
      <w:r w:rsidRPr="006418CE">
        <w:rPr>
          <w:b/>
          <w:sz w:val="24"/>
          <w:szCs w:val="24"/>
        </w:rPr>
        <w:t>To implement these laws, policies/strategies, the following bodies have been set up</w:t>
      </w:r>
      <w:r w:rsidRPr="006418CE">
        <w:rPr>
          <w:sz w:val="24"/>
          <w:szCs w:val="24"/>
        </w:rPr>
        <w:t xml:space="preserve"> </w:t>
      </w:r>
    </w:p>
    <w:p w:rsidR="00572999" w:rsidRPr="00E367BD" w:rsidRDefault="00572999" w:rsidP="00E367BD">
      <w:pPr>
        <w:pStyle w:val="SingleTxt"/>
        <w:ind w:left="0"/>
        <w:rPr>
          <w:sz w:val="24"/>
          <w:szCs w:val="24"/>
        </w:rPr>
      </w:pPr>
      <w:r w:rsidRPr="00E367BD">
        <w:rPr>
          <w:sz w:val="24"/>
          <w:szCs w:val="24"/>
        </w:rPr>
        <w:tab/>
        <w:t>(g)</w:t>
      </w:r>
      <w:r w:rsidRPr="00E367BD">
        <w:rPr>
          <w:sz w:val="24"/>
          <w:szCs w:val="24"/>
        </w:rPr>
        <w:tab/>
        <w:t xml:space="preserve">Gender Equality Council, as a standing parliamentary body, </w:t>
      </w:r>
      <w:r w:rsidR="00390505">
        <w:rPr>
          <w:sz w:val="24"/>
          <w:szCs w:val="24"/>
        </w:rPr>
        <w:tab/>
        <w:t xml:space="preserve">       </w:t>
      </w:r>
      <w:r w:rsidRPr="00E367BD">
        <w:rPr>
          <w:sz w:val="24"/>
          <w:szCs w:val="24"/>
        </w:rPr>
        <w:t xml:space="preserve">in 2009; </w:t>
      </w:r>
    </w:p>
    <w:p w:rsidR="00572999" w:rsidRPr="00E367BD" w:rsidRDefault="00572999" w:rsidP="00492D98">
      <w:pPr>
        <w:pStyle w:val="SingleTxt"/>
        <w:tabs>
          <w:tab w:val="clear" w:pos="1267"/>
          <w:tab w:val="clear" w:pos="1742"/>
          <w:tab w:val="clear" w:pos="2218"/>
          <w:tab w:val="clear" w:pos="2693"/>
          <w:tab w:val="left" w:pos="1276"/>
          <w:tab w:val="left" w:pos="1701"/>
        </w:tabs>
        <w:rPr>
          <w:sz w:val="24"/>
          <w:szCs w:val="24"/>
        </w:rPr>
      </w:pPr>
      <w:r w:rsidRPr="00E367BD">
        <w:rPr>
          <w:sz w:val="24"/>
          <w:szCs w:val="24"/>
        </w:rPr>
        <w:tab/>
        <w:t>(h)</w:t>
      </w:r>
      <w:r w:rsidRPr="00E367BD">
        <w:rPr>
          <w:sz w:val="24"/>
          <w:szCs w:val="24"/>
        </w:rPr>
        <w:tab/>
        <w:t>Permanent Inter-Agen</w:t>
      </w:r>
      <w:r w:rsidR="005F4F02">
        <w:rPr>
          <w:sz w:val="24"/>
          <w:szCs w:val="24"/>
        </w:rPr>
        <w:t>cy Coordination Council for the</w:t>
      </w:r>
      <w:r w:rsidR="00A11544">
        <w:rPr>
          <w:sz w:val="24"/>
          <w:szCs w:val="24"/>
        </w:rPr>
        <w:tab/>
      </w:r>
      <w:r w:rsidR="00A11544">
        <w:rPr>
          <w:sz w:val="24"/>
          <w:szCs w:val="24"/>
        </w:rPr>
        <w:tab/>
      </w:r>
      <w:r w:rsidR="005F4F02">
        <w:rPr>
          <w:sz w:val="24"/>
          <w:szCs w:val="24"/>
        </w:rPr>
        <w:t xml:space="preserve">      </w:t>
      </w:r>
      <w:bookmarkStart w:id="0" w:name="_GoBack"/>
      <w:bookmarkEnd w:id="0"/>
      <w:r w:rsidRPr="00E367BD">
        <w:rPr>
          <w:sz w:val="24"/>
          <w:szCs w:val="24"/>
        </w:rPr>
        <w:t xml:space="preserve">Prevention of Domestic Violence, in 2008. </w:t>
      </w:r>
    </w:p>
    <w:p w:rsidR="00572999" w:rsidRPr="00E367BD" w:rsidRDefault="00572999" w:rsidP="00E367BD">
      <w:pPr>
        <w:pStyle w:val="SingleTxt"/>
        <w:ind w:left="0"/>
        <w:rPr>
          <w:sz w:val="24"/>
          <w:szCs w:val="24"/>
        </w:rPr>
      </w:pPr>
      <w:r w:rsidRPr="00E367BD">
        <w:rPr>
          <w:sz w:val="24"/>
          <w:szCs w:val="24"/>
        </w:rPr>
        <w:t>In addition, Georgia is a party to the following relevant international instruments:</w:t>
      </w:r>
    </w:p>
    <w:p w:rsidR="00572999" w:rsidRPr="00E367BD" w:rsidRDefault="00572999" w:rsidP="00E367BD">
      <w:pPr>
        <w:pStyle w:val="SingleTxt"/>
        <w:ind w:left="0"/>
        <w:rPr>
          <w:sz w:val="24"/>
          <w:szCs w:val="24"/>
        </w:rPr>
      </w:pPr>
      <w:r w:rsidRPr="00E367BD">
        <w:rPr>
          <w:sz w:val="24"/>
          <w:szCs w:val="24"/>
        </w:rPr>
        <w:tab/>
        <w:t>(a)</w:t>
      </w:r>
      <w:r w:rsidRPr="00E367BD">
        <w:rPr>
          <w:sz w:val="24"/>
          <w:szCs w:val="24"/>
        </w:rPr>
        <w:tab/>
        <w:t xml:space="preserve">Convention on the Rights of Persons with Disabilities, in </w:t>
      </w:r>
      <w:r w:rsidR="00390505">
        <w:rPr>
          <w:sz w:val="24"/>
          <w:szCs w:val="24"/>
        </w:rPr>
        <w:tab/>
      </w:r>
      <w:r w:rsidR="00390505">
        <w:rPr>
          <w:sz w:val="24"/>
          <w:szCs w:val="24"/>
        </w:rPr>
        <w:tab/>
        <w:t xml:space="preserve">     </w:t>
      </w:r>
      <w:r w:rsidRPr="00E367BD">
        <w:rPr>
          <w:sz w:val="24"/>
          <w:szCs w:val="24"/>
        </w:rPr>
        <w:t xml:space="preserve">2014; </w:t>
      </w:r>
    </w:p>
    <w:p w:rsidR="00572999" w:rsidRPr="00E367BD" w:rsidRDefault="00572999" w:rsidP="00390505">
      <w:pPr>
        <w:pStyle w:val="SingleTxt"/>
        <w:tabs>
          <w:tab w:val="clear" w:pos="1267"/>
          <w:tab w:val="clear" w:pos="1742"/>
          <w:tab w:val="left" w:pos="1276"/>
        </w:tabs>
        <w:rPr>
          <w:sz w:val="24"/>
          <w:szCs w:val="24"/>
        </w:rPr>
      </w:pPr>
      <w:r w:rsidRPr="00E367BD">
        <w:rPr>
          <w:sz w:val="24"/>
          <w:szCs w:val="24"/>
        </w:rPr>
        <w:tab/>
        <w:t>(b)</w:t>
      </w:r>
      <w:r w:rsidRPr="00E367BD">
        <w:rPr>
          <w:sz w:val="24"/>
          <w:szCs w:val="24"/>
        </w:rPr>
        <w:tab/>
        <w:t xml:space="preserve">Optional Protocol to the Convention on the Rights of the Child on the involvement of children in armed conflict, in 2010; </w:t>
      </w:r>
    </w:p>
    <w:p w:rsidR="00572999" w:rsidRPr="00E367BD" w:rsidRDefault="00572999" w:rsidP="00390505">
      <w:pPr>
        <w:pStyle w:val="SingleTxt"/>
        <w:tabs>
          <w:tab w:val="clear" w:pos="1267"/>
          <w:tab w:val="clear" w:pos="1742"/>
          <w:tab w:val="clear" w:pos="2218"/>
          <w:tab w:val="clear" w:pos="2693"/>
          <w:tab w:val="left" w:pos="1276"/>
          <w:tab w:val="left" w:pos="1701"/>
        </w:tabs>
        <w:rPr>
          <w:sz w:val="24"/>
          <w:szCs w:val="24"/>
        </w:rPr>
      </w:pPr>
      <w:r w:rsidRPr="00E367BD">
        <w:rPr>
          <w:sz w:val="24"/>
          <w:szCs w:val="24"/>
        </w:rPr>
        <w:tab/>
        <w:t>(c)</w:t>
      </w:r>
      <w:r w:rsidRPr="00E367BD">
        <w:rPr>
          <w:sz w:val="24"/>
          <w:szCs w:val="24"/>
        </w:rPr>
        <w:tab/>
        <w:t xml:space="preserve">1954 Convention relating to the Status of Stateless Persons, </w:t>
      </w:r>
      <w:r w:rsidR="00390505">
        <w:rPr>
          <w:sz w:val="24"/>
          <w:szCs w:val="24"/>
        </w:rPr>
        <w:tab/>
        <w:t xml:space="preserve">   </w:t>
      </w:r>
      <w:r w:rsidR="00390505">
        <w:rPr>
          <w:sz w:val="24"/>
          <w:szCs w:val="24"/>
        </w:rPr>
        <w:tab/>
      </w:r>
      <w:r w:rsidR="00390505">
        <w:rPr>
          <w:sz w:val="24"/>
          <w:szCs w:val="24"/>
        </w:rPr>
        <w:tab/>
      </w:r>
      <w:r w:rsidRPr="00E367BD">
        <w:rPr>
          <w:sz w:val="24"/>
          <w:szCs w:val="24"/>
        </w:rPr>
        <w:t xml:space="preserve">in 2011; </w:t>
      </w:r>
    </w:p>
    <w:p w:rsidR="00572999" w:rsidRPr="00E367BD" w:rsidRDefault="00572999" w:rsidP="00390505">
      <w:pPr>
        <w:pStyle w:val="SingleTxt"/>
        <w:tabs>
          <w:tab w:val="clear" w:pos="1267"/>
          <w:tab w:val="clear" w:pos="1742"/>
          <w:tab w:val="clear" w:pos="2218"/>
          <w:tab w:val="left" w:pos="1276"/>
          <w:tab w:val="left" w:pos="1843"/>
        </w:tabs>
        <w:rPr>
          <w:sz w:val="24"/>
          <w:szCs w:val="24"/>
        </w:rPr>
      </w:pPr>
      <w:r w:rsidRPr="00E367BD">
        <w:rPr>
          <w:sz w:val="24"/>
          <w:szCs w:val="24"/>
        </w:rPr>
        <w:tab/>
        <w:t>(d)</w:t>
      </w:r>
      <w:r w:rsidRPr="00E367BD">
        <w:rPr>
          <w:sz w:val="24"/>
          <w:szCs w:val="24"/>
        </w:rPr>
        <w:tab/>
        <w:t xml:space="preserve">United Nations Convention against Transnational Organized Crime; the Protocol to Prevent, Suppress and Punish Trafficking in Persons, Especially Women and Children; and the Protocol against the Smuggling of Migrants by Land, Sea and Air, in 2006. </w:t>
      </w:r>
    </w:p>
    <w:p w:rsidR="00572999" w:rsidRPr="00E367BD" w:rsidRDefault="00572999" w:rsidP="00E367BD">
      <w:pPr>
        <w:jc w:val="both"/>
        <w:rPr>
          <w:rFonts w:ascii="Times New Roman" w:hAnsi="Times New Roman" w:cs="Times New Roman"/>
          <w:sz w:val="24"/>
          <w:szCs w:val="24"/>
          <w:lang w:val="en-GB"/>
        </w:rPr>
      </w:pPr>
    </w:p>
    <w:p w:rsidR="00572999" w:rsidRPr="00E367BD" w:rsidRDefault="00572999" w:rsidP="00E367BD">
      <w:pPr>
        <w:jc w:val="both"/>
        <w:rPr>
          <w:rFonts w:ascii="Times New Roman" w:hAnsi="Times New Roman" w:cs="Times New Roman"/>
          <w:b/>
          <w:sz w:val="24"/>
          <w:szCs w:val="24"/>
          <w:lang w:val="en-GB"/>
        </w:rPr>
      </w:pPr>
    </w:p>
    <w:sectPr w:rsidR="00572999" w:rsidRPr="00E36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23" w:rsidRDefault="00253923" w:rsidP="000571F1">
      <w:pPr>
        <w:spacing w:after="0" w:line="240" w:lineRule="auto"/>
      </w:pPr>
      <w:r>
        <w:separator/>
      </w:r>
    </w:p>
  </w:endnote>
  <w:endnote w:type="continuationSeparator" w:id="0">
    <w:p w:rsidR="00253923" w:rsidRDefault="00253923" w:rsidP="0005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23" w:rsidRDefault="00253923" w:rsidP="000571F1">
      <w:pPr>
        <w:spacing w:after="0" w:line="240" w:lineRule="auto"/>
      </w:pPr>
      <w:r>
        <w:separator/>
      </w:r>
    </w:p>
  </w:footnote>
  <w:footnote w:type="continuationSeparator" w:id="0">
    <w:p w:rsidR="00253923" w:rsidRDefault="00253923" w:rsidP="000571F1">
      <w:pPr>
        <w:spacing w:after="0" w:line="240" w:lineRule="auto"/>
      </w:pPr>
      <w:r>
        <w:continuationSeparator/>
      </w:r>
    </w:p>
  </w:footnote>
  <w:footnote w:id="1">
    <w:p w:rsidR="00733E0C" w:rsidRPr="00733E0C" w:rsidRDefault="00733E0C" w:rsidP="00733E0C">
      <w:pPr>
        <w:autoSpaceDE w:val="0"/>
        <w:autoSpaceDN w:val="0"/>
        <w:adjustRightInd w:val="0"/>
        <w:spacing w:after="0" w:line="240" w:lineRule="auto"/>
        <w:jc w:val="both"/>
        <w:rPr>
          <w:rFonts w:ascii="Times New Roman" w:hAnsi="Times New Roman" w:cs="Times New Roman"/>
          <w:sz w:val="20"/>
          <w:szCs w:val="20"/>
        </w:rPr>
      </w:pPr>
      <w:r w:rsidRPr="00733E0C">
        <w:rPr>
          <w:rStyle w:val="FootnoteReference"/>
          <w:rFonts w:ascii="Times New Roman" w:hAnsi="Times New Roman" w:cs="Times New Roman"/>
          <w:sz w:val="20"/>
          <w:szCs w:val="20"/>
        </w:rPr>
        <w:footnoteRef/>
      </w:r>
      <w:r w:rsidRPr="00733E0C">
        <w:rPr>
          <w:rFonts w:ascii="Times New Roman" w:hAnsi="Times New Roman" w:cs="Times New Roman"/>
          <w:sz w:val="20"/>
          <w:szCs w:val="20"/>
        </w:rPr>
        <w:t xml:space="preserve"> Georgian Young Lawyers’ Association and Partnership for Human Rights, Analysis of Georgian Labour Legislation – Gender-based Discrimination in the Wo</w:t>
      </w:r>
      <w:r>
        <w:rPr>
          <w:rFonts w:ascii="Times New Roman" w:hAnsi="Times New Roman" w:cs="Times New Roman"/>
          <w:sz w:val="20"/>
          <w:szCs w:val="20"/>
        </w:rPr>
        <w:t>r</w:t>
      </w:r>
      <w:r w:rsidRPr="00733E0C">
        <w:rPr>
          <w:rFonts w:ascii="Times New Roman" w:hAnsi="Times New Roman" w:cs="Times New Roman"/>
          <w:sz w:val="20"/>
          <w:szCs w:val="20"/>
        </w:rPr>
        <w:t>kplace and Its Legal Implications, 2014</w:t>
      </w:r>
    </w:p>
  </w:footnote>
  <w:footnote w:id="2">
    <w:p w:rsidR="00572999" w:rsidRPr="00E367BD" w:rsidRDefault="00572999" w:rsidP="00E367BD">
      <w:pPr>
        <w:pStyle w:val="FootnoteText"/>
        <w:jc w:val="both"/>
        <w:rPr>
          <w:rFonts w:ascii="Times New Roman" w:hAnsi="Times New Roman" w:cs="Times New Roman"/>
        </w:rPr>
      </w:pPr>
      <w:r w:rsidRPr="00E367BD">
        <w:rPr>
          <w:rStyle w:val="FootnoteReference"/>
          <w:rFonts w:ascii="Times New Roman" w:hAnsi="Times New Roman" w:cs="Times New Roman"/>
        </w:rPr>
        <w:footnoteRef/>
      </w:r>
      <w:r w:rsidRPr="00E367BD">
        <w:rPr>
          <w:rFonts w:ascii="Times New Roman" w:hAnsi="Times New Roman" w:cs="Times New Roman"/>
        </w:rPr>
        <w:t xml:space="preserve"> </w:t>
      </w:r>
      <w:r w:rsidR="00E367BD" w:rsidRPr="00E367BD">
        <w:rPr>
          <w:rFonts w:ascii="Times New Roman" w:hAnsi="Times New Roman" w:cs="Times New Roman"/>
        </w:rPr>
        <w:t>Report of the Special Rapporteur on violence against women, its causes and consequences on her</w:t>
      </w:r>
      <w:r w:rsidR="00E367BD" w:rsidRPr="00E367BD" w:rsidDel="001E3250">
        <w:rPr>
          <w:rFonts w:ascii="Times New Roman" w:hAnsi="Times New Roman" w:cs="Times New Roman"/>
        </w:rPr>
        <w:t xml:space="preserve"> </w:t>
      </w:r>
      <w:r w:rsidR="00E367BD" w:rsidRPr="00E367BD">
        <w:rPr>
          <w:rFonts w:ascii="Times New Roman" w:hAnsi="Times New Roman" w:cs="Times New Roman"/>
        </w:rPr>
        <w:t xml:space="preserve">mission to Georgia, A/HRC/32/42/Add.3 (2016) [hereinafter UN Special Rapporteur, 2016] </w:t>
      </w:r>
      <w:r w:rsidRPr="00E367BD">
        <w:rPr>
          <w:rFonts w:ascii="Times New Roman" w:hAnsi="Times New Roman" w:cs="Times New Roman"/>
        </w:rPr>
        <w:t xml:space="preserve">and </w:t>
      </w:r>
      <w:r w:rsidR="00E367BD" w:rsidRPr="00E367BD">
        <w:rPr>
          <w:rFonts w:ascii="Times New Roman" w:hAnsi="Times New Roman" w:cs="Times New Roman"/>
        </w:rPr>
        <w:t xml:space="preserve">Committee on the Elimination of Discrimination Against Women, Concluding observations on the combined fourth and fifth periodic reports of Georgia, </w:t>
      </w:r>
      <w:r w:rsidR="00E367BD" w:rsidRPr="00E367BD">
        <w:rPr>
          <w:rFonts w:ascii="Times New Roman" w:hAnsi="Times New Roman" w:cs="Times New Roman"/>
          <w:position w:val="-4"/>
        </w:rPr>
        <w:t>CEDAW/C/GEO/CO/4-5 (2014) [hereinafter CEDAW report 2014]</w:t>
      </w:r>
    </w:p>
  </w:footnote>
  <w:footnote w:id="3">
    <w:p w:rsidR="00572999" w:rsidRDefault="00572999" w:rsidP="00572999">
      <w:pPr>
        <w:pStyle w:val="FootnoteText"/>
      </w:pPr>
      <w:r w:rsidRPr="00E367BD">
        <w:rPr>
          <w:rStyle w:val="FootnoteReference"/>
          <w:rFonts w:ascii="Times New Roman" w:hAnsi="Times New Roman" w:cs="Times New Roman"/>
        </w:rPr>
        <w:footnoteRef/>
      </w:r>
      <w:r w:rsidR="00E367BD" w:rsidRPr="00E367BD">
        <w:rPr>
          <w:rFonts w:ascii="Times New Roman" w:hAnsi="Times New Roman" w:cs="Times New Roman"/>
        </w:rPr>
        <w:t xml:space="preserve"> CEDAW Report 2014</w:t>
      </w:r>
    </w:p>
  </w:footnote>
  <w:footnote w:id="4">
    <w:p w:rsidR="00263E07" w:rsidRPr="00E367BD" w:rsidRDefault="00263E07" w:rsidP="00263E07">
      <w:pPr>
        <w:pStyle w:val="FootnoteText"/>
      </w:pPr>
      <w:r>
        <w:rPr>
          <w:rStyle w:val="FootnoteReference"/>
        </w:rPr>
        <w:footnoteRef/>
      </w:r>
      <w:r w:rsidR="00E367BD">
        <w:t xml:space="preserve"> i.d.</w:t>
      </w:r>
    </w:p>
  </w:footnote>
  <w:footnote w:id="5">
    <w:p w:rsidR="00263E07" w:rsidRDefault="00263E07" w:rsidP="00263E07">
      <w:pPr>
        <w:pStyle w:val="FootnoteText"/>
      </w:pPr>
      <w:r>
        <w:rPr>
          <w:rStyle w:val="FootnoteReference"/>
        </w:rPr>
        <w:footnoteRef/>
      </w:r>
      <w:r>
        <w:t xml:space="preserve"> UN Sp</w:t>
      </w:r>
      <w:r w:rsidR="00E367BD">
        <w:t>ecial</w:t>
      </w:r>
      <w:r>
        <w:t xml:space="preserve"> Rapp</w:t>
      </w:r>
      <w:r w:rsidR="00E367BD">
        <w:t>orteur 2016</w:t>
      </w:r>
    </w:p>
  </w:footnote>
  <w:footnote w:id="6">
    <w:p w:rsidR="00C32F28" w:rsidRDefault="00C32F28" w:rsidP="00C32F28">
      <w:pPr>
        <w:pStyle w:val="FootnoteText"/>
      </w:pPr>
      <w:r>
        <w:rPr>
          <w:rStyle w:val="FootnoteReference"/>
        </w:rPr>
        <w:footnoteRef/>
      </w:r>
      <w:r>
        <w:t xml:space="preserve"> </w:t>
      </w:r>
      <w:r w:rsidR="00E367BD">
        <w:t>i.d.</w:t>
      </w:r>
    </w:p>
  </w:footnote>
  <w:footnote w:id="7">
    <w:p w:rsidR="00397DAB" w:rsidRDefault="00397DAB" w:rsidP="00397DAB">
      <w:pPr>
        <w:pStyle w:val="FootnoteText"/>
      </w:pPr>
      <w:r>
        <w:rPr>
          <w:rStyle w:val="FootnoteReference"/>
        </w:rPr>
        <w:footnoteRef/>
      </w:r>
      <w:r>
        <w:t xml:space="preserve"> </w:t>
      </w:r>
      <w:r w:rsidR="00E367BD">
        <w:t>i.d.</w:t>
      </w:r>
    </w:p>
  </w:footnote>
  <w:footnote w:id="8">
    <w:p w:rsidR="00397DAB" w:rsidRDefault="00397DAB">
      <w:pPr>
        <w:pStyle w:val="FootnoteText"/>
      </w:pPr>
      <w:r>
        <w:rPr>
          <w:rStyle w:val="FootnoteReference"/>
        </w:rPr>
        <w:footnoteRef/>
      </w:r>
      <w:r>
        <w:t xml:space="preserve"> According to the Special Reporter – citing a local study conducted by NGOs in which 1600 women were interviewed -  </w:t>
      </w:r>
      <w:r w:rsidRPr="00F12479">
        <w:t>the number of selective abortions was high, in particular in regions inhabited by ethnic minorities.</w:t>
      </w:r>
      <w:r w:rsidRPr="00397DAB">
        <w:t xml:space="preserve"> </w:t>
      </w:r>
      <w:r>
        <w:t>She</w:t>
      </w:r>
      <w:r w:rsidRPr="00F12479">
        <w:t xml:space="preserve"> regrets that no unified data were available on the prevalence of this practice.</w:t>
      </w:r>
      <w:r w:rsidRPr="00397DAB">
        <w:rPr>
          <w:lang w:val="es-ES"/>
        </w:rPr>
        <w:t xml:space="preserve"> </w:t>
      </w:r>
      <w:r w:rsidRPr="008B1B4C">
        <w:rPr>
          <w:lang w:val="es-ES"/>
        </w:rPr>
        <w:t>http://tbinternet.ohchr.org/Treaties/CEDAW/Shared%20Documents/GEO/INT_CEDAW_ NGO_GEO_17610_E.pdf</w:t>
      </w:r>
    </w:p>
  </w:footnote>
  <w:footnote w:id="9">
    <w:p w:rsidR="0004327A" w:rsidRPr="008B1B4C" w:rsidRDefault="0004327A" w:rsidP="0004327A">
      <w:pPr>
        <w:pStyle w:val="FootnoteText"/>
        <w:rPr>
          <w:lang w:val="es-ES"/>
        </w:rPr>
      </w:pPr>
      <w:r w:rsidRPr="008779AA">
        <w:rPr>
          <w:rStyle w:val="FootnoteReference"/>
        </w:rPr>
        <w:footnoteRef/>
      </w:r>
      <w:r w:rsidR="00464651">
        <w:rPr>
          <w:lang w:val="es-ES"/>
        </w:rPr>
        <w:t xml:space="preserve"> i.d.</w:t>
      </w:r>
    </w:p>
  </w:footnote>
  <w:footnote w:id="10">
    <w:p w:rsidR="00397DAB" w:rsidRPr="00863080" w:rsidRDefault="00397DAB" w:rsidP="00397DAB">
      <w:pPr>
        <w:pStyle w:val="FootnoteText"/>
      </w:pPr>
      <w:r>
        <w:rPr>
          <w:rStyle w:val="FootnoteReference"/>
        </w:rPr>
        <w:footnoteRef/>
      </w:r>
      <w:r w:rsidR="00464651">
        <w:t xml:space="preserve"> </w:t>
      </w:r>
      <w:r>
        <w:rPr>
          <w:rFonts w:asciiTheme="majorBidi" w:hAnsiTheme="majorBidi" w:cstheme="majorBidi"/>
          <w:szCs w:val="18"/>
          <w:lang w:eastAsia="en-GB"/>
        </w:rPr>
        <w:t>UN Sp</w:t>
      </w:r>
      <w:r w:rsidR="00464651">
        <w:rPr>
          <w:rFonts w:asciiTheme="majorBidi" w:hAnsiTheme="majorBidi" w:cstheme="majorBidi"/>
          <w:szCs w:val="18"/>
          <w:lang w:eastAsia="en-GB"/>
        </w:rPr>
        <w:t>ecial Rapporteur, 2016</w:t>
      </w:r>
    </w:p>
  </w:footnote>
  <w:footnote w:id="11">
    <w:p w:rsidR="00263E07" w:rsidRPr="006042F2" w:rsidRDefault="00263E07" w:rsidP="00263E07">
      <w:pPr>
        <w:pStyle w:val="FootnoteText"/>
        <w:rPr>
          <w:rFonts w:asciiTheme="majorBidi" w:hAnsiTheme="majorBidi" w:cstheme="majorBidi"/>
          <w:szCs w:val="18"/>
        </w:rPr>
      </w:pPr>
      <w:r w:rsidRPr="006042F2">
        <w:rPr>
          <w:rStyle w:val="FootnoteReference"/>
          <w:rFonts w:asciiTheme="majorBidi" w:hAnsiTheme="majorBidi" w:cstheme="majorBidi"/>
          <w:szCs w:val="18"/>
        </w:rPr>
        <w:footnoteRef/>
      </w:r>
      <w:r w:rsidRPr="006042F2">
        <w:rPr>
          <w:rFonts w:asciiTheme="majorBidi" w:hAnsiTheme="majorBidi" w:cstheme="majorBidi"/>
          <w:szCs w:val="18"/>
        </w:rPr>
        <w:t xml:space="preserve"> </w:t>
      </w:r>
      <w:r>
        <w:rPr>
          <w:rFonts w:asciiTheme="majorBidi" w:hAnsiTheme="majorBidi" w:cstheme="majorBidi"/>
          <w:szCs w:val="18"/>
        </w:rPr>
        <w:tab/>
      </w:r>
      <w:r w:rsidRPr="006042F2">
        <w:rPr>
          <w:rFonts w:asciiTheme="majorBidi" w:hAnsiTheme="majorBidi" w:cstheme="majorBidi"/>
          <w:szCs w:val="18"/>
        </w:rPr>
        <w:t xml:space="preserve">Reproductive Health Survey Georgia, final report, </w:t>
      </w:r>
      <w:r w:rsidRPr="006042F2">
        <w:rPr>
          <w:rFonts w:asciiTheme="majorBidi" w:hAnsiTheme="majorBidi" w:cstheme="majorBidi"/>
          <w:szCs w:val="18"/>
          <w:lang w:eastAsia="en-GB"/>
        </w:rPr>
        <w:t>National Center for Disease Control and Public Health, Ministry of Labor, Health, and Social Affairs, National Statist</w:t>
      </w:r>
      <w:r>
        <w:rPr>
          <w:rFonts w:asciiTheme="majorBidi" w:hAnsiTheme="majorBidi" w:cstheme="majorBidi"/>
          <w:szCs w:val="18"/>
          <w:lang w:eastAsia="en-GB"/>
        </w:rPr>
        <w:t>ics Office of Georgia,2010,p.</w:t>
      </w:r>
      <w:r w:rsidRPr="006042F2">
        <w:rPr>
          <w:rFonts w:asciiTheme="majorBidi" w:hAnsiTheme="majorBidi" w:cstheme="majorBidi"/>
          <w:szCs w:val="18"/>
          <w:lang w:eastAsia="en-GB"/>
        </w:rPr>
        <w:t>312.</w:t>
      </w:r>
    </w:p>
  </w:footnote>
  <w:footnote w:id="12">
    <w:p w:rsidR="002F3C10" w:rsidRPr="002672BE" w:rsidRDefault="002F3C10" w:rsidP="002F3C10">
      <w:pPr>
        <w:pStyle w:val="FootnoteText"/>
      </w:pPr>
      <w:r>
        <w:rPr>
          <w:rStyle w:val="FootnoteReference"/>
        </w:rPr>
        <w:footnoteRef/>
      </w:r>
      <w:r>
        <w:t xml:space="preserve"> </w:t>
      </w:r>
      <w:r>
        <w:tab/>
        <w:t>Men and Gender Relations in Georgia, Institute of Social Studies and Analysis,2014,p.12.</w:t>
      </w:r>
    </w:p>
  </w:footnote>
  <w:footnote w:id="13">
    <w:p w:rsidR="00FF31D1" w:rsidRDefault="00FF31D1" w:rsidP="00FF31D1">
      <w:pPr>
        <w:pStyle w:val="FootnoteText"/>
      </w:pPr>
      <w:r>
        <w:rPr>
          <w:rStyle w:val="FootnoteReference"/>
        </w:rPr>
        <w:footnoteRef/>
      </w:r>
      <w:r>
        <w:t xml:space="preserve"> </w:t>
      </w:r>
      <w:r w:rsidR="00464651">
        <w:t>Public Defender of Georgia, Annual Human Rights Report,</w:t>
      </w:r>
      <w:r>
        <w:t xml:space="preserve"> 2015</w:t>
      </w:r>
      <w:r w:rsidR="00464651">
        <w:t xml:space="preserve"> [hereinafter PDO Report 2015]</w:t>
      </w:r>
    </w:p>
  </w:footnote>
  <w:footnote w:id="14">
    <w:p w:rsidR="00733E0C" w:rsidRPr="00733E0C" w:rsidRDefault="00733E0C" w:rsidP="00733E0C">
      <w:pPr>
        <w:autoSpaceDE w:val="0"/>
        <w:autoSpaceDN w:val="0"/>
        <w:adjustRightInd w:val="0"/>
        <w:spacing w:after="0" w:line="240" w:lineRule="auto"/>
        <w:jc w:val="both"/>
        <w:rPr>
          <w:rFonts w:ascii="Times New Roman" w:hAnsi="Times New Roman" w:cs="Times New Roman"/>
          <w:sz w:val="20"/>
          <w:szCs w:val="20"/>
        </w:rPr>
      </w:pPr>
      <w:r w:rsidRPr="00733E0C">
        <w:rPr>
          <w:rStyle w:val="FootnoteReference"/>
          <w:rFonts w:ascii="Times New Roman" w:hAnsi="Times New Roman" w:cs="Times New Roman"/>
          <w:sz w:val="20"/>
          <w:szCs w:val="20"/>
        </w:rPr>
        <w:footnoteRef/>
      </w:r>
      <w:r w:rsidRPr="00733E0C">
        <w:rPr>
          <w:rFonts w:ascii="Times New Roman" w:hAnsi="Times New Roman" w:cs="Times New Roman"/>
          <w:sz w:val="20"/>
          <w:szCs w:val="20"/>
        </w:rPr>
        <w:t xml:space="preserve"> See e.g., Georgian Young Lawyers’ Association and Partnership for Human Rights, Analysis of Georgian Labour Legislation – Gender-based Discrimination in the Workplace and Its Legal Implications, 2014, see further Article 42 of the Constitution, Gender Discrimination in Work Relations, 2014</w:t>
      </w:r>
    </w:p>
  </w:footnote>
  <w:footnote w:id="15">
    <w:p w:rsidR="00733E0C" w:rsidRPr="00733E0C" w:rsidRDefault="00733E0C" w:rsidP="00733E0C">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On this issue, see further detailed analysis in </w:t>
      </w:r>
      <w:r w:rsidRPr="00733E0C">
        <w:rPr>
          <w:rFonts w:ascii="Times New Roman" w:hAnsi="Times New Roman" w:cs="Times New Roman"/>
          <w:sz w:val="20"/>
          <w:szCs w:val="20"/>
        </w:rPr>
        <w:t>Georgian Young Lawyers’ Association and Partnership for Human Rights, Analysis of Georgian Labour Legislation – Gender-based Discrimination in the Wo</w:t>
      </w:r>
      <w:r>
        <w:rPr>
          <w:rFonts w:ascii="Times New Roman" w:hAnsi="Times New Roman" w:cs="Times New Roman"/>
          <w:sz w:val="20"/>
          <w:szCs w:val="20"/>
        </w:rPr>
        <w:t>r</w:t>
      </w:r>
      <w:r w:rsidRPr="00733E0C">
        <w:rPr>
          <w:rFonts w:ascii="Times New Roman" w:hAnsi="Times New Roman" w:cs="Times New Roman"/>
          <w:sz w:val="20"/>
          <w:szCs w:val="20"/>
        </w:rPr>
        <w:t>kplace and Its Legal Implications, 2014</w:t>
      </w:r>
    </w:p>
  </w:footnote>
  <w:footnote w:id="16">
    <w:p w:rsidR="001F558A" w:rsidRDefault="001F558A" w:rsidP="001F558A">
      <w:pPr>
        <w:pStyle w:val="FootnoteText"/>
      </w:pPr>
      <w:r>
        <w:rPr>
          <w:rStyle w:val="FootnoteReference"/>
        </w:rPr>
        <w:footnoteRef/>
      </w:r>
      <w:r>
        <w:t xml:space="preserve"> PDO report 2015</w:t>
      </w:r>
    </w:p>
  </w:footnote>
  <w:footnote w:id="17">
    <w:p w:rsidR="00FD6E49" w:rsidRDefault="00FD6E49">
      <w:pPr>
        <w:pStyle w:val="FootnoteText"/>
      </w:pPr>
      <w:r>
        <w:rPr>
          <w:rStyle w:val="FootnoteReference"/>
        </w:rPr>
        <w:footnoteRef/>
      </w:r>
      <w:r>
        <w:t xml:space="preserve"> </w:t>
      </w:r>
      <w:r w:rsidR="00464651">
        <w:t>i.d.</w:t>
      </w:r>
    </w:p>
  </w:footnote>
  <w:footnote w:id="18">
    <w:p w:rsidR="00FD6E49" w:rsidRDefault="00FD6E49">
      <w:pPr>
        <w:pStyle w:val="FootnoteText"/>
      </w:pPr>
      <w:r>
        <w:rPr>
          <w:rStyle w:val="FootnoteReference"/>
        </w:rPr>
        <w:footnoteRef/>
      </w:r>
      <w:r>
        <w:t xml:space="preserve"> </w:t>
      </w:r>
      <w:r w:rsidR="00464651">
        <w:t>i.d.</w:t>
      </w:r>
      <w:r>
        <w:t xml:space="preserve"> </w:t>
      </w:r>
    </w:p>
  </w:footnote>
  <w:footnote w:id="19">
    <w:p w:rsidR="0084433C" w:rsidRDefault="0084433C" w:rsidP="0084433C">
      <w:pPr>
        <w:pStyle w:val="FootnoteText"/>
      </w:pPr>
      <w:r>
        <w:rPr>
          <w:rStyle w:val="FootnoteReference"/>
        </w:rPr>
        <w:footnoteRef/>
      </w:r>
      <w:r>
        <w:t xml:space="preserve"> UN Sp</w:t>
      </w:r>
      <w:r w:rsidR="00464651">
        <w:t>ecial</w:t>
      </w:r>
      <w:r>
        <w:t xml:space="preserve"> Rap</w:t>
      </w:r>
      <w:r w:rsidR="00464651">
        <w:t>porteur 2016</w:t>
      </w:r>
    </w:p>
  </w:footnote>
  <w:footnote w:id="20">
    <w:p w:rsidR="00FD6E49" w:rsidRDefault="00FD6E49">
      <w:pPr>
        <w:pStyle w:val="FootnoteText"/>
      </w:pPr>
      <w:r>
        <w:rPr>
          <w:rStyle w:val="FootnoteReference"/>
        </w:rPr>
        <w:footnoteRef/>
      </w:r>
      <w:r>
        <w:t xml:space="preserve"> Article 40 of the Council of Europe Convention on Preventing and Combating Violence against Women and Domestic Violence (Istanbul Convention) sets the obligation to states to take all measures to make any form of sexual harassment punishable under a national law.</w:t>
      </w:r>
    </w:p>
  </w:footnote>
  <w:footnote w:id="21">
    <w:p w:rsidR="000571F1" w:rsidRDefault="000571F1">
      <w:pPr>
        <w:pStyle w:val="FootnoteText"/>
      </w:pPr>
      <w:r>
        <w:rPr>
          <w:rStyle w:val="FootnoteReference"/>
        </w:rPr>
        <w:footnoteRef/>
      </w:r>
      <w:r>
        <w:t xml:space="preserve"> PDO report 2015</w:t>
      </w:r>
    </w:p>
  </w:footnote>
  <w:footnote w:id="22">
    <w:p w:rsidR="000571F1" w:rsidRDefault="000571F1">
      <w:pPr>
        <w:pStyle w:val="FootnoteText"/>
      </w:pPr>
      <w:r>
        <w:rPr>
          <w:rStyle w:val="FootnoteReference"/>
        </w:rPr>
        <w:footnoteRef/>
      </w:r>
      <w:r>
        <w:t xml:space="preserve"> PDO report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49C"/>
    <w:multiLevelType w:val="hybridMultilevel"/>
    <w:tmpl w:val="D18C9A02"/>
    <w:lvl w:ilvl="0" w:tplc="4B3EE6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60"/>
    <w:rsid w:val="00010B4C"/>
    <w:rsid w:val="00030753"/>
    <w:rsid w:val="0004327A"/>
    <w:rsid w:val="000571F1"/>
    <w:rsid w:val="000F1BDA"/>
    <w:rsid w:val="001F558A"/>
    <w:rsid w:val="00226239"/>
    <w:rsid w:val="00253923"/>
    <w:rsid w:val="00263E07"/>
    <w:rsid w:val="002F3C10"/>
    <w:rsid w:val="00390505"/>
    <w:rsid w:val="00397DAB"/>
    <w:rsid w:val="00464651"/>
    <w:rsid w:val="00484478"/>
    <w:rsid w:val="00492D98"/>
    <w:rsid w:val="004D605D"/>
    <w:rsid w:val="005273BF"/>
    <w:rsid w:val="00572999"/>
    <w:rsid w:val="005F4F02"/>
    <w:rsid w:val="00635837"/>
    <w:rsid w:val="006418CE"/>
    <w:rsid w:val="00733E0C"/>
    <w:rsid w:val="007E2431"/>
    <w:rsid w:val="0084433C"/>
    <w:rsid w:val="00947B60"/>
    <w:rsid w:val="00973F40"/>
    <w:rsid w:val="00A11544"/>
    <w:rsid w:val="00A7108F"/>
    <w:rsid w:val="00AE0032"/>
    <w:rsid w:val="00AF0E8A"/>
    <w:rsid w:val="00B349F5"/>
    <w:rsid w:val="00B54E70"/>
    <w:rsid w:val="00C32F28"/>
    <w:rsid w:val="00DA1EA1"/>
    <w:rsid w:val="00E367BD"/>
    <w:rsid w:val="00E96BC7"/>
    <w:rsid w:val="00EE0B86"/>
    <w:rsid w:val="00FD6E49"/>
    <w:rsid w:val="00FF31D1"/>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unhideWhenUsed/>
    <w:qFormat/>
    <w:rsid w:val="000571F1"/>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basedOn w:val="DefaultParagraphFont"/>
    <w:link w:val="FootnoteText"/>
    <w:rsid w:val="000571F1"/>
    <w:rPr>
      <w:sz w:val="20"/>
      <w:szCs w:val="20"/>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basedOn w:val="DefaultParagraphFont"/>
    <w:link w:val="Char2"/>
    <w:unhideWhenUsed/>
    <w:qFormat/>
    <w:rsid w:val="000571F1"/>
    <w:rPr>
      <w:vertAlign w:val="superscript"/>
    </w:rPr>
  </w:style>
  <w:style w:type="paragraph" w:customStyle="1" w:styleId="SingleTxtG">
    <w:name w:val="_ Single Txt_G"/>
    <w:basedOn w:val="Normal"/>
    <w:link w:val="SingleTxtGChar"/>
    <w:qFormat/>
    <w:rsid w:val="000571F1"/>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4"/>
      <w:szCs w:val="24"/>
      <w:lang w:val="en-GB"/>
    </w:rPr>
  </w:style>
  <w:style w:type="paragraph" w:customStyle="1" w:styleId="Char2">
    <w:name w:val="Char2"/>
    <w:basedOn w:val="Normal"/>
    <w:link w:val="FootnoteReference"/>
    <w:rsid w:val="000571F1"/>
    <w:pPr>
      <w:spacing w:line="240" w:lineRule="exact"/>
    </w:pPr>
    <w:rPr>
      <w:vertAlign w:val="superscript"/>
    </w:rPr>
  </w:style>
  <w:style w:type="character" w:customStyle="1" w:styleId="SingleTxtGChar">
    <w:name w:val="_ Single Txt_G Char"/>
    <w:link w:val="SingleTxtG"/>
    <w:rsid w:val="000571F1"/>
    <w:rPr>
      <w:rFonts w:ascii="Times New Roman" w:eastAsia="Calibri" w:hAnsi="Times New Roman" w:cs="Times New Roman"/>
      <w:sz w:val="24"/>
      <w:szCs w:val="24"/>
      <w:lang w:val="en-GB"/>
    </w:rPr>
  </w:style>
  <w:style w:type="paragraph" w:customStyle="1" w:styleId="HChG">
    <w:name w:val="_ H _Ch_G"/>
    <w:basedOn w:val="Normal"/>
    <w:next w:val="Normal"/>
    <w:qFormat/>
    <w:rsid w:val="00A7108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Calibri" w:hAnsi="Times New Roman" w:cs="Times New Roman"/>
      <w:b/>
      <w:sz w:val="28"/>
      <w:szCs w:val="24"/>
      <w:lang w:val="en-GB"/>
    </w:rPr>
  </w:style>
  <w:style w:type="paragraph" w:customStyle="1" w:styleId="H1G">
    <w:name w:val="_ H_1_G"/>
    <w:basedOn w:val="Normal"/>
    <w:next w:val="Normal"/>
    <w:qFormat/>
    <w:rsid w:val="00A7108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Calibri" w:hAnsi="Times New Roman" w:cs="Times New Roman"/>
      <w:b/>
      <w:sz w:val="24"/>
      <w:szCs w:val="24"/>
      <w:lang w:val="en-GB"/>
    </w:rPr>
  </w:style>
  <w:style w:type="paragraph" w:customStyle="1" w:styleId="H1">
    <w:name w:val="_ H_1"/>
    <w:basedOn w:val="Normal"/>
    <w:next w:val="SingleTxt"/>
    <w:rsid w:val="00010B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7" w:right="1267" w:hanging="1267"/>
      <w:outlineLvl w:val="0"/>
    </w:pPr>
    <w:rPr>
      <w:rFonts w:ascii="Times New Roman" w:eastAsia="Calibri" w:hAnsi="Times New Roman" w:cs="Times New Roman"/>
      <w:b/>
      <w:spacing w:val="4"/>
      <w:w w:val="103"/>
      <w:kern w:val="14"/>
      <w:sz w:val="24"/>
      <w:szCs w:val="20"/>
      <w:lang w:val="en-GB"/>
    </w:rPr>
  </w:style>
  <w:style w:type="paragraph" w:customStyle="1" w:styleId="SingleTxt">
    <w:name w:val="__Single Txt"/>
    <w:basedOn w:val="Normal"/>
    <w:rsid w:val="00010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character" w:styleId="Hyperlink">
    <w:name w:val="Hyperlink"/>
    <w:rsid w:val="00010B4C"/>
    <w:rPr>
      <w:color w:val="0000FF"/>
      <w:u w:val="none"/>
    </w:rPr>
  </w:style>
  <w:style w:type="paragraph" w:styleId="ListParagraph">
    <w:name w:val="List Paragraph"/>
    <w:basedOn w:val="Normal"/>
    <w:uiPriority w:val="34"/>
    <w:qFormat/>
    <w:rsid w:val="00E367BD"/>
    <w:pPr>
      <w:ind w:left="720"/>
      <w:contextualSpacing/>
    </w:pPr>
  </w:style>
  <w:style w:type="paragraph" w:styleId="BalloonText">
    <w:name w:val="Balloon Text"/>
    <w:basedOn w:val="Normal"/>
    <w:link w:val="BalloonTextChar"/>
    <w:uiPriority w:val="99"/>
    <w:semiHidden/>
    <w:unhideWhenUsed/>
    <w:rsid w:val="00E9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unhideWhenUsed/>
    <w:qFormat/>
    <w:rsid w:val="000571F1"/>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basedOn w:val="DefaultParagraphFont"/>
    <w:link w:val="FootnoteText"/>
    <w:rsid w:val="000571F1"/>
    <w:rPr>
      <w:sz w:val="20"/>
      <w:szCs w:val="20"/>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basedOn w:val="DefaultParagraphFont"/>
    <w:link w:val="Char2"/>
    <w:unhideWhenUsed/>
    <w:qFormat/>
    <w:rsid w:val="000571F1"/>
    <w:rPr>
      <w:vertAlign w:val="superscript"/>
    </w:rPr>
  </w:style>
  <w:style w:type="paragraph" w:customStyle="1" w:styleId="SingleTxtG">
    <w:name w:val="_ Single Txt_G"/>
    <w:basedOn w:val="Normal"/>
    <w:link w:val="SingleTxtGChar"/>
    <w:qFormat/>
    <w:rsid w:val="000571F1"/>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4"/>
      <w:szCs w:val="24"/>
      <w:lang w:val="en-GB"/>
    </w:rPr>
  </w:style>
  <w:style w:type="paragraph" w:customStyle="1" w:styleId="Char2">
    <w:name w:val="Char2"/>
    <w:basedOn w:val="Normal"/>
    <w:link w:val="FootnoteReference"/>
    <w:rsid w:val="000571F1"/>
    <w:pPr>
      <w:spacing w:line="240" w:lineRule="exact"/>
    </w:pPr>
    <w:rPr>
      <w:vertAlign w:val="superscript"/>
    </w:rPr>
  </w:style>
  <w:style w:type="character" w:customStyle="1" w:styleId="SingleTxtGChar">
    <w:name w:val="_ Single Txt_G Char"/>
    <w:link w:val="SingleTxtG"/>
    <w:rsid w:val="000571F1"/>
    <w:rPr>
      <w:rFonts w:ascii="Times New Roman" w:eastAsia="Calibri" w:hAnsi="Times New Roman" w:cs="Times New Roman"/>
      <w:sz w:val="24"/>
      <w:szCs w:val="24"/>
      <w:lang w:val="en-GB"/>
    </w:rPr>
  </w:style>
  <w:style w:type="paragraph" w:customStyle="1" w:styleId="HChG">
    <w:name w:val="_ H _Ch_G"/>
    <w:basedOn w:val="Normal"/>
    <w:next w:val="Normal"/>
    <w:qFormat/>
    <w:rsid w:val="00A7108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Calibri" w:hAnsi="Times New Roman" w:cs="Times New Roman"/>
      <w:b/>
      <w:sz w:val="28"/>
      <w:szCs w:val="24"/>
      <w:lang w:val="en-GB"/>
    </w:rPr>
  </w:style>
  <w:style w:type="paragraph" w:customStyle="1" w:styleId="H1G">
    <w:name w:val="_ H_1_G"/>
    <w:basedOn w:val="Normal"/>
    <w:next w:val="Normal"/>
    <w:qFormat/>
    <w:rsid w:val="00A7108F"/>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Calibri" w:hAnsi="Times New Roman" w:cs="Times New Roman"/>
      <w:b/>
      <w:sz w:val="24"/>
      <w:szCs w:val="24"/>
      <w:lang w:val="en-GB"/>
    </w:rPr>
  </w:style>
  <w:style w:type="paragraph" w:customStyle="1" w:styleId="H1">
    <w:name w:val="_ H_1"/>
    <w:basedOn w:val="Normal"/>
    <w:next w:val="SingleTxt"/>
    <w:rsid w:val="00010B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7" w:right="1267" w:hanging="1267"/>
      <w:outlineLvl w:val="0"/>
    </w:pPr>
    <w:rPr>
      <w:rFonts w:ascii="Times New Roman" w:eastAsia="Calibri" w:hAnsi="Times New Roman" w:cs="Times New Roman"/>
      <w:b/>
      <w:spacing w:val="4"/>
      <w:w w:val="103"/>
      <w:kern w:val="14"/>
      <w:sz w:val="24"/>
      <w:szCs w:val="20"/>
      <w:lang w:val="en-GB"/>
    </w:rPr>
  </w:style>
  <w:style w:type="paragraph" w:customStyle="1" w:styleId="SingleTxt">
    <w:name w:val="__Single Txt"/>
    <w:basedOn w:val="Normal"/>
    <w:rsid w:val="00010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character" w:styleId="Hyperlink">
    <w:name w:val="Hyperlink"/>
    <w:rsid w:val="00010B4C"/>
    <w:rPr>
      <w:color w:val="0000FF"/>
      <w:u w:val="none"/>
    </w:rPr>
  </w:style>
  <w:style w:type="paragraph" w:styleId="ListParagraph">
    <w:name w:val="List Paragraph"/>
    <w:basedOn w:val="Normal"/>
    <w:uiPriority w:val="34"/>
    <w:qFormat/>
    <w:rsid w:val="00E367BD"/>
    <w:pPr>
      <w:ind w:left="720"/>
      <w:contextualSpacing/>
    </w:pPr>
  </w:style>
  <w:style w:type="paragraph" w:styleId="BalloonText">
    <w:name w:val="Balloon Text"/>
    <w:basedOn w:val="Normal"/>
    <w:link w:val="BalloonTextChar"/>
    <w:uiPriority w:val="99"/>
    <w:semiHidden/>
    <w:unhideWhenUsed/>
    <w:rsid w:val="00E9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S/RES/1889(2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docs.org/S/RES/1888(2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S/RES/1820(20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docs.org/S/RES/1325(2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docs.org/S/RES/196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4FDB-4C16-4797-A8F4-263DB002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Natsvlishvili</dc:creator>
  <cp:lastModifiedBy>Laura Ernsteina</cp:lastModifiedBy>
  <cp:revision>9</cp:revision>
  <dcterms:created xsi:type="dcterms:W3CDTF">2017-02-14T09:13:00Z</dcterms:created>
  <dcterms:modified xsi:type="dcterms:W3CDTF">2017-02-14T09:30:00Z</dcterms:modified>
</cp:coreProperties>
</file>