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02D1" w:rsidRPr="00160CA1" w:rsidRDefault="001102D1" w:rsidP="002B1101">
      <w:pPr>
        <w:jc w:val="both"/>
      </w:pPr>
      <w:r w:rsidRPr="00160CA1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2AA79D" wp14:editId="156CF0E7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2D1" w:rsidRPr="001B533C" w:rsidRDefault="001102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1B533C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1B533C" w:rsidR="001102D1" w:rsidRDefault="001102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1B533C"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14CD" w:rsidRPr="00160CA1" w:rsidRDefault="00DD5D82" w:rsidP="002B1101">
      <w:pPr>
        <w:jc w:val="both"/>
      </w:pPr>
      <w:r w:rsidRPr="00160CA1">
        <w:t>On 28 November 2016</w:t>
      </w:r>
      <w:r w:rsidR="002B1101" w:rsidRPr="00160CA1">
        <w:t xml:space="preserve">, </w:t>
      </w:r>
      <w:r w:rsidR="00B24864" w:rsidRPr="00160CA1">
        <w:t xml:space="preserve">Antonio García del Riego, </w:t>
      </w:r>
      <w:r w:rsidR="002B1101" w:rsidRPr="00160CA1">
        <w:t xml:space="preserve">EESC member and </w:t>
      </w:r>
      <w:r w:rsidR="00B24864" w:rsidRPr="00160CA1">
        <w:t>r</w:t>
      </w:r>
      <w:r w:rsidR="002B1101" w:rsidRPr="00160CA1">
        <w:t xml:space="preserve">apporteur for the opinion on </w:t>
      </w:r>
      <w:r w:rsidR="002B1101" w:rsidRPr="00160CA1">
        <w:rPr>
          <w:i/>
        </w:rPr>
        <w:t>Recovery and Resolution of Central Counterparties</w:t>
      </w:r>
      <w:r w:rsidR="002B1101" w:rsidRPr="00160CA1">
        <w:t xml:space="preserve"> (CCPs)</w:t>
      </w:r>
      <w:r w:rsidR="004139BA" w:rsidRPr="00160CA1">
        <w:t>,</w:t>
      </w:r>
      <w:r w:rsidR="002B1101" w:rsidRPr="00160CA1">
        <w:t xml:space="preserve"> participated in the 4th Single Resolution Board (SRB) industry dialogue, </w:t>
      </w:r>
      <w:r w:rsidR="00B24864" w:rsidRPr="00160CA1">
        <w:t>held</w:t>
      </w:r>
      <w:r w:rsidR="002B1101" w:rsidRPr="00160CA1">
        <w:t xml:space="preserve"> in Brussels. </w:t>
      </w:r>
    </w:p>
    <w:p w:rsidR="008267F4" w:rsidRPr="00160CA1" w:rsidRDefault="008267F4" w:rsidP="008267F4">
      <w:pPr>
        <w:jc w:val="both"/>
      </w:pPr>
      <w:r w:rsidRPr="00160CA1">
        <w:t xml:space="preserve">During the event, the SRB discussed its objectives for 2017 with members of the </w:t>
      </w:r>
      <w:r w:rsidR="004438C3" w:rsidRPr="00160CA1">
        <w:t>banking industry</w:t>
      </w:r>
      <w:r w:rsidRPr="00160CA1">
        <w:t>. The</w:t>
      </w:r>
      <w:r w:rsidR="002B1101" w:rsidRPr="00160CA1">
        <w:t xml:space="preserve"> SRB is </w:t>
      </w:r>
      <w:r w:rsidRPr="00160CA1">
        <w:t xml:space="preserve">currently </w:t>
      </w:r>
      <w:r w:rsidR="002B1101" w:rsidRPr="00160CA1">
        <w:t>responsible for th</w:t>
      </w:r>
      <w:r w:rsidRPr="00160CA1">
        <w:t xml:space="preserve">e </w:t>
      </w:r>
      <w:r w:rsidR="004438C3" w:rsidRPr="00160CA1">
        <w:t xml:space="preserve">resolution </w:t>
      </w:r>
      <w:r w:rsidRPr="00160CA1">
        <w:t xml:space="preserve">of </w:t>
      </w:r>
      <w:r w:rsidR="004438C3" w:rsidRPr="00160CA1">
        <w:t xml:space="preserve">banks </w:t>
      </w:r>
      <w:r w:rsidRPr="00160CA1">
        <w:t>in Europe</w:t>
      </w:r>
      <w:r w:rsidR="0019144F" w:rsidRPr="00160CA1">
        <w:t xml:space="preserve">. </w:t>
      </w:r>
      <w:r w:rsidR="00B24864" w:rsidRPr="00160CA1">
        <w:t xml:space="preserve">At </w:t>
      </w:r>
      <w:r w:rsidR="002B1101" w:rsidRPr="00160CA1">
        <w:t xml:space="preserve">a later stage, the SRB could also be </w:t>
      </w:r>
      <w:r w:rsidR="00B24864" w:rsidRPr="00160CA1">
        <w:t xml:space="preserve">put </w:t>
      </w:r>
      <w:r w:rsidR="002B1101" w:rsidRPr="00160CA1">
        <w:t xml:space="preserve">in charge of </w:t>
      </w:r>
      <w:r w:rsidR="004438C3" w:rsidRPr="00160CA1">
        <w:t xml:space="preserve">resolution </w:t>
      </w:r>
      <w:r w:rsidR="002B1101" w:rsidRPr="00160CA1">
        <w:t>of CCPs</w:t>
      </w:r>
      <w:r w:rsidR="0019144F" w:rsidRPr="00160CA1">
        <w:t xml:space="preserve"> </w:t>
      </w:r>
      <w:r w:rsidR="00994368" w:rsidRPr="00160CA1">
        <w:t xml:space="preserve">which </w:t>
      </w:r>
      <w:r w:rsidRPr="00160CA1">
        <w:t xml:space="preserve">are becoming critical actors </w:t>
      </w:r>
      <w:r w:rsidR="00B24864" w:rsidRPr="00160CA1">
        <w:t>in</w:t>
      </w:r>
      <w:r w:rsidRPr="00160CA1">
        <w:t xml:space="preserve"> financial activity</w:t>
      </w:r>
      <w:r w:rsidR="00765B67" w:rsidRPr="00160CA1">
        <w:t>,</w:t>
      </w:r>
      <w:r w:rsidRPr="00160CA1">
        <w:t xml:space="preserve"> since the agreement </w:t>
      </w:r>
      <w:r w:rsidR="00994368" w:rsidRPr="00160CA1">
        <w:t>reached</w:t>
      </w:r>
      <w:r w:rsidR="004438C3" w:rsidRPr="00160CA1">
        <w:t xml:space="preserve"> </w:t>
      </w:r>
      <w:r w:rsidRPr="00160CA1">
        <w:t xml:space="preserve">by the G20 in 2009 </w:t>
      </w:r>
      <w:r w:rsidR="00882BAA" w:rsidRPr="00160CA1">
        <w:t>established them as</w:t>
      </w:r>
      <w:r w:rsidRPr="00160CA1">
        <w:t xml:space="preserve"> clearing centres for the derivative markets. This </w:t>
      </w:r>
      <w:r w:rsidR="0019144F" w:rsidRPr="00160CA1">
        <w:t>would</w:t>
      </w:r>
      <w:r w:rsidRPr="00160CA1">
        <w:t xml:space="preserve"> entail a massive increase in volumes, </w:t>
      </w:r>
      <w:r w:rsidR="00765B67" w:rsidRPr="00160CA1">
        <w:t>considering</w:t>
      </w:r>
      <w:r w:rsidRPr="00160CA1">
        <w:t xml:space="preserve"> that </w:t>
      </w:r>
      <w:r w:rsidR="0019144F" w:rsidRPr="00160CA1">
        <w:t xml:space="preserve">total trades </w:t>
      </w:r>
      <w:r w:rsidRPr="00160CA1">
        <w:t>in one product</w:t>
      </w:r>
      <w:r w:rsidR="00765B67" w:rsidRPr="00160CA1">
        <w:t xml:space="preserve"> alone</w:t>
      </w:r>
      <w:r w:rsidRPr="00160CA1">
        <w:t xml:space="preserve">, </w:t>
      </w:r>
      <w:r w:rsidR="0019144F" w:rsidRPr="00160CA1">
        <w:t>such as</w:t>
      </w:r>
      <w:r w:rsidRPr="00160CA1">
        <w:t xml:space="preserve"> interest rates swaps</w:t>
      </w:r>
      <w:r w:rsidR="004438C3" w:rsidRPr="00160CA1">
        <w:t>,</w:t>
      </w:r>
      <w:r w:rsidRPr="00160CA1">
        <w:t xml:space="preserve"> are in the range of USD 250 trillion.</w:t>
      </w:r>
      <w:r w:rsidR="0019144F" w:rsidRPr="00160CA1">
        <w:t xml:space="preserve"> Therefore, </w:t>
      </w:r>
      <w:r w:rsidR="00765B67" w:rsidRPr="00160CA1">
        <w:t xml:space="preserve">being aware of </w:t>
      </w:r>
      <w:r w:rsidR="00C138E8" w:rsidRPr="00160CA1">
        <w:t>the scope and future program</w:t>
      </w:r>
      <w:r w:rsidR="004438C3" w:rsidRPr="00160CA1">
        <w:t>me</w:t>
      </w:r>
      <w:r w:rsidR="00C138E8" w:rsidRPr="00160CA1">
        <w:t xml:space="preserve"> of SRB activities </w:t>
      </w:r>
      <w:r w:rsidR="00765B67" w:rsidRPr="00160CA1">
        <w:t xml:space="preserve">is </w:t>
      </w:r>
      <w:r w:rsidR="00C138E8" w:rsidRPr="00160CA1">
        <w:t>becom</w:t>
      </w:r>
      <w:r w:rsidR="00765B67" w:rsidRPr="00160CA1">
        <w:t>ing</w:t>
      </w:r>
      <w:r w:rsidR="00C138E8" w:rsidRPr="00160CA1">
        <w:t xml:space="preserve"> </w:t>
      </w:r>
      <w:r w:rsidR="00994368" w:rsidRPr="00160CA1">
        <w:t>particularly</w:t>
      </w:r>
      <w:r w:rsidR="00765B67" w:rsidRPr="00160CA1">
        <w:t xml:space="preserve"> </w:t>
      </w:r>
      <w:r w:rsidR="00C138E8" w:rsidRPr="00160CA1">
        <w:t>important.</w:t>
      </w:r>
    </w:p>
    <w:p w:rsidR="00C45AF6" w:rsidRPr="00160CA1" w:rsidRDefault="002B1101" w:rsidP="00D93193">
      <w:pPr>
        <w:spacing w:before="100" w:beforeAutospacing="1" w:after="100" w:afterAutospacing="1"/>
        <w:jc w:val="both"/>
      </w:pPr>
      <w:r w:rsidRPr="00160CA1">
        <w:t xml:space="preserve">The discussion focused on the funding </w:t>
      </w:r>
      <w:r w:rsidR="00C138E8" w:rsidRPr="00160CA1">
        <w:t>criteria</w:t>
      </w:r>
      <w:r w:rsidRPr="00160CA1">
        <w:t xml:space="preserve"> </w:t>
      </w:r>
      <w:r w:rsidR="00994368" w:rsidRPr="00160CA1">
        <w:t xml:space="preserve">for </w:t>
      </w:r>
      <w:r w:rsidRPr="00160CA1">
        <w:t>financ</w:t>
      </w:r>
      <w:r w:rsidR="00994368" w:rsidRPr="00160CA1">
        <w:t>ing</w:t>
      </w:r>
      <w:r w:rsidRPr="00160CA1">
        <w:t xml:space="preserve"> the administrative costs of the SRB as well</w:t>
      </w:r>
      <w:r w:rsidR="00C138E8" w:rsidRPr="00160CA1">
        <w:t xml:space="preserve"> as</w:t>
      </w:r>
      <w:r w:rsidRPr="00160CA1">
        <w:t xml:space="preserve"> the way</w:t>
      </w:r>
      <w:r w:rsidR="00C138E8" w:rsidRPr="00160CA1">
        <w:t>s</w:t>
      </w:r>
      <w:r w:rsidRPr="00160CA1">
        <w:t xml:space="preserve"> in which the Resolution Fund is to be nurtured. Both budgets are to be financed by the </w:t>
      </w:r>
      <w:r w:rsidR="004438C3" w:rsidRPr="00160CA1">
        <w:t xml:space="preserve">banking </w:t>
      </w:r>
      <w:r w:rsidRPr="00160CA1">
        <w:t xml:space="preserve">industry, in another clear attempt to avoid tax payers </w:t>
      </w:r>
      <w:r w:rsidR="00C138E8" w:rsidRPr="00160CA1">
        <w:t>paying</w:t>
      </w:r>
      <w:r w:rsidRPr="00160CA1">
        <w:t xml:space="preserve"> for the day to day running of the institution </w:t>
      </w:r>
      <w:r w:rsidR="00765B67" w:rsidRPr="00160CA1">
        <w:t xml:space="preserve">or the </w:t>
      </w:r>
      <w:r w:rsidR="00C138E8" w:rsidRPr="00160CA1">
        <w:t>consequences of</w:t>
      </w:r>
      <w:r w:rsidRPr="00160CA1">
        <w:t xml:space="preserve"> </w:t>
      </w:r>
      <w:r w:rsidR="00994368" w:rsidRPr="00160CA1">
        <w:t>resolving</w:t>
      </w:r>
      <w:r w:rsidRPr="00160CA1">
        <w:t xml:space="preserve"> a major financial institution. </w:t>
      </w:r>
      <w:r w:rsidR="00C138E8" w:rsidRPr="00160CA1">
        <w:t xml:space="preserve">However, </w:t>
      </w:r>
      <w:r w:rsidR="00765B67" w:rsidRPr="00160CA1">
        <w:t>how</w:t>
      </w:r>
      <w:r w:rsidRPr="00160CA1">
        <w:t xml:space="preserve"> the industry </w:t>
      </w:r>
      <w:r w:rsidR="00765B67" w:rsidRPr="00160CA1">
        <w:t>will</w:t>
      </w:r>
      <w:r w:rsidRPr="00160CA1">
        <w:t xml:space="preserve"> contribute to the </w:t>
      </w:r>
      <w:r w:rsidR="004438C3" w:rsidRPr="00160CA1">
        <w:t xml:space="preserve">Resolution </w:t>
      </w:r>
      <w:r w:rsidRPr="00160CA1">
        <w:t xml:space="preserve">Fund is </w:t>
      </w:r>
      <w:r w:rsidR="00D93193" w:rsidRPr="00160CA1">
        <w:t>very unclear. This consequently raised a number of questions and criticism</w:t>
      </w:r>
      <w:r w:rsidR="00765B67" w:rsidRPr="00160CA1">
        <w:t>s</w:t>
      </w:r>
      <w:r w:rsidR="00D93193" w:rsidRPr="00160CA1">
        <w:t xml:space="preserve"> with regards to the lack of transparency and straightforwardness required in the financial sector. In addition, during the discussion </w:t>
      </w:r>
      <w:r w:rsidRPr="00160CA1">
        <w:t xml:space="preserve">the SRB indicated that fixed targets </w:t>
      </w:r>
      <w:r w:rsidR="00C45AF6" w:rsidRPr="00160CA1">
        <w:t>for</w:t>
      </w:r>
      <w:r w:rsidRPr="00160CA1">
        <w:t xml:space="preserve"> each individual bank </w:t>
      </w:r>
      <w:r w:rsidR="00765B67" w:rsidRPr="00160CA1">
        <w:t>in terms</w:t>
      </w:r>
      <w:r w:rsidRPr="00160CA1">
        <w:t xml:space="preserve"> of </w:t>
      </w:r>
      <w:r w:rsidR="00994368" w:rsidRPr="00160CA1">
        <w:t xml:space="preserve">a </w:t>
      </w:r>
      <w:r w:rsidR="00D93193" w:rsidRPr="00160CA1">
        <w:t>Minimum</w:t>
      </w:r>
      <w:r w:rsidRPr="00160CA1">
        <w:t xml:space="preserve"> Requirement of </w:t>
      </w:r>
      <w:r w:rsidR="008364B2" w:rsidRPr="00160CA1">
        <w:t>Eligible</w:t>
      </w:r>
      <w:r w:rsidRPr="00160CA1">
        <w:t xml:space="preserve"> Liabilities </w:t>
      </w:r>
      <w:r w:rsidR="008364B2" w:rsidRPr="00160CA1">
        <w:t>(MREL</w:t>
      </w:r>
      <w:r w:rsidRPr="00160CA1">
        <w:t xml:space="preserve">) will be </w:t>
      </w:r>
      <w:r w:rsidR="00765B67" w:rsidRPr="00160CA1">
        <w:t>established</w:t>
      </w:r>
      <w:r w:rsidRPr="00160CA1">
        <w:t xml:space="preserve"> in 2017. </w:t>
      </w:r>
      <w:r w:rsidR="008364B2" w:rsidRPr="00160CA1">
        <w:t xml:space="preserve">This is a matter of </w:t>
      </w:r>
      <w:r w:rsidR="00765B67" w:rsidRPr="00160CA1">
        <w:t xml:space="preserve">great </w:t>
      </w:r>
      <w:r w:rsidR="008364B2" w:rsidRPr="00160CA1">
        <w:t xml:space="preserve">importance for the banking industry, as banks will be forced to create another layer of instruments that could absorb losses before </w:t>
      </w:r>
      <w:r w:rsidR="00765B67" w:rsidRPr="00160CA1">
        <w:t>they reach a stage where they would need to</w:t>
      </w:r>
      <w:r w:rsidR="008364B2" w:rsidRPr="00160CA1">
        <w:t xml:space="preserve"> be </w:t>
      </w:r>
      <w:r w:rsidR="004438C3" w:rsidRPr="00160CA1">
        <w:t xml:space="preserve">recovered </w:t>
      </w:r>
      <w:r w:rsidR="008364B2" w:rsidRPr="00160CA1">
        <w:t xml:space="preserve">or even </w:t>
      </w:r>
      <w:r w:rsidR="004438C3" w:rsidRPr="00160CA1">
        <w:t>resolved</w:t>
      </w:r>
      <w:r w:rsidR="008364B2" w:rsidRPr="00160CA1">
        <w:t xml:space="preserve">. </w:t>
      </w:r>
      <w:r w:rsidR="00C45AF6" w:rsidRPr="00160CA1">
        <w:t xml:space="preserve">This is another measure taken at G20 level and </w:t>
      </w:r>
      <w:r w:rsidR="00765B67" w:rsidRPr="00160CA1">
        <w:t xml:space="preserve">is </w:t>
      </w:r>
      <w:r w:rsidR="00C45AF6" w:rsidRPr="00160CA1">
        <w:t>being implemented in other jurisdictions</w:t>
      </w:r>
      <w:r w:rsidR="004438C3" w:rsidRPr="00160CA1">
        <w:t>.</w:t>
      </w:r>
      <w:r w:rsidR="00707006" w:rsidRPr="00160CA1">
        <w:t xml:space="preserve"> </w:t>
      </w:r>
      <w:r w:rsidR="004438C3" w:rsidRPr="00160CA1">
        <w:t>B</w:t>
      </w:r>
      <w:r w:rsidR="00B54B2C" w:rsidRPr="00160CA1">
        <w:t xml:space="preserve">y using the MREL </w:t>
      </w:r>
      <w:r w:rsidR="00707006" w:rsidRPr="00160CA1">
        <w:t xml:space="preserve">instruments </w:t>
      </w:r>
      <w:r w:rsidR="00B54B2C" w:rsidRPr="00160CA1">
        <w:t>Europe intends to avoid the risk of tax payers' involvement in the resolution of a major financial institution.</w:t>
      </w:r>
      <w:r w:rsidR="00707006" w:rsidRPr="00160CA1">
        <w:t xml:space="preserve"> According to first indications, approximately </w:t>
      </w:r>
      <w:r w:rsidR="00765B67" w:rsidRPr="00160CA1">
        <w:t xml:space="preserve">EUR </w:t>
      </w:r>
      <w:r w:rsidR="00707006" w:rsidRPr="00160CA1">
        <w:t>120bn in MREL instruments need</w:t>
      </w:r>
      <w:r w:rsidR="00765B67" w:rsidRPr="00160CA1">
        <w:t>s</w:t>
      </w:r>
      <w:r w:rsidR="00707006" w:rsidRPr="00160CA1">
        <w:t xml:space="preserve"> to be issued by the European </w:t>
      </w:r>
      <w:r w:rsidR="004438C3" w:rsidRPr="00160CA1">
        <w:t xml:space="preserve">banking </w:t>
      </w:r>
      <w:r w:rsidR="00707006" w:rsidRPr="00160CA1">
        <w:t xml:space="preserve">industry. However there are questions as to whether the market would be able to absorb </w:t>
      </w:r>
      <w:proofErr w:type="gramStart"/>
      <w:r w:rsidR="00994368" w:rsidRPr="00160CA1">
        <w:t>this</w:t>
      </w:r>
      <w:proofErr w:type="gramEnd"/>
      <w:r w:rsidR="00707006" w:rsidRPr="00160CA1">
        <w:t>.</w:t>
      </w:r>
    </w:p>
    <w:p w:rsidR="00707006" w:rsidRPr="00160CA1" w:rsidRDefault="00707006" w:rsidP="00D93193">
      <w:pPr>
        <w:spacing w:before="100" w:beforeAutospacing="1" w:after="100" w:afterAutospacing="1"/>
        <w:jc w:val="both"/>
      </w:pPr>
      <w:r w:rsidRPr="00160CA1">
        <w:t>On a final note, the</w:t>
      </w:r>
      <w:r w:rsidR="004139BA" w:rsidRPr="00160CA1">
        <w:t xml:space="preserve"> Chair of the SRB, Ms Elke </w:t>
      </w:r>
      <w:proofErr w:type="spellStart"/>
      <w:r w:rsidR="004438C3" w:rsidRPr="00160CA1">
        <w:t>König</w:t>
      </w:r>
      <w:proofErr w:type="spellEnd"/>
      <w:r w:rsidR="00765B67" w:rsidRPr="00160CA1">
        <w:t>,</w:t>
      </w:r>
      <w:r w:rsidR="004438C3" w:rsidRPr="00160CA1">
        <w:t xml:space="preserve"> </w:t>
      </w:r>
      <w:r w:rsidR="004139BA" w:rsidRPr="00160CA1">
        <w:t>emphasi</w:t>
      </w:r>
      <w:r w:rsidR="00765B67" w:rsidRPr="00160CA1">
        <w:t>s</w:t>
      </w:r>
      <w:r w:rsidR="004139BA" w:rsidRPr="00160CA1">
        <w:t xml:space="preserve">ed the </w:t>
      </w:r>
      <w:r w:rsidRPr="00160CA1">
        <w:t xml:space="preserve">importance of the analysis of the Recovery and Resolution Plan and the ability of each institution to </w:t>
      </w:r>
      <w:r w:rsidR="00172758" w:rsidRPr="00160CA1">
        <w:t xml:space="preserve">draw </w:t>
      </w:r>
      <w:r w:rsidR="00765B67" w:rsidRPr="00160CA1">
        <w:t xml:space="preserve">one </w:t>
      </w:r>
      <w:proofErr w:type="spellStart"/>
      <w:r w:rsidR="00172758" w:rsidRPr="00160CA1">
        <w:t>up</w:t>
      </w:r>
      <w:r w:rsidR="00765B67" w:rsidRPr="00160CA1">
        <w:t>urgently</w:t>
      </w:r>
      <w:proofErr w:type="spellEnd"/>
      <w:r w:rsidR="00BA3050" w:rsidRPr="00160CA1">
        <w:t xml:space="preserve"> if needed. It was </w:t>
      </w:r>
      <w:r w:rsidR="004139BA" w:rsidRPr="00160CA1">
        <w:t>also underlined that</w:t>
      </w:r>
      <w:r w:rsidR="00BA3050" w:rsidRPr="00160CA1">
        <w:t xml:space="preserve"> institutions and the Supervisory and Resolution Authority should play an active role, and that the analysis as such should be seen as </w:t>
      </w:r>
      <w:r w:rsidR="004139BA" w:rsidRPr="00160CA1">
        <w:t>a</w:t>
      </w:r>
      <w:r w:rsidR="00BA3050" w:rsidRPr="00160CA1">
        <w:t xml:space="preserve"> yearly process rather than a product. </w:t>
      </w:r>
    </w:p>
    <w:p w:rsidR="00A6225E" w:rsidRPr="00160CA1" w:rsidRDefault="00A6225E" w:rsidP="00D93193">
      <w:pPr>
        <w:spacing w:before="100" w:beforeAutospacing="1" w:after="100" w:afterAutospacing="1"/>
        <w:jc w:val="both"/>
        <w:rPr>
          <w:rStyle w:val="Hyperlink"/>
          <w:rFonts w:ascii="Calibri" w:hAnsi="Calibri"/>
          <w:color w:val="auto"/>
        </w:rPr>
      </w:pPr>
      <w:r w:rsidRPr="00160CA1">
        <w:rPr>
          <w:bCs/>
        </w:rPr>
        <w:t xml:space="preserve">Further information about the event can be found on </w:t>
      </w:r>
      <w:hyperlink r:id="rId11" w:history="1">
        <w:r w:rsidRPr="00160CA1">
          <w:rPr>
            <w:rStyle w:val="Hyperlink"/>
            <w:rFonts w:ascii="Calibri" w:hAnsi="Calibri"/>
            <w:color w:val="auto"/>
          </w:rPr>
          <w:t>https://srb.europa.eu/en/node/176</w:t>
        </w:r>
      </w:hyperlink>
    </w:p>
    <w:sectPr w:rsidR="00A6225E" w:rsidRPr="00160CA1" w:rsidSect="001B53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26" w:rsidRDefault="00E73D26" w:rsidP="001102D1">
      <w:pPr>
        <w:spacing w:after="0" w:line="240" w:lineRule="auto"/>
      </w:pPr>
      <w:r>
        <w:separator/>
      </w:r>
    </w:p>
  </w:endnote>
  <w:endnote w:type="continuationSeparator" w:id="0">
    <w:p w:rsidR="00E73D26" w:rsidRDefault="00E73D26" w:rsidP="0011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D1" w:rsidRPr="001102D1" w:rsidRDefault="001102D1" w:rsidP="00110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D1" w:rsidRPr="001102D1" w:rsidRDefault="001102D1" w:rsidP="001102D1">
    <w:pPr>
      <w:pStyle w:val="Footer"/>
    </w:pPr>
    <w:r>
      <w:t xml:space="preserve">ECO/389 – EESC-2016-06908-00-00-TCD-TRA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E450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1B533C">
      <w:fldChar w:fldCharType="begin"/>
    </w:r>
    <w:r w:rsidR="001B533C">
      <w:instrText xml:space="preserve"> NUMPAGES </w:instrText>
    </w:r>
    <w:r w:rsidR="001B533C">
      <w:fldChar w:fldCharType="separate"/>
    </w:r>
    <w:r w:rsidR="00DE4504">
      <w:rPr>
        <w:noProof/>
      </w:rPr>
      <w:instrText>1</w:instrText>
    </w:r>
    <w:r w:rsidR="001B533C">
      <w:rPr>
        <w:noProof/>
      </w:rPr>
      <w:fldChar w:fldCharType="end"/>
    </w:r>
    <w:r>
      <w:instrText xml:space="preserve"> </w:instrText>
    </w:r>
    <w:r>
      <w:fldChar w:fldCharType="separate"/>
    </w:r>
    <w:r w:rsidR="00DE450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D1" w:rsidRPr="001102D1" w:rsidRDefault="001102D1" w:rsidP="00110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26" w:rsidRDefault="00E73D26" w:rsidP="001102D1">
      <w:pPr>
        <w:spacing w:after="0" w:line="240" w:lineRule="auto"/>
      </w:pPr>
      <w:r>
        <w:separator/>
      </w:r>
    </w:p>
  </w:footnote>
  <w:footnote w:type="continuationSeparator" w:id="0">
    <w:p w:rsidR="00E73D26" w:rsidRDefault="00E73D26" w:rsidP="0011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D1" w:rsidRPr="001102D1" w:rsidRDefault="001102D1" w:rsidP="00110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D1" w:rsidRPr="001102D1" w:rsidRDefault="001102D1" w:rsidP="00110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D1" w:rsidRPr="001102D1" w:rsidRDefault="001102D1" w:rsidP="00110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2A"/>
    <w:rsid w:val="0001712A"/>
    <w:rsid w:val="000B0295"/>
    <w:rsid w:val="001102D1"/>
    <w:rsid w:val="00160CA1"/>
    <w:rsid w:val="00172758"/>
    <w:rsid w:val="00182B61"/>
    <w:rsid w:val="0019144F"/>
    <w:rsid w:val="001B533C"/>
    <w:rsid w:val="002556D0"/>
    <w:rsid w:val="002B1101"/>
    <w:rsid w:val="003A14CD"/>
    <w:rsid w:val="003B0000"/>
    <w:rsid w:val="004139BA"/>
    <w:rsid w:val="004438C3"/>
    <w:rsid w:val="006C6B87"/>
    <w:rsid w:val="00707006"/>
    <w:rsid w:val="00765B67"/>
    <w:rsid w:val="008267F4"/>
    <w:rsid w:val="008364B2"/>
    <w:rsid w:val="00852224"/>
    <w:rsid w:val="00882BAA"/>
    <w:rsid w:val="008B160B"/>
    <w:rsid w:val="008E780A"/>
    <w:rsid w:val="00994368"/>
    <w:rsid w:val="00A6225E"/>
    <w:rsid w:val="00AC1461"/>
    <w:rsid w:val="00B24864"/>
    <w:rsid w:val="00B54B2C"/>
    <w:rsid w:val="00BA3050"/>
    <w:rsid w:val="00BE0D30"/>
    <w:rsid w:val="00C138E8"/>
    <w:rsid w:val="00C45AF6"/>
    <w:rsid w:val="00CF6A22"/>
    <w:rsid w:val="00D93193"/>
    <w:rsid w:val="00DD5D82"/>
    <w:rsid w:val="00DE4504"/>
    <w:rsid w:val="00DF7016"/>
    <w:rsid w:val="00E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38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2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25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225E"/>
    <w:pPr>
      <w:spacing w:after="0" w:line="240" w:lineRule="auto"/>
    </w:pPr>
    <w:rPr>
      <w:lang w:val="fr-FR" w:eastAsia="fr-FR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837256188347823758msolistparagraph">
    <w:name w:val="m_8837256188347823758msolistparagraph"/>
    <w:basedOn w:val="Normal"/>
    <w:rsid w:val="00A6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BE" w:eastAsia="fr-BE"/>
    </w:rPr>
  </w:style>
  <w:style w:type="paragraph" w:styleId="Header">
    <w:name w:val="header"/>
    <w:basedOn w:val="Normal"/>
    <w:link w:val="HeaderChar"/>
    <w:uiPriority w:val="99"/>
    <w:unhideWhenUsed/>
    <w:rsid w:val="001102D1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102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02D1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102D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38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22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25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225E"/>
    <w:pPr>
      <w:spacing w:after="0" w:line="240" w:lineRule="auto"/>
    </w:pPr>
    <w:rPr>
      <w:lang w:val="fr-FR" w:eastAsia="fr-FR"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837256188347823758msolistparagraph">
    <w:name w:val="m_8837256188347823758msolistparagraph"/>
    <w:basedOn w:val="Normal"/>
    <w:rsid w:val="00A622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BE" w:eastAsia="fr-BE"/>
    </w:rPr>
  </w:style>
  <w:style w:type="paragraph" w:styleId="Header">
    <w:name w:val="header"/>
    <w:basedOn w:val="Normal"/>
    <w:link w:val="HeaderChar"/>
    <w:uiPriority w:val="99"/>
    <w:unhideWhenUsed/>
    <w:rsid w:val="001102D1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102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02D1"/>
    <w:pPr>
      <w:spacing w:after="0" w:line="288" w:lineRule="auto"/>
      <w:jc w:val="both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102D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rb.europa.eu/en/node/176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3XPXQ63Y2AW3-8-3922</_dlc_DocId>
    <_dlc_DocIdUrl xmlns="8835a8a4-5a07-4207-ac1e-223f88a8f7af">
      <Url>http://dm/EESC/2016/_layouts/DocIdRedir.aspx?ID=3XPXQ63Y2AW3-8-3922</Url>
      <Description>3XPXQ63Y2AW3-8-3922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8835a8a4-5a07-4207-ac1e-223f88a8f7af">2016/0365(COD)</Procedure>
    <MeetingNumber xmlns="5b5fc767-807c-48ce-a2a0-58da019d9a18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8df351f5-c957-404c-8cf3-8ffb22c9cba2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2016-12-21T12:00:00+00:00</ProductionDate>
    <DocumentNumber xmlns="5b5fc767-807c-48ce-a2a0-58da019d9a18">6908</DocumentNumber>
    <FicheYear xmlns="8835a8a4-5a07-4207-ac1e-223f88a8f7af">2016</FicheYear>
    <DocumentVersion xmlns="8835a8a4-5a07-4207-ac1e-223f88a8f7af">0</DocumentVersion>
    <DossierNumber xmlns="8835a8a4-5a07-4207-ac1e-223f88a8f7af">389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8835a8a4-5a07-4207-ac1e-223f88a8f7af">
      <Value>20</Value>
      <Value>10</Value>
      <Value>51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MeetingDate xmlns="8835a8a4-5a07-4207-ac1e-223f88a8f7af" xsi:nil="true"/>
    <Rapporteur xmlns="8835a8a4-5a07-4207-ac1e-223f88a8f7af">GARCÍA DEL RIEGO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835a8a4-5a07-4207-ac1e-223f88a8f7af">14440</FicheNumber>
    <DocumentYear xmlns="8835a8a4-5a07-4207-ac1e-223f88a8f7af">2016</DocumentYear>
    <DocumentPart xmlns="8835a8a4-5a07-4207-ac1e-223f88a8f7af">0</DocumentPart>
    <AdoptionDate xmlns="8835a8a4-5a07-4207-ac1e-223f88a8f7af" xsi:nil="true"/>
    <MeetingName_0 xmlns="http://schemas.microsoft.com/sharepoint/v3/fields">
      <Terms xmlns="http://schemas.microsoft.com/office/infopath/2007/PartnerControls"/>
    </MeetingName_0>
    <RequestingService xmlns="8835a8a4-5a07-4207-ac1e-223f88a8f7af">Union économique et monétaire, cohésion economique et sociale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3157ED79594C3428C4553EF9FC1E0CB" ma:contentTypeVersion="4" ma:contentTypeDescription="Defines the documents for Document Manager V2" ma:contentTypeScope="" ma:versionID="2ec16c5c5134f7b978e3e57d393a6416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5b5fc767-807c-48ce-a2a0-58da019d9a18" targetNamespace="http://schemas.microsoft.com/office/2006/metadata/properties" ma:root="true" ma:fieldsID="019bc56107e3db36ddeb3dfc4ef57e94" ns2:_="" ns3:_="" ns4:_="">
    <xsd:import namespace="8835a8a4-5a07-4207-ac1e-223f88a8f7af"/>
    <xsd:import namespace="http://schemas.microsoft.com/sharepoint/v3/fields"/>
    <xsd:import namespace="5b5fc767-807c-48ce-a2a0-58da019d9a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fc767-807c-48ce-a2a0-58da019d9a1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6D03C-DCED-4529-89B8-2D9262C5FE4C}">
  <ds:schemaRefs>
    <ds:schemaRef ds:uri="5b5fc767-807c-48ce-a2a0-58da019d9a18"/>
    <ds:schemaRef ds:uri="http://schemas.microsoft.com/office/infopath/2007/PartnerControls"/>
    <ds:schemaRef ds:uri="http://www.w3.org/XML/1998/namespace"/>
    <ds:schemaRef ds:uri="8835a8a4-5a07-4207-ac1e-223f88a8f7af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F3F86F-4EB3-4DBA-87F9-5726526FA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49F5A-3A3D-49E1-84D4-3A1CBCBE97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2D8A8F-9F18-470F-B047-527EFA27D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5b5fc767-807c-48ce-a2a0-58da019d9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458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Mr. Garcia del Riego - meeting of 28/11/2016</vt:lpstr>
    </vt:vector>
  </TitlesOfParts>
  <Company>CESE-CdR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Mr. Garcia del Riego - meeting of 28/11/2016</dc:title>
  <dc:subject>Miscellaneous consultative docs.</dc:subject>
  <dc:creator>Raffaella Zaccheddu</dc:creator>
  <cp:keywords>EESC-2016-06908-00-00-TCD-TRA-EN</cp:keywords>
  <dc:description>Rapporteur: GARCÍA DEL RIEGO_x000d_
Original language: EN_x000d_
Date of document: 21/12/2016_x000d_
Date of meeting: _x000d_
External documents: COM(2016)856-final_x000d_
Administrator responsible: Klec Gerald, telephone: + 2 546 9909_x000d_
_x000d_
Abstract:</dc:description>
  <cp:lastModifiedBy>Katherine Camilleri</cp:lastModifiedBy>
  <cp:revision>2</cp:revision>
  <cp:lastPrinted>2016-12-20T15:41:00Z</cp:lastPrinted>
  <dcterms:created xsi:type="dcterms:W3CDTF">2017-01-23T06:56:00Z</dcterms:created>
  <dcterms:modified xsi:type="dcterms:W3CDTF">2017-01-23T06:56:00Z</dcterms:modified>
  <cp:category>ECO/389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21/12/2016</vt:lpwstr>
  </property>
  <property fmtid="{D5CDD505-2E9C-101B-9397-08002B2CF9AE}" pid="4" name="Pref_Time">
    <vt:lpwstr>10:28:42</vt:lpwstr>
  </property>
  <property fmtid="{D5CDD505-2E9C-101B-9397-08002B2CF9AE}" pid="5" name="Pref_User">
    <vt:lpwstr>enied</vt:lpwstr>
  </property>
  <property fmtid="{D5CDD505-2E9C-101B-9397-08002B2CF9AE}" pid="6" name="Pref_FileName">
    <vt:lpwstr>EESC-2016-06908-00-00-TCD-ORI.docx</vt:lpwstr>
  </property>
  <property fmtid="{D5CDD505-2E9C-101B-9397-08002B2CF9AE}" pid="7" name="ContentTypeId">
    <vt:lpwstr>0x010100EA97B91038054C99906057A708A1480A00C3157ED79594C3428C4553EF9FC1E0CB</vt:lpwstr>
  </property>
  <property fmtid="{D5CDD505-2E9C-101B-9397-08002B2CF9AE}" pid="8" name="_dlc_DocIdItemGuid">
    <vt:lpwstr>987366f4-a497-449d-a778-c86a701bd045</vt:lpwstr>
  </property>
  <property fmtid="{D5CDD505-2E9C-101B-9397-08002B2CF9AE}" pid="9" name="DocumentType_0">
    <vt:lpwstr>TCD|cd9d6eb6-3f4f-424a-b2d1-57c9d450eaaf</vt:lpwstr>
  </property>
  <property fmtid="{D5CDD505-2E9C-101B-9397-08002B2CF9AE}" pid="10" name="Procedure">
    <vt:lpwstr>2016/0365(COD)</vt:lpwstr>
  </property>
  <property fmtid="{D5CDD505-2E9C-101B-9397-08002B2CF9AE}" pid="11" name="AvailableTranslations">
    <vt:lpwstr>4;#FR|d2afafd3-4c81-4f60-8f52-ee33f2f54ff3;#10;#EN|f2175f21-25d7-44a3-96da-d6a61b075e1b</vt:lpwstr>
  </property>
  <property fmtid="{D5CDD505-2E9C-101B-9397-08002B2CF9AE}" pid="12" name="DossierName_0">
    <vt:lpwstr>ECO|8df351f5-c957-404c-8cf3-8ffb22c9cba2</vt:lpwstr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2016</vt:i4>
  </property>
  <property fmtid="{D5CDD505-2E9C-101B-9397-08002B2CF9AE}" pid="15" name="DocumentNumber">
    <vt:i4>6908</vt:i4>
  </property>
  <property fmtid="{D5CDD505-2E9C-101B-9397-08002B2CF9AE}" pid="16" name="DocumentVersion">
    <vt:i4>0</vt:i4>
  </property>
  <property fmtid="{D5CDD505-2E9C-101B-9397-08002B2CF9AE}" pid="17" name="DossierNumber">
    <vt:i4>389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20;#TCD|cd9d6eb6-3f4f-424a-b2d1-57c9d450eaaf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>51;#ECO|8df351f5-c957-404c-8cf3-8ffb22c9cba2</vt:lpwstr>
  </property>
  <property fmtid="{D5CDD505-2E9C-101B-9397-08002B2CF9AE}" pid="22" name="DocumentPart">
    <vt:i4>0</vt:i4>
  </property>
  <property fmtid="{D5CDD505-2E9C-101B-9397-08002B2CF9AE}" pid="23" name="RequestingService">
    <vt:lpwstr>Union économique et monétaire, cohésion economique et sociale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10;#EN|f2175f21-25d7-44a3-96da-d6a61b075e1b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20;#TCD|cd9d6eb6-3f4f-424a-b2d1-57c9d450eaaf;#10;#EN|f2175f21-25d7-44a3-96da-d6a61b075e1b;#51;#ECO|8df351f5-c957-404c-8cf3-8ffb22c9cba2;#6;#Final|ea5e6674-7b27-4bac-b091-73adbb394efe;#5;#Unrestricted|826e22d7-d029-4ec0-a450-0c28ff673572;#2;#TRA|150d2a88-1</vt:lpwstr>
  </property>
  <property fmtid="{D5CDD505-2E9C-101B-9397-08002B2CF9AE}" pid="32" name="AvailableTranslations_0">
    <vt:lpwstr>EN|f2175f21-25d7-44a3-96da-d6a61b075e1b</vt:lpwstr>
  </property>
  <property fmtid="{D5CDD505-2E9C-101B-9397-08002B2CF9AE}" pid="33" name="VersionStatus">
    <vt:lpwstr>6;#Final|ea5e6674-7b27-4bac-b091-73adbb394efe</vt:lpwstr>
  </property>
  <property fmtid="{D5CDD505-2E9C-101B-9397-08002B2CF9AE}" pid="34" name="Rapporteur">
    <vt:lpwstr>GARCÍA DEL RIEGO</vt:lpwstr>
  </property>
  <property fmtid="{D5CDD505-2E9C-101B-9397-08002B2CF9AE}" pid="35" name="VersionStatus_0">
    <vt:lpwstr>Final|ea5e6674-7b27-4bac-b091-73adbb394efe</vt:lpwstr>
  </property>
  <property fmtid="{D5CDD505-2E9C-101B-9397-08002B2CF9AE}" pid="36" name="FicheNumber">
    <vt:i4>14440</vt:i4>
  </property>
  <property fmtid="{D5CDD505-2E9C-101B-9397-08002B2CF9AE}" pid="37" name="DocumentYear">
    <vt:i4>2016</vt:i4>
  </property>
  <property fmtid="{D5CDD505-2E9C-101B-9397-08002B2CF9AE}" pid="38" name="DocumentLanguage">
    <vt:lpwstr>10;#EN|f2175f21-25d7-44a3-96da-d6a61b075e1b</vt:lpwstr>
  </property>
  <property fmtid="{D5CDD505-2E9C-101B-9397-08002B2CF9AE}" pid="39" name="ProductionDate">
    <vt:filetime>2016-12-21T12:00:00Z</vt:filetime>
  </property>
  <property fmtid="{D5CDD505-2E9C-101B-9397-08002B2CF9AE}" pid="40" name="DocumentLanguage_0">
    <vt:lpwstr>EN|f2175f21-25d7-44a3-96da-d6a61b075e1b</vt:lpwstr>
  </property>
</Properties>
</file>