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3F" w:rsidRDefault="00CB783F" w:rsidP="00CB783F">
      <w:pPr>
        <w:rPr>
          <w:b/>
          <w:bCs/>
          <w:lang w:val="en-GB"/>
        </w:rPr>
      </w:pPr>
      <w:r w:rsidRPr="00822AC0">
        <w:rPr>
          <w:lang w:val="en-GB"/>
        </w:rPr>
        <w:t xml:space="preserve"> </w:t>
      </w:r>
      <w:r w:rsidRPr="00822AC0">
        <w:rPr>
          <w:b/>
          <w:bCs/>
          <w:lang w:val="en-GB"/>
        </w:rPr>
        <w:t>QUESTIONS RECEIVED ON THE TENDER EESC/DA-GREF/01/2017</w:t>
      </w:r>
      <w:r w:rsidR="00822AC0">
        <w:rPr>
          <w:b/>
          <w:bCs/>
          <w:lang w:val="en-GB"/>
        </w:rPr>
        <w:t xml:space="preserve">                                                      </w:t>
      </w:r>
      <w:r w:rsidR="002A67B9">
        <w:rPr>
          <w:b/>
          <w:bCs/>
          <w:lang w:val="en-GB"/>
        </w:rPr>
        <w:t>Last update: 23 February</w:t>
      </w:r>
      <w:r w:rsidR="00822AC0" w:rsidRPr="00822AC0">
        <w:rPr>
          <w:b/>
          <w:bCs/>
          <w:lang w:val="en-GB"/>
        </w:rPr>
        <w:t xml:space="preserve"> 2017</w:t>
      </w:r>
    </w:p>
    <w:p w:rsidR="00822AC0" w:rsidRPr="00822AC0" w:rsidRDefault="00822AC0" w:rsidP="00CB783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0"/>
        <w:gridCol w:w="4670"/>
        <w:gridCol w:w="4670"/>
      </w:tblGrid>
      <w:tr w:rsidR="00CB783F" w:rsidRPr="00822AC0" w:rsidTr="007B6DD3">
        <w:trPr>
          <w:trHeight w:val="289"/>
        </w:trPr>
        <w:tc>
          <w:tcPr>
            <w:tcW w:w="4670" w:type="dxa"/>
          </w:tcPr>
          <w:p w:rsidR="00822AC0" w:rsidRDefault="00822AC0" w:rsidP="00CB783F">
            <w:pPr>
              <w:rPr>
                <w:b/>
                <w:bCs/>
                <w:lang w:val="en-GB"/>
              </w:rPr>
            </w:pPr>
          </w:p>
          <w:p w:rsidR="00CB783F" w:rsidRPr="00822AC0" w:rsidRDefault="00CB783F" w:rsidP="00CB783F">
            <w:pPr>
              <w:rPr>
                <w:b/>
                <w:bCs/>
                <w:lang w:val="en-GB"/>
              </w:rPr>
            </w:pPr>
            <w:r w:rsidRPr="00822AC0">
              <w:rPr>
                <w:b/>
                <w:bCs/>
                <w:lang w:val="en-GB"/>
              </w:rPr>
              <w:t xml:space="preserve">Question No </w:t>
            </w:r>
          </w:p>
          <w:p w:rsidR="00CB783F" w:rsidRPr="00822AC0" w:rsidRDefault="00CB783F" w:rsidP="00CB783F">
            <w:pPr>
              <w:rPr>
                <w:lang w:val="en-GB"/>
              </w:rPr>
            </w:pPr>
          </w:p>
        </w:tc>
        <w:tc>
          <w:tcPr>
            <w:tcW w:w="4670" w:type="dxa"/>
          </w:tcPr>
          <w:p w:rsidR="00822AC0" w:rsidRDefault="00822AC0" w:rsidP="00CB783F">
            <w:pPr>
              <w:rPr>
                <w:b/>
                <w:bCs/>
                <w:lang w:val="en-GB"/>
              </w:rPr>
            </w:pPr>
          </w:p>
          <w:p w:rsidR="00CB783F" w:rsidRPr="00822AC0" w:rsidRDefault="00CB783F" w:rsidP="00CB783F">
            <w:pPr>
              <w:rPr>
                <w:lang w:val="en-GB"/>
              </w:rPr>
            </w:pPr>
            <w:r w:rsidRPr="00822AC0">
              <w:rPr>
                <w:b/>
                <w:bCs/>
                <w:lang w:val="en-GB"/>
              </w:rPr>
              <w:t xml:space="preserve">Question in full </w:t>
            </w:r>
          </w:p>
        </w:tc>
        <w:tc>
          <w:tcPr>
            <w:tcW w:w="4670" w:type="dxa"/>
          </w:tcPr>
          <w:p w:rsidR="006813CC" w:rsidRDefault="006813CC" w:rsidP="00CB783F">
            <w:pPr>
              <w:rPr>
                <w:b/>
                <w:bCs/>
                <w:lang w:val="en-GB"/>
              </w:rPr>
            </w:pPr>
          </w:p>
          <w:p w:rsidR="00CB783F" w:rsidRPr="00822AC0" w:rsidRDefault="006813CC" w:rsidP="00CB783F">
            <w:pPr>
              <w:rPr>
                <w:lang w:val="en-GB"/>
              </w:rPr>
            </w:pPr>
            <w:r>
              <w:rPr>
                <w:b/>
                <w:bCs/>
                <w:lang w:val="en-GB"/>
              </w:rPr>
              <w:t>EESC's reply</w:t>
            </w:r>
          </w:p>
        </w:tc>
      </w:tr>
      <w:tr w:rsidR="00CB783F" w:rsidRPr="00822AC0" w:rsidTr="007B6DD3">
        <w:trPr>
          <w:trHeight w:val="1029"/>
        </w:trPr>
        <w:tc>
          <w:tcPr>
            <w:tcW w:w="4670" w:type="dxa"/>
          </w:tcPr>
          <w:p w:rsidR="00CB783F" w:rsidRPr="00822AC0" w:rsidRDefault="00CB783F" w:rsidP="00DA2C23">
            <w:pPr>
              <w:rPr>
                <w:lang w:val="en-GB"/>
              </w:rPr>
            </w:pPr>
            <w:r w:rsidRPr="00822AC0">
              <w:rPr>
                <w:b/>
                <w:bCs/>
                <w:lang w:val="en-GB"/>
              </w:rPr>
              <w:t>1 Received on 25/01/2017</w:t>
            </w:r>
          </w:p>
        </w:tc>
        <w:tc>
          <w:tcPr>
            <w:tcW w:w="4670" w:type="dxa"/>
          </w:tcPr>
          <w:p w:rsidR="00CB783F" w:rsidRPr="00822AC0" w:rsidRDefault="00CB783F" w:rsidP="00CB783F">
            <w:pPr>
              <w:rPr>
                <w:lang w:val="en-GB"/>
              </w:rPr>
            </w:pPr>
            <w:r w:rsidRPr="00822AC0">
              <w:rPr>
                <w:b/>
                <w:bCs/>
                <w:lang w:val="en-GB"/>
              </w:rPr>
              <w:t xml:space="preserve">DURATION </w:t>
            </w:r>
            <w:r w:rsidR="006813CC">
              <w:rPr>
                <w:b/>
                <w:bCs/>
                <w:lang w:val="en-GB"/>
              </w:rPr>
              <w:t xml:space="preserve">AND </w:t>
            </w:r>
            <w:r w:rsidR="0047463D" w:rsidRPr="00822AC0">
              <w:rPr>
                <w:b/>
                <w:bCs/>
                <w:lang w:val="en-GB"/>
              </w:rPr>
              <w:t>THE SCOPE OF THE PROJECT</w:t>
            </w:r>
            <w:r w:rsidRPr="00822AC0">
              <w:rPr>
                <w:b/>
                <w:bCs/>
                <w:lang w:val="en-GB"/>
              </w:rPr>
              <w:t xml:space="preserve"> AND THE RELATED BUDGET</w:t>
            </w:r>
          </w:p>
          <w:p w:rsidR="004A6BC4" w:rsidRPr="00822AC0" w:rsidRDefault="004A6BC4" w:rsidP="004A6BC4">
            <w:pPr>
              <w:spacing w:line="240" w:lineRule="auto"/>
              <w:jc w:val="left"/>
              <w:rPr>
                <w:rFonts w:ascii="Calibri" w:eastAsia="Calibri" w:hAnsi="Calibri"/>
                <w:lang w:val="en-GB" w:eastAsia="lt-LT"/>
              </w:rPr>
            </w:pPr>
          </w:p>
          <w:p w:rsidR="004A6BC4" w:rsidRPr="006813CC" w:rsidRDefault="004A6BC4" w:rsidP="004A6BC4">
            <w:pPr>
              <w:spacing w:line="240" w:lineRule="auto"/>
              <w:jc w:val="left"/>
              <w:rPr>
                <w:rFonts w:eastAsia="Calibri"/>
                <w:lang w:val="en-GB" w:eastAsia="lt-LT"/>
              </w:rPr>
            </w:pPr>
            <w:r w:rsidRPr="004A6BC4">
              <w:rPr>
                <w:rFonts w:eastAsia="Calibri"/>
                <w:lang w:val="en-GB" w:eastAsia="lt-LT"/>
              </w:rPr>
              <w:t>In the notice published on TED (ref. 2017/S 016-025323), I can read the following:</w:t>
            </w:r>
          </w:p>
          <w:p w:rsidR="004A6BC4" w:rsidRPr="004A6BC4" w:rsidRDefault="004A6BC4" w:rsidP="006813CC">
            <w:pPr>
              <w:spacing w:line="240" w:lineRule="auto"/>
              <w:ind w:firstLine="708"/>
              <w:jc w:val="left"/>
              <w:rPr>
                <w:rFonts w:eastAsia="Calibri"/>
                <w:lang w:val="en-GB" w:eastAsia="lt-LT"/>
              </w:rPr>
            </w:pPr>
          </w:p>
          <w:p w:rsidR="004A6BC4" w:rsidRPr="00DA2C23" w:rsidRDefault="004A6BC4" w:rsidP="00DA2C23">
            <w:pPr>
              <w:pStyle w:val="ListParagraph"/>
              <w:numPr>
                <w:ilvl w:val="0"/>
                <w:numId w:val="5"/>
              </w:numPr>
              <w:spacing w:line="240" w:lineRule="auto"/>
              <w:ind w:left="433"/>
              <w:jc w:val="left"/>
              <w:rPr>
                <w:lang w:val="en-GB" w:eastAsia="lt-LT"/>
              </w:rPr>
            </w:pPr>
            <w:r w:rsidRPr="00DA2C23">
              <w:rPr>
                <w:lang w:val="en-GB" w:eastAsia="lt-LT"/>
              </w:rPr>
              <w:t>“Project duration in months: 48”</w:t>
            </w:r>
          </w:p>
          <w:p w:rsidR="004A6BC4" w:rsidRPr="00DA2C23" w:rsidRDefault="004A6BC4" w:rsidP="00DA2C23">
            <w:pPr>
              <w:pStyle w:val="ListParagraph"/>
              <w:numPr>
                <w:ilvl w:val="0"/>
                <w:numId w:val="5"/>
              </w:numPr>
              <w:spacing w:line="240" w:lineRule="auto"/>
              <w:ind w:left="433"/>
              <w:jc w:val="left"/>
              <w:rPr>
                <w:lang w:val="en-GB" w:eastAsia="lt-LT"/>
              </w:rPr>
            </w:pPr>
            <w:r w:rsidRPr="00DA2C23">
              <w:rPr>
                <w:lang w:val="en-GB" w:eastAsia="lt-LT"/>
              </w:rPr>
              <w:t xml:space="preserve">“This contract is subject to renewal: yes” </w:t>
            </w:r>
          </w:p>
          <w:p w:rsidR="004A6BC4" w:rsidRPr="00DA2C23" w:rsidRDefault="004A6BC4" w:rsidP="00DA2C23">
            <w:pPr>
              <w:pStyle w:val="ListParagraph"/>
              <w:numPr>
                <w:ilvl w:val="0"/>
                <w:numId w:val="5"/>
              </w:numPr>
              <w:spacing w:line="240" w:lineRule="auto"/>
              <w:ind w:left="433"/>
              <w:jc w:val="left"/>
              <w:rPr>
                <w:lang w:val="en-GB" w:eastAsia="lt-LT"/>
              </w:rPr>
            </w:pPr>
            <w:r w:rsidRPr="00DA2C23">
              <w:rPr>
                <w:lang w:val="en-GB" w:eastAsia="lt-LT"/>
              </w:rPr>
              <w:t>“Value excluding VAT: 210 000.00 EUR”</w:t>
            </w:r>
          </w:p>
          <w:p w:rsidR="004A6BC4" w:rsidRPr="006813CC" w:rsidRDefault="004A6BC4" w:rsidP="004A6BC4">
            <w:pPr>
              <w:spacing w:line="240" w:lineRule="auto"/>
              <w:jc w:val="left"/>
              <w:rPr>
                <w:lang w:val="en-GB" w:eastAsia="lt-LT"/>
              </w:rPr>
            </w:pPr>
          </w:p>
          <w:p w:rsidR="004A6BC4" w:rsidRPr="006813CC" w:rsidRDefault="004A6BC4" w:rsidP="004A6BC4">
            <w:pPr>
              <w:spacing w:line="240" w:lineRule="auto"/>
              <w:jc w:val="left"/>
              <w:rPr>
                <w:lang w:val="en-GB" w:eastAsia="lt-LT"/>
              </w:rPr>
            </w:pPr>
            <w:r w:rsidRPr="006813CC">
              <w:rPr>
                <w:lang w:val="en-GB" w:eastAsia="lt-LT"/>
              </w:rPr>
              <w:t>In the tender specifications :</w:t>
            </w:r>
          </w:p>
          <w:p w:rsidR="004A6BC4" w:rsidRPr="006813CC" w:rsidRDefault="004A6BC4" w:rsidP="004A6BC4">
            <w:pPr>
              <w:spacing w:line="240" w:lineRule="auto"/>
              <w:jc w:val="left"/>
              <w:rPr>
                <w:lang w:val="en-GB" w:eastAsia="lt-LT"/>
              </w:rPr>
            </w:pPr>
          </w:p>
          <w:p w:rsidR="004A6BC4" w:rsidRPr="00DA2C23" w:rsidRDefault="004A6BC4" w:rsidP="00DA2C23">
            <w:pPr>
              <w:pStyle w:val="ListParagraph"/>
              <w:numPr>
                <w:ilvl w:val="0"/>
                <w:numId w:val="4"/>
              </w:numPr>
              <w:spacing w:line="240" w:lineRule="auto"/>
              <w:ind w:left="433"/>
              <w:jc w:val="left"/>
              <w:rPr>
                <w:lang w:val="en-GB" w:eastAsia="lt-LT"/>
              </w:rPr>
            </w:pPr>
            <w:r w:rsidRPr="00DA2C23">
              <w:rPr>
                <w:lang w:val="en-GB" w:eastAsia="lt-LT"/>
              </w:rPr>
              <w:t>2.5 Timing of performance: “The duration of the contract is 12 months with effect from the  date  of  its  entry  into force;  it may be renewed for three further periods of 12 months</w:t>
            </w:r>
          </w:p>
          <w:p w:rsidR="004A6BC4" w:rsidRPr="00DA2C23" w:rsidRDefault="004A6BC4" w:rsidP="00DA2C23">
            <w:pPr>
              <w:pStyle w:val="ListParagraph"/>
              <w:numPr>
                <w:ilvl w:val="0"/>
                <w:numId w:val="4"/>
              </w:numPr>
              <w:spacing w:line="240" w:lineRule="auto"/>
              <w:ind w:left="433"/>
              <w:jc w:val="left"/>
              <w:rPr>
                <w:lang w:val="en-GB" w:eastAsia="lt-LT"/>
              </w:rPr>
            </w:pPr>
            <w:r w:rsidRPr="00DA2C23">
              <w:rPr>
                <w:lang w:val="en-GB" w:eastAsia="lt-LT"/>
              </w:rPr>
              <w:t>3.2 Digitising into .PDF/A format</w:t>
            </w:r>
            <w:r w:rsidR="00DA2C23">
              <w:rPr>
                <w:lang w:val="en-GB" w:eastAsia="lt-LT"/>
              </w:rPr>
              <w:t xml:space="preserve"> and saving on electronic media</w:t>
            </w:r>
            <w:r w:rsidRPr="00DA2C23">
              <w:rPr>
                <w:lang w:val="en-GB" w:eastAsia="lt-LT"/>
              </w:rPr>
              <w:t>: “</w:t>
            </w:r>
            <w:proofErr w:type="gramStart"/>
            <w:r w:rsidRPr="00DA2C23">
              <w:rPr>
                <w:lang w:val="en-GB" w:eastAsia="lt-LT"/>
              </w:rPr>
              <w:t>The  contractor</w:t>
            </w:r>
            <w:proofErr w:type="gramEnd"/>
            <w:r w:rsidRPr="00DA2C23">
              <w:rPr>
                <w:lang w:val="en-GB" w:eastAsia="lt-LT"/>
              </w:rPr>
              <w:t xml:space="preserve">  shall  digitise approximately  250  000   pages  a  year.”</w:t>
            </w:r>
          </w:p>
          <w:p w:rsidR="004A6BC4" w:rsidRPr="006813CC" w:rsidRDefault="004A6BC4" w:rsidP="004A6BC4">
            <w:pPr>
              <w:spacing w:line="240" w:lineRule="auto"/>
              <w:jc w:val="left"/>
              <w:rPr>
                <w:lang w:val="en-GB" w:eastAsia="lt-LT"/>
              </w:rPr>
            </w:pPr>
          </w:p>
          <w:p w:rsidR="007B6DD3" w:rsidRDefault="007B6DD3" w:rsidP="004A6BC4">
            <w:pPr>
              <w:spacing w:line="240" w:lineRule="auto"/>
              <w:jc w:val="left"/>
              <w:rPr>
                <w:rFonts w:eastAsia="Calibri"/>
                <w:b/>
                <w:lang w:val="en-GB" w:eastAsia="lt-LT"/>
              </w:rPr>
            </w:pPr>
          </w:p>
          <w:p w:rsidR="007B6DD3" w:rsidRDefault="007B6DD3" w:rsidP="004A6BC4">
            <w:pPr>
              <w:spacing w:line="240" w:lineRule="auto"/>
              <w:jc w:val="left"/>
              <w:rPr>
                <w:rFonts w:eastAsia="Calibri"/>
                <w:b/>
                <w:lang w:val="en-GB" w:eastAsia="lt-LT"/>
              </w:rPr>
            </w:pPr>
          </w:p>
          <w:p w:rsidR="007B6DD3" w:rsidRDefault="007B6DD3" w:rsidP="004A6BC4">
            <w:pPr>
              <w:spacing w:line="240" w:lineRule="auto"/>
              <w:jc w:val="left"/>
              <w:rPr>
                <w:rFonts w:eastAsia="Calibri"/>
                <w:b/>
                <w:lang w:val="en-GB" w:eastAsia="lt-LT"/>
              </w:rPr>
            </w:pPr>
          </w:p>
          <w:p w:rsidR="007B6DD3" w:rsidRDefault="007B6DD3" w:rsidP="004A6BC4">
            <w:pPr>
              <w:spacing w:line="240" w:lineRule="auto"/>
              <w:jc w:val="left"/>
              <w:rPr>
                <w:rFonts w:eastAsia="Calibri"/>
                <w:b/>
                <w:lang w:val="en-GB" w:eastAsia="lt-LT"/>
              </w:rPr>
            </w:pPr>
          </w:p>
          <w:p w:rsidR="007B6DD3" w:rsidRDefault="007B6DD3" w:rsidP="004A6BC4">
            <w:pPr>
              <w:spacing w:line="240" w:lineRule="auto"/>
              <w:jc w:val="left"/>
              <w:rPr>
                <w:rFonts w:eastAsia="Calibri"/>
                <w:b/>
                <w:lang w:val="en-GB" w:eastAsia="lt-LT"/>
              </w:rPr>
            </w:pPr>
          </w:p>
          <w:p w:rsidR="007B6DD3" w:rsidRDefault="007B6DD3" w:rsidP="004A6BC4">
            <w:pPr>
              <w:spacing w:line="240" w:lineRule="auto"/>
              <w:jc w:val="left"/>
              <w:rPr>
                <w:rFonts w:eastAsia="Calibri"/>
                <w:b/>
                <w:lang w:val="en-GB" w:eastAsia="lt-LT"/>
              </w:rPr>
            </w:pPr>
          </w:p>
          <w:p w:rsidR="004A6BC4" w:rsidRPr="004A6BC4" w:rsidRDefault="004A6BC4" w:rsidP="004A6BC4">
            <w:pPr>
              <w:spacing w:line="240" w:lineRule="auto"/>
              <w:jc w:val="left"/>
              <w:rPr>
                <w:rFonts w:eastAsia="Calibri"/>
                <w:b/>
                <w:lang w:val="en-GB" w:eastAsia="lt-LT"/>
              </w:rPr>
            </w:pPr>
            <w:r w:rsidRPr="004A6BC4">
              <w:rPr>
                <w:rFonts w:eastAsia="Calibri"/>
                <w:b/>
                <w:lang w:val="en-GB" w:eastAsia="lt-LT"/>
              </w:rPr>
              <w:lastRenderedPageBreak/>
              <w:t>Question</w:t>
            </w:r>
            <w:r w:rsidR="0047463D" w:rsidRPr="006813CC">
              <w:rPr>
                <w:rFonts w:eastAsia="Calibri"/>
                <w:b/>
                <w:lang w:val="en-GB" w:eastAsia="lt-LT"/>
              </w:rPr>
              <w:t>s</w:t>
            </w:r>
            <w:r w:rsidRPr="004A6BC4">
              <w:rPr>
                <w:rFonts w:eastAsia="Calibri"/>
                <w:b/>
                <w:lang w:val="en-GB" w:eastAsia="lt-LT"/>
              </w:rPr>
              <w:t xml:space="preserve">: </w:t>
            </w:r>
          </w:p>
          <w:p w:rsidR="004A6BC4" w:rsidRPr="006813CC" w:rsidRDefault="004A6BC4" w:rsidP="004A6BC4">
            <w:pPr>
              <w:numPr>
                <w:ilvl w:val="0"/>
                <w:numId w:val="3"/>
              </w:numPr>
              <w:spacing w:line="240" w:lineRule="auto"/>
              <w:jc w:val="left"/>
              <w:rPr>
                <w:lang w:val="en-GB" w:eastAsia="lt-LT"/>
              </w:rPr>
            </w:pPr>
            <w:r w:rsidRPr="004A6BC4">
              <w:rPr>
                <w:lang w:val="en-GB" w:eastAsia="lt-LT"/>
              </w:rPr>
              <w:t>Can you confirm that the project duration is 48 months?</w:t>
            </w:r>
          </w:p>
          <w:p w:rsidR="00822AC0" w:rsidRPr="006813CC" w:rsidRDefault="00822AC0" w:rsidP="00822AC0">
            <w:pPr>
              <w:spacing w:line="240" w:lineRule="auto"/>
              <w:jc w:val="left"/>
              <w:rPr>
                <w:lang w:val="en-GB" w:eastAsia="lt-LT"/>
              </w:rPr>
            </w:pPr>
          </w:p>
          <w:p w:rsidR="00822AC0" w:rsidRDefault="00822AC0" w:rsidP="00822AC0">
            <w:pPr>
              <w:spacing w:line="240" w:lineRule="auto"/>
              <w:jc w:val="left"/>
              <w:rPr>
                <w:rFonts w:ascii="Calibri" w:hAnsi="Calibri"/>
                <w:lang w:val="en-GB" w:eastAsia="lt-LT"/>
              </w:rPr>
            </w:pPr>
          </w:p>
          <w:p w:rsidR="00822AC0" w:rsidRDefault="00822AC0" w:rsidP="00822AC0">
            <w:pPr>
              <w:spacing w:line="240" w:lineRule="auto"/>
              <w:jc w:val="left"/>
              <w:rPr>
                <w:rFonts w:ascii="Calibri" w:hAnsi="Calibri"/>
                <w:lang w:val="en-GB" w:eastAsia="lt-LT"/>
              </w:rPr>
            </w:pPr>
          </w:p>
          <w:p w:rsidR="00822AC0" w:rsidRDefault="00822AC0" w:rsidP="007B6DD3">
            <w:pPr>
              <w:spacing w:line="240" w:lineRule="auto"/>
              <w:jc w:val="left"/>
              <w:rPr>
                <w:rFonts w:ascii="Calibri" w:hAnsi="Calibri"/>
                <w:lang w:val="en-GB" w:eastAsia="lt-LT"/>
              </w:rPr>
            </w:pPr>
          </w:p>
          <w:p w:rsidR="00822AC0" w:rsidRDefault="00822AC0" w:rsidP="00822AC0">
            <w:pPr>
              <w:spacing w:line="240" w:lineRule="auto"/>
              <w:jc w:val="left"/>
              <w:rPr>
                <w:rFonts w:ascii="Calibri" w:hAnsi="Calibri"/>
                <w:lang w:val="en-GB" w:eastAsia="lt-LT"/>
              </w:rPr>
            </w:pPr>
          </w:p>
          <w:p w:rsidR="00822AC0" w:rsidRDefault="00822AC0" w:rsidP="00822AC0">
            <w:pPr>
              <w:spacing w:line="240" w:lineRule="auto"/>
              <w:jc w:val="left"/>
              <w:rPr>
                <w:rFonts w:ascii="Calibri" w:hAnsi="Calibri"/>
                <w:lang w:val="en-GB" w:eastAsia="lt-LT"/>
              </w:rPr>
            </w:pPr>
          </w:p>
          <w:p w:rsidR="00822AC0" w:rsidRDefault="00822AC0" w:rsidP="00822AC0">
            <w:pPr>
              <w:spacing w:line="240" w:lineRule="auto"/>
              <w:jc w:val="left"/>
              <w:rPr>
                <w:rFonts w:ascii="Calibri" w:hAnsi="Calibri"/>
                <w:lang w:val="en-GB" w:eastAsia="lt-LT"/>
              </w:rPr>
            </w:pPr>
          </w:p>
          <w:p w:rsidR="00822AC0" w:rsidRDefault="00822AC0" w:rsidP="00822AC0">
            <w:pPr>
              <w:spacing w:line="240" w:lineRule="auto"/>
              <w:jc w:val="left"/>
              <w:rPr>
                <w:rFonts w:ascii="Calibri" w:hAnsi="Calibri"/>
                <w:lang w:val="en-GB" w:eastAsia="lt-LT"/>
              </w:rPr>
            </w:pPr>
          </w:p>
          <w:p w:rsidR="00822AC0" w:rsidRDefault="00822AC0" w:rsidP="00822AC0">
            <w:pPr>
              <w:spacing w:line="240" w:lineRule="auto"/>
              <w:jc w:val="left"/>
              <w:rPr>
                <w:rFonts w:ascii="Calibri" w:hAnsi="Calibri"/>
                <w:lang w:val="en-GB" w:eastAsia="lt-LT"/>
              </w:rPr>
            </w:pPr>
          </w:p>
          <w:p w:rsidR="00822AC0" w:rsidRDefault="00822AC0" w:rsidP="00822AC0">
            <w:pPr>
              <w:spacing w:line="240" w:lineRule="auto"/>
              <w:jc w:val="left"/>
              <w:rPr>
                <w:lang w:val="en-GB" w:eastAsia="lt-LT"/>
              </w:rPr>
            </w:pPr>
          </w:p>
          <w:p w:rsidR="007B6DD3" w:rsidRDefault="007B6DD3" w:rsidP="00822AC0">
            <w:pPr>
              <w:spacing w:line="240" w:lineRule="auto"/>
              <w:jc w:val="left"/>
              <w:rPr>
                <w:lang w:val="en-GB" w:eastAsia="lt-LT"/>
              </w:rPr>
            </w:pPr>
          </w:p>
          <w:p w:rsidR="007B6DD3" w:rsidRDefault="007B6DD3" w:rsidP="00822AC0">
            <w:pPr>
              <w:spacing w:line="240" w:lineRule="auto"/>
              <w:jc w:val="left"/>
              <w:rPr>
                <w:lang w:val="en-GB" w:eastAsia="lt-LT"/>
              </w:rPr>
            </w:pPr>
          </w:p>
          <w:p w:rsidR="004A6BC4" w:rsidRPr="006813CC" w:rsidRDefault="004A6BC4" w:rsidP="004A6BC4">
            <w:pPr>
              <w:numPr>
                <w:ilvl w:val="0"/>
                <w:numId w:val="3"/>
              </w:numPr>
              <w:spacing w:line="240" w:lineRule="auto"/>
              <w:jc w:val="left"/>
              <w:rPr>
                <w:lang w:val="en-GB" w:eastAsia="lt-LT"/>
              </w:rPr>
            </w:pPr>
            <w:r w:rsidRPr="004A6BC4">
              <w:rPr>
                <w:lang w:val="en-GB" w:eastAsia="lt-LT"/>
              </w:rPr>
              <w:t xml:space="preserve">Can you confirm that the budget of 210,000 EUR refers to one year of production (approx. 250,000 pages) and not 4 </w:t>
            </w:r>
            <w:r w:rsidR="00DA2C23">
              <w:rPr>
                <w:lang w:val="en-GB" w:eastAsia="lt-LT"/>
              </w:rPr>
              <w:t>years (approx. 1,000,000 pages)</w:t>
            </w:r>
            <w:r w:rsidRPr="004A6BC4">
              <w:rPr>
                <w:lang w:val="en-GB" w:eastAsia="lt-LT"/>
              </w:rPr>
              <w:t>?</w:t>
            </w:r>
          </w:p>
          <w:p w:rsidR="0047463D" w:rsidRPr="004A6BC4" w:rsidRDefault="0047463D" w:rsidP="0047463D">
            <w:pPr>
              <w:spacing w:line="240" w:lineRule="auto"/>
              <w:ind w:left="720"/>
              <w:jc w:val="left"/>
              <w:rPr>
                <w:lang w:val="en-GB" w:eastAsia="lt-LT"/>
              </w:rPr>
            </w:pPr>
          </w:p>
          <w:p w:rsidR="00CB783F" w:rsidRPr="00822AC0" w:rsidRDefault="00CB783F" w:rsidP="004A6BC4">
            <w:pPr>
              <w:rPr>
                <w:lang w:val="en-GB"/>
              </w:rPr>
            </w:pPr>
          </w:p>
        </w:tc>
        <w:tc>
          <w:tcPr>
            <w:tcW w:w="4670" w:type="dxa"/>
          </w:tcPr>
          <w:p w:rsidR="00822AC0" w:rsidRDefault="00822AC0" w:rsidP="004A6BC4">
            <w:pPr>
              <w:rPr>
                <w:b/>
                <w:bCs/>
                <w:lang w:val="en-GB"/>
              </w:rPr>
            </w:pPr>
          </w:p>
          <w:p w:rsidR="00822AC0" w:rsidRDefault="00822AC0" w:rsidP="004A6BC4">
            <w:pPr>
              <w:rPr>
                <w:b/>
                <w:bCs/>
                <w:lang w:val="en-GB"/>
              </w:rPr>
            </w:pPr>
          </w:p>
          <w:p w:rsidR="00822AC0" w:rsidRDefault="00822AC0" w:rsidP="004A6BC4">
            <w:pPr>
              <w:rPr>
                <w:b/>
                <w:bCs/>
                <w:lang w:val="en-GB"/>
              </w:rPr>
            </w:pPr>
          </w:p>
          <w:p w:rsidR="00822AC0" w:rsidRDefault="00822AC0" w:rsidP="004A6BC4">
            <w:pPr>
              <w:rPr>
                <w:b/>
                <w:bCs/>
                <w:lang w:val="en-GB"/>
              </w:rPr>
            </w:pPr>
          </w:p>
          <w:p w:rsidR="00822AC0" w:rsidRDefault="00822AC0" w:rsidP="004A6BC4">
            <w:pPr>
              <w:rPr>
                <w:b/>
                <w:bCs/>
                <w:lang w:val="en-GB"/>
              </w:rPr>
            </w:pPr>
          </w:p>
          <w:p w:rsidR="00822AC0" w:rsidRDefault="00822AC0" w:rsidP="004A6BC4">
            <w:pPr>
              <w:rPr>
                <w:b/>
                <w:bCs/>
                <w:lang w:val="en-GB"/>
              </w:rPr>
            </w:pPr>
          </w:p>
          <w:p w:rsidR="00822AC0" w:rsidRDefault="00822AC0" w:rsidP="004A6BC4">
            <w:pPr>
              <w:rPr>
                <w:b/>
                <w:bCs/>
                <w:lang w:val="en-GB"/>
              </w:rPr>
            </w:pPr>
          </w:p>
          <w:p w:rsidR="00822AC0" w:rsidRDefault="00822AC0" w:rsidP="004A6BC4">
            <w:pPr>
              <w:rPr>
                <w:b/>
                <w:bCs/>
                <w:lang w:val="en-GB"/>
              </w:rPr>
            </w:pPr>
          </w:p>
          <w:p w:rsidR="00822AC0" w:rsidRDefault="00822AC0" w:rsidP="004A6BC4">
            <w:pPr>
              <w:rPr>
                <w:b/>
                <w:bCs/>
                <w:lang w:val="en-GB"/>
              </w:rPr>
            </w:pPr>
          </w:p>
          <w:p w:rsidR="00822AC0" w:rsidRDefault="00822AC0" w:rsidP="004A6BC4">
            <w:pPr>
              <w:rPr>
                <w:b/>
                <w:bCs/>
                <w:lang w:val="en-GB"/>
              </w:rPr>
            </w:pPr>
          </w:p>
          <w:p w:rsidR="00822AC0" w:rsidRDefault="00822AC0" w:rsidP="004A6BC4">
            <w:pPr>
              <w:rPr>
                <w:b/>
                <w:bCs/>
                <w:lang w:val="en-GB"/>
              </w:rPr>
            </w:pPr>
          </w:p>
          <w:p w:rsidR="00822AC0" w:rsidRDefault="00822AC0" w:rsidP="004A6BC4">
            <w:pPr>
              <w:rPr>
                <w:b/>
                <w:bCs/>
                <w:lang w:val="en-GB"/>
              </w:rPr>
            </w:pPr>
          </w:p>
          <w:p w:rsidR="00822AC0" w:rsidRDefault="00822AC0" w:rsidP="004A6BC4">
            <w:pPr>
              <w:rPr>
                <w:b/>
                <w:bCs/>
                <w:lang w:val="en-GB"/>
              </w:rPr>
            </w:pPr>
          </w:p>
          <w:p w:rsidR="00822AC0" w:rsidRDefault="00822AC0" w:rsidP="004A6BC4">
            <w:pPr>
              <w:rPr>
                <w:b/>
                <w:bCs/>
                <w:lang w:val="en-GB"/>
              </w:rPr>
            </w:pPr>
          </w:p>
          <w:p w:rsidR="00822AC0" w:rsidRDefault="00822AC0" w:rsidP="004A6BC4">
            <w:pPr>
              <w:rPr>
                <w:b/>
                <w:bCs/>
                <w:lang w:val="en-GB"/>
              </w:rPr>
            </w:pPr>
          </w:p>
          <w:p w:rsidR="00822AC0" w:rsidRDefault="00822AC0" w:rsidP="004A6BC4">
            <w:pPr>
              <w:rPr>
                <w:b/>
                <w:bCs/>
                <w:lang w:val="en-GB"/>
              </w:rPr>
            </w:pPr>
          </w:p>
          <w:p w:rsidR="00822AC0" w:rsidRDefault="00822AC0" w:rsidP="004A6BC4">
            <w:pPr>
              <w:rPr>
                <w:b/>
                <w:bCs/>
                <w:lang w:val="en-GB"/>
              </w:rPr>
            </w:pPr>
          </w:p>
          <w:p w:rsidR="00822AC0" w:rsidRDefault="00822AC0" w:rsidP="004A6BC4">
            <w:pPr>
              <w:rPr>
                <w:b/>
                <w:bCs/>
                <w:lang w:val="en-GB"/>
              </w:rPr>
            </w:pPr>
          </w:p>
          <w:p w:rsidR="00822AC0" w:rsidRDefault="00822AC0" w:rsidP="004A6BC4">
            <w:pPr>
              <w:rPr>
                <w:b/>
                <w:bCs/>
                <w:lang w:val="en-GB"/>
              </w:rPr>
            </w:pPr>
          </w:p>
          <w:p w:rsidR="007B6DD3" w:rsidRDefault="007B6DD3" w:rsidP="00DA2C23">
            <w:pPr>
              <w:keepLines/>
              <w:rPr>
                <w:lang w:val="en-GB"/>
              </w:rPr>
            </w:pPr>
          </w:p>
          <w:p w:rsidR="007B6DD3" w:rsidRDefault="007B6DD3" w:rsidP="00DA2C23">
            <w:pPr>
              <w:keepLines/>
              <w:rPr>
                <w:lang w:val="en-GB"/>
              </w:rPr>
            </w:pPr>
          </w:p>
          <w:p w:rsidR="007B6DD3" w:rsidRDefault="007B6DD3" w:rsidP="00DA2C23">
            <w:pPr>
              <w:keepLines/>
              <w:rPr>
                <w:lang w:val="en-GB"/>
              </w:rPr>
            </w:pPr>
          </w:p>
          <w:p w:rsidR="007B6DD3" w:rsidRDefault="007B6DD3" w:rsidP="00DA2C23">
            <w:pPr>
              <w:keepLines/>
              <w:rPr>
                <w:lang w:val="en-GB"/>
              </w:rPr>
            </w:pPr>
          </w:p>
          <w:p w:rsidR="004A6BC4" w:rsidRPr="00822AC0" w:rsidRDefault="004A6BC4" w:rsidP="00DA2C23">
            <w:pPr>
              <w:keepLines/>
              <w:rPr>
                <w:lang w:val="en-GB"/>
              </w:rPr>
            </w:pPr>
            <w:r w:rsidRPr="00822AC0">
              <w:rPr>
                <w:lang w:val="en-GB"/>
              </w:rPr>
              <w:t xml:space="preserve"> </w:t>
            </w:r>
          </w:p>
          <w:p w:rsidR="007B6DD3" w:rsidRPr="00822AC0" w:rsidRDefault="007B6DD3" w:rsidP="007B6DD3">
            <w:pPr>
              <w:keepLines/>
              <w:rPr>
                <w:lang w:val="en-GB"/>
              </w:rPr>
            </w:pPr>
            <w:r>
              <w:rPr>
                <w:b/>
                <w:bCs/>
                <w:lang w:val="en-GB"/>
              </w:rPr>
              <w:lastRenderedPageBreak/>
              <w:t xml:space="preserve">1. </w:t>
            </w:r>
            <w:r w:rsidRPr="00822AC0">
              <w:rPr>
                <w:b/>
                <w:bCs/>
                <w:lang w:val="en-GB"/>
              </w:rPr>
              <w:t>DURATION OF THE PROJECT</w:t>
            </w:r>
          </w:p>
          <w:p w:rsidR="007B6DD3" w:rsidRPr="00822AC0" w:rsidRDefault="007B6DD3" w:rsidP="007B6DD3">
            <w:pPr>
              <w:keepLines/>
              <w:rPr>
                <w:lang w:val="en-GB"/>
              </w:rPr>
            </w:pPr>
          </w:p>
          <w:p w:rsidR="007B6DD3" w:rsidRDefault="007B6DD3" w:rsidP="007B6DD3">
            <w:pPr>
              <w:keepLines/>
              <w:rPr>
                <w:lang w:val="en-GB"/>
              </w:rPr>
            </w:pPr>
            <w:r w:rsidRPr="00822AC0">
              <w:rPr>
                <w:lang w:val="en-GB"/>
              </w:rPr>
              <w:t xml:space="preserve">1. As indicated in the draft framework contract, the framework contract will be concluded for </w:t>
            </w:r>
            <w:r w:rsidRPr="00822AC0">
              <w:rPr>
                <w:b/>
                <w:lang w:val="en-GB"/>
              </w:rPr>
              <w:t>12</w:t>
            </w:r>
            <w:r>
              <w:rPr>
                <w:b/>
                <w:lang w:val="en-GB"/>
              </w:rPr>
              <w:t> </w:t>
            </w:r>
            <w:r w:rsidRPr="00822AC0">
              <w:rPr>
                <w:b/>
                <w:lang w:val="en-GB"/>
              </w:rPr>
              <w:t>months</w:t>
            </w:r>
            <w:r w:rsidRPr="00822AC0">
              <w:rPr>
                <w:lang w:val="en-GB"/>
              </w:rPr>
              <w:t xml:space="preserve"> (point I.3.3).</w:t>
            </w:r>
          </w:p>
          <w:p w:rsidR="007B6DD3" w:rsidRDefault="007B6DD3" w:rsidP="00DA2C23">
            <w:pPr>
              <w:keepLines/>
              <w:rPr>
                <w:lang w:val="en-GB"/>
              </w:rPr>
            </w:pPr>
          </w:p>
          <w:p w:rsidR="00CB783F" w:rsidRPr="00822AC0" w:rsidRDefault="004A6BC4" w:rsidP="00DA2C23">
            <w:pPr>
              <w:keepLines/>
              <w:rPr>
                <w:lang w:val="en-GB"/>
              </w:rPr>
            </w:pPr>
            <w:r w:rsidRPr="00822AC0">
              <w:rPr>
                <w:lang w:val="en-GB"/>
              </w:rPr>
              <w:t xml:space="preserve">According to article I.3.5 of the draft framework contract, </w:t>
            </w:r>
            <w:r w:rsidR="0047463D" w:rsidRPr="00822AC0">
              <w:rPr>
                <w:lang w:val="en-GB"/>
              </w:rPr>
              <w:t>the framework contract is</w:t>
            </w:r>
            <w:r w:rsidR="0047463D" w:rsidRPr="00822AC0">
              <w:rPr>
                <w:sz w:val="24"/>
                <w:szCs w:val="24"/>
                <w:lang w:val="en-GB" w:eastAsia="ko-KR"/>
              </w:rPr>
              <w:t xml:space="preserve"> </w:t>
            </w:r>
            <w:r w:rsidR="0047463D" w:rsidRPr="00822AC0">
              <w:rPr>
                <w:b/>
                <w:lang w:val="en-GB"/>
              </w:rPr>
              <w:t>renewed automatically three times for</w:t>
            </w:r>
            <w:r w:rsidR="0047463D" w:rsidRPr="00822AC0">
              <w:rPr>
                <w:b/>
                <w:i/>
                <w:lang w:val="en-GB"/>
              </w:rPr>
              <w:t xml:space="preserve"> </w:t>
            </w:r>
            <w:r w:rsidR="0047463D" w:rsidRPr="00822AC0">
              <w:rPr>
                <w:b/>
                <w:lang w:val="en-GB"/>
              </w:rPr>
              <w:t>12 months each</w:t>
            </w:r>
            <w:r w:rsidR="0047463D" w:rsidRPr="00822AC0">
              <w:rPr>
                <w:lang w:val="en-GB"/>
              </w:rPr>
              <w:t xml:space="preserve">, unless one of the parties receives </w:t>
            </w:r>
            <w:r w:rsidR="0047463D" w:rsidRPr="00822AC0">
              <w:rPr>
                <w:i/>
                <w:lang w:val="en-GB"/>
              </w:rPr>
              <w:t>formal notification</w:t>
            </w:r>
            <w:r w:rsidR="0047463D" w:rsidRPr="00822AC0">
              <w:rPr>
                <w:lang w:val="en-GB"/>
              </w:rPr>
              <w:t xml:space="preserve"> to the contrary at least three months before the end of the ongoing duration.</w:t>
            </w:r>
          </w:p>
          <w:p w:rsidR="0047463D" w:rsidRPr="00822AC0" w:rsidRDefault="0047463D" w:rsidP="0047463D">
            <w:pPr>
              <w:rPr>
                <w:lang w:val="en-GB"/>
              </w:rPr>
            </w:pPr>
          </w:p>
          <w:p w:rsidR="0047463D" w:rsidRPr="00822AC0" w:rsidRDefault="00822AC0" w:rsidP="0047463D">
            <w:pPr>
              <w:rPr>
                <w:lang w:val="en-GB"/>
              </w:rPr>
            </w:pPr>
            <w:r>
              <w:rPr>
                <w:b/>
                <w:bCs/>
                <w:lang w:val="en-GB"/>
              </w:rPr>
              <w:t xml:space="preserve">2. </w:t>
            </w:r>
            <w:r w:rsidR="0047463D" w:rsidRPr="00822AC0">
              <w:rPr>
                <w:b/>
                <w:bCs/>
                <w:lang w:val="en-GB"/>
              </w:rPr>
              <w:t>THE SCOPE OF THE PROJECT AND THE RELATED BUDGET</w:t>
            </w:r>
          </w:p>
          <w:p w:rsidR="0047463D" w:rsidRPr="00822AC0" w:rsidRDefault="0047463D" w:rsidP="0047463D">
            <w:pPr>
              <w:rPr>
                <w:lang w:val="en-GB"/>
              </w:rPr>
            </w:pPr>
          </w:p>
          <w:p w:rsidR="0047463D" w:rsidRPr="00822AC0" w:rsidRDefault="0047463D" w:rsidP="0047463D">
            <w:pPr>
              <w:rPr>
                <w:lang w:val="en-GB"/>
              </w:rPr>
            </w:pPr>
            <w:r w:rsidRPr="00822AC0">
              <w:rPr>
                <w:lang w:val="en-GB"/>
              </w:rPr>
              <w:t xml:space="preserve">2. According to article I.5.1 of the framework contract, the maximum amount covering all the purchases under this framework contract, including all renewals is EUR 210 000, meaning that this is the maximum amount that the EESC would pay for the services provided during the </w:t>
            </w:r>
            <w:r w:rsidR="006813CC">
              <w:rPr>
                <w:lang w:val="en-GB"/>
              </w:rPr>
              <w:t>48 months (four years) and not during 12 months (one year).</w:t>
            </w:r>
          </w:p>
          <w:p w:rsidR="0047463D" w:rsidRPr="00822AC0" w:rsidRDefault="0047463D" w:rsidP="0047463D">
            <w:pPr>
              <w:rPr>
                <w:lang w:val="en-GB"/>
              </w:rPr>
            </w:pPr>
          </w:p>
          <w:p w:rsidR="0047463D" w:rsidRPr="00822AC0" w:rsidRDefault="00822AC0" w:rsidP="00DA2C23">
            <w:pPr>
              <w:rPr>
                <w:lang w:val="en-GB"/>
              </w:rPr>
            </w:pPr>
            <w:r w:rsidRPr="00822AC0">
              <w:rPr>
                <w:lang w:val="en-GB"/>
              </w:rPr>
              <w:t>The contractor will be expected to digitise and transfer onto microfiches approximately 250</w:t>
            </w:r>
            <w:r w:rsidR="00DA2C23">
              <w:rPr>
                <w:lang w:val="en-GB"/>
              </w:rPr>
              <w:t> </w:t>
            </w:r>
            <w:r w:rsidRPr="00822AC0">
              <w:rPr>
                <w:lang w:val="en-GB"/>
              </w:rPr>
              <w:t>00</w:t>
            </w:r>
            <w:r w:rsidR="00DA2C23">
              <w:rPr>
                <w:lang w:val="en-GB"/>
              </w:rPr>
              <w:t> </w:t>
            </w:r>
            <w:r w:rsidRPr="00822AC0">
              <w:rPr>
                <w:lang w:val="en-GB"/>
              </w:rPr>
              <w:t>pages a year.</w:t>
            </w:r>
          </w:p>
        </w:tc>
      </w:tr>
    </w:tbl>
    <w:p w:rsidR="004C791E" w:rsidRDefault="004C791E" w:rsidP="007B6DD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0"/>
        <w:gridCol w:w="4670"/>
        <w:gridCol w:w="4670"/>
      </w:tblGrid>
      <w:tr w:rsidR="004C791E" w:rsidRPr="00822AC0" w:rsidTr="00C36BB7">
        <w:trPr>
          <w:trHeight w:val="1029"/>
        </w:trPr>
        <w:tc>
          <w:tcPr>
            <w:tcW w:w="4670" w:type="dxa"/>
          </w:tcPr>
          <w:p w:rsidR="004C791E" w:rsidRPr="00822AC0" w:rsidRDefault="004C791E" w:rsidP="004C791E">
            <w:pPr>
              <w:rPr>
                <w:lang w:val="en-GB"/>
              </w:rPr>
            </w:pPr>
            <w:r>
              <w:rPr>
                <w:lang w:val="en-GB"/>
              </w:rPr>
              <w:lastRenderedPageBreak/>
              <w:br w:type="page"/>
            </w:r>
            <w:r>
              <w:rPr>
                <w:b/>
                <w:bCs/>
                <w:lang w:val="en-GB"/>
              </w:rPr>
              <w:t>2</w:t>
            </w:r>
            <w:r w:rsidRPr="00822AC0">
              <w:rPr>
                <w:b/>
                <w:bCs/>
                <w:lang w:val="en-GB"/>
              </w:rPr>
              <w:t xml:space="preserve"> Received on </w:t>
            </w:r>
            <w:r>
              <w:rPr>
                <w:b/>
                <w:bCs/>
                <w:lang w:val="en-GB"/>
              </w:rPr>
              <w:t>01</w:t>
            </w:r>
            <w:r w:rsidRPr="00822AC0">
              <w:rPr>
                <w:b/>
                <w:bCs/>
                <w:lang w:val="en-GB"/>
              </w:rPr>
              <w:t>/</w:t>
            </w:r>
            <w:r>
              <w:rPr>
                <w:b/>
                <w:bCs/>
                <w:lang w:val="en-GB"/>
              </w:rPr>
              <w:t>02</w:t>
            </w:r>
            <w:r w:rsidRPr="00822AC0">
              <w:rPr>
                <w:b/>
                <w:bCs/>
                <w:lang w:val="en-GB"/>
              </w:rPr>
              <w:t>/2017</w:t>
            </w:r>
          </w:p>
        </w:tc>
        <w:tc>
          <w:tcPr>
            <w:tcW w:w="4670" w:type="dxa"/>
          </w:tcPr>
          <w:p w:rsidR="004C791E" w:rsidRDefault="007A5400" w:rsidP="00C36BB7">
            <w:pPr>
              <w:rPr>
                <w:b/>
                <w:bCs/>
                <w:lang w:val="en-GB"/>
              </w:rPr>
            </w:pPr>
            <w:r>
              <w:rPr>
                <w:b/>
                <w:bCs/>
                <w:lang w:val="en-GB"/>
              </w:rPr>
              <w:t>REQUEST FOR A MEETING</w:t>
            </w:r>
          </w:p>
          <w:p w:rsidR="007A5400" w:rsidRDefault="007A5400" w:rsidP="00C36BB7">
            <w:pPr>
              <w:rPr>
                <w:b/>
                <w:bCs/>
                <w:lang w:val="en-GB"/>
              </w:rPr>
            </w:pPr>
          </w:p>
          <w:p w:rsidR="007A5400" w:rsidRPr="00822AC0" w:rsidRDefault="007A5400" w:rsidP="00C36BB7">
            <w:pPr>
              <w:rPr>
                <w:lang w:val="en-GB"/>
              </w:rPr>
            </w:pPr>
            <w:r>
              <w:rPr>
                <w:lang w:val="en-GB"/>
              </w:rPr>
              <w:t>Can a meeting be arranged for this call for tender in order to consult a file sample so as to gauge the work involved (including preparing documents for scanning by removing staples, paper clips etc.)?</w:t>
            </w:r>
          </w:p>
          <w:p w:rsidR="004C791E" w:rsidRPr="00822AC0" w:rsidRDefault="004C791E" w:rsidP="00C36BB7">
            <w:pPr>
              <w:spacing w:line="240" w:lineRule="auto"/>
              <w:jc w:val="left"/>
              <w:rPr>
                <w:rFonts w:ascii="Calibri" w:eastAsia="Calibri" w:hAnsi="Calibri"/>
                <w:lang w:val="en-GB" w:eastAsia="lt-LT"/>
              </w:rPr>
            </w:pPr>
          </w:p>
          <w:p w:rsidR="004C791E" w:rsidRPr="006813CC" w:rsidRDefault="004C791E" w:rsidP="004C791E">
            <w:pPr>
              <w:spacing w:line="240" w:lineRule="auto"/>
              <w:ind w:left="720"/>
              <w:jc w:val="left"/>
              <w:rPr>
                <w:lang w:val="en-GB" w:eastAsia="lt-LT"/>
              </w:rPr>
            </w:pPr>
          </w:p>
          <w:p w:rsidR="004C791E" w:rsidRPr="004A6BC4" w:rsidRDefault="004C791E" w:rsidP="00C36BB7">
            <w:pPr>
              <w:spacing w:line="240" w:lineRule="auto"/>
              <w:ind w:left="720"/>
              <w:jc w:val="left"/>
              <w:rPr>
                <w:lang w:val="en-GB" w:eastAsia="lt-LT"/>
              </w:rPr>
            </w:pPr>
          </w:p>
          <w:p w:rsidR="004C791E" w:rsidRPr="00822AC0" w:rsidRDefault="004C791E" w:rsidP="00C36BB7">
            <w:pPr>
              <w:rPr>
                <w:lang w:val="en-GB"/>
              </w:rPr>
            </w:pPr>
          </w:p>
        </w:tc>
        <w:tc>
          <w:tcPr>
            <w:tcW w:w="4670" w:type="dxa"/>
          </w:tcPr>
          <w:p w:rsidR="004C791E" w:rsidRDefault="004C791E" w:rsidP="00C36BB7">
            <w:pPr>
              <w:rPr>
                <w:b/>
                <w:bCs/>
                <w:lang w:val="en-GB"/>
              </w:rPr>
            </w:pPr>
          </w:p>
          <w:p w:rsidR="004C791E" w:rsidRDefault="004C791E" w:rsidP="00C36BB7">
            <w:pPr>
              <w:rPr>
                <w:b/>
                <w:bCs/>
                <w:lang w:val="en-GB"/>
              </w:rPr>
            </w:pPr>
          </w:p>
          <w:p w:rsidR="004C791E" w:rsidRPr="007A5400" w:rsidRDefault="007A5400" w:rsidP="00C36BB7">
            <w:pPr>
              <w:rPr>
                <w:lang w:val="en-GB"/>
              </w:rPr>
            </w:pPr>
            <w:r>
              <w:rPr>
                <w:lang w:val="en-GB"/>
              </w:rPr>
              <w:t>There is no provision for a site visit for this call for tender.</w:t>
            </w:r>
          </w:p>
          <w:p w:rsidR="004C791E" w:rsidRDefault="004C791E" w:rsidP="00C36BB7">
            <w:pPr>
              <w:rPr>
                <w:b/>
                <w:bCs/>
                <w:lang w:val="en-GB"/>
              </w:rPr>
            </w:pPr>
          </w:p>
          <w:p w:rsidR="004C791E" w:rsidRDefault="004C791E" w:rsidP="00C36BB7">
            <w:pPr>
              <w:rPr>
                <w:b/>
                <w:bCs/>
                <w:lang w:val="en-GB"/>
              </w:rPr>
            </w:pPr>
          </w:p>
          <w:p w:rsidR="004C791E" w:rsidRDefault="004C791E" w:rsidP="00C36BB7">
            <w:pPr>
              <w:rPr>
                <w:b/>
                <w:bCs/>
                <w:lang w:val="en-GB"/>
              </w:rPr>
            </w:pPr>
          </w:p>
          <w:p w:rsidR="004C791E" w:rsidRDefault="004C791E" w:rsidP="00C36BB7">
            <w:pPr>
              <w:rPr>
                <w:b/>
                <w:bCs/>
                <w:lang w:val="en-GB"/>
              </w:rPr>
            </w:pPr>
          </w:p>
          <w:p w:rsidR="004C791E" w:rsidRDefault="004C791E" w:rsidP="00C36BB7">
            <w:pPr>
              <w:rPr>
                <w:b/>
                <w:bCs/>
                <w:lang w:val="en-GB"/>
              </w:rPr>
            </w:pPr>
          </w:p>
          <w:p w:rsidR="004C791E" w:rsidRDefault="004C791E" w:rsidP="00C36BB7">
            <w:pPr>
              <w:rPr>
                <w:b/>
                <w:bCs/>
                <w:lang w:val="en-GB"/>
              </w:rPr>
            </w:pPr>
          </w:p>
          <w:p w:rsidR="004C791E" w:rsidRDefault="004C791E" w:rsidP="00C36BB7">
            <w:pPr>
              <w:rPr>
                <w:b/>
                <w:bCs/>
                <w:lang w:val="en-GB"/>
              </w:rPr>
            </w:pPr>
          </w:p>
          <w:p w:rsidR="004C791E" w:rsidRDefault="004C791E" w:rsidP="00C36BB7">
            <w:pPr>
              <w:rPr>
                <w:b/>
                <w:bCs/>
                <w:lang w:val="en-GB"/>
              </w:rPr>
            </w:pPr>
          </w:p>
          <w:p w:rsidR="004C791E" w:rsidRDefault="004C791E" w:rsidP="00C36BB7">
            <w:pPr>
              <w:rPr>
                <w:b/>
                <w:bCs/>
                <w:lang w:val="en-GB"/>
              </w:rPr>
            </w:pPr>
          </w:p>
          <w:p w:rsidR="004C791E" w:rsidRDefault="004C791E" w:rsidP="00C36BB7">
            <w:pPr>
              <w:rPr>
                <w:b/>
                <w:bCs/>
                <w:lang w:val="en-GB"/>
              </w:rPr>
            </w:pPr>
          </w:p>
          <w:p w:rsidR="004C791E" w:rsidRDefault="004C791E" w:rsidP="00C36BB7">
            <w:pPr>
              <w:rPr>
                <w:b/>
                <w:bCs/>
                <w:lang w:val="en-GB"/>
              </w:rPr>
            </w:pPr>
          </w:p>
          <w:p w:rsidR="004C791E" w:rsidRDefault="004C791E" w:rsidP="00C36BB7">
            <w:pPr>
              <w:rPr>
                <w:b/>
                <w:bCs/>
                <w:lang w:val="en-GB"/>
              </w:rPr>
            </w:pPr>
          </w:p>
          <w:p w:rsidR="004C791E" w:rsidRDefault="004C791E" w:rsidP="00C36BB7">
            <w:pPr>
              <w:rPr>
                <w:b/>
                <w:bCs/>
                <w:lang w:val="en-GB"/>
              </w:rPr>
            </w:pPr>
          </w:p>
          <w:p w:rsidR="004C791E" w:rsidRDefault="004C791E" w:rsidP="00C36BB7">
            <w:pPr>
              <w:rPr>
                <w:b/>
                <w:bCs/>
                <w:lang w:val="en-GB"/>
              </w:rPr>
            </w:pPr>
          </w:p>
          <w:p w:rsidR="004C791E" w:rsidRDefault="004C791E" w:rsidP="00C36BB7">
            <w:pPr>
              <w:rPr>
                <w:b/>
                <w:bCs/>
                <w:lang w:val="en-GB"/>
              </w:rPr>
            </w:pPr>
          </w:p>
          <w:p w:rsidR="004C791E" w:rsidRDefault="004C791E" w:rsidP="00C36BB7">
            <w:pPr>
              <w:rPr>
                <w:b/>
                <w:bCs/>
                <w:lang w:val="en-GB"/>
              </w:rPr>
            </w:pPr>
          </w:p>
          <w:p w:rsidR="004C791E" w:rsidRDefault="004C791E" w:rsidP="00C36BB7">
            <w:pPr>
              <w:keepLines/>
              <w:rPr>
                <w:lang w:val="en-GB"/>
              </w:rPr>
            </w:pPr>
          </w:p>
          <w:p w:rsidR="004C791E" w:rsidRPr="00822AC0" w:rsidRDefault="004C791E" w:rsidP="00C36BB7">
            <w:pPr>
              <w:rPr>
                <w:lang w:val="en-GB"/>
              </w:rPr>
            </w:pPr>
          </w:p>
        </w:tc>
      </w:tr>
      <w:tr w:rsidR="00E5593D" w:rsidRPr="00822AC0" w:rsidTr="00C36BB7">
        <w:trPr>
          <w:trHeight w:val="1029"/>
        </w:trPr>
        <w:tc>
          <w:tcPr>
            <w:tcW w:w="4670" w:type="dxa"/>
          </w:tcPr>
          <w:p w:rsidR="00E5593D" w:rsidRPr="00E5593D" w:rsidRDefault="005C51B0" w:rsidP="004C791E">
            <w:pPr>
              <w:rPr>
                <w:b/>
                <w:lang w:val="en-GB"/>
              </w:rPr>
            </w:pPr>
            <w:r>
              <w:rPr>
                <w:b/>
                <w:lang w:val="en-GB"/>
              </w:rPr>
              <w:t>3 Received on 09</w:t>
            </w:r>
            <w:r w:rsidR="00E5593D">
              <w:rPr>
                <w:b/>
                <w:lang w:val="en-GB"/>
              </w:rPr>
              <w:t>/02/2017</w:t>
            </w:r>
          </w:p>
        </w:tc>
        <w:tc>
          <w:tcPr>
            <w:tcW w:w="4670" w:type="dxa"/>
          </w:tcPr>
          <w:p w:rsidR="00E5593D" w:rsidRDefault="00E5593D" w:rsidP="00E5593D">
            <w:pPr>
              <w:rPr>
                <w:bCs/>
                <w:lang w:val="en-GB"/>
              </w:rPr>
            </w:pPr>
            <w:r>
              <w:rPr>
                <w:bCs/>
                <w:lang w:val="en-GB"/>
              </w:rPr>
              <w:t xml:space="preserve">We would ask you to clarify point "3.2.4 </w:t>
            </w:r>
            <w:r w:rsidRPr="00E5593D">
              <w:rPr>
                <w:bCs/>
                <w:lang w:val="en-GB"/>
              </w:rPr>
              <w:t>Technical and professional capacity criteria and evidence</w:t>
            </w:r>
            <w:r>
              <w:rPr>
                <w:bCs/>
                <w:lang w:val="en-GB"/>
              </w:rPr>
              <w:t>", "A. Criteria relating to tenderers".</w:t>
            </w:r>
          </w:p>
          <w:p w:rsidR="00E5593D" w:rsidRDefault="00E5593D" w:rsidP="00E5593D">
            <w:pPr>
              <w:rPr>
                <w:bCs/>
                <w:lang w:val="en-GB"/>
              </w:rPr>
            </w:pPr>
          </w:p>
          <w:p w:rsidR="00E5593D" w:rsidRDefault="00E5593D" w:rsidP="00E5593D">
            <w:pPr>
              <w:rPr>
                <w:bCs/>
                <w:lang w:val="en-GB"/>
              </w:rPr>
            </w:pPr>
            <w:r>
              <w:rPr>
                <w:bCs/>
                <w:lang w:val="en-GB"/>
              </w:rPr>
              <w:t>It is stated that for criteria A1 and A2 the following evidence is to be provided:</w:t>
            </w:r>
          </w:p>
          <w:p w:rsidR="00E5593D" w:rsidRDefault="00E5593D" w:rsidP="00E5593D">
            <w:pPr>
              <w:pStyle w:val="ListParagraph"/>
              <w:numPr>
                <w:ilvl w:val="0"/>
                <w:numId w:val="6"/>
              </w:numPr>
              <w:rPr>
                <w:bCs/>
                <w:lang w:val="en-GB"/>
              </w:rPr>
            </w:pPr>
            <w:r w:rsidRPr="00E5593D">
              <w:rPr>
                <w:bCs/>
                <w:lang w:val="en-GB"/>
              </w:rPr>
              <w:t xml:space="preserve">tenderers must provide references and </w:t>
            </w:r>
            <w:r w:rsidRPr="00E5593D">
              <w:rPr>
                <w:bCs/>
                <w:lang w:val="en-GB"/>
              </w:rPr>
              <w:lastRenderedPageBreak/>
              <w:t>declarations of satisfaction from their clients for three projects delivered in these fields in the last two years and completed at the time of submission with a minimum value for each project of EUR 15 000.</w:t>
            </w:r>
          </w:p>
          <w:p w:rsidR="00E5593D" w:rsidRDefault="00E5593D" w:rsidP="00E5593D">
            <w:pPr>
              <w:pStyle w:val="ListParagraph"/>
              <w:numPr>
                <w:ilvl w:val="0"/>
                <w:numId w:val="6"/>
              </w:numPr>
              <w:rPr>
                <w:bCs/>
                <w:lang w:val="en-GB"/>
              </w:rPr>
            </w:pPr>
            <w:r w:rsidRPr="00E5593D">
              <w:rPr>
                <w:bCs/>
                <w:lang w:val="en-GB"/>
              </w:rPr>
              <w:t>Tenderers must provide</w:t>
            </w:r>
            <w:r w:rsidRPr="00E5593D">
              <w:rPr>
                <w:b/>
                <w:bCs/>
                <w:lang w:val="en-GB"/>
              </w:rPr>
              <w:t xml:space="preserve"> </w:t>
            </w:r>
            <w:r w:rsidRPr="00E5593D">
              <w:rPr>
                <w:bCs/>
                <w:lang w:val="en-GB"/>
              </w:rPr>
              <w:t>a minimum of 10 samples</w:t>
            </w:r>
            <w:r w:rsidRPr="00E5593D">
              <w:rPr>
                <w:b/>
                <w:bCs/>
                <w:lang w:val="en-GB"/>
              </w:rPr>
              <w:t xml:space="preserve"> </w:t>
            </w:r>
            <w:r w:rsidRPr="00E5593D">
              <w:rPr>
                <w:bCs/>
                <w:lang w:val="en-GB"/>
              </w:rPr>
              <w:t>of</w:t>
            </w:r>
            <w:r w:rsidRPr="00E5593D">
              <w:rPr>
                <w:b/>
                <w:bCs/>
                <w:lang w:val="en-GB"/>
              </w:rPr>
              <w:t xml:space="preserve"> </w:t>
            </w:r>
            <w:r w:rsidRPr="00E5593D">
              <w:rPr>
                <w:bCs/>
                <w:lang w:val="en-GB"/>
              </w:rPr>
              <w:t>microfiches</w:t>
            </w:r>
            <w:r w:rsidRPr="00E5593D">
              <w:rPr>
                <w:b/>
                <w:bCs/>
                <w:lang w:val="en-GB"/>
              </w:rPr>
              <w:t xml:space="preserve"> </w:t>
            </w:r>
            <w:r w:rsidRPr="00E5593D">
              <w:rPr>
                <w:bCs/>
                <w:lang w:val="en-GB"/>
              </w:rPr>
              <w:t>and</w:t>
            </w:r>
            <w:r w:rsidRPr="00E5593D">
              <w:rPr>
                <w:b/>
                <w:bCs/>
                <w:lang w:val="en-GB"/>
              </w:rPr>
              <w:t xml:space="preserve"> </w:t>
            </w:r>
            <w:r w:rsidRPr="00E5593D">
              <w:rPr>
                <w:bCs/>
                <w:lang w:val="en-GB"/>
              </w:rPr>
              <w:t>10 samples of digitised files from the completed projects mentioned in evidence A1 above.</w:t>
            </w:r>
          </w:p>
          <w:p w:rsidR="00E5593D" w:rsidRDefault="00E5593D" w:rsidP="00E5593D">
            <w:pPr>
              <w:rPr>
                <w:bCs/>
                <w:lang w:val="en-GB"/>
              </w:rPr>
            </w:pPr>
          </w:p>
          <w:p w:rsidR="00E5593D" w:rsidRDefault="00E5593D" w:rsidP="00E5593D">
            <w:pPr>
              <w:rPr>
                <w:bCs/>
                <w:lang w:val="en-GB"/>
              </w:rPr>
            </w:pPr>
            <w:r>
              <w:rPr>
                <w:bCs/>
                <w:lang w:val="en-GB"/>
              </w:rPr>
              <w:t xml:space="preserve">As we have signed </w:t>
            </w:r>
            <w:r w:rsidR="005C51B0">
              <w:rPr>
                <w:bCs/>
                <w:lang w:val="en-GB"/>
              </w:rPr>
              <w:t xml:space="preserve">non-disclosure </w:t>
            </w:r>
            <w:r>
              <w:rPr>
                <w:bCs/>
                <w:lang w:val="en-GB"/>
              </w:rPr>
              <w:t xml:space="preserve">agreements with our clients, </w:t>
            </w:r>
            <w:r w:rsidR="0052746E">
              <w:rPr>
                <w:bCs/>
                <w:lang w:val="en-GB"/>
              </w:rPr>
              <w:t xml:space="preserve">in some cases </w:t>
            </w:r>
            <w:r>
              <w:rPr>
                <w:bCs/>
                <w:lang w:val="en-GB"/>
              </w:rPr>
              <w:t xml:space="preserve">we are not able to provide </w:t>
            </w:r>
            <w:r w:rsidR="005C51B0">
              <w:rPr>
                <w:bCs/>
                <w:lang w:val="en-GB"/>
              </w:rPr>
              <w:t xml:space="preserve">our </w:t>
            </w:r>
            <w:r>
              <w:rPr>
                <w:bCs/>
                <w:lang w:val="en-GB"/>
              </w:rPr>
              <w:t>client</w:t>
            </w:r>
            <w:r w:rsidR="005C51B0">
              <w:rPr>
                <w:bCs/>
                <w:lang w:val="en-GB"/>
              </w:rPr>
              <w:t>s'</w:t>
            </w:r>
            <w:r>
              <w:rPr>
                <w:bCs/>
                <w:lang w:val="en-GB"/>
              </w:rPr>
              <w:t xml:space="preserve"> details and samples of the work that has been carried out (this data is often confidential).</w:t>
            </w:r>
          </w:p>
          <w:p w:rsidR="00E5593D" w:rsidRDefault="00E5593D" w:rsidP="00E5593D">
            <w:pPr>
              <w:rPr>
                <w:bCs/>
                <w:lang w:val="en-GB"/>
              </w:rPr>
            </w:pPr>
          </w:p>
          <w:p w:rsidR="00E5593D" w:rsidRDefault="00E5593D" w:rsidP="00E5593D">
            <w:pPr>
              <w:rPr>
                <w:bCs/>
                <w:lang w:val="en-GB"/>
              </w:rPr>
            </w:pPr>
            <w:r>
              <w:rPr>
                <w:bCs/>
                <w:lang w:val="en-GB"/>
              </w:rPr>
              <w:t>Question:</w:t>
            </w:r>
          </w:p>
          <w:p w:rsidR="00E5593D" w:rsidRDefault="00977E3E" w:rsidP="00E5593D">
            <w:pPr>
              <w:rPr>
                <w:bCs/>
                <w:lang w:val="en-GB"/>
              </w:rPr>
            </w:pPr>
            <w:r>
              <w:rPr>
                <w:bCs/>
                <w:lang w:val="en-GB"/>
              </w:rPr>
              <w:t>1. Can you confirm that it is not obligatory to provide evidence at the time of submission?</w:t>
            </w:r>
          </w:p>
          <w:p w:rsidR="005C51B0" w:rsidRDefault="005C51B0" w:rsidP="00E5593D">
            <w:pPr>
              <w:rPr>
                <w:bCs/>
                <w:lang w:val="en-GB"/>
              </w:rPr>
            </w:pPr>
          </w:p>
          <w:p w:rsidR="005C51B0" w:rsidRDefault="005C51B0" w:rsidP="00E5593D">
            <w:pPr>
              <w:rPr>
                <w:bCs/>
                <w:lang w:val="en-GB"/>
              </w:rPr>
            </w:pPr>
          </w:p>
          <w:p w:rsidR="005C51B0" w:rsidRDefault="005C51B0" w:rsidP="00E5593D">
            <w:pPr>
              <w:rPr>
                <w:bCs/>
                <w:lang w:val="en-GB"/>
              </w:rPr>
            </w:pPr>
          </w:p>
          <w:p w:rsidR="00977E3E" w:rsidRPr="00E5593D" w:rsidRDefault="00977E3E" w:rsidP="00E5593D">
            <w:pPr>
              <w:rPr>
                <w:bCs/>
                <w:lang w:val="en-GB"/>
              </w:rPr>
            </w:pPr>
            <w:r>
              <w:rPr>
                <w:bCs/>
                <w:lang w:val="en-GB"/>
              </w:rPr>
              <w:t xml:space="preserve">2. Could a declaration of satisfaction be replaced by a declaration of honour? </w:t>
            </w:r>
          </w:p>
          <w:p w:rsidR="00E5593D" w:rsidRDefault="00E5593D" w:rsidP="00E5593D">
            <w:pPr>
              <w:rPr>
                <w:bCs/>
                <w:lang w:val="en-GB"/>
              </w:rPr>
            </w:pPr>
          </w:p>
          <w:p w:rsidR="00E5593D" w:rsidRPr="00E5593D" w:rsidRDefault="00E5593D" w:rsidP="00E5593D">
            <w:pPr>
              <w:rPr>
                <w:bCs/>
                <w:lang w:val="en-GB"/>
              </w:rPr>
            </w:pPr>
          </w:p>
        </w:tc>
        <w:tc>
          <w:tcPr>
            <w:tcW w:w="4670" w:type="dxa"/>
          </w:tcPr>
          <w:p w:rsidR="00E5593D" w:rsidRDefault="00E5593D"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Cs/>
                <w:lang w:val="en-GB"/>
              </w:rPr>
            </w:pPr>
            <w:r w:rsidRPr="005C51B0">
              <w:rPr>
                <w:bCs/>
                <w:lang w:val="en-GB"/>
              </w:rPr>
              <w:t xml:space="preserve">1. </w:t>
            </w:r>
            <w:r>
              <w:rPr>
                <w:bCs/>
                <w:lang w:val="en-GB"/>
              </w:rPr>
              <w:t>It is not obligatory to provide evidence at the time of submission. However, tenderers admitted to the following stage of the selection procedure will have to provide evidence on request.</w:t>
            </w:r>
          </w:p>
          <w:p w:rsidR="005C51B0" w:rsidRDefault="005C51B0" w:rsidP="00C36BB7">
            <w:pPr>
              <w:rPr>
                <w:bCs/>
                <w:lang w:val="en-GB"/>
              </w:rPr>
            </w:pPr>
          </w:p>
          <w:p w:rsidR="005C51B0" w:rsidRPr="005C51B0" w:rsidRDefault="005C51B0" w:rsidP="00C36BB7">
            <w:pPr>
              <w:rPr>
                <w:bCs/>
                <w:lang w:val="en-GB"/>
              </w:rPr>
            </w:pPr>
            <w:r>
              <w:rPr>
                <w:bCs/>
                <w:lang w:val="en-GB"/>
              </w:rPr>
              <w:t>2. The declaration of satisfaction cannot be replaced by a declaration of honour.</w:t>
            </w: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p w:rsidR="005C51B0" w:rsidRDefault="005C51B0" w:rsidP="00C36BB7">
            <w:pPr>
              <w:rPr>
                <w:b/>
                <w:bCs/>
                <w:lang w:val="en-GB"/>
              </w:rPr>
            </w:pPr>
          </w:p>
        </w:tc>
      </w:tr>
      <w:tr w:rsidR="00D32E2F" w:rsidRPr="00822AC0" w:rsidTr="00C36BB7">
        <w:trPr>
          <w:trHeight w:val="1029"/>
        </w:trPr>
        <w:tc>
          <w:tcPr>
            <w:tcW w:w="4670" w:type="dxa"/>
          </w:tcPr>
          <w:p w:rsidR="00D32E2F" w:rsidRDefault="00D32E2F" w:rsidP="004C791E">
            <w:pPr>
              <w:rPr>
                <w:b/>
                <w:lang w:val="en-GB"/>
              </w:rPr>
            </w:pPr>
            <w:r>
              <w:rPr>
                <w:b/>
                <w:lang w:val="en-GB"/>
              </w:rPr>
              <w:lastRenderedPageBreak/>
              <w:t>4 Received on 10</w:t>
            </w:r>
            <w:r w:rsidRPr="00D32E2F">
              <w:rPr>
                <w:b/>
                <w:lang w:val="en-GB"/>
              </w:rPr>
              <w:t>/02/2017</w:t>
            </w:r>
          </w:p>
        </w:tc>
        <w:tc>
          <w:tcPr>
            <w:tcW w:w="4670" w:type="dxa"/>
          </w:tcPr>
          <w:p w:rsidR="0021087C" w:rsidRPr="0021087C" w:rsidRDefault="0021087C" w:rsidP="0021087C">
            <w:pPr>
              <w:rPr>
                <w:bCs/>
                <w:lang w:val="en-GB" w:bidi="en-GB"/>
              </w:rPr>
            </w:pPr>
            <w:r>
              <w:rPr>
                <w:bCs/>
                <w:lang w:val="en-GB" w:bidi="en-GB"/>
              </w:rPr>
              <w:t xml:space="preserve">1. </w:t>
            </w:r>
            <w:r w:rsidRPr="0021087C">
              <w:rPr>
                <w:bCs/>
                <w:lang w:val="en-GB" w:bidi="en-GB"/>
              </w:rPr>
              <w:t>We have not found tender regulations in the documents provided for this call for tenders but we have understood that part of the specifications sets out the order and t</w:t>
            </w:r>
            <w:r w:rsidR="00E22CB0">
              <w:rPr>
                <w:bCs/>
                <w:lang w:val="en-GB" w:bidi="en-GB"/>
              </w:rPr>
              <w:t>he documents expected in the offer</w:t>
            </w:r>
            <w:r w:rsidRPr="0021087C">
              <w:rPr>
                <w:bCs/>
                <w:lang w:val="en-GB" w:bidi="en-GB"/>
              </w:rPr>
              <w:t>:</w:t>
            </w:r>
          </w:p>
          <w:p w:rsidR="0021087C" w:rsidRPr="0021087C" w:rsidRDefault="0021087C" w:rsidP="0021087C">
            <w:pPr>
              <w:rPr>
                <w:bCs/>
                <w:lang w:val="en-GB" w:bidi="en-GB"/>
              </w:rPr>
            </w:pPr>
          </w:p>
          <w:p w:rsidR="0021087C" w:rsidRPr="0021087C" w:rsidRDefault="00E22CB0" w:rsidP="0021087C">
            <w:pPr>
              <w:numPr>
                <w:ilvl w:val="0"/>
                <w:numId w:val="7"/>
              </w:numPr>
              <w:rPr>
                <w:bCs/>
                <w:lang w:val="en-GB" w:bidi="en-GB"/>
              </w:rPr>
            </w:pPr>
            <w:r>
              <w:rPr>
                <w:bCs/>
                <w:lang w:val="en-GB" w:bidi="en-GB"/>
              </w:rPr>
              <w:t>Technical offer</w:t>
            </w:r>
            <w:r w:rsidR="0021087C" w:rsidRPr="0021087C">
              <w:rPr>
                <w:bCs/>
                <w:lang w:val="en-GB" w:bidi="en-GB"/>
              </w:rPr>
              <w:t>: parts A, B, C, D (one envelope)</w:t>
            </w:r>
          </w:p>
          <w:p w:rsidR="0021087C" w:rsidRPr="0021087C" w:rsidRDefault="00E22CB0" w:rsidP="0021087C">
            <w:pPr>
              <w:numPr>
                <w:ilvl w:val="0"/>
                <w:numId w:val="7"/>
              </w:numPr>
              <w:rPr>
                <w:bCs/>
                <w:lang w:val="en-GB" w:bidi="en-GB"/>
              </w:rPr>
            </w:pPr>
            <w:r>
              <w:rPr>
                <w:bCs/>
                <w:lang w:val="en-GB" w:bidi="en-GB"/>
              </w:rPr>
              <w:t>Financial offer</w:t>
            </w:r>
            <w:r w:rsidR="0021087C" w:rsidRPr="0021087C">
              <w:rPr>
                <w:bCs/>
                <w:lang w:val="en-GB" w:bidi="en-GB"/>
              </w:rPr>
              <w:t>: part E (one envelope)</w:t>
            </w:r>
          </w:p>
          <w:p w:rsidR="0021087C" w:rsidRPr="0021087C" w:rsidRDefault="0021087C" w:rsidP="0021087C">
            <w:pPr>
              <w:rPr>
                <w:bCs/>
                <w:lang w:val="en-GB" w:bidi="en-GB"/>
              </w:rPr>
            </w:pPr>
          </w:p>
          <w:p w:rsidR="00D32E2F" w:rsidRDefault="00D32E2F" w:rsidP="00E5593D">
            <w:pPr>
              <w:rPr>
                <w:bCs/>
                <w:lang w:val="en-GB"/>
              </w:rPr>
            </w:pPr>
          </w:p>
        </w:tc>
        <w:tc>
          <w:tcPr>
            <w:tcW w:w="4670" w:type="dxa"/>
          </w:tcPr>
          <w:p w:rsidR="00FC2119" w:rsidRDefault="00FC2119" w:rsidP="00C36BB7">
            <w:pPr>
              <w:rPr>
                <w:bCs/>
              </w:rPr>
            </w:pPr>
            <w:r>
              <w:t>1. You are right. We would like to remind you that t</w:t>
            </w:r>
            <w:r w:rsidRPr="00AB63FF">
              <w:t>enderers shall present their financial of</w:t>
            </w:r>
            <w:r>
              <w:t xml:space="preserve">fer using the price table provided in Annex 1 of the Tender Specifications. </w:t>
            </w:r>
            <w:r w:rsidRPr="00AB63FF">
              <w:rPr>
                <w:bCs/>
              </w:rPr>
              <w:t xml:space="preserve">The price table shall be </w:t>
            </w:r>
            <w:r>
              <w:rPr>
                <w:bCs/>
              </w:rPr>
              <w:t xml:space="preserve">duly dated and </w:t>
            </w:r>
            <w:r w:rsidRPr="00AB63FF">
              <w:rPr>
                <w:bCs/>
              </w:rPr>
              <w:t>signed by a</w:t>
            </w:r>
            <w:r>
              <w:rPr>
                <w:bCs/>
              </w:rPr>
              <w:t>n</w:t>
            </w:r>
            <w:r w:rsidRPr="00AB63FF">
              <w:rPr>
                <w:bCs/>
              </w:rPr>
              <w:t xml:space="preserve"> </w:t>
            </w:r>
            <w:r w:rsidR="00E22CB0">
              <w:rPr>
                <w:bCs/>
              </w:rPr>
              <w:t>authoriz</w:t>
            </w:r>
            <w:r w:rsidR="00E22CB0" w:rsidRPr="00AB63FF">
              <w:rPr>
                <w:bCs/>
              </w:rPr>
              <w:t>ed</w:t>
            </w:r>
            <w:r w:rsidRPr="00AB63FF">
              <w:rPr>
                <w:bCs/>
              </w:rPr>
              <w:t xml:space="preserve"> representative of the tenderer.</w:t>
            </w:r>
          </w:p>
          <w:p w:rsidR="00FC2119" w:rsidRDefault="00FC2119" w:rsidP="00C36BB7">
            <w:pPr>
              <w:rPr>
                <w:bCs/>
              </w:rPr>
            </w:pPr>
          </w:p>
          <w:p w:rsidR="007C64EF" w:rsidRPr="007C64EF" w:rsidRDefault="007C64EF" w:rsidP="007C64EF">
            <w:pPr>
              <w:rPr>
                <w:bCs/>
                <w:lang w:val="en-GB"/>
              </w:rPr>
            </w:pPr>
            <w:r>
              <w:rPr>
                <w:bCs/>
                <w:lang w:val="en-GB"/>
              </w:rPr>
              <w:t xml:space="preserve">Please also read the following provisions included in the invitation letter </w:t>
            </w:r>
            <w:r w:rsidRPr="007C64EF">
              <w:rPr>
                <w:bCs/>
                <w:lang w:val="en-GB"/>
              </w:rPr>
              <w:t xml:space="preserve">published on our website </w:t>
            </w:r>
          </w:p>
          <w:p w:rsidR="007C64EF" w:rsidRPr="007C64EF" w:rsidRDefault="00813AE8" w:rsidP="007C64EF">
            <w:pPr>
              <w:rPr>
                <w:bCs/>
                <w:lang w:val="en-GB"/>
              </w:rPr>
            </w:pPr>
            <w:hyperlink r:id="rId6" w:history="1">
              <w:r w:rsidR="007C64EF" w:rsidRPr="007C64EF">
                <w:rPr>
                  <w:rStyle w:val="Hyperlink"/>
                  <w:bCs/>
                  <w:lang w:val="en-GB"/>
                </w:rPr>
                <w:t>http://www.eesc.europa.eu/?i=portal.en.running-calls-for-tenders-digitisation-historical-archives</w:t>
              </w:r>
            </w:hyperlink>
            <w:r w:rsidR="007C64EF">
              <w:rPr>
                <w:bCs/>
                <w:lang w:val="en-GB"/>
              </w:rPr>
              <w:t>:</w:t>
            </w:r>
          </w:p>
          <w:p w:rsidR="007C64EF" w:rsidRPr="007C64EF" w:rsidRDefault="007C64EF" w:rsidP="007C64EF">
            <w:pPr>
              <w:rPr>
                <w:bCs/>
                <w:lang w:val="en-GB"/>
              </w:rPr>
            </w:pPr>
          </w:p>
          <w:p w:rsidR="007C64EF" w:rsidRPr="007C64EF" w:rsidRDefault="007C64EF" w:rsidP="007C64EF">
            <w:pPr>
              <w:rPr>
                <w:bCs/>
                <w:lang w:val="en-GB"/>
              </w:rPr>
            </w:pPr>
            <w:r w:rsidRPr="007C64EF">
              <w:rPr>
                <w:bCs/>
                <w:lang w:val="en-GB"/>
              </w:rPr>
              <w:t>If you are interested in this contract, you should submit a tender in one of the official languages of the European Union.</w:t>
            </w:r>
          </w:p>
          <w:p w:rsidR="007C64EF" w:rsidRPr="007C64EF" w:rsidRDefault="007C64EF" w:rsidP="007C64EF">
            <w:pPr>
              <w:rPr>
                <w:b/>
                <w:bCs/>
                <w:lang w:val="en-GB"/>
              </w:rPr>
            </w:pPr>
          </w:p>
          <w:p w:rsidR="007C64EF" w:rsidRPr="007C64EF" w:rsidRDefault="007C64EF" w:rsidP="007C64EF">
            <w:pPr>
              <w:rPr>
                <w:bCs/>
                <w:lang w:val="en-GB"/>
              </w:rPr>
            </w:pPr>
            <w:r w:rsidRPr="007C64EF">
              <w:rPr>
                <w:bCs/>
                <w:lang w:val="en-GB"/>
              </w:rPr>
              <w:t xml:space="preserve">The tender must be placed inside two closed envelopes addressed as indicated below. The inner envelope should be marked as follows: "CALL FOR TENDERS – NOT TO BE OPENED BY THE INTERNAL MAIL DEPARTMENT". </w:t>
            </w:r>
          </w:p>
          <w:p w:rsidR="007C64EF" w:rsidRPr="007C64EF" w:rsidRDefault="007C64EF" w:rsidP="007C64EF">
            <w:pPr>
              <w:rPr>
                <w:bCs/>
                <w:lang w:val="en-GB"/>
              </w:rPr>
            </w:pPr>
          </w:p>
          <w:p w:rsidR="007C64EF" w:rsidRPr="007C64EF" w:rsidRDefault="007C64EF" w:rsidP="007C64EF">
            <w:pPr>
              <w:rPr>
                <w:bCs/>
                <w:lang w:val="en-GB"/>
              </w:rPr>
            </w:pPr>
            <w:r w:rsidRPr="007C64EF">
              <w:rPr>
                <w:bCs/>
                <w:lang w:val="en-GB"/>
              </w:rPr>
              <w:t>The inner envelope must also contain two closed envelopes, one containing the technical tender and the other the financial tender. Each of these envelopes must clearly indicate the content ("Technical" and "Financial").</w:t>
            </w:r>
          </w:p>
          <w:p w:rsidR="00FC2119" w:rsidRDefault="00FC2119" w:rsidP="00C36BB7">
            <w:pPr>
              <w:rPr>
                <w:bCs/>
              </w:rPr>
            </w:pPr>
          </w:p>
          <w:p w:rsidR="00FC2119" w:rsidRPr="00FC2119" w:rsidRDefault="00FC2119" w:rsidP="00C36BB7">
            <w:pPr>
              <w:rPr>
                <w:bCs/>
                <w:lang w:val="en-GB"/>
              </w:rPr>
            </w:pPr>
          </w:p>
        </w:tc>
      </w:tr>
      <w:tr w:rsidR="0021087C" w:rsidRPr="00822AC0" w:rsidTr="00C36BB7">
        <w:trPr>
          <w:trHeight w:val="1029"/>
        </w:trPr>
        <w:tc>
          <w:tcPr>
            <w:tcW w:w="4670" w:type="dxa"/>
          </w:tcPr>
          <w:p w:rsidR="0021087C" w:rsidRDefault="0021087C" w:rsidP="004C791E">
            <w:pPr>
              <w:rPr>
                <w:b/>
                <w:lang w:val="en-GB"/>
              </w:rPr>
            </w:pPr>
          </w:p>
        </w:tc>
        <w:tc>
          <w:tcPr>
            <w:tcW w:w="4670" w:type="dxa"/>
          </w:tcPr>
          <w:p w:rsidR="0021087C" w:rsidRPr="0021087C" w:rsidRDefault="0021087C" w:rsidP="0021087C">
            <w:pPr>
              <w:rPr>
                <w:bCs/>
                <w:lang w:val="en-GB" w:bidi="en-GB"/>
              </w:rPr>
            </w:pPr>
            <w:r>
              <w:rPr>
                <w:bCs/>
                <w:lang w:val="en-GB" w:bidi="en-GB"/>
              </w:rPr>
              <w:t xml:space="preserve">2. </w:t>
            </w:r>
            <w:r w:rsidRPr="0021087C">
              <w:rPr>
                <w:bCs/>
                <w:lang w:val="en-GB" w:bidi="en-GB"/>
              </w:rPr>
              <w:t>I would just like to obtain confirmation from you that the documents provided, relating to the framework contract:</w:t>
            </w:r>
          </w:p>
          <w:p w:rsidR="0021087C" w:rsidRPr="0021087C" w:rsidRDefault="0021087C" w:rsidP="0021087C">
            <w:pPr>
              <w:rPr>
                <w:bCs/>
                <w:lang w:val="en-GB" w:bidi="en-GB"/>
              </w:rPr>
            </w:pPr>
          </w:p>
          <w:p w:rsidR="0021087C" w:rsidRPr="0021087C" w:rsidRDefault="0021087C" w:rsidP="0021087C">
            <w:pPr>
              <w:numPr>
                <w:ilvl w:val="0"/>
                <w:numId w:val="8"/>
              </w:numPr>
              <w:rPr>
                <w:bCs/>
                <w:lang w:val="en-GB" w:bidi="en-GB"/>
              </w:rPr>
            </w:pPr>
            <w:r w:rsidRPr="0021087C">
              <w:rPr>
                <w:bCs/>
                <w:lang w:val="en-GB" w:bidi="en-GB"/>
              </w:rPr>
              <w:t>framework-contract-eesc-da-gref-01-2017-en</w:t>
            </w:r>
          </w:p>
          <w:p w:rsidR="0021087C" w:rsidRPr="0021087C" w:rsidRDefault="0021087C" w:rsidP="0021087C">
            <w:pPr>
              <w:numPr>
                <w:ilvl w:val="0"/>
                <w:numId w:val="8"/>
              </w:numPr>
              <w:rPr>
                <w:bCs/>
                <w:lang w:val="en-GB" w:bidi="en-GB"/>
              </w:rPr>
            </w:pPr>
            <w:r w:rsidRPr="0021087C">
              <w:rPr>
                <w:bCs/>
                <w:lang w:val="en-GB" w:bidi="en-GB"/>
              </w:rPr>
              <w:t>framework-contract---annex-1---tender-specifications (blank)</w:t>
            </w:r>
          </w:p>
          <w:p w:rsidR="0021087C" w:rsidRPr="0021087C" w:rsidRDefault="0021087C" w:rsidP="0021087C">
            <w:pPr>
              <w:numPr>
                <w:ilvl w:val="0"/>
                <w:numId w:val="8"/>
              </w:numPr>
              <w:rPr>
                <w:bCs/>
                <w:lang w:val="en-GB" w:bidi="en-GB"/>
              </w:rPr>
            </w:pPr>
            <w:r w:rsidRPr="0021087C">
              <w:rPr>
                <w:bCs/>
                <w:lang w:val="en-GB" w:bidi="en-GB"/>
              </w:rPr>
              <w:t>framework-contract---annex-2---contractors-tender</w:t>
            </w:r>
          </w:p>
          <w:p w:rsidR="0021087C" w:rsidRPr="0021087C" w:rsidRDefault="0021087C" w:rsidP="0021087C">
            <w:pPr>
              <w:numPr>
                <w:ilvl w:val="0"/>
                <w:numId w:val="8"/>
              </w:numPr>
              <w:rPr>
                <w:bCs/>
                <w:lang w:val="en-GB" w:bidi="en-GB"/>
              </w:rPr>
            </w:pPr>
            <w:r w:rsidRPr="0021087C">
              <w:rPr>
                <w:bCs/>
                <w:lang w:val="en-GB" w:bidi="en-GB"/>
              </w:rPr>
              <w:t>framework-contract---annex-3---model-for-specific-contracts-and-order-forms</w:t>
            </w:r>
          </w:p>
          <w:p w:rsidR="0021087C" w:rsidRPr="0021087C" w:rsidRDefault="0021087C" w:rsidP="0021087C">
            <w:pPr>
              <w:numPr>
                <w:ilvl w:val="0"/>
                <w:numId w:val="8"/>
              </w:numPr>
              <w:rPr>
                <w:bCs/>
                <w:lang w:val="en-GB" w:bidi="en-GB"/>
              </w:rPr>
            </w:pPr>
            <w:r w:rsidRPr="0021087C">
              <w:rPr>
                <w:bCs/>
                <w:lang w:val="en-GB" w:bidi="en-GB"/>
              </w:rPr>
              <w:t>framework-contract---annex-4---declaration-on-the-list-of-pre-existing-rights</w:t>
            </w:r>
          </w:p>
          <w:p w:rsidR="0021087C" w:rsidRPr="0021087C" w:rsidRDefault="0021087C" w:rsidP="0021087C">
            <w:pPr>
              <w:rPr>
                <w:bCs/>
                <w:lang w:val="en-GB" w:bidi="en-GB"/>
              </w:rPr>
            </w:pPr>
          </w:p>
          <w:p w:rsidR="0021087C" w:rsidRPr="0021087C" w:rsidRDefault="0021087C" w:rsidP="0021087C">
            <w:pPr>
              <w:rPr>
                <w:bCs/>
                <w:lang w:val="en-GB" w:bidi="en-GB"/>
              </w:rPr>
            </w:pPr>
            <w:proofErr w:type="gramStart"/>
            <w:r w:rsidRPr="0021087C">
              <w:rPr>
                <w:bCs/>
                <w:lang w:val="en-GB" w:bidi="en-GB"/>
              </w:rPr>
              <w:t>are</w:t>
            </w:r>
            <w:proofErr w:type="gramEnd"/>
            <w:r w:rsidRPr="0021087C">
              <w:rPr>
                <w:bCs/>
                <w:lang w:val="en-GB" w:bidi="en-GB"/>
              </w:rPr>
              <w:t xml:space="preserve"> the templates which will be taken over and included in the final framework contract and that, at this stage, we are not required to complete them a</w:t>
            </w:r>
            <w:r w:rsidR="00E22CB0">
              <w:rPr>
                <w:bCs/>
                <w:lang w:val="en-GB" w:bidi="en-GB"/>
              </w:rPr>
              <w:t>nd return them to you in our offer</w:t>
            </w:r>
            <w:r w:rsidRPr="0021087C">
              <w:rPr>
                <w:bCs/>
                <w:lang w:val="en-GB" w:bidi="en-GB"/>
              </w:rPr>
              <w:t xml:space="preserve"> (technical and financial).</w:t>
            </w:r>
          </w:p>
          <w:p w:rsidR="0021087C" w:rsidRPr="0021087C" w:rsidRDefault="0021087C" w:rsidP="0021087C">
            <w:pPr>
              <w:rPr>
                <w:bCs/>
                <w:lang w:val="en-GB" w:bidi="en-GB"/>
              </w:rPr>
            </w:pPr>
          </w:p>
          <w:p w:rsidR="0021087C" w:rsidRDefault="0021087C" w:rsidP="0021087C">
            <w:pPr>
              <w:rPr>
                <w:bCs/>
                <w:lang w:val="en-GB" w:bidi="en-GB"/>
              </w:rPr>
            </w:pPr>
          </w:p>
        </w:tc>
        <w:tc>
          <w:tcPr>
            <w:tcW w:w="4670" w:type="dxa"/>
          </w:tcPr>
          <w:p w:rsidR="0021087C" w:rsidRPr="00F9748A" w:rsidRDefault="00F9748A" w:rsidP="00C543A7">
            <w:pPr>
              <w:rPr>
                <w:bCs/>
                <w:lang w:val="en-GB"/>
              </w:rPr>
            </w:pPr>
            <w:r w:rsidRPr="00F9748A">
              <w:rPr>
                <w:bCs/>
                <w:lang w:val="en-GB"/>
              </w:rPr>
              <w:t>2. You are right</w:t>
            </w:r>
            <w:r>
              <w:rPr>
                <w:bCs/>
                <w:lang w:val="en-GB"/>
              </w:rPr>
              <w:t xml:space="preserve">. Tenderers shall only </w:t>
            </w:r>
            <w:r w:rsidR="00C543A7">
              <w:rPr>
                <w:bCs/>
                <w:lang w:val="en-GB"/>
              </w:rPr>
              <w:t>prepare</w:t>
            </w:r>
            <w:r>
              <w:rPr>
                <w:bCs/>
                <w:lang w:val="en-GB"/>
              </w:rPr>
              <w:t xml:space="preserve"> the technical and fi</w:t>
            </w:r>
            <w:r w:rsidR="00C543A7">
              <w:rPr>
                <w:bCs/>
                <w:lang w:val="en-GB"/>
              </w:rPr>
              <w:t>nancial offer and shall not complete</w:t>
            </w:r>
            <w:r>
              <w:rPr>
                <w:bCs/>
                <w:lang w:val="en-GB"/>
              </w:rPr>
              <w:t xml:space="preserve"> other documents. All other documents are provided</w:t>
            </w:r>
            <w:r w:rsidR="00E22CB0">
              <w:rPr>
                <w:bCs/>
                <w:lang w:val="en-GB"/>
              </w:rPr>
              <w:t xml:space="preserve"> for the purpose of informing </w:t>
            </w:r>
            <w:r>
              <w:rPr>
                <w:bCs/>
                <w:lang w:val="en-GB"/>
              </w:rPr>
              <w:t>tenderers about the</w:t>
            </w:r>
            <w:r w:rsidR="00E22CB0">
              <w:rPr>
                <w:bCs/>
                <w:lang w:val="en-GB"/>
              </w:rPr>
              <w:t xml:space="preserve"> applicable</w:t>
            </w:r>
            <w:r>
              <w:rPr>
                <w:bCs/>
                <w:lang w:val="en-GB"/>
              </w:rPr>
              <w:t xml:space="preserve"> contractual provisions.</w:t>
            </w:r>
          </w:p>
        </w:tc>
      </w:tr>
      <w:tr w:rsidR="002A67B9" w:rsidRPr="00822AC0" w:rsidTr="00C36BB7">
        <w:trPr>
          <w:trHeight w:val="1029"/>
        </w:trPr>
        <w:tc>
          <w:tcPr>
            <w:tcW w:w="4670" w:type="dxa"/>
          </w:tcPr>
          <w:p w:rsidR="002A67B9" w:rsidRDefault="002A67B9" w:rsidP="004C791E">
            <w:pPr>
              <w:rPr>
                <w:b/>
                <w:lang w:val="en-GB"/>
              </w:rPr>
            </w:pPr>
            <w:r>
              <w:rPr>
                <w:b/>
                <w:lang w:val="en-GB"/>
              </w:rPr>
              <w:t>5 Received on 21</w:t>
            </w:r>
            <w:r w:rsidRPr="002A67B9">
              <w:rPr>
                <w:b/>
                <w:lang w:val="en-GB"/>
              </w:rPr>
              <w:t>/02/2017</w:t>
            </w:r>
          </w:p>
        </w:tc>
        <w:tc>
          <w:tcPr>
            <w:tcW w:w="4670" w:type="dxa"/>
          </w:tcPr>
          <w:p w:rsidR="002A67B9" w:rsidRPr="002A67B9" w:rsidRDefault="002A67B9" w:rsidP="002A67B9">
            <w:pPr>
              <w:rPr>
                <w:bCs/>
                <w:lang w:val="en-GB" w:bidi="en-GB"/>
              </w:rPr>
            </w:pPr>
            <w:r w:rsidRPr="002A67B9">
              <w:rPr>
                <w:bCs/>
                <w:lang w:val="en-GB" w:bidi="en-GB"/>
              </w:rPr>
              <w:t>Concerning call for tenders EESC/DA-GREF/01/2017, we would like to ask the following questions:</w:t>
            </w:r>
          </w:p>
          <w:p w:rsidR="002A67B9" w:rsidRPr="002A67B9" w:rsidRDefault="002A67B9" w:rsidP="002A67B9">
            <w:pPr>
              <w:rPr>
                <w:bCs/>
                <w:lang w:val="en-GB" w:bidi="en-GB"/>
              </w:rPr>
            </w:pPr>
            <w:r w:rsidRPr="002A67B9">
              <w:rPr>
                <w:bCs/>
                <w:lang w:val="lt-LT" w:bidi="en-GB"/>
              </w:rPr>
              <mc:AlternateContent>
                <mc:Choice Requires="wps">
                  <w:drawing>
                    <wp:anchor distT="0" distB="0" distL="114300" distR="114300" simplePos="0" relativeHeight="251659264" behindDoc="1" locked="0" layoutInCell="0" allowOverlap="1" wp14:anchorId="660D0A76" wp14:editId="1D574562">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7B9" w:rsidRPr="00260E65" w:rsidRDefault="002A67B9" w:rsidP="002A67B9">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rsidR="002A67B9" w:rsidRPr="00260E65" w:rsidRDefault="002A67B9" w:rsidP="002A67B9">
                            <w:pPr>
                              <w:jc w:val="center"/>
                              <w:rPr>
                                <w:rFonts w:ascii="Arial" w:hAnsi="Arial" w:cs="Arial"/>
                                <w:b/>
                                <w:bCs/>
                                <w:sz w:val="48"/>
                              </w:rPr>
                            </w:pPr>
                            <w:r>
                              <w:rPr>
                                <w:rFonts w:ascii="Arial" w:hAnsi="Arial"/>
                                <w:b/>
                                <w:sz w:val="48"/>
                              </w:rPr>
                              <w:t>EN</w:t>
                            </w:r>
                          </w:p>
                        </w:txbxContent>
                      </v:textbox>
                      <w10:wrap anchorx="page" anchory="page"/>
                    </v:shape>
                  </w:pict>
                </mc:Fallback>
              </mc:AlternateContent>
            </w:r>
          </w:p>
          <w:p w:rsidR="002A67B9" w:rsidRPr="002A67B9" w:rsidRDefault="002A67B9" w:rsidP="002A67B9">
            <w:pPr>
              <w:numPr>
                <w:ilvl w:val="0"/>
                <w:numId w:val="10"/>
              </w:numPr>
              <w:rPr>
                <w:bCs/>
                <w:lang w:val="en-GB" w:bidi="en-GB"/>
              </w:rPr>
            </w:pPr>
            <w:r w:rsidRPr="002A67B9">
              <w:rPr>
                <w:b/>
                <w:bCs/>
                <w:lang w:val="en-GB" w:bidi="en-GB"/>
              </w:rPr>
              <w:t>PRICE TABLE</w:t>
            </w:r>
          </w:p>
          <w:p w:rsidR="002A67B9" w:rsidRPr="002A67B9" w:rsidRDefault="002A67B9" w:rsidP="002A67B9">
            <w:pPr>
              <w:rPr>
                <w:bCs/>
                <w:lang w:val="en-GB" w:bidi="en-GB"/>
              </w:rPr>
            </w:pPr>
          </w:p>
          <w:p w:rsidR="002A67B9" w:rsidRPr="002A67B9" w:rsidRDefault="002A67B9" w:rsidP="002A67B9">
            <w:pPr>
              <w:rPr>
                <w:bCs/>
                <w:lang w:val="en-GB" w:bidi="en-GB"/>
              </w:rPr>
            </w:pPr>
            <w:r w:rsidRPr="002A67B9">
              <w:rPr>
                <w:bCs/>
                <w:lang w:val="en-GB" w:bidi="en-GB"/>
              </w:rPr>
              <w:lastRenderedPageBreak/>
              <w:t>With regard to the unit price of the microfiches, you refer to an indicative quantity of approx. 2 x 2 551 microfiches and after a * which can be defined as: "a price per page on the microfiche"</w:t>
            </w:r>
          </w:p>
          <w:p w:rsidR="002A67B9" w:rsidRPr="002A67B9" w:rsidRDefault="002A67B9" w:rsidP="002A67B9">
            <w:pPr>
              <w:rPr>
                <w:bCs/>
                <w:lang w:val="en-GB" w:bidi="en-GB"/>
              </w:rPr>
            </w:pPr>
            <w:r w:rsidRPr="002A67B9">
              <w:rPr>
                <w:bCs/>
                <w:lang w:val="en-GB" w:bidi="en-GB"/>
              </w:rPr>
              <w:t xml:space="preserve">For item 1, </w:t>
            </w:r>
          </w:p>
          <w:p w:rsidR="002A67B9" w:rsidRPr="002A67B9" w:rsidRDefault="002A67B9" w:rsidP="002A67B9">
            <w:pPr>
              <w:numPr>
                <w:ilvl w:val="0"/>
                <w:numId w:val="9"/>
              </w:numPr>
              <w:rPr>
                <w:bCs/>
                <w:lang w:val="en-GB" w:bidi="en-GB"/>
              </w:rPr>
            </w:pPr>
            <w:r w:rsidRPr="002A67B9">
              <w:rPr>
                <w:bCs/>
                <w:lang w:val="en-GB" w:bidi="en-GB"/>
              </w:rPr>
              <w:t xml:space="preserve">= 2 x 2 551 microfiches x </w:t>
            </w:r>
            <w:r w:rsidRPr="002A67B9">
              <w:rPr>
                <w:b/>
                <w:bCs/>
                <w:lang w:val="en-GB" w:bidi="en-GB"/>
              </w:rPr>
              <w:t>(B)</w:t>
            </w:r>
            <w:r w:rsidRPr="002A67B9">
              <w:rPr>
                <w:bCs/>
                <w:lang w:val="en-GB" w:bidi="en-GB"/>
              </w:rPr>
              <w:t xml:space="preserve"> Unit price * </w:t>
            </w:r>
            <w:r w:rsidRPr="002A67B9">
              <w:rPr>
                <w:bCs/>
                <w:i/>
                <w:lang w:val="en-GB" w:bidi="en-GB"/>
              </w:rPr>
              <w:t>one of the 98 pages transferred onto a microfiche</w:t>
            </w:r>
            <w:r w:rsidRPr="002A67B9">
              <w:rPr>
                <w:bCs/>
                <w:lang w:val="en-GB" w:bidi="en-GB"/>
              </w:rPr>
              <w:t xml:space="preserve"> = </w:t>
            </w:r>
            <w:r w:rsidRPr="002A67B9">
              <w:rPr>
                <w:b/>
                <w:bCs/>
                <w:lang w:val="en-GB" w:bidi="en-GB"/>
              </w:rPr>
              <w:t>(A x B) TOTAL</w:t>
            </w:r>
          </w:p>
          <w:p w:rsidR="002A67B9" w:rsidRPr="002A67B9" w:rsidRDefault="002A67B9" w:rsidP="002A67B9">
            <w:pPr>
              <w:rPr>
                <w:bCs/>
                <w:lang w:val="en-GB" w:bidi="en-GB"/>
              </w:rPr>
            </w:pPr>
            <w:r w:rsidRPr="002A67B9">
              <w:rPr>
                <w:bCs/>
                <w:lang w:val="en-GB" w:bidi="en-GB"/>
              </w:rPr>
              <w:t xml:space="preserve">But if we multiply </w:t>
            </w:r>
            <w:proofErr w:type="gramStart"/>
            <w:r w:rsidRPr="002A67B9">
              <w:rPr>
                <w:bCs/>
                <w:lang w:val="en-GB" w:bidi="en-GB"/>
              </w:rPr>
              <w:t>A</w:t>
            </w:r>
            <w:proofErr w:type="gramEnd"/>
            <w:r w:rsidRPr="002A67B9">
              <w:rPr>
                <w:bCs/>
                <w:lang w:val="en-GB" w:bidi="en-GB"/>
              </w:rPr>
              <w:t xml:space="preserve"> x B, that means that the unit price is the price per microfiche (and not per page as indicated in the *) because it specifies 2 x 2 551 microfiches!</w:t>
            </w:r>
          </w:p>
          <w:p w:rsidR="002A67B9" w:rsidRPr="002A67B9" w:rsidRDefault="002A67B9" w:rsidP="002A67B9">
            <w:pPr>
              <w:rPr>
                <w:bCs/>
                <w:lang w:val="en-GB" w:bidi="en-GB"/>
              </w:rPr>
            </w:pPr>
          </w:p>
          <w:p w:rsidR="002A67B9" w:rsidRPr="002A67B9" w:rsidRDefault="002A67B9" w:rsidP="002A67B9">
            <w:pPr>
              <w:rPr>
                <w:bCs/>
                <w:lang w:val="en-GB" w:bidi="en-GB"/>
              </w:rPr>
            </w:pPr>
            <w:r w:rsidRPr="002A67B9">
              <w:rPr>
                <w:bCs/>
                <w:lang w:val="en-GB" w:bidi="en-GB"/>
              </w:rPr>
              <w:t>One of the 98 pages, that means 2 551 x 98 = +/- 250 000 pages (x 2 masters)</w:t>
            </w:r>
          </w:p>
          <w:p w:rsidR="002A67B9" w:rsidRPr="002A67B9" w:rsidRDefault="002A67B9" w:rsidP="002A67B9">
            <w:pPr>
              <w:rPr>
                <w:b/>
                <w:bCs/>
                <w:lang w:val="en-GB" w:bidi="en-GB"/>
              </w:rPr>
            </w:pPr>
            <w:r w:rsidRPr="002A67B9">
              <w:rPr>
                <w:bCs/>
                <w:lang w:val="en-GB" w:bidi="en-GB"/>
              </w:rPr>
              <w:t xml:space="preserve">= It can be concluded that all of the microfiches will be filled up with 98 pages ... however, in the call for tenders it says "98 </w:t>
            </w:r>
            <w:r w:rsidRPr="002A67B9">
              <w:rPr>
                <w:b/>
                <w:bCs/>
                <w:lang w:val="en-GB" w:bidi="en-GB"/>
              </w:rPr>
              <w:t>or fewer</w:t>
            </w:r>
            <w:r w:rsidRPr="002A67B9">
              <w:rPr>
                <w:bCs/>
                <w:lang w:val="en-GB" w:bidi="en-GB"/>
              </w:rPr>
              <w:t xml:space="preserve"> pages"</w:t>
            </w:r>
          </w:p>
          <w:p w:rsidR="002A67B9" w:rsidRPr="002A67B9" w:rsidRDefault="002A67B9" w:rsidP="002A67B9">
            <w:pPr>
              <w:rPr>
                <w:bCs/>
                <w:lang w:val="en-GB" w:bidi="en-GB"/>
              </w:rPr>
            </w:pPr>
            <w:r w:rsidRPr="002A67B9">
              <w:rPr>
                <w:bCs/>
                <w:lang w:val="en-GB" w:bidi="en-GB"/>
              </w:rPr>
              <w:t>(From experience, we know that many microfiches are not filled up)</w:t>
            </w:r>
          </w:p>
          <w:p w:rsidR="002A67B9" w:rsidRPr="002A67B9" w:rsidRDefault="002A67B9" w:rsidP="002A67B9">
            <w:pPr>
              <w:rPr>
                <w:bCs/>
                <w:lang w:val="en-GB" w:bidi="en-GB"/>
              </w:rPr>
            </w:pPr>
          </w:p>
          <w:p w:rsidR="002A67B9" w:rsidRPr="002A67B9" w:rsidRDefault="002A67B9" w:rsidP="002A67B9">
            <w:pPr>
              <w:rPr>
                <w:bCs/>
                <w:lang w:val="en-GB" w:bidi="en-GB"/>
              </w:rPr>
            </w:pPr>
            <w:r w:rsidRPr="002A67B9">
              <w:rPr>
                <w:bCs/>
                <w:lang w:val="en-GB" w:bidi="en-GB"/>
              </w:rPr>
              <w:t xml:space="preserve">For instance, where a file has 102 pages = </w:t>
            </w:r>
          </w:p>
          <w:p w:rsidR="002A67B9" w:rsidRPr="002A67B9" w:rsidRDefault="002A67B9" w:rsidP="002A67B9">
            <w:pPr>
              <w:rPr>
                <w:bCs/>
                <w:lang w:val="en-GB" w:bidi="en-GB"/>
              </w:rPr>
            </w:pPr>
            <w:r w:rsidRPr="002A67B9">
              <w:rPr>
                <w:bCs/>
                <w:lang w:val="en-GB" w:bidi="en-GB"/>
              </w:rPr>
              <w:t>A1 = folder</w:t>
            </w:r>
          </w:p>
          <w:p w:rsidR="002A67B9" w:rsidRPr="002A67B9" w:rsidRDefault="002A67B9" w:rsidP="002A67B9">
            <w:pPr>
              <w:rPr>
                <w:bCs/>
                <w:lang w:val="en-GB" w:bidi="en-GB"/>
              </w:rPr>
            </w:pPr>
            <w:r w:rsidRPr="002A67B9">
              <w:rPr>
                <w:bCs/>
                <w:lang w:val="en-GB" w:bidi="en-GB"/>
              </w:rPr>
              <w:t>A2 to G13 file</w:t>
            </w:r>
          </w:p>
          <w:p w:rsidR="002A67B9" w:rsidRPr="002A67B9" w:rsidRDefault="002A67B9" w:rsidP="002A67B9">
            <w:pPr>
              <w:rPr>
                <w:bCs/>
                <w:lang w:val="en-GB" w:bidi="en-GB"/>
              </w:rPr>
            </w:pPr>
            <w:r w:rsidRPr="002A67B9">
              <w:rPr>
                <w:bCs/>
                <w:lang w:val="en-GB" w:bidi="en-GB"/>
              </w:rPr>
              <w:t xml:space="preserve">G14 INDEX </w:t>
            </w:r>
            <w:r w:rsidRPr="002A67B9">
              <w:rPr>
                <w:b/>
                <w:bCs/>
                <w:lang w:val="en-GB" w:bidi="en-GB"/>
              </w:rPr>
              <w:t>(= index of the microfiche or of the whole series of microfiches in this file?)</w:t>
            </w:r>
          </w:p>
          <w:p w:rsidR="002A67B9" w:rsidRPr="002A67B9" w:rsidRDefault="002A67B9" w:rsidP="002A67B9">
            <w:pPr>
              <w:rPr>
                <w:bCs/>
                <w:lang w:val="en-GB" w:bidi="en-GB"/>
              </w:rPr>
            </w:pPr>
            <w:r w:rsidRPr="002A67B9">
              <w:rPr>
                <w:bCs/>
                <w:lang w:val="en-GB" w:bidi="en-GB"/>
              </w:rPr>
              <w:t>Therefore this means that the 2nd microfiche contains only a few pages!</w:t>
            </w:r>
          </w:p>
          <w:p w:rsidR="002A67B9" w:rsidRPr="002A67B9" w:rsidRDefault="002A67B9" w:rsidP="002A67B9">
            <w:pPr>
              <w:rPr>
                <w:bCs/>
                <w:lang w:val="en-GB" w:bidi="en-GB"/>
              </w:rPr>
            </w:pPr>
          </w:p>
          <w:p w:rsidR="002A67B9" w:rsidRPr="002A67B9" w:rsidRDefault="002A67B9" w:rsidP="002A67B9">
            <w:pPr>
              <w:rPr>
                <w:bCs/>
                <w:lang w:val="en-GB" w:bidi="en-GB"/>
              </w:rPr>
            </w:pPr>
            <w:r w:rsidRPr="002A67B9">
              <w:rPr>
                <w:bCs/>
                <w:lang w:val="en-GB" w:bidi="en-GB"/>
              </w:rPr>
              <w:lastRenderedPageBreak/>
              <w:t>Conclusion: not all of the microfiches are full, therefore for 250 000 pages there will be a lot more than (2x) 2 551 microfiches.</w:t>
            </w:r>
          </w:p>
          <w:p w:rsidR="002A67B9" w:rsidRPr="002A67B9" w:rsidRDefault="002A67B9" w:rsidP="002A67B9">
            <w:pPr>
              <w:rPr>
                <w:bCs/>
                <w:lang w:val="en-GB" w:bidi="en-GB"/>
              </w:rPr>
            </w:pPr>
          </w:p>
          <w:p w:rsidR="002A67B9" w:rsidRPr="002A67B9" w:rsidRDefault="002A67B9" w:rsidP="002A67B9">
            <w:pPr>
              <w:rPr>
                <w:b/>
                <w:bCs/>
                <w:lang w:val="en-GB" w:bidi="en-GB"/>
              </w:rPr>
            </w:pPr>
            <w:r w:rsidRPr="002A67B9">
              <w:rPr>
                <w:b/>
                <w:bCs/>
                <w:lang w:val="en-GB" w:bidi="en-GB"/>
              </w:rPr>
              <w:t xml:space="preserve">How does one calculate </w:t>
            </w:r>
            <w:proofErr w:type="gramStart"/>
            <w:r w:rsidRPr="002A67B9">
              <w:rPr>
                <w:b/>
                <w:bCs/>
                <w:lang w:val="en-GB" w:bidi="en-GB"/>
              </w:rPr>
              <w:t>A</w:t>
            </w:r>
            <w:proofErr w:type="gramEnd"/>
            <w:r w:rsidRPr="002A67B9">
              <w:rPr>
                <w:b/>
                <w:bCs/>
                <w:lang w:val="en-GB" w:bidi="en-GB"/>
              </w:rPr>
              <w:t xml:space="preserve"> x B = total?</w:t>
            </w:r>
          </w:p>
          <w:p w:rsidR="002A67B9" w:rsidRPr="002A67B9" w:rsidRDefault="002A67B9" w:rsidP="002A67B9">
            <w:pPr>
              <w:rPr>
                <w:bCs/>
                <w:i/>
                <w:iCs/>
                <w:lang w:val="en-GB" w:bidi="en-GB"/>
              </w:rPr>
            </w:pPr>
            <w:r w:rsidRPr="002A67B9">
              <w:rPr>
                <w:bCs/>
                <w:i/>
                <w:lang w:val="en-GB" w:bidi="en-GB"/>
              </w:rPr>
              <w:t>If we calculate the price in that way, that means that all the microfiches are full (98 pages), which is not the case!</w:t>
            </w:r>
          </w:p>
          <w:p w:rsidR="002A67B9" w:rsidRPr="002A67B9" w:rsidRDefault="002A67B9" w:rsidP="002A67B9">
            <w:pPr>
              <w:rPr>
                <w:bCs/>
                <w:lang w:val="en-GB" w:bidi="en-GB"/>
              </w:rPr>
            </w:pPr>
          </w:p>
          <w:p w:rsidR="002A67B9" w:rsidRPr="002A67B9" w:rsidRDefault="002A67B9" w:rsidP="002A67B9">
            <w:pPr>
              <w:rPr>
                <w:bCs/>
                <w:lang w:val="en-GB" w:bidi="en-GB"/>
              </w:rPr>
            </w:pPr>
            <w:r w:rsidRPr="002A67B9">
              <w:rPr>
                <w:bCs/>
                <w:lang w:val="en-GB" w:bidi="en-GB"/>
              </w:rPr>
              <w:t>The price per page is difficult because there will be some microfiches that are filled up and some with very few pages.</w:t>
            </w:r>
          </w:p>
          <w:p w:rsidR="002A67B9" w:rsidRPr="002A67B9" w:rsidRDefault="002A67B9" w:rsidP="002A67B9">
            <w:pPr>
              <w:rPr>
                <w:bCs/>
                <w:lang w:val="en-GB" w:bidi="en-GB"/>
              </w:rPr>
            </w:pPr>
          </w:p>
          <w:p w:rsidR="002A67B9" w:rsidRPr="002A67B9" w:rsidRDefault="002A67B9" w:rsidP="002A67B9">
            <w:pPr>
              <w:rPr>
                <w:b/>
                <w:bCs/>
                <w:lang w:val="en-GB" w:bidi="en-GB"/>
              </w:rPr>
            </w:pPr>
            <w:r w:rsidRPr="002A67B9">
              <w:rPr>
                <w:b/>
                <w:bCs/>
                <w:lang w:val="en-GB" w:bidi="en-GB"/>
              </w:rPr>
              <w:t xml:space="preserve">Is it possible to give a price per microfiche (creation, titling, development, etc.) + a price per page? </w:t>
            </w:r>
          </w:p>
          <w:p w:rsidR="002A67B9" w:rsidRPr="002A67B9" w:rsidRDefault="002A67B9" w:rsidP="002A67B9">
            <w:pPr>
              <w:rPr>
                <w:b/>
                <w:bCs/>
                <w:lang w:val="en-GB" w:bidi="en-GB"/>
              </w:rPr>
            </w:pPr>
            <w:r w:rsidRPr="002A67B9">
              <w:rPr>
                <w:b/>
                <w:bCs/>
                <w:lang w:val="en-GB" w:bidi="en-GB"/>
              </w:rPr>
              <w:t>AND if it is price per page, one page = 1 side (of a page) OR both sides (of a page)?? (a double-sided page = 2 pages on the microfiche)</w:t>
            </w:r>
          </w:p>
          <w:p w:rsidR="002A67B9" w:rsidRPr="002A67B9" w:rsidRDefault="002A67B9" w:rsidP="002A67B9">
            <w:pPr>
              <w:rPr>
                <w:bCs/>
                <w:lang w:val="en-GB" w:bidi="en-GB"/>
              </w:rPr>
            </w:pPr>
          </w:p>
          <w:p w:rsidR="002A67B9" w:rsidRPr="002A67B9" w:rsidRDefault="002A67B9" w:rsidP="002A67B9">
            <w:pPr>
              <w:rPr>
                <w:bCs/>
                <w:i/>
                <w:iCs/>
                <w:lang w:val="en-GB" w:bidi="en-GB"/>
              </w:rPr>
            </w:pPr>
            <w:r w:rsidRPr="002A67B9">
              <w:rPr>
                <w:bCs/>
                <w:i/>
                <w:lang w:val="en-GB" w:bidi="en-GB"/>
              </w:rPr>
              <w:t>250 000 pages = 250 000 sides (of a page) or 250 000 pages which may be one-sided and/or double-sided?</w:t>
            </w:r>
          </w:p>
          <w:p w:rsidR="002A67B9" w:rsidRPr="002A67B9" w:rsidRDefault="002A67B9" w:rsidP="002A67B9">
            <w:pPr>
              <w:rPr>
                <w:bCs/>
                <w:lang w:val="en-GB" w:bidi="en-GB"/>
              </w:rPr>
            </w:pPr>
          </w:p>
          <w:p w:rsidR="002A67B9" w:rsidRDefault="002A67B9" w:rsidP="0021087C">
            <w:pPr>
              <w:rPr>
                <w:bCs/>
                <w:lang w:val="en-GB" w:bidi="en-GB"/>
              </w:rPr>
            </w:pPr>
          </w:p>
        </w:tc>
        <w:tc>
          <w:tcPr>
            <w:tcW w:w="4670" w:type="dxa"/>
          </w:tcPr>
          <w:p w:rsidR="002A67B9" w:rsidRDefault="000D15CC" w:rsidP="000D15CC">
            <w:pPr>
              <w:rPr>
                <w:bCs/>
                <w:lang w:val="en-GB"/>
              </w:rPr>
            </w:pPr>
            <w:r>
              <w:rPr>
                <w:bCs/>
                <w:lang w:val="en-GB"/>
              </w:rPr>
              <w:lastRenderedPageBreak/>
              <w:t>Indeed, a</w:t>
            </w:r>
            <w:r w:rsidR="004F7178">
              <w:rPr>
                <w:bCs/>
                <w:lang w:val="en-GB"/>
              </w:rPr>
              <w:t xml:space="preserve"> microfiche may contain 98 pages</w:t>
            </w:r>
            <w:r>
              <w:rPr>
                <w:bCs/>
                <w:lang w:val="en-GB"/>
              </w:rPr>
              <w:t xml:space="preserve"> or less.</w:t>
            </w:r>
          </w:p>
          <w:p w:rsidR="000D15CC" w:rsidRDefault="000D15CC" w:rsidP="000D15CC">
            <w:pPr>
              <w:rPr>
                <w:bCs/>
                <w:lang w:val="en-GB"/>
              </w:rPr>
            </w:pPr>
          </w:p>
          <w:p w:rsidR="000D15CC" w:rsidRDefault="00853F08" w:rsidP="000D15CC">
            <w:pPr>
              <w:rPr>
                <w:bCs/>
                <w:lang w:val="en-GB"/>
              </w:rPr>
            </w:pPr>
            <w:r>
              <w:rPr>
                <w:bCs/>
                <w:lang w:val="en-GB"/>
              </w:rPr>
              <w:t>As indicated in the price table, a unit means one of the 98 pages transferred onto a microfiche.</w:t>
            </w:r>
          </w:p>
          <w:p w:rsidR="00853F08" w:rsidRDefault="00853F08" w:rsidP="000D15CC">
            <w:pPr>
              <w:rPr>
                <w:bCs/>
                <w:lang w:val="en-GB"/>
              </w:rPr>
            </w:pPr>
          </w:p>
          <w:p w:rsidR="00853F08" w:rsidRDefault="00853F08" w:rsidP="00A8442F">
            <w:pPr>
              <w:rPr>
                <w:bCs/>
                <w:lang w:val="en-GB"/>
              </w:rPr>
            </w:pPr>
            <w:r>
              <w:rPr>
                <w:bCs/>
                <w:lang w:val="en-GB"/>
              </w:rPr>
              <w:t>The total price (</w:t>
            </w:r>
            <w:proofErr w:type="spellStart"/>
            <w:r>
              <w:rPr>
                <w:bCs/>
                <w:lang w:val="en-GB"/>
              </w:rPr>
              <w:t>AxB</w:t>
            </w:r>
            <w:proofErr w:type="spellEnd"/>
            <w:r>
              <w:rPr>
                <w:bCs/>
                <w:lang w:val="en-GB"/>
              </w:rPr>
              <w:t>) shall be given assuming that a microfiche contains 98 views.</w:t>
            </w:r>
          </w:p>
          <w:p w:rsidR="00A8442F" w:rsidRDefault="00A8442F" w:rsidP="00A8442F">
            <w:pPr>
              <w:rPr>
                <w:bCs/>
                <w:lang w:val="en-GB"/>
              </w:rPr>
            </w:pPr>
          </w:p>
          <w:p w:rsidR="00A8442F" w:rsidRPr="00F9748A" w:rsidRDefault="00A8442F" w:rsidP="00A8442F">
            <w:pPr>
              <w:rPr>
                <w:bCs/>
                <w:lang w:val="en-GB"/>
              </w:rPr>
            </w:pPr>
            <w:r>
              <w:rPr>
                <w:bCs/>
                <w:lang w:val="en-GB"/>
              </w:rPr>
              <w:t>A page means a one-sided page.</w:t>
            </w:r>
          </w:p>
        </w:tc>
      </w:tr>
      <w:tr w:rsidR="002A67B9" w:rsidRPr="00822AC0" w:rsidTr="00C36BB7">
        <w:trPr>
          <w:trHeight w:val="1029"/>
        </w:trPr>
        <w:tc>
          <w:tcPr>
            <w:tcW w:w="4670" w:type="dxa"/>
          </w:tcPr>
          <w:p w:rsidR="002A67B9" w:rsidRDefault="002A67B9" w:rsidP="004C791E">
            <w:pPr>
              <w:rPr>
                <w:b/>
                <w:lang w:val="en-GB"/>
              </w:rPr>
            </w:pPr>
            <w:r>
              <w:rPr>
                <w:b/>
                <w:lang w:val="en-GB"/>
              </w:rPr>
              <w:lastRenderedPageBreak/>
              <w:t>6 Received on 21</w:t>
            </w:r>
            <w:r w:rsidRPr="002A67B9">
              <w:rPr>
                <w:b/>
                <w:lang w:val="en-GB"/>
              </w:rPr>
              <w:t>/02/2017</w:t>
            </w:r>
          </w:p>
        </w:tc>
        <w:tc>
          <w:tcPr>
            <w:tcW w:w="4670" w:type="dxa"/>
          </w:tcPr>
          <w:p w:rsidR="002A67B9" w:rsidRPr="002A67B9" w:rsidRDefault="002A67B9" w:rsidP="002A67B9">
            <w:pPr>
              <w:numPr>
                <w:ilvl w:val="0"/>
                <w:numId w:val="11"/>
              </w:numPr>
              <w:rPr>
                <w:bCs/>
                <w:lang w:val="en-GB" w:bidi="en-GB"/>
              </w:rPr>
            </w:pPr>
            <w:r w:rsidRPr="002A67B9">
              <w:rPr>
                <w:b/>
                <w:bCs/>
                <w:lang w:val="en-GB" w:bidi="en-GB"/>
              </w:rPr>
              <w:t>2.3.5 Digitising of photographs and other images</w:t>
            </w:r>
          </w:p>
          <w:p w:rsidR="002A67B9" w:rsidRPr="002A67B9" w:rsidRDefault="002A67B9" w:rsidP="002A67B9">
            <w:pPr>
              <w:rPr>
                <w:bCs/>
                <w:lang w:val="en-GB" w:bidi="en-GB"/>
              </w:rPr>
            </w:pPr>
          </w:p>
          <w:p w:rsidR="002A67B9" w:rsidRPr="002A67B9" w:rsidRDefault="002A67B9" w:rsidP="002A67B9">
            <w:pPr>
              <w:rPr>
                <w:bCs/>
                <w:lang w:val="en-GB" w:bidi="en-GB"/>
              </w:rPr>
            </w:pPr>
            <w:r w:rsidRPr="002A67B9">
              <w:rPr>
                <w:bCs/>
                <w:lang w:val="en-GB" w:bidi="en-GB"/>
              </w:rPr>
              <w:t>Not included in the price table?</w:t>
            </w:r>
          </w:p>
          <w:p w:rsidR="002A67B9" w:rsidRPr="002A67B9" w:rsidRDefault="002A67B9" w:rsidP="002A67B9">
            <w:pPr>
              <w:rPr>
                <w:bCs/>
                <w:lang w:val="en-GB" w:bidi="en-GB"/>
              </w:rPr>
            </w:pPr>
          </w:p>
        </w:tc>
        <w:tc>
          <w:tcPr>
            <w:tcW w:w="4670" w:type="dxa"/>
          </w:tcPr>
          <w:p w:rsidR="002A67B9" w:rsidRDefault="002A67B9" w:rsidP="002A67B9">
            <w:pPr>
              <w:rPr>
                <w:bCs/>
                <w:lang w:val="en-GB"/>
              </w:rPr>
            </w:pPr>
            <w:r>
              <w:rPr>
                <w:bCs/>
                <w:lang w:val="en-GB"/>
              </w:rPr>
              <w:lastRenderedPageBreak/>
              <w:t>According to point 2.3.5 of the tender specifications, the contractor will be asked to digitise photographs and other images and</w:t>
            </w:r>
            <w:r w:rsidR="00813AE8">
              <w:rPr>
                <w:bCs/>
                <w:lang w:val="en-GB"/>
              </w:rPr>
              <w:t>,</w:t>
            </w:r>
            <w:r>
              <w:rPr>
                <w:bCs/>
                <w:lang w:val="en-GB"/>
              </w:rPr>
              <w:t xml:space="preserve"> according to point 2.3.2, the contractor shall save documents and images on an external hard drive containing the files in PDF/A.</w:t>
            </w:r>
          </w:p>
          <w:p w:rsidR="002A67B9" w:rsidRDefault="002A67B9" w:rsidP="002A67B9">
            <w:pPr>
              <w:rPr>
                <w:bCs/>
                <w:lang w:val="en-GB"/>
              </w:rPr>
            </w:pPr>
          </w:p>
          <w:p w:rsidR="002A67B9" w:rsidRPr="00F9748A" w:rsidRDefault="002A67B9" w:rsidP="002A67B9">
            <w:pPr>
              <w:rPr>
                <w:bCs/>
                <w:lang w:val="en-GB"/>
              </w:rPr>
            </w:pPr>
            <w:r>
              <w:rPr>
                <w:bCs/>
                <w:lang w:val="en-GB"/>
              </w:rPr>
              <w:t xml:space="preserve">Consequently, the price for digitised photographs and images shall be included in the column </w:t>
            </w:r>
            <w:r>
              <w:rPr>
                <w:bCs/>
                <w:lang w:val="lt-LT"/>
              </w:rPr>
              <w:t>"</w:t>
            </w:r>
            <w:r w:rsidRPr="002A67B9">
              <w:rPr>
                <w:bCs/>
              </w:rPr>
              <w:t xml:space="preserve">External hard drive containing </w:t>
            </w:r>
            <w:proofErr w:type="spellStart"/>
            <w:r w:rsidRPr="002A67B9">
              <w:rPr>
                <w:bCs/>
              </w:rPr>
              <w:t>digitised</w:t>
            </w:r>
            <w:proofErr w:type="spellEnd"/>
            <w:r w:rsidRPr="002A67B9">
              <w:rPr>
                <w:bCs/>
              </w:rPr>
              <w:t xml:space="preserve"> files in .PDF/A format </w:t>
            </w:r>
            <w:proofErr w:type="gramStart"/>
            <w:r w:rsidRPr="002A67B9">
              <w:rPr>
                <w:bCs/>
              </w:rPr>
              <w:t>including  OCR</w:t>
            </w:r>
            <w:proofErr w:type="gramEnd"/>
            <w:r>
              <w:rPr>
                <w:bCs/>
              </w:rPr>
              <w:t>" of the Price Table (Annex 1 of the Tender Specifications)</w:t>
            </w:r>
            <w:r w:rsidR="00813AE8">
              <w:rPr>
                <w:bCs/>
              </w:rPr>
              <w:t>.</w:t>
            </w:r>
            <w:bookmarkStart w:id="0" w:name="_GoBack"/>
            <w:bookmarkEnd w:id="0"/>
          </w:p>
        </w:tc>
      </w:tr>
    </w:tbl>
    <w:p w:rsidR="00A168B5" w:rsidRPr="00822AC0" w:rsidRDefault="00813AE8" w:rsidP="007B6DD3">
      <w:pPr>
        <w:rPr>
          <w:lang w:val="en-GB"/>
        </w:rPr>
      </w:pPr>
    </w:p>
    <w:sectPr w:rsidR="00A168B5" w:rsidRPr="00822AC0" w:rsidSect="00CB783F">
      <w:pgSz w:w="16839" w:h="11907" w:orient="landscape"/>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E7659B"/>
    <w:multiLevelType w:val="multilevel"/>
    <w:tmpl w:val="4AD667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4931AA2"/>
    <w:multiLevelType w:val="hybridMultilevel"/>
    <w:tmpl w:val="FE800664"/>
    <w:lvl w:ilvl="0" w:tplc="04090001">
      <w:start w:val="1"/>
      <w:numFmt w:val="bullet"/>
      <w:lvlText w:val=""/>
      <w:lvlJc w:val="left"/>
      <w:pPr>
        <w:ind w:left="1012" w:hanging="360"/>
      </w:pPr>
      <w:rPr>
        <w:rFonts w:ascii="Symbol" w:hAnsi="Symbol"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3">
    <w:nsid w:val="12CC586D"/>
    <w:multiLevelType w:val="hybridMultilevel"/>
    <w:tmpl w:val="3580BB46"/>
    <w:lvl w:ilvl="0" w:tplc="5ADAB38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763610"/>
    <w:multiLevelType w:val="multilevel"/>
    <w:tmpl w:val="85AC78F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nsid w:val="15465343"/>
    <w:multiLevelType w:val="multilevel"/>
    <w:tmpl w:val="0FA6C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3010855"/>
    <w:multiLevelType w:val="hybridMultilevel"/>
    <w:tmpl w:val="B01812F6"/>
    <w:lvl w:ilvl="0" w:tplc="9832449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7094F95"/>
    <w:multiLevelType w:val="hybridMultilevel"/>
    <w:tmpl w:val="960A62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75A681A"/>
    <w:multiLevelType w:val="multilevel"/>
    <w:tmpl w:val="0E320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23F691B"/>
    <w:multiLevelType w:val="multilevel"/>
    <w:tmpl w:val="0B287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8F52CCC"/>
    <w:multiLevelType w:val="hybridMultilevel"/>
    <w:tmpl w:val="A37AF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7"/>
  </w:num>
  <w:num w:numId="7">
    <w:abstractNumId w:val="1"/>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3F"/>
    <w:rsid w:val="000D15CC"/>
    <w:rsid w:val="00186C25"/>
    <w:rsid w:val="0021087C"/>
    <w:rsid w:val="002A67B9"/>
    <w:rsid w:val="002E1ABA"/>
    <w:rsid w:val="0047463D"/>
    <w:rsid w:val="004A6BC4"/>
    <w:rsid w:val="004C791E"/>
    <w:rsid w:val="004F7178"/>
    <w:rsid w:val="0052746E"/>
    <w:rsid w:val="005C51B0"/>
    <w:rsid w:val="00620F9A"/>
    <w:rsid w:val="006813CC"/>
    <w:rsid w:val="00725803"/>
    <w:rsid w:val="007A5400"/>
    <w:rsid w:val="007B67EE"/>
    <w:rsid w:val="007B6DD3"/>
    <w:rsid w:val="007C64EF"/>
    <w:rsid w:val="00813AE8"/>
    <w:rsid w:val="00822AC0"/>
    <w:rsid w:val="00853F08"/>
    <w:rsid w:val="00977E3E"/>
    <w:rsid w:val="00A50E7D"/>
    <w:rsid w:val="00A8442F"/>
    <w:rsid w:val="00C543A7"/>
    <w:rsid w:val="00C8625B"/>
    <w:rsid w:val="00CB783F"/>
    <w:rsid w:val="00D32E2F"/>
    <w:rsid w:val="00DA2C23"/>
    <w:rsid w:val="00E22CB0"/>
    <w:rsid w:val="00E5593D"/>
    <w:rsid w:val="00F9748A"/>
    <w:rsid w:val="00FC21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3F"/>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CB783F"/>
    <w:pPr>
      <w:numPr>
        <w:numId w:val="1"/>
      </w:numPr>
      <w:ind w:left="567" w:hanging="567"/>
      <w:outlineLvl w:val="0"/>
    </w:pPr>
    <w:rPr>
      <w:kern w:val="28"/>
    </w:rPr>
  </w:style>
  <w:style w:type="paragraph" w:styleId="Heading2">
    <w:name w:val="heading 2"/>
    <w:basedOn w:val="Normal"/>
    <w:next w:val="Normal"/>
    <w:link w:val="Heading2Char"/>
    <w:qFormat/>
    <w:rsid w:val="00CB783F"/>
    <w:pPr>
      <w:numPr>
        <w:ilvl w:val="1"/>
        <w:numId w:val="1"/>
      </w:numPr>
      <w:ind w:left="567" w:hanging="567"/>
      <w:outlineLvl w:val="1"/>
    </w:pPr>
  </w:style>
  <w:style w:type="paragraph" w:styleId="Heading3">
    <w:name w:val="heading 3"/>
    <w:basedOn w:val="Normal"/>
    <w:next w:val="Normal"/>
    <w:link w:val="Heading3Char"/>
    <w:qFormat/>
    <w:rsid w:val="00CB783F"/>
    <w:pPr>
      <w:numPr>
        <w:ilvl w:val="2"/>
        <w:numId w:val="1"/>
      </w:numPr>
      <w:ind w:left="567" w:hanging="567"/>
      <w:outlineLvl w:val="2"/>
    </w:pPr>
  </w:style>
  <w:style w:type="paragraph" w:styleId="Heading4">
    <w:name w:val="heading 4"/>
    <w:basedOn w:val="Normal"/>
    <w:next w:val="Normal"/>
    <w:link w:val="Heading4Char"/>
    <w:qFormat/>
    <w:rsid w:val="00CB783F"/>
    <w:pPr>
      <w:numPr>
        <w:ilvl w:val="3"/>
        <w:numId w:val="1"/>
      </w:numPr>
      <w:ind w:left="567" w:hanging="567"/>
      <w:outlineLvl w:val="3"/>
    </w:pPr>
  </w:style>
  <w:style w:type="paragraph" w:styleId="Heading5">
    <w:name w:val="heading 5"/>
    <w:basedOn w:val="Normal"/>
    <w:next w:val="Normal"/>
    <w:link w:val="Heading5Char"/>
    <w:qFormat/>
    <w:rsid w:val="00CB783F"/>
    <w:pPr>
      <w:numPr>
        <w:ilvl w:val="4"/>
        <w:numId w:val="1"/>
      </w:numPr>
      <w:ind w:left="567" w:hanging="567"/>
      <w:outlineLvl w:val="4"/>
    </w:pPr>
  </w:style>
  <w:style w:type="paragraph" w:styleId="Heading6">
    <w:name w:val="heading 6"/>
    <w:basedOn w:val="Normal"/>
    <w:next w:val="Normal"/>
    <w:link w:val="Heading6Char"/>
    <w:qFormat/>
    <w:rsid w:val="00CB783F"/>
    <w:pPr>
      <w:numPr>
        <w:ilvl w:val="5"/>
        <w:numId w:val="1"/>
      </w:numPr>
      <w:ind w:left="567" w:hanging="567"/>
      <w:outlineLvl w:val="5"/>
    </w:pPr>
  </w:style>
  <w:style w:type="paragraph" w:styleId="Heading7">
    <w:name w:val="heading 7"/>
    <w:basedOn w:val="Normal"/>
    <w:next w:val="Normal"/>
    <w:link w:val="Heading7Char"/>
    <w:qFormat/>
    <w:rsid w:val="00CB783F"/>
    <w:pPr>
      <w:numPr>
        <w:ilvl w:val="6"/>
        <w:numId w:val="1"/>
      </w:numPr>
      <w:ind w:left="567" w:hanging="567"/>
      <w:outlineLvl w:val="6"/>
    </w:pPr>
  </w:style>
  <w:style w:type="paragraph" w:styleId="Heading8">
    <w:name w:val="heading 8"/>
    <w:basedOn w:val="Normal"/>
    <w:next w:val="Normal"/>
    <w:link w:val="Heading8Char"/>
    <w:qFormat/>
    <w:rsid w:val="00CB783F"/>
    <w:pPr>
      <w:numPr>
        <w:ilvl w:val="7"/>
        <w:numId w:val="1"/>
      </w:numPr>
      <w:ind w:left="567" w:hanging="567"/>
      <w:outlineLvl w:val="7"/>
    </w:pPr>
  </w:style>
  <w:style w:type="paragraph" w:styleId="Heading9">
    <w:name w:val="heading 9"/>
    <w:basedOn w:val="Normal"/>
    <w:next w:val="Normal"/>
    <w:link w:val="Heading9Char"/>
    <w:qFormat/>
    <w:rsid w:val="00CB783F"/>
    <w:pPr>
      <w:numPr>
        <w:ilvl w:val="8"/>
        <w:numId w:val="1"/>
      </w:numPr>
      <w:ind w:left="567" w:hanging="567"/>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83F"/>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CB783F"/>
    <w:rPr>
      <w:rFonts w:ascii="Times New Roman" w:eastAsia="Times New Roman" w:hAnsi="Times New Roman" w:cs="Times New Roman"/>
      <w:lang w:val="en-US"/>
    </w:rPr>
  </w:style>
  <w:style w:type="character" w:customStyle="1" w:styleId="Heading3Char">
    <w:name w:val="Heading 3 Char"/>
    <w:basedOn w:val="DefaultParagraphFont"/>
    <w:link w:val="Heading3"/>
    <w:rsid w:val="00CB783F"/>
    <w:rPr>
      <w:rFonts w:ascii="Times New Roman" w:eastAsia="Times New Roman" w:hAnsi="Times New Roman" w:cs="Times New Roman"/>
      <w:lang w:val="en-US"/>
    </w:rPr>
  </w:style>
  <w:style w:type="character" w:customStyle="1" w:styleId="Heading4Char">
    <w:name w:val="Heading 4 Char"/>
    <w:basedOn w:val="DefaultParagraphFont"/>
    <w:link w:val="Heading4"/>
    <w:rsid w:val="00CB783F"/>
    <w:rPr>
      <w:rFonts w:ascii="Times New Roman" w:eastAsia="Times New Roman" w:hAnsi="Times New Roman" w:cs="Times New Roman"/>
      <w:lang w:val="en-US"/>
    </w:rPr>
  </w:style>
  <w:style w:type="character" w:customStyle="1" w:styleId="Heading5Char">
    <w:name w:val="Heading 5 Char"/>
    <w:basedOn w:val="DefaultParagraphFont"/>
    <w:link w:val="Heading5"/>
    <w:rsid w:val="00CB783F"/>
    <w:rPr>
      <w:rFonts w:ascii="Times New Roman" w:eastAsia="Times New Roman" w:hAnsi="Times New Roman" w:cs="Times New Roman"/>
      <w:lang w:val="en-US"/>
    </w:rPr>
  </w:style>
  <w:style w:type="character" w:customStyle="1" w:styleId="Heading6Char">
    <w:name w:val="Heading 6 Char"/>
    <w:basedOn w:val="DefaultParagraphFont"/>
    <w:link w:val="Heading6"/>
    <w:rsid w:val="00CB783F"/>
    <w:rPr>
      <w:rFonts w:ascii="Times New Roman" w:eastAsia="Times New Roman" w:hAnsi="Times New Roman" w:cs="Times New Roman"/>
      <w:lang w:val="en-US"/>
    </w:rPr>
  </w:style>
  <w:style w:type="character" w:customStyle="1" w:styleId="Heading7Char">
    <w:name w:val="Heading 7 Char"/>
    <w:basedOn w:val="DefaultParagraphFont"/>
    <w:link w:val="Heading7"/>
    <w:rsid w:val="00CB783F"/>
    <w:rPr>
      <w:rFonts w:ascii="Times New Roman" w:eastAsia="Times New Roman" w:hAnsi="Times New Roman" w:cs="Times New Roman"/>
      <w:lang w:val="en-US"/>
    </w:rPr>
  </w:style>
  <w:style w:type="character" w:customStyle="1" w:styleId="Heading8Char">
    <w:name w:val="Heading 8 Char"/>
    <w:basedOn w:val="DefaultParagraphFont"/>
    <w:link w:val="Heading8"/>
    <w:rsid w:val="00CB783F"/>
    <w:rPr>
      <w:rFonts w:ascii="Times New Roman" w:eastAsia="Times New Roman" w:hAnsi="Times New Roman" w:cs="Times New Roman"/>
      <w:lang w:val="en-US"/>
    </w:rPr>
  </w:style>
  <w:style w:type="character" w:customStyle="1" w:styleId="Heading9Char">
    <w:name w:val="Heading 9 Char"/>
    <w:basedOn w:val="DefaultParagraphFont"/>
    <w:link w:val="Heading9"/>
    <w:rsid w:val="00CB783F"/>
    <w:rPr>
      <w:rFonts w:ascii="Times New Roman" w:eastAsia="Times New Roman" w:hAnsi="Times New Roman" w:cs="Times New Roman"/>
      <w:lang w:val="en-US"/>
    </w:rPr>
  </w:style>
  <w:style w:type="paragraph" w:styleId="Footer">
    <w:name w:val="footer"/>
    <w:basedOn w:val="Normal"/>
    <w:link w:val="FooterChar"/>
    <w:qFormat/>
    <w:rsid w:val="00CB783F"/>
  </w:style>
  <w:style w:type="character" w:customStyle="1" w:styleId="FooterChar">
    <w:name w:val="Footer Char"/>
    <w:basedOn w:val="DefaultParagraphFont"/>
    <w:link w:val="Footer"/>
    <w:rsid w:val="00CB783F"/>
    <w:rPr>
      <w:rFonts w:ascii="Times New Roman" w:eastAsia="Times New Roman" w:hAnsi="Times New Roman" w:cs="Times New Roman"/>
      <w:lang w:val="en-US"/>
    </w:rPr>
  </w:style>
  <w:style w:type="paragraph" w:styleId="FootnoteText">
    <w:name w:val="footnote text"/>
    <w:basedOn w:val="Normal"/>
    <w:link w:val="FootnoteTextChar"/>
    <w:qFormat/>
    <w:rsid w:val="00CB783F"/>
    <w:pPr>
      <w:keepLines/>
      <w:spacing w:after="60" w:line="240" w:lineRule="auto"/>
      <w:ind w:left="567" w:hanging="567"/>
    </w:pPr>
    <w:rPr>
      <w:sz w:val="16"/>
    </w:rPr>
  </w:style>
  <w:style w:type="character" w:customStyle="1" w:styleId="FootnoteTextChar">
    <w:name w:val="Footnote Text Char"/>
    <w:basedOn w:val="DefaultParagraphFont"/>
    <w:link w:val="FootnoteText"/>
    <w:rsid w:val="00CB783F"/>
    <w:rPr>
      <w:rFonts w:ascii="Times New Roman" w:eastAsia="Times New Roman" w:hAnsi="Times New Roman" w:cs="Times New Roman"/>
      <w:sz w:val="16"/>
      <w:lang w:val="en-US"/>
    </w:rPr>
  </w:style>
  <w:style w:type="paragraph" w:styleId="Header">
    <w:name w:val="header"/>
    <w:basedOn w:val="Normal"/>
    <w:link w:val="HeaderChar"/>
    <w:qFormat/>
    <w:rsid w:val="00CB783F"/>
  </w:style>
  <w:style w:type="character" w:customStyle="1" w:styleId="HeaderChar">
    <w:name w:val="Header Char"/>
    <w:basedOn w:val="DefaultParagraphFont"/>
    <w:link w:val="Header"/>
    <w:rsid w:val="00CB783F"/>
    <w:rPr>
      <w:rFonts w:ascii="Times New Roman" w:eastAsia="Times New Roman" w:hAnsi="Times New Roman" w:cs="Times New Roman"/>
      <w:lang w:val="en-US"/>
    </w:rPr>
  </w:style>
  <w:style w:type="paragraph" w:customStyle="1" w:styleId="quotes">
    <w:name w:val="quotes"/>
    <w:basedOn w:val="Normal"/>
    <w:next w:val="Normal"/>
    <w:rsid w:val="00CB783F"/>
    <w:pPr>
      <w:ind w:left="720"/>
    </w:pPr>
    <w:rPr>
      <w:i/>
    </w:rPr>
  </w:style>
  <w:style w:type="character" w:styleId="FootnoteReference">
    <w:name w:val="footnote reference"/>
    <w:basedOn w:val="DefaultParagraphFont"/>
    <w:unhideWhenUsed/>
    <w:qFormat/>
    <w:rsid w:val="00CB783F"/>
    <w:rPr>
      <w:sz w:val="24"/>
      <w:vertAlign w:val="superscript"/>
    </w:rPr>
  </w:style>
  <w:style w:type="paragraph" w:styleId="ListParagraph">
    <w:name w:val="List Paragraph"/>
    <w:basedOn w:val="Normal"/>
    <w:uiPriority w:val="34"/>
    <w:qFormat/>
    <w:rsid w:val="00DA2C23"/>
    <w:pPr>
      <w:ind w:left="720"/>
      <w:contextualSpacing/>
    </w:pPr>
  </w:style>
  <w:style w:type="character" w:styleId="Hyperlink">
    <w:name w:val="Hyperlink"/>
    <w:basedOn w:val="DefaultParagraphFont"/>
    <w:uiPriority w:val="99"/>
    <w:unhideWhenUsed/>
    <w:rsid w:val="00FC21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3F"/>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CB783F"/>
    <w:pPr>
      <w:numPr>
        <w:numId w:val="1"/>
      </w:numPr>
      <w:ind w:left="567" w:hanging="567"/>
      <w:outlineLvl w:val="0"/>
    </w:pPr>
    <w:rPr>
      <w:kern w:val="28"/>
    </w:rPr>
  </w:style>
  <w:style w:type="paragraph" w:styleId="Heading2">
    <w:name w:val="heading 2"/>
    <w:basedOn w:val="Normal"/>
    <w:next w:val="Normal"/>
    <w:link w:val="Heading2Char"/>
    <w:qFormat/>
    <w:rsid w:val="00CB783F"/>
    <w:pPr>
      <w:numPr>
        <w:ilvl w:val="1"/>
        <w:numId w:val="1"/>
      </w:numPr>
      <w:ind w:left="567" w:hanging="567"/>
      <w:outlineLvl w:val="1"/>
    </w:pPr>
  </w:style>
  <w:style w:type="paragraph" w:styleId="Heading3">
    <w:name w:val="heading 3"/>
    <w:basedOn w:val="Normal"/>
    <w:next w:val="Normal"/>
    <w:link w:val="Heading3Char"/>
    <w:qFormat/>
    <w:rsid w:val="00CB783F"/>
    <w:pPr>
      <w:numPr>
        <w:ilvl w:val="2"/>
        <w:numId w:val="1"/>
      </w:numPr>
      <w:ind w:left="567" w:hanging="567"/>
      <w:outlineLvl w:val="2"/>
    </w:pPr>
  </w:style>
  <w:style w:type="paragraph" w:styleId="Heading4">
    <w:name w:val="heading 4"/>
    <w:basedOn w:val="Normal"/>
    <w:next w:val="Normal"/>
    <w:link w:val="Heading4Char"/>
    <w:qFormat/>
    <w:rsid w:val="00CB783F"/>
    <w:pPr>
      <w:numPr>
        <w:ilvl w:val="3"/>
        <w:numId w:val="1"/>
      </w:numPr>
      <w:ind w:left="567" w:hanging="567"/>
      <w:outlineLvl w:val="3"/>
    </w:pPr>
  </w:style>
  <w:style w:type="paragraph" w:styleId="Heading5">
    <w:name w:val="heading 5"/>
    <w:basedOn w:val="Normal"/>
    <w:next w:val="Normal"/>
    <w:link w:val="Heading5Char"/>
    <w:qFormat/>
    <w:rsid w:val="00CB783F"/>
    <w:pPr>
      <w:numPr>
        <w:ilvl w:val="4"/>
        <w:numId w:val="1"/>
      </w:numPr>
      <w:ind w:left="567" w:hanging="567"/>
      <w:outlineLvl w:val="4"/>
    </w:pPr>
  </w:style>
  <w:style w:type="paragraph" w:styleId="Heading6">
    <w:name w:val="heading 6"/>
    <w:basedOn w:val="Normal"/>
    <w:next w:val="Normal"/>
    <w:link w:val="Heading6Char"/>
    <w:qFormat/>
    <w:rsid w:val="00CB783F"/>
    <w:pPr>
      <w:numPr>
        <w:ilvl w:val="5"/>
        <w:numId w:val="1"/>
      </w:numPr>
      <w:ind w:left="567" w:hanging="567"/>
      <w:outlineLvl w:val="5"/>
    </w:pPr>
  </w:style>
  <w:style w:type="paragraph" w:styleId="Heading7">
    <w:name w:val="heading 7"/>
    <w:basedOn w:val="Normal"/>
    <w:next w:val="Normal"/>
    <w:link w:val="Heading7Char"/>
    <w:qFormat/>
    <w:rsid w:val="00CB783F"/>
    <w:pPr>
      <w:numPr>
        <w:ilvl w:val="6"/>
        <w:numId w:val="1"/>
      </w:numPr>
      <w:ind w:left="567" w:hanging="567"/>
      <w:outlineLvl w:val="6"/>
    </w:pPr>
  </w:style>
  <w:style w:type="paragraph" w:styleId="Heading8">
    <w:name w:val="heading 8"/>
    <w:basedOn w:val="Normal"/>
    <w:next w:val="Normal"/>
    <w:link w:val="Heading8Char"/>
    <w:qFormat/>
    <w:rsid w:val="00CB783F"/>
    <w:pPr>
      <w:numPr>
        <w:ilvl w:val="7"/>
        <w:numId w:val="1"/>
      </w:numPr>
      <w:ind w:left="567" w:hanging="567"/>
      <w:outlineLvl w:val="7"/>
    </w:pPr>
  </w:style>
  <w:style w:type="paragraph" w:styleId="Heading9">
    <w:name w:val="heading 9"/>
    <w:basedOn w:val="Normal"/>
    <w:next w:val="Normal"/>
    <w:link w:val="Heading9Char"/>
    <w:qFormat/>
    <w:rsid w:val="00CB783F"/>
    <w:pPr>
      <w:numPr>
        <w:ilvl w:val="8"/>
        <w:numId w:val="1"/>
      </w:numPr>
      <w:ind w:left="567" w:hanging="567"/>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83F"/>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CB783F"/>
    <w:rPr>
      <w:rFonts w:ascii="Times New Roman" w:eastAsia="Times New Roman" w:hAnsi="Times New Roman" w:cs="Times New Roman"/>
      <w:lang w:val="en-US"/>
    </w:rPr>
  </w:style>
  <w:style w:type="character" w:customStyle="1" w:styleId="Heading3Char">
    <w:name w:val="Heading 3 Char"/>
    <w:basedOn w:val="DefaultParagraphFont"/>
    <w:link w:val="Heading3"/>
    <w:rsid w:val="00CB783F"/>
    <w:rPr>
      <w:rFonts w:ascii="Times New Roman" w:eastAsia="Times New Roman" w:hAnsi="Times New Roman" w:cs="Times New Roman"/>
      <w:lang w:val="en-US"/>
    </w:rPr>
  </w:style>
  <w:style w:type="character" w:customStyle="1" w:styleId="Heading4Char">
    <w:name w:val="Heading 4 Char"/>
    <w:basedOn w:val="DefaultParagraphFont"/>
    <w:link w:val="Heading4"/>
    <w:rsid w:val="00CB783F"/>
    <w:rPr>
      <w:rFonts w:ascii="Times New Roman" w:eastAsia="Times New Roman" w:hAnsi="Times New Roman" w:cs="Times New Roman"/>
      <w:lang w:val="en-US"/>
    </w:rPr>
  </w:style>
  <w:style w:type="character" w:customStyle="1" w:styleId="Heading5Char">
    <w:name w:val="Heading 5 Char"/>
    <w:basedOn w:val="DefaultParagraphFont"/>
    <w:link w:val="Heading5"/>
    <w:rsid w:val="00CB783F"/>
    <w:rPr>
      <w:rFonts w:ascii="Times New Roman" w:eastAsia="Times New Roman" w:hAnsi="Times New Roman" w:cs="Times New Roman"/>
      <w:lang w:val="en-US"/>
    </w:rPr>
  </w:style>
  <w:style w:type="character" w:customStyle="1" w:styleId="Heading6Char">
    <w:name w:val="Heading 6 Char"/>
    <w:basedOn w:val="DefaultParagraphFont"/>
    <w:link w:val="Heading6"/>
    <w:rsid w:val="00CB783F"/>
    <w:rPr>
      <w:rFonts w:ascii="Times New Roman" w:eastAsia="Times New Roman" w:hAnsi="Times New Roman" w:cs="Times New Roman"/>
      <w:lang w:val="en-US"/>
    </w:rPr>
  </w:style>
  <w:style w:type="character" w:customStyle="1" w:styleId="Heading7Char">
    <w:name w:val="Heading 7 Char"/>
    <w:basedOn w:val="DefaultParagraphFont"/>
    <w:link w:val="Heading7"/>
    <w:rsid w:val="00CB783F"/>
    <w:rPr>
      <w:rFonts w:ascii="Times New Roman" w:eastAsia="Times New Roman" w:hAnsi="Times New Roman" w:cs="Times New Roman"/>
      <w:lang w:val="en-US"/>
    </w:rPr>
  </w:style>
  <w:style w:type="character" w:customStyle="1" w:styleId="Heading8Char">
    <w:name w:val="Heading 8 Char"/>
    <w:basedOn w:val="DefaultParagraphFont"/>
    <w:link w:val="Heading8"/>
    <w:rsid w:val="00CB783F"/>
    <w:rPr>
      <w:rFonts w:ascii="Times New Roman" w:eastAsia="Times New Roman" w:hAnsi="Times New Roman" w:cs="Times New Roman"/>
      <w:lang w:val="en-US"/>
    </w:rPr>
  </w:style>
  <w:style w:type="character" w:customStyle="1" w:styleId="Heading9Char">
    <w:name w:val="Heading 9 Char"/>
    <w:basedOn w:val="DefaultParagraphFont"/>
    <w:link w:val="Heading9"/>
    <w:rsid w:val="00CB783F"/>
    <w:rPr>
      <w:rFonts w:ascii="Times New Roman" w:eastAsia="Times New Roman" w:hAnsi="Times New Roman" w:cs="Times New Roman"/>
      <w:lang w:val="en-US"/>
    </w:rPr>
  </w:style>
  <w:style w:type="paragraph" w:styleId="Footer">
    <w:name w:val="footer"/>
    <w:basedOn w:val="Normal"/>
    <w:link w:val="FooterChar"/>
    <w:qFormat/>
    <w:rsid w:val="00CB783F"/>
  </w:style>
  <w:style w:type="character" w:customStyle="1" w:styleId="FooterChar">
    <w:name w:val="Footer Char"/>
    <w:basedOn w:val="DefaultParagraphFont"/>
    <w:link w:val="Footer"/>
    <w:rsid w:val="00CB783F"/>
    <w:rPr>
      <w:rFonts w:ascii="Times New Roman" w:eastAsia="Times New Roman" w:hAnsi="Times New Roman" w:cs="Times New Roman"/>
      <w:lang w:val="en-US"/>
    </w:rPr>
  </w:style>
  <w:style w:type="paragraph" w:styleId="FootnoteText">
    <w:name w:val="footnote text"/>
    <w:basedOn w:val="Normal"/>
    <w:link w:val="FootnoteTextChar"/>
    <w:qFormat/>
    <w:rsid w:val="00CB783F"/>
    <w:pPr>
      <w:keepLines/>
      <w:spacing w:after="60" w:line="240" w:lineRule="auto"/>
      <w:ind w:left="567" w:hanging="567"/>
    </w:pPr>
    <w:rPr>
      <w:sz w:val="16"/>
    </w:rPr>
  </w:style>
  <w:style w:type="character" w:customStyle="1" w:styleId="FootnoteTextChar">
    <w:name w:val="Footnote Text Char"/>
    <w:basedOn w:val="DefaultParagraphFont"/>
    <w:link w:val="FootnoteText"/>
    <w:rsid w:val="00CB783F"/>
    <w:rPr>
      <w:rFonts w:ascii="Times New Roman" w:eastAsia="Times New Roman" w:hAnsi="Times New Roman" w:cs="Times New Roman"/>
      <w:sz w:val="16"/>
      <w:lang w:val="en-US"/>
    </w:rPr>
  </w:style>
  <w:style w:type="paragraph" w:styleId="Header">
    <w:name w:val="header"/>
    <w:basedOn w:val="Normal"/>
    <w:link w:val="HeaderChar"/>
    <w:qFormat/>
    <w:rsid w:val="00CB783F"/>
  </w:style>
  <w:style w:type="character" w:customStyle="1" w:styleId="HeaderChar">
    <w:name w:val="Header Char"/>
    <w:basedOn w:val="DefaultParagraphFont"/>
    <w:link w:val="Header"/>
    <w:rsid w:val="00CB783F"/>
    <w:rPr>
      <w:rFonts w:ascii="Times New Roman" w:eastAsia="Times New Roman" w:hAnsi="Times New Roman" w:cs="Times New Roman"/>
      <w:lang w:val="en-US"/>
    </w:rPr>
  </w:style>
  <w:style w:type="paragraph" w:customStyle="1" w:styleId="quotes">
    <w:name w:val="quotes"/>
    <w:basedOn w:val="Normal"/>
    <w:next w:val="Normal"/>
    <w:rsid w:val="00CB783F"/>
    <w:pPr>
      <w:ind w:left="720"/>
    </w:pPr>
    <w:rPr>
      <w:i/>
    </w:rPr>
  </w:style>
  <w:style w:type="character" w:styleId="FootnoteReference">
    <w:name w:val="footnote reference"/>
    <w:basedOn w:val="DefaultParagraphFont"/>
    <w:unhideWhenUsed/>
    <w:qFormat/>
    <w:rsid w:val="00CB783F"/>
    <w:rPr>
      <w:sz w:val="24"/>
      <w:vertAlign w:val="superscript"/>
    </w:rPr>
  </w:style>
  <w:style w:type="paragraph" w:styleId="ListParagraph">
    <w:name w:val="List Paragraph"/>
    <w:basedOn w:val="Normal"/>
    <w:uiPriority w:val="34"/>
    <w:qFormat/>
    <w:rsid w:val="00DA2C23"/>
    <w:pPr>
      <w:ind w:left="720"/>
      <w:contextualSpacing/>
    </w:pPr>
  </w:style>
  <w:style w:type="character" w:styleId="Hyperlink">
    <w:name w:val="Hyperlink"/>
    <w:basedOn w:val="DefaultParagraphFont"/>
    <w:uiPriority w:val="99"/>
    <w:unhideWhenUsed/>
    <w:rsid w:val="00FC21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4816">
      <w:bodyDiv w:val="1"/>
      <w:marLeft w:val="0"/>
      <w:marRight w:val="0"/>
      <w:marTop w:val="0"/>
      <w:marBottom w:val="0"/>
      <w:divBdr>
        <w:top w:val="none" w:sz="0" w:space="0" w:color="auto"/>
        <w:left w:val="none" w:sz="0" w:space="0" w:color="auto"/>
        <w:bottom w:val="none" w:sz="0" w:space="0" w:color="auto"/>
        <w:right w:val="none" w:sz="0" w:space="0" w:color="auto"/>
      </w:divBdr>
    </w:div>
    <w:div w:id="247007506">
      <w:bodyDiv w:val="1"/>
      <w:marLeft w:val="0"/>
      <w:marRight w:val="0"/>
      <w:marTop w:val="0"/>
      <w:marBottom w:val="0"/>
      <w:divBdr>
        <w:top w:val="none" w:sz="0" w:space="0" w:color="auto"/>
        <w:left w:val="none" w:sz="0" w:space="0" w:color="auto"/>
        <w:bottom w:val="none" w:sz="0" w:space="0" w:color="auto"/>
        <w:right w:val="none" w:sz="0" w:space="0" w:color="auto"/>
      </w:divBdr>
    </w:div>
    <w:div w:id="998341720">
      <w:bodyDiv w:val="1"/>
      <w:marLeft w:val="0"/>
      <w:marRight w:val="0"/>
      <w:marTop w:val="0"/>
      <w:marBottom w:val="0"/>
      <w:divBdr>
        <w:top w:val="none" w:sz="0" w:space="0" w:color="auto"/>
        <w:left w:val="none" w:sz="0" w:space="0" w:color="auto"/>
        <w:bottom w:val="none" w:sz="0" w:space="0" w:color="auto"/>
        <w:right w:val="none" w:sz="0" w:space="0" w:color="auto"/>
      </w:divBdr>
    </w:div>
    <w:div w:id="11819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sc.europa.eu/?i=portal.en.running-calls-for-tenders-digitisation-historical-archives"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29</TotalTime>
  <Pages>9</Pages>
  <Words>5622</Words>
  <Characters>3206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Tamasauskiene</dc:creator>
  <cp:lastModifiedBy>Julija Tamasauskiene</cp:lastModifiedBy>
  <cp:revision>6</cp:revision>
  <dcterms:created xsi:type="dcterms:W3CDTF">2017-02-23T13:18:00Z</dcterms:created>
  <dcterms:modified xsi:type="dcterms:W3CDTF">2017-02-23T14:03:00Z</dcterms:modified>
</cp:coreProperties>
</file>