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0" w:rsidRPr="00322B14" w:rsidRDefault="004C0330" w:rsidP="00AE7B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2B14">
        <w:rPr>
          <w:b/>
          <w:sz w:val="24"/>
          <w:szCs w:val="24"/>
        </w:rPr>
        <w:t>Resumo dos debates com a sociedade civil organizada portuguesa sobre o futuro da Europa</w:t>
      </w:r>
    </w:p>
    <w:p w:rsidR="004C0330" w:rsidRPr="00322B14" w:rsidRDefault="004C0330" w:rsidP="00AE7BC0">
      <w:pPr>
        <w:jc w:val="center"/>
        <w:rPr>
          <w:b/>
          <w:i/>
          <w:sz w:val="24"/>
          <w:szCs w:val="24"/>
        </w:rPr>
      </w:pPr>
      <w:r w:rsidRPr="00322B14">
        <w:rPr>
          <w:b/>
          <w:i/>
          <w:sz w:val="24"/>
          <w:szCs w:val="24"/>
        </w:rPr>
        <w:t xml:space="preserve">Comité </w:t>
      </w:r>
      <w:r w:rsidR="00AE7BC0" w:rsidRPr="00322B14">
        <w:rPr>
          <w:b/>
          <w:i/>
          <w:sz w:val="24"/>
          <w:szCs w:val="24"/>
        </w:rPr>
        <w:t>E</w:t>
      </w:r>
      <w:r w:rsidRPr="00322B14">
        <w:rPr>
          <w:b/>
          <w:i/>
          <w:sz w:val="24"/>
          <w:szCs w:val="24"/>
        </w:rPr>
        <w:t xml:space="preserve">conómico e Social (CES) de Portugal, Lisboa, 29 de maio </w:t>
      </w:r>
      <w:r w:rsidR="00AE7BC0" w:rsidRPr="00322B14">
        <w:rPr>
          <w:b/>
          <w:i/>
          <w:sz w:val="24"/>
          <w:szCs w:val="24"/>
        </w:rPr>
        <w:t>de 2017</w:t>
      </w:r>
    </w:p>
    <w:p w:rsidR="004C0330" w:rsidRPr="00322B14" w:rsidRDefault="00322B14" w:rsidP="00A14A01">
      <w:pPr>
        <w:rPr>
          <w:sz w:val="24"/>
          <w:szCs w:val="24"/>
        </w:rPr>
      </w:pPr>
      <w:r w:rsidRPr="00322B14">
        <w:rPr>
          <w:noProof/>
          <w:sz w:val="20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AEA120" wp14:editId="4768305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B14" w:rsidRPr="00322B14" w:rsidRDefault="00322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322B1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On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ZK6OntQIAALk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322B14" w:rsidR="00322B14" w:rsidRDefault="00322B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322B14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O debate com a </w:t>
      </w:r>
      <w:r w:rsidR="00A14A01" w:rsidRPr="00322B14">
        <w:rPr>
          <w:sz w:val="24"/>
          <w:szCs w:val="24"/>
        </w:rPr>
        <w:t>sociedade</w:t>
      </w:r>
      <w:r w:rsidRPr="00322B14">
        <w:rPr>
          <w:sz w:val="24"/>
          <w:szCs w:val="24"/>
        </w:rPr>
        <w:t xml:space="preserve"> civil organizada </w:t>
      </w:r>
      <w:r w:rsidR="00A14A01" w:rsidRPr="00322B14">
        <w:rPr>
          <w:sz w:val="24"/>
          <w:szCs w:val="24"/>
        </w:rPr>
        <w:t xml:space="preserve">(SCO) </w:t>
      </w:r>
      <w:r w:rsidRPr="00322B14">
        <w:rPr>
          <w:sz w:val="24"/>
          <w:szCs w:val="24"/>
        </w:rPr>
        <w:t>portuguesa</w:t>
      </w:r>
      <w:r w:rsidR="00A14A01" w:rsidRPr="00322B14">
        <w:rPr>
          <w:sz w:val="24"/>
          <w:szCs w:val="24"/>
        </w:rPr>
        <w:t xml:space="preserve"> sobre o futuro da Europa</w:t>
      </w:r>
      <w:r w:rsidRPr="00322B14">
        <w:rPr>
          <w:sz w:val="24"/>
          <w:szCs w:val="24"/>
        </w:rPr>
        <w:t xml:space="preserve"> teve lugar na sede do Comité </w:t>
      </w:r>
      <w:r w:rsidR="00032088" w:rsidRPr="00322B14">
        <w:rPr>
          <w:sz w:val="24"/>
          <w:szCs w:val="24"/>
        </w:rPr>
        <w:t>E</w:t>
      </w:r>
      <w:r w:rsidRPr="00322B14">
        <w:rPr>
          <w:sz w:val="24"/>
          <w:szCs w:val="24"/>
        </w:rPr>
        <w:t xml:space="preserve">conómico e Social </w:t>
      </w:r>
      <w:r w:rsidR="00A14A01" w:rsidRPr="00322B14">
        <w:rPr>
          <w:sz w:val="24"/>
          <w:szCs w:val="24"/>
        </w:rPr>
        <w:t xml:space="preserve">(CES) </w:t>
      </w:r>
      <w:r w:rsidRPr="00322B14">
        <w:rPr>
          <w:sz w:val="24"/>
          <w:szCs w:val="24"/>
        </w:rPr>
        <w:t>de Portugal</w:t>
      </w:r>
      <w:r w:rsidR="00A14A01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em Lisboa</w:t>
      </w:r>
      <w:r w:rsidR="00A14A01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no dia 29 de maio entre as 10 e as 18 horas.</w:t>
      </w:r>
    </w:p>
    <w:p w:rsidR="00A14A01" w:rsidRPr="00322B14" w:rsidRDefault="00A14A01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A delegação </w:t>
      </w:r>
      <w:r w:rsidR="00A14A01" w:rsidRPr="00322B14">
        <w:rPr>
          <w:sz w:val="24"/>
          <w:szCs w:val="24"/>
        </w:rPr>
        <w:t>do CESE</w:t>
      </w:r>
      <w:r w:rsidRPr="00322B14">
        <w:rPr>
          <w:sz w:val="24"/>
          <w:szCs w:val="24"/>
        </w:rPr>
        <w:t xml:space="preserve">, composta pelos conselheiros Pedro Almeida Freire (Grupo I), Carlos Silva (Grupo II) e Jorge Pegado Liz (Grupo </w:t>
      </w:r>
      <w:smartTag w:uri="urn:schemas-microsoft-com:office:smarttags" w:element="stockticker">
        <w:r w:rsidRPr="00322B14">
          <w:rPr>
            <w:sz w:val="24"/>
            <w:szCs w:val="24"/>
          </w:rPr>
          <w:t>III</w:t>
        </w:r>
      </w:smartTag>
      <w:r w:rsidRPr="00322B14">
        <w:rPr>
          <w:sz w:val="24"/>
          <w:szCs w:val="24"/>
        </w:rPr>
        <w:t>)</w:t>
      </w:r>
      <w:r w:rsidR="00350A5E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decidiu convidar para os debate</w:t>
      </w:r>
      <w:r w:rsidR="00A14A01" w:rsidRPr="00322B14">
        <w:rPr>
          <w:sz w:val="24"/>
          <w:szCs w:val="24"/>
        </w:rPr>
        <w:t>s</w:t>
      </w:r>
      <w:r w:rsidRPr="00322B14">
        <w:rPr>
          <w:sz w:val="24"/>
          <w:szCs w:val="24"/>
        </w:rPr>
        <w:t xml:space="preserve"> </w:t>
      </w:r>
      <w:r w:rsidR="00A14A01" w:rsidRPr="00322B14">
        <w:rPr>
          <w:sz w:val="24"/>
          <w:szCs w:val="24"/>
        </w:rPr>
        <w:t>a</w:t>
      </w:r>
      <w:r w:rsidRPr="00322B14">
        <w:rPr>
          <w:sz w:val="24"/>
          <w:szCs w:val="24"/>
        </w:rPr>
        <w:t xml:space="preserve">s organizações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 portuguesa com assento no CES de Portugal e decidiu organiz</w:t>
      </w:r>
      <w:r w:rsidR="00A14A01" w:rsidRPr="00322B14">
        <w:rPr>
          <w:sz w:val="24"/>
          <w:szCs w:val="24"/>
        </w:rPr>
        <w:t xml:space="preserve">á-los </w:t>
      </w:r>
      <w:r w:rsidRPr="00322B14">
        <w:rPr>
          <w:sz w:val="24"/>
          <w:szCs w:val="24"/>
        </w:rPr>
        <w:t>em 3 sessões separadas conforme o programa anexo.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DA65BF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O</w:t>
      </w:r>
      <w:r w:rsidR="00C455D6" w:rsidRPr="00322B14">
        <w:rPr>
          <w:sz w:val="24"/>
          <w:szCs w:val="24"/>
        </w:rPr>
        <w:t xml:space="preserve"> </w:t>
      </w:r>
      <w:r w:rsidR="00350A5E" w:rsidRPr="00322B14">
        <w:rPr>
          <w:sz w:val="24"/>
          <w:szCs w:val="24"/>
        </w:rPr>
        <w:t>p</w:t>
      </w:r>
      <w:r w:rsidR="00C455D6" w:rsidRPr="00322B14">
        <w:rPr>
          <w:sz w:val="24"/>
          <w:szCs w:val="24"/>
        </w:rPr>
        <w:t xml:space="preserve">residente do CES de Portugal, </w:t>
      </w:r>
      <w:r w:rsidR="00032088" w:rsidRPr="00322B14">
        <w:rPr>
          <w:sz w:val="24"/>
          <w:szCs w:val="24"/>
        </w:rPr>
        <w:t>António</w:t>
      </w:r>
      <w:r w:rsidR="00C455D6" w:rsidRPr="00322B14">
        <w:rPr>
          <w:sz w:val="24"/>
          <w:szCs w:val="24"/>
        </w:rPr>
        <w:t xml:space="preserve"> Correia de Campos</w:t>
      </w:r>
      <w:r w:rsidR="00032088" w:rsidRPr="00322B14">
        <w:rPr>
          <w:sz w:val="24"/>
          <w:szCs w:val="24"/>
        </w:rPr>
        <w:t>,</w:t>
      </w:r>
      <w:r w:rsidR="00C455D6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participou em todas as sessões</w:t>
      </w:r>
      <w:r w:rsidR="00350A5E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tendo </w:t>
      </w:r>
      <w:r w:rsidR="00C455D6" w:rsidRPr="00322B14">
        <w:rPr>
          <w:sz w:val="24"/>
          <w:szCs w:val="24"/>
        </w:rPr>
        <w:t>proferi</w:t>
      </w:r>
      <w:r w:rsidRPr="00322B14">
        <w:rPr>
          <w:sz w:val="24"/>
          <w:szCs w:val="24"/>
        </w:rPr>
        <w:t>do</w:t>
      </w:r>
      <w:r w:rsidR="00C455D6" w:rsidRPr="00322B14">
        <w:rPr>
          <w:sz w:val="24"/>
          <w:szCs w:val="24"/>
        </w:rPr>
        <w:t xml:space="preserve"> um pequeno discurso introdutório</w:t>
      </w:r>
      <w:r w:rsidRPr="00322B14">
        <w:rPr>
          <w:sz w:val="24"/>
          <w:szCs w:val="24"/>
        </w:rPr>
        <w:t xml:space="preserve"> ao qual se seguiu </w:t>
      </w:r>
      <w:r w:rsidR="00C455D6" w:rsidRPr="00322B14">
        <w:rPr>
          <w:sz w:val="24"/>
          <w:szCs w:val="24"/>
        </w:rPr>
        <w:t>uma apresentação do contexto da iniciativa do CESE feita por cada conselheiro representan</w:t>
      </w:r>
      <w:r w:rsidR="00A14A01" w:rsidRPr="00322B14">
        <w:rPr>
          <w:sz w:val="24"/>
          <w:szCs w:val="24"/>
        </w:rPr>
        <w:t>te</w:t>
      </w:r>
      <w:r w:rsidR="00C455D6" w:rsidRPr="00322B14">
        <w:rPr>
          <w:sz w:val="24"/>
          <w:szCs w:val="24"/>
        </w:rPr>
        <w:t xml:space="preserve"> </w:t>
      </w:r>
      <w:r w:rsidR="00A14A01" w:rsidRPr="00322B14">
        <w:rPr>
          <w:sz w:val="24"/>
          <w:szCs w:val="24"/>
        </w:rPr>
        <w:t>d</w:t>
      </w:r>
      <w:r w:rsidR="00C455D6" w:rsidRPr="00322B14">
        <w:rPr>
          <w:sz w:val="24"/>
          <w:szCs w:val="24"/>
        </w:rPr>
        <w:t>o grupo correspondente no CESE.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Depois da introdução foi pedido aos participantes que </w:t>
      </w:r>
      <w:r w:rsidR="00A14A01" w:rsidRPr="00322B14">
        <w:rPr>
          <w:sz w:val="24"/>
          <w:szCs w:val="24"/>
        </w:rPr>
        <w:t>respondessem</w:t>
      </w:r>
      <w:r w:rsidRPr="00322B14">
        <w:rPr>
          <w:sz w:val="24"/>
          <w:szCs w:val="24"/>
        </w:rPr>
        <w:t xml:space="preserve"> às questões col</w:t>
      </w:r>
      <w:r w:rsidR="00A14A01" w:rsidRPr="00322B14">
        <w:rPr>
          <w:sz w:val="24"/>
          <w:szCs w:val="24"/>
        </w:rPr>
        <w:t>oc</w:t>
      </w:r>
      <w:r w:rsidRPr="00322B14">
        <w:rPr>
          <w:sz w:val="24"/>
          <w:szCs w:val="24"/>
        </w:rPr>
        <w:t xml:space="preserve">adas no questionário do CESE, às quais se juntaram ocasionalmente questões de clarificação ou precisão, em particular uma questão recorrente sobre a eventual necessidade </w:t>
      </w:r>
      <w:r w:rsidR="00A14A01" w:rsidRPr="00322B14">
        <w:rPr>
          <w:sz w:val="24"/>
          <w:szCs w:val="24"/>
        </w:rPr>
        <w:t xml:space="preserve">(decorrente dos diferentes cenários apresentados pela Comissão) </w:t>
      </w:r>
      <w:r w:rsidRPr="00322B14">
        <w:rPr>
          <w:sz w:val="24"/>
          <w:szCs w:val="24"/>
        </w:rPr>
        <w:t>de proceder a uma revisão do Tratado da UE.</w:t>
      </w:r>
    </w:p>
    <w:p w:rsidR="00DA65BF" w:rsidRPr="00322B14" w:rsidRDefault="00DA65BF" w:rsidP="00DA65BF">
      <w:pPr>
        <w:rPr>
          <w:sz w:val="24"/>
          <w:szCs w:val="24"/>
        </w:rPr>
      </w:pPr>
    </w:p>
    <w:p w:rsidR="00C455D6" w:rsidRPr="00322B14" w:rsidRDefault="001237D8" w:rsidP="00DA65BF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Como consideração prévia, uma parte das organizações </w:t>
      </w:r>
      <w:r w:rsidR="00DA65BF" w:rsidRPr="00322B14">
        <w:rPr>
          <w:sz w:val="24"/>
          <w:szCs w:val="24"/>
        </w:rPr>
        <w:t xml:space="preserve">participantes </w:t>
      </w:r>
      <w:r w:rsidRPr="00322B14">
        <w:rPr>
          <w:sz w:val="24"/>
          <w:szCs w:val="24"/>
        </w:rPr>
        <w:t xml:space="preserve">sublinhou </w:t>
      </w:r>
      <w:r w:rsidR="00DA65BF" w:rsidRPr="00322B14">
        <w:rPr>
          <w:sz w:val="24"/>
          <w:szCs w:val="24"/>
        </w:rPr>
        <w:t>que, em termos qualitativos, o documento da Comissão fica aquém daquilo a que a instituição nos habituou por lhe faltarem elementos essenciais tais como uma avaliação do impacto de cada cenário em termos económicos e sociais e uma indicação dos custos de cada cenário.</w:t>
      </w:r>
    </w:p>
    <w:p w:rsidR="00DA65BF" w:rsidRPr="00322B14" w:rsidRDefault="00DA65BF" w:rsidP="00DA65BF">
      <w:pPr>
        <w:rPr>
          <w:sz w:val="24"/>
          <w:szCs w:val="24"/>
        </w:rPr>
      </w:pP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A14A01" w:rsidRPr="00322B14">
        <w:rPr>
          <w:b/>
          <w:bCs/>
          <w:sz w:val="24"/>
          <w:szCs w:val="24"/>
        </w:rPr>
        <w:t xml:space="preserve">uestão </w:t>
      </w:r>
      <w:r w:rsidRPr="00322B14">
        <w:rPr>
          <w:b/>
          <w:bCs/>
          <w:sz w:val="24"/>
          <w:szCs w:val="24"/>
        </w:rPr>
        <w:t>1</w:t>
      </w:r>
      <w:r w:rsidR="00A14A01" w:rsidRPr="00322B14">
        <w:rPr>
          <w:b/>
          <w:bCs/>
          <w:sz w:val="24"/>
          <w:szCs w:val="24"/>
        </w:rPr>
        <w:t>: 1.</w:t>
      </w:r>
      <w:r w:rsidR="00A14A01" w:rsidRPr="00322B14">
        <w:rPr>
          <w:b/>
          <w:bCs/>
          <w:sz w:val="24"/>
          <w:szCs w:val="24"/>
        </w:rPr>
        <w:tab/>
        <w:t>Qual dos cinco cenários descritos no Livro Branco melhor corresponde, em seu entender, aos desafios internos e externos que a UE enfrenta, e porquê?</w:t>
      </w: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As respostas a esta questão estão longe de ser un</w:t>
      </w:r>
      <w:r w:rsidR="00A14A01" w:rsidRPr="00322B14">
        <w:rPr>
          <w:sz w:val="24"/>
          <w:szCs w:val="24"/>
        </w:rPr>
        <w:t>â</w:t>
      </w:r>
      <w:r w:rsidRPr="00322B14">
        <w:rPr>
          <w:sz w:val="24"/>
          <w:szCs w:val="24"/>
        </w:rPr>
        <w:t>nimes, mesmo no âmbito de uma mesma sessão. Assim, durante a primeira sessão, enquanto a CIP</w:t>
      </w:r>
      <w:r w:rsidR="006C5C92" w:rsidRPr="00322B14">
        <w:rPr>
          <w:rStyle w:val="FootnoteReference"/>
          <w:szCs w:val="24"/>
        </w:rPr>
        <w:footnoteReference w:id="1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e a CCP</w:t>
      </w:r>
      <w:r w:rsidR="006C5C92" w:rsidRPr="00322B14">
        <w:rPr>
          <w:rStyle w:val="FootnoteReference"/>
          <w:szCs w:val="24"/>
        </w:rPr>
        <w:footnoteReference w:id="2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 xml:space="preserve">preferem um cenário que passe pela </w:t>
      </w:r>
      <w:r w:rsidR="00A14A01" w:rsidRPr="00322B14">
        <w:rPr>
          <w:sz w:val="24"/>
          <w:szCs w:val="24"/>
        </w:rPr>
        <w:t>conjugação</w:t>
      </w:r>
      <w:r w:rsidRPr="00322B14">
        <w:rPr>
          <w:sz w:val="24"/>
          <w:szCs w:val="24"/>
        </w:rPr>
        <w:t xml:space="preserve"> dos cenários 4 e 5 com um reforço da coesão, da solidariedade e da U</w:t>
      </w:r>
      <w:r w:rsidR="00A14A01" w:rsidRPr="00322B14">
        <w:rPr>
          <w:sz w:val="24"/>
          <w:szCs w:val="24"/>
        </w:rPr>
        <w:t>nião Económica e Monetária (UEM)</w:t>
      </w:r>
      <w:r w:rsidRPr="00322B14">
        <w:rPr>
          <w:sz w:val="24"/>
          <w:szCs w:val="24"/>
        </w:rPr>
        <w:t xml:space="preserve"> e</w:t>
      </w:r>
      <w:r w:rsidR="00A14A01" w:rsidRPr="00322B14">
        <w:rPr>
          <w:sz w:val="24"/>
          <w:szCs w:val="24"/>
        </w:rPr>
        <w:t xml:space="preserve">, </w:t>
      </w:r>
      <w:r w:rsidRPr="00322B14">
        <w:rPr>
          <w:sz w:val="24"/>
          <w:szCs w:val="24"/>
        </w:rPr>
        <w:t>sobretudo</w:t>
      </w:r>
      <w:r w:rsidR="00A14A01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com uma liderança forte no seio da </w:t>
      </w:r>
      <w:r w:rsidR="00D74AE6" w:rsidRPr="00322B14">
        <w:rPr>
          <w:sz w:val="24"/>
          <w:szCs w:val="24"/>
        </w:rPr>
        <w:t>U</w:t>
      </w:r>
      <w:r w:rsidR="00350A5E" w:rsidRPr="00322B14">
        <w:rPr>
          <w:sz w:val="24"/>
          <w:szCs w:val="24"/>
        </w:rPr>
        <w:t>E</w:t>
      </w:r>
      <w:r w:rsidR="00D74AE6" w:rsidRPr="00322B14">
        <w:rPr>
          <w:sz w:val="24"/>
          <w:szCs w:val="24"/>
        </w:rPr>
        <w:t xml:space="preserve"> e uma legitimidade democrática acrescida</w:t>
      </w:r>
      <w:r w:rsidRPr="00322B14">
        <w:rPr>
          <w:sz w:val="24"/>
          <w:szCs w:val="24"/>
        </w:rPr>
        <w:t>, a CTP</w:t>
      </w:r>
      <w:r w:rsidR="006C5C92" w:rsidRPr="00322B14">
        <w:rPr>
          <w:rStyle w:val="FootnoteReference"/>
          <w:szCs w:val="24"/>
        </w:rPr>
        <w:footnoteReference w:id="3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prefere optar pela combinação dos cenários 2, 3 e 4, embora pedindo também uma maior coesão e uma resposta eficaz aos problemas decorrentes da crise económica e da crise migratória.</w:t>
      </w: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lastRenderedPageBreak/>
        <w:t>Já quanto à eventual necessidade de rever o Tratado, se a CIP e a CTP s</w:t>
      </w:r>
      <w:r w:rsidR="00A14A01" w:rsidRPr="00322B14">
        <w:rPr>
          <w:sz w:val="24"/>
          <w:szCs w:val="24"/>
        </w:rPr>
        <w:t xml:space="preserve">e pronunciaram </w:t>
      </w:r>
      <w:r w:rsidRPr="00322B14">
        <w:rPr>
          <w:sz w:val="24"/>
          <w:szCs w:val="24"/>
        </w:rPr>
        <w:t>contra</w:t>
      </w:r>
      <w:r w:rsidR="00985AC7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por considerarem faltar uma base sólida de apoio, a CCP julga necessário fazê-lo para </w:t>
      </w:r>
      <w:r w:rsidR="00C40F67" w:rsidRPr="00322B14">
        <w:rPr>
          <w:sz w:val="24"/>
          <w:szCs w:val="24"/>
        </w:rPr>
        <w:t>«</w:t>
      </w:r>
      <w:r w:rsidRPr="00322B14">
        <w:rPr>
          <w:sz w:val="24"/>
          <w:szCs w:val="24"/>
        </w:rPr>
        <w:t>desgovernamentalizar</w:t>
      </w:r>
      <w:r w:rsidR="00C40F67" w:rsidRPr="00322B14">
        <w:rPr>
          <w:sz w:val="24"/>
          <w:szCs w:val="24"/>
        </w:rPr>
        <w:t>»</w:t>
      </w:r>
      <w:r w:rsidRPr="00322B14">
        <w:rPr>
          <w:sz w:val="24"/>
          <w:szCs w:val="24"/>
        </w:rPr>
        <w:t xml:space="preserve"> a UE.</w:t>
      </w:r>
    </w:p>
    <w:p w:rsidR="00C455D6" w:rsidRPr="00322B14" w:rsidRDefault="00C455D6" w:rsidP="00A14A01">
      <w:pPr>
        <w:rPr>
          <w:b/>
          <w:bCs/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Na segunda sessão, a posição da CGTP</w:t>
      </w:r>
      <w:r w:rsidR="006C5C92" w:rsidRPr="00322B14">
        <w:rPr>
          <w:rStyle w:val="FootnoteReference"/>
          <w:szCs w:val="24"/>
        </w:rPr>
        <w:footnoteReference w:id="4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é muito clara e todas as respostas coincidem na ideia que nenhum dos cenários pode ser aceite</w:t>
      </w:r>
      <w:r w:rsidR="00A14A01" w:rsidRPr="00322B14">
        <w:rPr>
          <w:sz w:val="24"/>
          <w:szCs w:val="24"/>
        </w:rPr>
        <w:t>. Mais</w:t>
      </w:r>
      <w:r w:rsidRPr="00322B14">
        <w:rPr>
          <w:sz w:val="24"/>
          <w:szCs w:val="24"/>
        </w:rPr>
        <w:t xml:space="preserve"> do que isso</w:t>
      </w:r>
      <w:r w:rsidR="00A14A01" w:rsidRPr="00322B14">
        <w:rPr>
          <w:sz w:val="24"/>
          <w:szCs w:val="24"/>
        </w:rPr>
        <w:t xml:space="preserve">, </w:t>
      </w:r>
      <w:r w:rsidRPr="00322B14">
        <w:rPr>
          <w:sz w:val="24"/>
          <w:szCs w:val="24"/>
        </w:rPr>
        <w:t xml:space="preserve">a CGTP defende uma </w:t>
      </w:r>
      <w:r w:rsidR="00C40F67" w:rsidRPr="00322B14">
        <w:rPr>
          <w:sz w:val="24"/>
          <w:szCs w:val="24"/>
        </w:rPr>
        <w:t>«</w:t>
      </w:r>
      <w:r w:rsidRPr="00322B14">
        <w:rPr>
          <w:sz w:val="24"/>
          <w:szCs w:val="24"/>
        </w:rPr>
        <w:t>outra Europa</w:t>
      </w:r>
      <w:r w:rsidR="00C40F67" w:rsidRPr="00322B14">
        <w:rPr>
          <w:sz w:val="24"/>
          <w:szCs w:val="24"/>
        </w:rPr>
        <w:t>»</w:t>
      </w:r>
      <w:r w:rsidRPr="00322B14">
        <w:rPr>
          <w:sz w:val="24"/>
          <w:szCs w:val="24"/>
        </w:rPr>
        <w:t xml:space="preserve"> de </w:t>
      </w:r>
      <w:r w:rsidR="00C40F67" w:rsidRPr="00322B14">
        <w:rPr>
          <w:sz w:val="24"/>
          <w:szCs w:val="24"/>
        </w:rPr>
        <w:t>E</w:t>
      </w:r>
      <w:r w:rsidRPr="00322B14">
        <w:rPr>
          <w:sz w:val="24"/>
          <w:szCs w:val="24"/>
        </w:rPr>
        <w:t xml:space="preserve">stados soberanos que ponham em práticas políticas de defesa dos interesses dos trabalhadores e do povo contra o grande capital. 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F044F5">
      <w:pPr>
        <w:rPr>
          <w:sz w:val="24"/>
          <w:szCs w:val="24"/>
        </w:rPr>
      </w:pPr>
      <w:r w:rsidRPr="00322B14">
        <w:rPr>
          <w:sz w:val="24"/>
          <w:szCs w:val="24"/>
        </w:rPr>
        <w:t>Já a UGT</w:t>
      </w:r>
      <w:r w:rsidR="006C5C92" w:rsidRPr="00322B14">
        <w:rPr>
          <w:rStyle w:val="FootnoteReference"/>
          <w:szCs w:val="24"/>
        </w:rPr>
        <w:footnoteReference w:id="5"/>
      </w:r>
      <w:r w:rsidR="00A14A01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</w:t>
      </w:r>
      <w:r w:rsidR="00A14A01" w:rsidRPr="00322B14">
        <w:rPr>
          <w:sz w:val="24"/>
          <w:szCs w:val="24"/>
        </w:rPr>
        <w:t xml:space="preserve">embora sustentando </w:t>
      </w:r>
      <w:r w:rsidRPr="00322B14">
        <w:rPr>
          <w:sz w:val="24"/>
          <w:szCs w:val="24"/>
        </w:rPr>
        <w:t>que nenhum dos cenários é suficiente</w:t>
      </w:r>
      <w:r w:rsidR="00A14A01" w:rsidRPr="00322B14">
        <w:rPr>
          <w:sz w:val="24"/>
          <w:szCs w:val="24"/>
        </w:rPr>
        <w:t xml:space="preserve">, parece aberta a </w:t>
      </w:r>
      <w:r w:rsidRPr="00322B14">
        <w:rPr>
          <w:sz w:val="24"/>
          <w:szCs w:val="24"/>
        </w:rPr>
        <w:t xml:space="preserve">admitir que um cenário 5 </w:t>
      </w:r>
      <w:r w:rsidR="003360E4" w:rsidRPr="00322B14">
        <w:rPr>
          <w:sz w:val="24"/>
          <w:szCs w:val="24"/>
        </w:rPr>
        <w:t>«</w:t>
      </w:r>
      <w:r w:rsidRPr="00322B14">
        <w:rPr>
          <w:sz w:val="24"/>
          <w:szCs w:val="24"/>
        </w:rPr>
        <w:t>melhorado</w:t>
      </w:r>
      <w:r w:rsidR="003360E4" w:rsidRPr="00322B14">
        <w:rPr>
          <w:sz w:val="24"/>
          <w:szCs w:val="24"/>
        </w:rPr>
        <w:t>»</w:t>
      </w:r>
      <w:r w:rsidRPr="00322B14">
        <w:rPr>
          <w:sz w:val="24"/>
          <w:szCs w:val="24"/>
        </w:rPr>
        <w:t xml:space="preserve"> poderia merecer atenção. A UGT considera que a UE tem vindo a privilegiar a vertente monetarista e orçamental em detrimento da vertente social e que essa tendência tem </w:t>
      </w:r>
      <w:r w:rsidR="00C40F67" w:rsidRPr="00322B14">
        <w:rPr>
          <w:sz w:val="24"/>
          <w:szCs w:val="24"/>
        </w:rPr>
        <w:t>d</w:t>
      </w:r>
      <w:r w:rsidRPr="00322B14">
        <w:rPr>
          <w:sz w:val="24"/>
          <w:szCs w:val="24"/>
        </w:rPr>
        <w:t>e ser corrigida. Lamenta a total ausência de referências à dimensão social nos cinco cenários.</w:t>
      </w:r>
      <w:r w:rsidR="0050370A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Em resumo</w:t>
      </w:r>
      <w:r w:rsidR="00C40F67" w:rsidRPr="00322B14">
        <w:rPr>
          <w:sz w:val="24"/>
          <w:szCs w:val="24"/>
        </w:rPr>
        <w:t>,</w:t>
      </w:r>
      <w:r w:rsidR="0050370A" w:rsidRPr="00322B14">
        <w:rPr>
          <w:sz w:val="24"/>
          <w:szCs w:val="24"/>
        </w:rPr>
        <w:t xml:space="preserve"> a UGT considera que</w:t>
      </w:r>
      <w:r w:rsidRPr="00322B14">
        <w:rPr>
          <w:sz w:val="24"/>
          <w:szCs w:val="24"/>
        </w:rPr>
        <w:t xml:space="preserve">: </w:t>
      </w:r>
    </w:p>
    <w:p w:rsidR="00C455D6" w:rsidRPr="00322B14" w:rsidRDefault="00C455D6" w:rsidP="00F044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B14">
        <w:rPr>
          <w:sz w:val="24"/>
          <w:szCs w:val="24"/>
        </w:rPr>
        <w:t>os objetivos da governação económica não se podem sobrepor aos direitos dos trabalhadores, e</w:t>
      </w:r>
      <w:r w:rsidR="0050370A" w:rsidRPr="00322B14">
        <w:rPr>
          <w:sz w:val="24"/>
          <w:szCs w:val="24"/>
        </w:rPr>
        <w:t xml:space="preserve"> que</w:t>
      </w:r>
    </w:p>
    <w:p w:rsidR="00C455D6" w:rsidRPr="00322B14" w:rsidRDefault="00C455D6" w:rsidP="00F044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B14">
        <w:rPr>
          <w:sz w:val="24"/>
          <w:szCs w:val="24"/>
        </w:rPr>
        <w:t>é necessária maior solidariedade entre os Estados</w:t>
      </w:r>
      <w:r w:rsidR="00B84136" w:rsidRPr="00322B14">
        <w:rPr>
          <w:sz w:val="24"/>
          <w:szCs w:val="24"/>
        </w:rPr>
        <w:t>-</w:t>
      </w:r>
      <w:r w:rsidRPr="00322B14">
        <w:rPr>
          <w:sz w:val="24"/>
          <w:szCs w:val="24"/>
        </w:rPr>
        <w:t>Membros.</w:t>
      </w:r>
    </w:p>
    <w:p w:rsidR="00C455D6" w:rsidRPr="00322B14" w:rsidRDefault="00C455D6" w:rsidP="00F044F5">
      <w:pPr>
        <w:rPr>
          <w:sz w:val="24"/>
          <w:szCs w:val="24"/>
        </w:rPr>
      </w:pPr>
    </w:p>
    <w:p w:rsidR="00C455D6" w:rsidRPr="00322B14" w:rsidRDefault="00C455D6" w:rsidP="00F044F5">
      <w:pPr>
        <w:rPr>
          <w:sz w:val="24"/>
          <w:szCs w:val="24"/>
        </w:rPr>
      </w:pPr>
      <w:r w:rsidRPr="00322B14">
        <w:rPr>
          <w:sz w:val="24"/>
          <w:szCs w:val="24"/>
        </w:rPr>
        <w:t>Na última sessão, a CONFECOOP</w:t>
      </w:r>
      <w:r w:rsidR="006C5C92" w:rsidRPr="00322B14">
        <w:rPr>
          <w:rStyle w:val="FootnoteReference"/>
          <w:szCs w:val="24"/>
        </w:rPr>
        <w:footnoteReference w:id="6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e a CNIS</w:t>
      </w:r>
      <w:r w:rsidR="006C5C92" w:rsidRPr="00322B14">
        <w:rPr>
          <w:rStyle w:val="FootnoteReference"/>
          <w:szCs w:val="24"/>
        </w:rPr>
        <w:footnoteReference w:id="7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optaram claramente pelo cenário 5 enquanto a CNAF</w:t>
      </w:r>
      <w:r w:rsidR="006C5C92" w:rsidRPr="00322B14">
        <w:rPr>
          <w:rStyle w:val="FootnoteReference"/>
          <w:szCs w:val="24"/>
        </w:rPr>
        <w:footnoteReference w:id="8"/>
      </w:r>
      <w:r w:rsidRPr="00322B14">
        <w:rPr>
          <w:sz w:val="24"/>
          <w:szCs w:val="24"/>
        </w:rPr>
        <w:t xml:space="preserve">, a </w:t>
      </w:r>
      <w:r w:rsidR="0013233C" w:rsidRPr="00322B14">
        <w:rPr>
          <w:sz w:val="24"/>
          <w:szCs w:val="24"/>
        </w:rPr>
        <w:t>APMJ</w:t>
      </w:r>
      <w:r w:rsidR="006C5C92" w:rsidRPr="00322B14">
        <w:rPr>
          <w:rStyle w:val="FootnoteReference"/>
          <w:szCs w:val="24"/>
        </w:rPr>
        <w:footnoteReference w:id="9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e a IOMH</w:t>
      </w:r>
      <w:r w:rsidR="006C5C92" w:rsidRPr="00322B14">
        <w:rPr>
          <w:rStyle w:val="FootnoteReference"/>
          <w:szCs w:val="24"/>
        </w:rPr>
        <w:footnoteReference w:id="10"/>
      </w:r>
      <w:r w:rsidR="006C5C92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 xml:space="preserve">recusaram qualquer dos cenários, </w:t>
      </w:r>
      <w:r w:rsidR="00985AC7" w:rsidRPr="00322B14">
        <w:rPr>
          <w:sz w:val="24"/>
          <w:szCs w:val="24"/>
        </w:rPr>
        <w:t xml:space="preserve">tendo as representantes deste último grupo de interesses </w:t>
      </w:r>
      <w:r w:rsidRPr="00322B14">
        <w:rPr>
          <w:sz w:val="24"/>
          <w:szCs w:val="24"/>
        </w:rPr>
        <w:t>apresenta</w:t>
      </w:r>
      <w:r w:rsidR="00985AC7" w:rsidRPr="00322B14">
        <w:rPr>
          <w:sz w:val="24"/>
          <w:szCs w:val="24"/>
        </w:rPr>
        <w:t>do</w:t>
      </w:r>
      <w:r w:rsidRPr="00322B14">
        <w:rPr>
          <w:sz w:val="24"/>
          <w:szCs w:val="24"/>
        </w:rPr>
        <w:t xml:space="preserve"> uma proposta de 6</w:t>
      </w:r>
      <w:r w:rsidR="00B84136" w:rsidRPr="00322B14">
        <w:rPr>
          <w:sz w:val="24"/>
          <w:szCs w:val="24"/>
        </w:rPr>
        <w:t>.</w:t>
      </w:r>
      <w:r w:rsidRPr="00322B14">
        <w:rPr>
          <w:sz w:val="24"/>
          <w:szCs w:val="24"/>
        </w:rPr>
        <w:t>° cenário (</w:t>
      </w:r>
      <w:r w:rsidR="00A14A01" w:rsidRPr="00322B14">
        <w:rPr>
          <w:i/>
          <w:sz w:val="24"/>
          <w:szCs w:val="24"/>
        </w:rPr>
        <w:t>Sustainable Europe for its citizens</w:t>
      </w:r>
      <w:r w:rsidR="00A14A01" w:rsidRPr="00322B14">
        <w:rPr>
          <w:sz w:val="24"/>
          <w:szCs w:val="24"/>
        </w:rPr>
        <w:t xml:space="preserve">, </w:t>
      </w:r>
      <w:r w:rsidRPr="00322B14">
        <w:rPr>
          <w:sz w:val="24"/>
          <w:szCs w:val="24"/>
        </w:rPr>
        <w:t xml:space="preserve">ver anexo) que aponta para uma UE centrada nas </w:t>
      </w:r>
      <w:r w:rsidRPr="00322B14">
        <w:rPr>
          <w:b/>
          <w:bCs/>
          <w:sz w:val="24"/>
          <w:szCs w:val="24"/>
          <w:u w:val="single"/>
        </w:rPr>
        <w:t>pessoas</w:t>
      </w:r>
      <w:r w:rsidRPr="00322B14">
        <w:rPr>
          <w:sz w:val="24"/>
          <w:szCs w:val="24"/>
        </w:rPr>
        <w:t xml:space="preserve"> e na </w:t>
      </w:r>
      <w:r w:rsidRPr="00322B14">
        <w:rPr>
          <w:b/>
          <w:bCs/>
          <w:sz w:val="24"/>
          <w:szCs w:val="24"/>
          <w:u w:val="single"/>
        </w:rPr>
        <w:t>sustentabilidade</w:t>
      </w:r>
      <w:r w:rsidRPr="00322B14">
        <w:rPr>
          <w:sz w:val="24"/>
          <w:szCs w:val="24"/>
        </w:rPr>
        <w:t xml:space="preserve"> e que passa pela transparência das instituições, pelo reforço da democracia, por novas referências económicas (</w:t>
      </w:r>
      <w:r w:rsidR="00A14A01" w:rsidRPr="00322B14">
        <w:rPr>
          <w:sz w:val="24"/>
          <w:szCs w:val="24"/>
        </w:rPr>
        <w:t xml:space="preserve">o </w:t>
      </w:r>
      <w:r w:rsidRPr="00322B14">
        <w:rPr>
          <w:sz w:val="24"/>
          <w:szCs w:val="24"/>
        </w:rPr>
        <w:t xml:space="preserve">PIB não pode ser a referência única) e pelo conceito de </w:t>
      </w:r>
      <w:r w:rsidRPr="00322B14">
        <w:rPr>
          <w:sz w:val="24"/>
          <w:szCs w:val="24"/>
          <w:u w:val="single"/>
        </w:rPr>
        <w:t>economia do cuidado</w:t>
      </w:r>
      <w:r w:rsidRPr="00322B14">
        <w:rPr>
          <w:sz w:val="24"/>
          <w:szCs w:val="24"/>
        </w:rPr>
        <w:t>.</w:t>
      </w:r>
    </w:p>
    <w:p w:rsidR="006C5C92" w:rsidRPr="00322B14" w:rsidRDefault="006C5C92" w:rsidP="00F044F5">
      <w:pPr>
        <w:rPr>
          <w:sz w:val="24"/>
          <w:szCs w:val="24"/>
        </w:rPr>
      </w:pPr>
    </w:p>
    <w:p w:rsidR="00C455D6" w:rsidRPr="00322B14" w:rsidRDefault="00C455D6" w:rsidP="00F044F5">
      <w:pPr>
        <w:rPr>
          <w:sz w:val="24"/>
          <w:szCs w:val="24"/>
        </w:rPr>
      </w:pPr>
      <w:r w:rsidRPr="00322B14">
        <w:rPr>
          <w:sz w:val="24"/>
          <w:szCs w:val="24"/>
        </w:rPr>
        <w:t>Por último, a DECO</w:t>
      </w:r>
      <w:r w:rsidR="006C5C92" w:rsidRPr="00322B14">
        <w:rPr>
          <w:rStyle w:val="FootnoteReference"/>
          <w:szCs w:val="24"/>
        </w:rPr>
        <w:footnoteReference w:id="11"/>
      </w:r>
      <w:r w:rsidRPr="00322B14">
        <w:rPr>
          <w:sz w:val="24"/>
          <w:szCs w:val="24"/>
        </w:rPr>
        <w:t>, considera que o cenário 1 é o único viável embora seja necessário reforçar as políticas de proteção dos consumidores</w:t>
      </w:r>
      <w:r w:rsidR="00B84136" w:rsidRPr="00322B14">
        <w:rPr>
          <w:sz w:val="24"/>
          <w:szCs w:val="24"/>
        </w:rPr>
        <w:t>,</w:t>
      </w:r>
      <w:r w:rsidR="00985AC7" w:rsidRPr="00322B14">
        <w:rPr>
          <w:sz w:val="24"/>
          <w:szCs w:val="24"/>
        </w:rPr>
        <w:t xml:space="preserve"> as quais têm sido postas em causa nos últimos tempos</w:t>
      </w:r>
      <w:r w:rsidRPr="00322B14">
        <w:rPr>
          <w:sz w:val="24"/>
          <w:szCs w:val="24"/>
        </w:rPr>
        <w:t>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Relativamente à necessi</w:t>
      </w:r>
      <w:r w:rsidR="00A14A01" w:rsidRPr="00322B14">
        <w:rPr>
          <w:sz w:val="24"/>
          <w:szCs w:val="24"/>
        </w:rPr>
        <w:t>da</w:t>
      </w:r>
      <w:r w:rsidRPr="00322B14">
        <w:rPr>
          <w:sz w:val="24"/>
          <w:szCs w:val="24"/>
        </w:rPr>
        <w:t>de de rever o Tratado, as organizações presentes pronunciaram-se contra</w:t>
      </w:r>
      <w:r w:rsidR="00B84136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com </w:t>
      </w:r>
      <w:r w:rsidR="00A14A01" w:rsidRPr="00322B14">
        <w:rPr>
          <w:sz w:val="24"/>
          <w:szCs w:val="24"/>
        </w:rPr>
        <w:t>exceção</w:t>
      </w:r>
      <w:r w:rsidRPr="00322B14">
        <w:rPr>
          <w:sz w:val="24"/>
          <w:szCs w:val="24"/>
        </w:rPr>
        <w:t xml:space="preserve"> da IOMH</w:t>
      </w:r>
      <w:r w:rsidR="00DA65BF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que defendeu claramente tal revisão</w:t>
      </w:r>
      <w:r w:rsidR="00DA65BF" w:rsidRPr="00322B14">
        <w:rPr>
          <w:sz w:val="24"/>
          <w:szCs w:val="24"/>
        </w:rPr>
        <w:t>, e da DECO</w:t>
      </w:r>
      <w:r w:rsidR="00B84136" w:rsidRPr="00322B14">
        <w:rPr>
          <w:sz w:val="24"/>
          <w:szCs w:val="24"/>
        </w:rPr>
        <w:t>,</w:t>
      </w:r>
      <w:r w:rsidR="00DA65BF" w:rsidRPr="00322B14">
        <w:rPr>
          <w:sz w:val="24"/>
          <w:szCs w:val="24"/>
        </w:rPr>
        <w:t xml:space="preserve"> que a considerou implicitamente necessária para a realização do cenário 5</w:t>
      </w:r>
      <w:r w:rsidRPr="00322B14">
        <w:rPr>
          <w:sz w:val="24"/>
          <w:szCs w:val="24"/>
        </w:rPr>
        <w:t xml:space="preserve">. 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4C0330" w:rsidRPr="00322B14">
        <w:rPr>
          <w:b/>
          <w:bCs/>
          <w:sz w:val="24"/>
          <w:szCs w:val="24"/>
        </w:rPr>
        <w:t>uestão</w:t>
      </w:r>
      <w:r w:rsidR="004C0330" w:rsidRPr="000C120D">
        <w:rPr>
          <w:b/>
          <w:sz w:val="24"/>
          <w:szCs w:val="24"/>
        </w:rPr>
        <w:t xml:space="preserve"> </w:t>
      </w:r>
      <w:r w:rsidR="004C0330" w:rsidRPr="00322B14">
        <w:rPr>
          <w:b/>
          <w:bCs/>
          <w:sz w:val="24"/>
          <w:szCs w:val="24"/>
        </w:rPr>
        <w:t xml:space="preserve">2: Seria possível e preferível um outro cenário, não referido? Se sim, porquê? Como acha que a confiança deve ser promovida na União? </w:t>
      </w:r>
    </w:p>
    <w:p w:rsidR="004C0330" w:rsidRPr="00322B14" w:rsidRDefault="004C0330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A resposta a esta questão decorre em larga medida da resposta à primeira. A maioria das organizações parece aberta à ideia de um 6</w:t>
      </w:r>
      <w:r w:rsidR="004A121D" w:rsidRPr="00322B14">
        <w:rPr>
          <w:sz w:val="24"/>
          <w:szCs w:val="24"/>
        </w:rPr>
        <w:t>.</w:t>
      </w:r>
      <w:r w:rsidRPr="00322B14">
        <w:rPr>
          <w:sz w:val="24"/>
          <w:szCs w:val="24"/>
        </w:rPr>
        <w:t xml:space="preserve">° cenário que combine diferentes aspetos dos cenários apresentados pela Comissão e que se resume em fazer muito mais, muito melhor, </w:t>
      </w:r>
      <w:r w:rsidR="00F044F5" w:rsidRPr="00322B14">
        <w:rPr>
          <w:sz w:val="24"/>
          <w:szCs w:val="24"/>
        </w:rPr>
        <w:t xml:space="preserve">todos </w:t>
      </w:r>
      <w:r w:rsidRPr="00322B14">
        <w:rPr>
          <w:sz w:val="24"/>
          <w:szCs w:val="24"/>
        </w:rPr>
        <w:t>juntos</w:t>
      </w:r>
      <w:r w:rsidR="00F044F5" w:rsidRPr="00322B14">
        <w:rPr>
          <w:sz w:val="24"/>
          <w:szCs w:val="24"/>
        </w:rPr>
        <w:t xml:space="preserve">, </w:t>
      </w:r>
      <w:r w:rsidRPr="00322B14">
        <w:rPr>
          <w:sz w:val="24"/>
          <w:szCs w:val="24"/>
        </w:rPr>
        <w:t>com e para os cidadãos.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4C0330" w:rsidRPr="00322B14">
        <w:rPr>
          <w:b/>
          <w:bCs/>
          <w:sz w:val="24"/>
          <w:szCs w:val="24"/>
        </w:rPr>
        <w:t>uestão 3: É necessária uma maior visibilidade e uma melhor comunicação sobre a União Europeia, e de que forma?</w:t>
      </w: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De maneira geral, as organizações ouvidas (com exceção da CGTP que defende a necessidade de políticas e não de propaganda) estiveram de acordo sobre a necessidade de mais informação, formação e educação. É importante que os cidadãos (e sobretudo os mais novos) tenham consciência das vantagens que a UE lhes traz na vida quotidiana. No entanto, convém não ignorar que o afastamento dos cidadãos em relação à UE resulta em grande medida da falta de resposta às suas necessidades e preocupações.  </w:t>
      </w:r>
    </w:p>
    <w:p w:rsidR="004C0330" w:rsidRPr="00322B14" w:rsidRDefault="004C0330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É por isso importante que a comunicação esteja centrada nas pessoas e que estas sintam que têm acesso às instâncias através da realização de debates de proximidade. Debates como os que organiza o CESE são muito importantes. O CESE é um excelente instrumento de aproximação das organizações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. No entanto, nada disto será suficiente de não houver seguimento. É necessário gerir as expectativas dos cidadãos e dar seguimento às suas intervenções. </w:t>
      </w:r>
    </w:p>
    <w:p w:rsidR="004C0330" w:rsidRPr="00322B14" w:rsidRDefault="004C0330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A nível nacional é importante que os parlamentos ouçam as organizações da sociedade civil e envolvam o mais possível os cidadãos num debate que é do maior interesse para </w:t>
      </w:r>
      <w:r w:rsidR="004C0330" w:rsidRPr="00322B14">
        <w:rPr>
          <w:sz w:val="24"/>
          <w:szCs w:val="24"/>
        </w:rPr>
        <w:t>todos</w:t>
      </w:r>
      <w:r w:rsidRPr="00322B14">
        <w:rPr>
          <w:sz w:val="24"/>
          <w:szCs w:val="24"/>
        </w:rPr>
        <w:t>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A</w:t>
      </w:r>
      <w:r w:rsidR="00985AC7" w:rsidRPr="00322B14">
        <w:rPr>
          <w:sz w:val="24"/>
          <w:szCs w:val="24"/>
        </w:rPr>
        <w:t>s representantes da</w:t>
      </w:r>
      <w:r w:rsidRPr="00322B14">
        <w:rPr>
          <w:sz w:val="24"/>
          <w:szCs w:val="24"/>
        </w:rPr>
        <w:t xml:space="preserve"> IOM</w:t>
      </w:r>
      <w:r w:rsidR="00261B6D" w:rsidRPr="00322B14">
        <w:rPr>
          <w:sz w:val="24"/>
          <w:szCs w:val="24"/>
        </w:rPr>
        <w:t>H</w:t>
      </w:r>
      <w:r w:rsidRPr="00322B14">
        <w:rPr>
          <w:sz w:val="24"/>
          <w:szCs w:val="24"/>
        </w:rPr>
        <w:t xml:space="preserve"> defende</w:t>
      </w:r>
      <w:r w:rsidR="00985AC7" w:rsidRPr="00322B14">
        <w:rPr>
          <w:sz w:val="24"/>
          <w:szCs w:val="24"/>
        </w:rPr>
        <w:t>m</w:t>
      </w:r>
      <w:r w:rsidRPr="00322B14">
        <w:rPr>
          <w:sz w:val="24"/>
          <w:szCs w:val="24"/>
        </w:rPr>
        <w:t xml:space="preserve"> a necessidade de uma comunicação rigorosa</w:t>
      </w:r>
      <w:r w:rsidR="00F044F5" w:rsidRPr="00322B14">
        <w:rPr>
          <w:sz w:val="24"/>
          <w:szCs w:val="24"/>
        </w:rPr>
        <w:t xml:space="preserve"> e </w:t>
      </w:r>
      <w:r w:rsidR="00985AC7" w:rsidRPr="00322B14">
        <w:rPr>
          <w:sz w:val="24"/>
          <w:szCs w:val="24"/>
        </w:rPr>
        <w:t xml:space="preserve">apresentaram propostas concretas de </w:t>
      </w:r>
      <w:r w:rsidRPr="00322B14">
        <w:rPr>
          <w:sz w:val="24"/>
          <w:szCs w:val="24"/>
        </w:rPr>
        <w:t>rev</w:t>
      </w:r>
      <w:r w:rsidR="00F044F5" w:rsidRPr="00322B14">
        <w:rPr>
          <w:sz w:val="24"/>
          <w:szCs w:val="24"/>
        </w:rPr>
        <w:t>isão do</w:t>
      </w:r>
      <w:r w:rsidRPr="00322B14">
        <w:rPr>
          <w:sz w:val="24"/>
          <w:szCs w:val="24"/>
        </w:rPr>
        <w:t xml:space="preserve"> portal da </w:t>
      </w:r>
      <w:r w:rsidR="00985AC7" w:rsidRPr="00322B14">
        <w:rPr>
          <w:sz w:val="24"/>
          <w:szCs w:val="24"/>
        </w:rPr>
        <w:t>U</w:t>
      </w:r>
      <w:r w:rsidR="004A121D" w:rsidRPr="00322B14">
        <w:rPr>
          <w:sz w:val="24"/>
          <w:szCs w:val="24"/>
        </w:rPr>
        <w:t>E</w:t>
      </w:r>
      <w:r w:rsidR="00985AC7" w:rsidRPr="00322B14">
        <w:rPr>
          <w:sz w:val="24"/>
          <w:szCs w:val="24"/>
        </w:rPr>
        <w:t xml:space="preserve">, </w:t>
      </w:r>
      <w:r w:rsidR="00F044F5" w:rsidRPr="00322B14">
        <w:rPr>
          <w:sz w:val="24"/>
          <w:szCs w:val="24"/>
        </w:rPr>
        <w:t xml:space="preserve">a realização de </w:t>
      </w:r>
      <w:r w:rsidRPr="00322B14">
        <w:rPr>
          <w:sz w:val="24"/>
          <w:szCs w:val="24"/>
        </w:rPr>
        <w:t xml:space="preserve">audições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 antes dos </w:t>
      </w:r>
      <w:r w:rsidR="003E2FF4" w:rsidRPr="00322B14">
        <w:rPr>
          <w:sz w:val="24"/>
          <w:szCs w:val="24"/>
        </w:rPr>
        <w:t>C</w:t>
      </w:r>
      <w:r w:rsidRPr="00322B14">
        <w:rPr>
          <w:sz w:val="24"/>
          <w:szCs w:val="24"/>
        </w:rPr>
        <w:t xml:space="preserve">onselhos </w:t>
      </w:r>
      <w:r w:rsidR="003E2FF4" w:rsidRPr="00322B14">
        <w:rPr>
          <w:sz w:val="24"/>
          <w:szCs w:val="24"/>
        </w:rPr>
        <w:t>E</w:t>
      </w:r>
      <w:r w:rsidRPr="00322B14">
        <w:rPr>
          <w:sz w:val="24"/>
          <w:szCs w:val="24"/>
        </w:rPr>
        <w:t>uropeus</w:t>
      </w:r>
      <w:r w:rsidR="00985AC7" w:rsidRPr="00322B14">
        <w:rPr>
          <w:sz w:val="24"/>
          <w:szCs w:val="24"/>
        </w:rPr>
        <w:t xml:space="preserve"> e a criação de um fórum da sociedade civil</w:t>
      </w:r>
      <w:r w:rsidRPr="00322B14">
        <w:rPr>
          <w:sz w:val="24"/>
          <w:szCs w:val="24"/>
        </w:rPr>
        <w:t xml:space="preserve">. 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4C0330" w:rsidRPr="00322B14">
        <w:rPr>
          <w:b/>
          <w:bCs/>
          <w:sz w:val="24"/>
          <w:szCs w:val="24"/>
        </w:rPr>
        <w:t xml:space="preserve">uestão </w:t>
      </w:r>
      <w:r w:rsidRPr="00322B14">
        <w:rPr>
          <w:b/>
          <w:bCs/>
          <w:sz w:val="24"/>
          <w:szCs w:val="24"/>
        </w:rPr>
        <w:t>4</w:t>
      </w:r>
      <w:r w:rsidR="004C0330" w:rsidRPr="00322B14">
        <w:rPr>
          <w:b/>
          <w:bCs/>
          <w:sz w:val="24"/>
          <w:szCs w:val="24"/>
        </w:rPr>
        <w:t>: Os domínios de política referidos são suficientemente exaustivos e ilustrativos? Como os classificaria por ordem de importância? Há algum domínio central de política que não tenha sido mencionado ou recebido o destaque devido? Se sim, qual, e qual dos cinco cenários se prestaria melhor ao seu desenvolvimento?</w:t>
      </w:r>
    </w:p>
    <w:p w:rsidR="00C455D6" w:rsidRPr="00322B14" w:rsidRDefault="00F044F5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N</w:t>
      </w:r>
      <w:r w:rsidR="00B72F57" w:rsidRPr="00322B14">
        <w:rPr>
          <w:sz w:val="24"/>
          <w:szCs w:val="24"/>
        </w:rPr>
        <w:t xml:space="preserve">o entender da </w:t>
      </w:r>
      <w:r w:rsidRPr="00322B14">
        <w:rPr>
          <w:sz w:val="24"/>
          <w:szCs w:val="24"/>
        </w:rPr>
        <w:t xml:space="preserve">generalidade </w:t>
      </w:r>
      <w:r w:rsidR="00B72F57" w:rsidRPr="00322B14">
        <w:rPr>
          <w:sz w:val="24"/>
          <w:szCs w:val="24"/>
        </w:rPr>
        <w:t>das organizações</w:t>
      </w:r>
      <w:r w:rsidR="004A121D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há domínios de política que estão ausentes dos cinco cenários e que deveriam ser mencionados. Os domínios mais citados foram </w:t>
      </w:r>
      <w:r w:rsidR="00C455D6" w:rsidRPr="00322B14">
        <w:rPr>
          <w:sz w:val="24"/>
          <w:szCs w:val="24"/>
        </w:rPr>
        <w:t>a pol</w:t>
      </w:r>
      <w:r w:rsidR="0045368C" w:rsidRPr="00322B14">
        <w:rPr>
          <w:sz w:val="24"/>
          <w:szCs w:val="24"/>
        </w:rPr>
        <w:t>í</w:t>
      </w:r>
      <w:r w:rsidR="00C455D6" w:rsidRPr="00322B14">
        <w:rPr>
          <w:sz w:val="24"/>
          <w:szCs w:val="24"/>
        </w:rPr>
        <w:t xml:space="preserve">tica de coesão e solidariedade, </w:t>
      </w:r>
      <w:r w:rsidR="00B72F57" w:rsidRPr="00322B14">
        <w:rPr>
          <w:sz w:val="24"/>
          <w:szCs w:val="24"/>
        </w:rPr>
        <w:t xml:space="preserve">a </w:t>
      </w:r>
      <w:r w:rsidR="00C455D6" w:rsidRPr="00322B14">
        <w:rPr>
          <w:sz w:val="24"/>
          <w:szCs w:val="24"/>
        </w:rPr>
        <w:t xml:space="preserve">reforma </w:t>
      </w:r>
      <w:r w:rsidR="00B72F57" w:rsidRPr="00322B14">
        <w:rPr>
          <w:sz w:val="24"/>
          <w:szCs w:val="24"/>
        </w:rPr>
        <w:t>institucional</w:t>
      </w:r>
      <w:r w:rsidR="004A121D" w:rsidRPr="00322B14">
        <w:rPr>
          <w:sz w:val="24"/>
          <w:szCs w:val="24"/>
        </w:rPr>
        <w:t>,</w:t>
      </w:r>
      <w:r w:rsidR="00B72F57" w:rsidRPr="00322B14">
        <w:rPr>
          <w:sz w:val="24"/>
          <w:szCs w:val="24"/>
        </w:rPr>
        <w:t xml:space="preserve"> e a governação e </w:t>
      </w:r>
      <w:r w:rsidR="00C455D6" w:rsidRPr="00322B14">
        <w:rPr>
          <w:sz w:val="24"/>
          <w:szCs w:val="24"/>
        </w:rPr>
        <w:t xml:space="preserve">o aprofundamento da </w:t>
      </w:r>
      <w:r w:rsidR="00B72F57" w:rsidRPr="00322B14">
        <w:rPr>
          <w:sz w:val="24"/>
          <w:szCs w:val="24"/>
        </w:rPr>
        <w:t>U</w:t>
      </w:r>
      <w:r w:rsidR="004A121D" w:rsidRPr="00322B14">
        <w:rPr>
          <w:sz w:val="24"/>
          <w:szCs w:val="24"/>
        </w:rPr>
        <w:t>E</w:t>
      </w:r>
      <w:r w:rsidR="00B72F57" w:rsidRPr="00322B14">
        <w:rPr>
          <w:sz w:val="24"/>
          <w:szCs w:val="24"/>
        </w:rPr>
        <w:t>.</w:t>
      </w:r>
      <w:r w:rsidR="00C455D6" w:rsidRPr="00322B14">
        <w:rPr>
          <w:sz w:val="24"/>
          <w:szCs w:val="24"/>
        </w:rPr>
        <w:t xml:space="preserve"> 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F044F5" w:rsidP="0050370A">
      <w:pPr>
        <w:rPr>
          <w:b/>
          <w:bCs/>
          <w:sz w:val="24"/>
          <w:szCs w:val="24"/>
        </w:rPr>
      </w:pPr>
      <w:r w:rsidRPr="00322B14">
        <w:rPr>
          <w:sz w:val="24"/>
          <w:szCs w:val="24"/>
        </w:rPr>
        <w:t xml:space="preserve">Foram ainda </w:t>
      </w:r>
      <w:r w:rsidR="00B72F57" w:rsidRPr="00322B14">
        <w:rPr>
          <w:sz w:val="24"/>
          <w:szCs w:val="24"/>
        </w:rPr>
        <w:t>aponta</w:t>
      </w:r>
      <w:r w:rsidRPr="00322B14">
        <w:rPr>
          <w:sz w:val="24"/>
          <w:szCs w:val="24"/>
        </w:rPr>
        <w:t>dos outros domínios</w:t>
      </w:r>
      <w:r w:rsidR="004A121D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tais como </w:t>
      </w:r>
      <w:r w:rsidR="00B72F57" w:rsidRPr="00322B14">
        <w:rPr>
          <w:sz w:val="24"/>
          <w:szCs w:val="24"/>
        </w:rPr>
        <w:t xml:space="preserve">a </w:t>
      </w:r>
      <w:r w:rsidR="00C455D6" w:rsidRPr="00322B14">
        <w:rPr>
          <w:sz w:val="24"/>
          <w:szCs w:val="24"/>
        </w:rPr>
        <w:t>pol</w:t>
      </w:r>
      <w:r w:rsidR="0045368C" w:rsidRPr="00322B14">
        <w:rPr>
          <w:sz w:val="24"/>
          <w:szCs w:val="24"/>
        </w:rPr>
        <w:t>í</w:t>
      </w:r>
      <w:r w:rsidR="00C455D6" w:rsidRPr="00322B14">
        <w:rPr>
          <w:sz w:val="24"/>
          <w:szCs w:val="24"/>
        </w:rPr>
        <w:t>tica dos consumidores</w:t>
      </w:r>
      <w:r w:rsidR="00B72F57" w:rsidRPr="00322B14">
        <w:rPr>
          <w:sz w:val="24"/>
          <w:szCs w:val="24"/>
        </w:rPr>
        <w:t xml:space="preserve"> (DECO), </w:t>
      </w:r>
      <w:r w:rsidR="00C455D6" w:rsidRPr="00322B14">
        <w:rPr>
          <w:sz w:val="24"/>
          <w:szCs w:val="24"/>
        </w:rPr>
        <w:t>a pol</w:t>
      </w:r>
      <w:r w:rsidR="00C40F67" w:rsidRPr="00322B14">
        <w:rPr>
          <w:sz w:val="24"/>
          <w:szCs w:val="24"/>
        </w:rPr>
        <w:t>í</w:t>
      </w:r>
      <w:r w:rsidR="00C455D6" w:rsidRPr="00322B14">
        <w:rPr>
          <w:sz w:val="24"/>
          <w:szCs w:val="24"/>
        </w:rPr>
        <w:t>tica das fam</w:t>
      </w:r>
      <w:r w:rsidR="00B72F57" w:rsidRPr="00322B14">
        <w:rPr>
          <w:sz w:val="24"/>
          <w:szCs w:val="24"/>
        </w:rPr>
        <w:t>í</w:t>
      </w:r>
      <w:r w:rsidR="00C455D6" w:rsidRPr="00322B14">
        <w:rPr>
          <w:sz w:val="24"/>
          <w:szCs w:val="24"/>
        </w:rPr>
        <w:t>lias</w:t>
      </w:r>
      <w:r w:rsidR="00B72F57" w:rsidRPr="00322B14">
        <w:rPr>
          <w:sz w:val="24"/>
          <w:szCs w:val="24"/>
        </w:rPr>
        <w:t xml:space="preserve"> (CNAF), </w:t>
      </w:r>
      <w:r w:rsidR="0050370A" w:rsidRPr="00322B14">
        <w:rPr>
          <w:sz w:val="24"/>
          <w:szCs w:val="24"/>
        </w:rPr>
        <w:t>a economia social (CONFECOOP e CNIS)</w:t>
      </w:r>
      <w:r w:rsidR="00985AC7" w:rsidRPr="00322B14">
        <w:rPr>
          <w:sz w:val="24"/>
          <w:szCs w:val="24"/>
        </w:rPr>
        <w:t>,</w:t>
      </w:r>
      <w:r w:rsidR="0050370A" w:rsidRPr="00322B14">
        <w:rPr>
          <w:sz w:val="24"/>
          <w:szCs w:val="24"/>
        </w:rPr>
        <w:t xml:space="preserve"> </w:t>
      </w:r>
      <w:r w:rsidR="00B72F57" w:rsidRPr="00322B14">
        <w:rPr>
          <w:sz w:val="24"/>
          <w:szCs w:val="24"/>
        </w:rPr>
        <w:t xml:space="preserve">as políticas de natalidade, a </w:t>
      </w:r>
      <w:r w:rsidR="0050370A" w:rsidRPr="00322B14">
        <w:rPr>
          <w:sz w:val="24"/>
          <w:szCs w:val="24"/>
        </w:rPr>
        <w:t xml:space="preserve">inovação e a inclusão (APMJ). </w:t>
      </w:r>
    </w:p>
    <w:p w:rsidR="004C0330" w:rsidRPr="00322B14" w:rsidRDefault="004C0330" w:rsidP="00A14A01">
      <w:pPr>
        <w:rPr>
          <w:b/>
          <w:bCs/>
          <w:sz w:val="24"/>
          <w:szCs w:val="24"/>
        </w:rPr>
      </w:pPr>
    </w:p>
    <w:p w:rsidR="00D74AE6" w:rsidRPr="00322B14" w:rsidRDefault="00D74AE6" w:rsidP="00A14A01">
      <w:pPr>
        <w:rPr>
          <w:bCs/>
          <w:sz w:val="24"/>
          <w:szCs w:val="24"/>
        </w:rPr>
      </w:pPr>
      <w:r w:rsidRPr="00322B14">
        <w:rPr>
          <w:bCs/>
          <w:sz w:val="24"/>
          <w:szCs w:val="24"/>
        </w:rPr>
        <w:t>De salientar que tanto as organizações empresariais como a UGT consideraram que o cenário 5 seria aquele que poderia ser mais favorável aos interesses das empresas para os primeiros e a uma Europa mais social para a segunda.</w:t>
      </w:r>
    </w:p>
    <w:p w:rsidR="00D74AE6" w:rsidRPr="00322B14" w:rsidRDefault="00D74AE6" w:rsidP="00A14A01">
      <w:pPr>
        <w:rPr>
          <w:b/>
          <w:bCs/>
          <w:sz w:val="24"/>
          <w:szCs w:val="24"/>
        </w:rPr>
      </w:pP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4C0330" w:rsidRPr="00322B14">
        <w:rPr>
          <w:b/>
          <w:bCs/>
          <w:sz w:val="24"/>
          <w:szCs w:val="24"/>
        </w:rPr>
        <w:t>uestão</w:t>
      </w:r>
      <w:r w:rsidR="004C0330" w:rsidRPr="000C120D">
        <w:rPr>
          <w:b/>
          <w:sz w:val="24"/>
          <w:szCs w:val="24"/>
        </w:rPr>
        <w:t xml:space="preserve"> </w:t>
      </w:r>
      <w:r w:rsidR="004C0330" w:rsidRPr="00322B14">
        <w:rPr>
          <w:b/>
          <w:bCs/>
          <w:sz w:val="24"/>
          <w:szCs w:val="24"/>
        </w:rPr>
        <w:t>5: No que toca à via a seguir, como devem ser estruturados os debates sobre o futuro da Europa em todos os parlamentos nacionais, cidades e regiões da Europa? Que papel deve caber à sociedade civil organizada na via a seguir, e como?</w:t>
      </w: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O envolvimento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 é fundamental para todos os participantes</w:t>
      </w:r>
      <w:r w:rsidR="00874299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que </w:t>
      </w:r>
      <w:r w:rsidR="00985AC7" w:rsidRPr="00322B14">
        <w:rPr>
          <w:sz w:val="24"/>
          <w:szCs w:val="24"/>
        </w:rPr>
        <w:t xml:space="preserve">salientaram a importância de debates </w:t>
      </w:r>
      <w:r w:rsidRPr="00322B14">
        <w:rPr>
          <w:sz w:val="24"/>
          <w:szCs w:val="24"/>
        </w:rPr>
        <w:t xml:space="preserve">como aqueles que o CESE organiza. É </w:t>
      </w:r>
      <w:r w:rsidR="00985AC7" w:rsidRPr="00322B14">
        <w:rPr>
          <w:sz w:val="24"/>
          <w:szCs w:val="24"/>
        </w:rPr>
        <w:t xml:space="preserve">necessário </w:t>
      </w:r>
      <w:r w:rsidRPr="00322B14">
        <w:rPr>
          <w:sz w:val="24"/>
          <w:szCs w:val="24"/>
        </w:rPr>
        <w:t xml:space="preserve">que as organizações e os cidadãos vejam que as instituições </w:t>
      </w:r>
      <w:r w:rsidR="0050370A" w:rsidRPr="00322B14">
        <w:rPr>
          <w:sz w:val="24"/>
          <w:szCs w:val="24"/>
        </w:rPr>
        <w:t xml:space="preserve">estão </w:t>
      </w:r>
      <w:r w:rsidRPr="00322B14">
        <w:rPr>
          <w:sz w:val="24"/>
          <w:szCs w:val="24"/>
        </w:rPr>
        <w:t xml:space="preserve">próximas. No entanto, é também </w:t>
      </w:r>
      <w:r w:rsidR="00985AC7" w:rsidRPr="00322B14">
        <w:rPr>
          <w:sz w:val="24"/>
          <w:szCs w:val="24"/>
        </w:rPr>
        <w:t xml:space="preserve">muito importante ser capaz de </w:t>
      </w:r>
      <w:r w:rsidRPr="00322B14">
        <w:rPr>
          <w:sz w:val="24"/>
          <w:szCs w:val="24"/>
        </w:rPr>
        <w:t xml:space="preserve">gerir </w:t>
      </w:r>
      <w:r w:rsidR="00874299" w:rsidRPr="00322B14">
        <w:rPr>
          <w:sz w:val="24"/>
          <w:szCs w:val="24"/>
        </w:rPr>
        <w:t xml:space="preserve">as </w:t>
      </w:r>
      <w:r w:rsidRPr="00322B14">
        <w:rPr>
          <w:sz w:val="24"/>
          <w:szCs w:val="24"/>
        </w:rPr>
        <w:t xml:space="preserve">expectativas das pessoas, mostrar-lhes que as suas preocupações são tomadas em conta e que são procuradas respostas. Em contrapartida, não é aceitável que </w:t>
      </w:r>
      <w:r w:rsidR="0050370A" w:rsidRPr="00322B14">
        <w:rPr>
          <w:sz w:val="24"/>
          <w:szCs w:val="24"/>
        </w:rPr>
        <w:t>representantes</w:t>
      </w:r>
      <w:r w:rsidRPr="00322B14">
        <w:rPr>
          <w:sz w:val="24"/>
          <w:szCs w:val="24"/>
        </w:rPr>
        <w:t xml:space="preserve"> das instituições da UE se apresentem aos cidadãos ou às </w:t>
      </w:r>
      <w:r w:rsidR="0050370A" w:rsidRPr="00322B14">
        <w:rPr>
          <w:sz w:val="24"/>
          <w:szCs w:val="24"/>
        </w:rPr>
        <w:t>organizações</w:t>
      </w:r>
      <w:r w:rsidRPr="00322B14">
        <w:rPr>
          <w:sz w:val="24"/>
          <w:szCs w:val="24"/>
        </w:rPr>
        <w:t xml:space="preserve"> com soluções </w:t>
      </w:r>
      <w:r w:rsidR="0050370A" w:rsidRPr="00322B14">
        <w:rPr>
          <w:sz w:val="24"/>
          <w:szCs w:val="24"/>
        </w:rPr>
        <w:t>pré-concebidas</w:t>
      </w:r>
      <w:r w:rsidRPr="00322B14">
        <w:rPr>
          <w:sz w:val="24"/>
          <w:szCs w:val="24"/>
        </w:rPr>
        <w:t xml:space="preserve"> e sem estar</w:t>
      </w:r>
      <w:r w:rsidR="00D74AE6" w:rsidRPr="00322B14">
        <w:rPr>
          <w:sz w:val="24"/>
          <w:szCs w:val="24"/>
        </w:rPr>
        <w:t>em</w:t>
      </w:r>
      <w:r w:rsidRPr="00322B14">
        <w:rPr>
          <w:sz w:val="24"/>
          <w:szCs w:val="24"/>
        </w:rPr>
        <w:t xml:space="preserve"> verdadeiramente à escuta.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D74AE6" w:rsidRPr="00322B14" w:rsidRDefault="00D74AE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Os participantes sublinharam a necessidade de conta</w:t>
      </w:r>
      <w:r w:rsidR="0045368C" w:rsidRPr="00322B14">
        <w:rPr>
          <w:sz w:val="24"/>
          <w:szCs w:val="24"/>
        </w:rPr>
        <w:t>c</w:t>
      </w:r>
      <w:r w:rsidRPr="00322B14">
        <w:rPr>
          <w:sz w:val="24"/>
          <w:szCs w:val="24"/>
        </w:rPr>
        <w:t xml:space="preserve">tos mais estreitos entre o CES e o CESE e todos se mostraram disponíveis para </w:t>
      </w:r>
      <w:r w:rsidR="0045368C" w:rsidRPr="00322B14">
        <w:rPr>
          <w:sz w:val="24"/>
          <w:szCs w:val="24"/>
        </w:rPr>
        <w:t>a</w:t>
      </w:r>
      <w:r w:rsidRPr="00322B14">
        <w:rPr>
          <w:sz w:val="24"/>
          <w:szCs w:val="24"/>
        </w:rPr>
        <w:t>profundarem estes conta</w:t>
      </w:r>
      <w:r w:rsidR="0045368C" w:rsidRPr="00322B14">
        <w:rPr>
          <w:sz w:val="24"/>
          <w:szCs w:val="24"/>
        </w:rPr>
        <w:t>c</w:t>
      </w:r>
      <w:r w:rsidRPr="00322B14">
        <w:rPr>
          <w:sz w:val="24"/>
          <w:szCs w:val="24"/>
        </w:rPr>
        <w:t>tos.</w:t>
      </w:r>
    </w:p>
    <w:p w:rsidR="00D74AE6" w:rsidRPr="00322B14" w:rsidRDefault="00D74AE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O envolvimento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 nos debates parlamentares é também muito importante</w:t>
      </w:r>
      <w:r w:rsidR="0050370A" w:rsidRPr="00322B14">
        <w:rPr>
          <w:sz w:val="24"/>
          <w:szCs w:val="24"/>
        </w:rPr>
        <w:t xml:space="preserve"> e no caso português seria importante que o CES português fosse ouvido pela Assembleia da República.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A respeito da participação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 alguns participantes salientaram, por um lado, o peso diferente de uma organização ou de um cidadão isolado e</w:t>
      </w:r>
      <w:r w:rsidR="0045368C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por outro lado, a necessidade de alargar a consulta a outras organizações que não têm assento no CES de Portugal.</w:t>
      </w:r>
    </w:p>
    <w:p w:rsidR="00C455D6" w:rsidRPr="00322B14" w:rsidRDefault="00C455D6" w:rsidP="00A14A01">
      <w:pPr>
        <w:rPr>
          <w:sz w:val="24"/>
          <w:szCs w:val="24"/>
        </w:rPr>
      </w:pPr>
    </w:p>
    <w:p w:rsidR="00032088" w:rsidRPr="00322B14" w:rsidRDefault="00032088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Neste contexto, o </w:t>
      </w:r>
      <w:r w:rsidR="00053D22" w:rsidRPr="00322B14">
        <w:rPr>
          <w:sz w:val="24"/>
          <w:szCs w:val="24"/>
        </w:rPr>
        <w:t>p</w:t>
      </w:r>
      <w:r w:rsidRPr="00322B14">
        <w:rPr>
          <w:sz w:val="24"/>
          <w:szCs w:val="24"/>
        </w:rPr>
        <w:t>residente do CES português comprometeu-se a organizar um debate ou a propor a elaboração de um parecer do CES sobre esta matéria, em setembro</w:t>
      </w:r>
      <w:r w:rsidR="00053D22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e manifestou a disponibilidade e o interesse em poder contar com a colaboração do CESE.</w:t>
      </w:r>
    </w:p>
    <w:p w:rsidR="00032088" w:rsidRPr="00322B14" w:rsidRDefault="00032088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 xml:space="preserve"> </w:t>
      </w: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4C0330" w:rsidRPr="00322B14">
        <w:rPr>
          <w:b/>
          <w:bCs/>
          <w:sz w:val="24"/>
          <w:szCs w:val="24"/>
        </w:rPr>
        <w:t>uestão 6: Quais são as suas expectativas específicas quanto ao resultado da consulta?</w:t>
      </w:r>
    </w:p>
    <w:p w:rsidR="00C455D6" w:rsidRPr="00322B14" w:rsidRDefault="00C455D6" w:rsidP="00A14A01">
      <w:pPr>
        <w:rPr>
          <w:sz w:val="24"/>
          <w:szCs w:val="24"/>
        </w:rPr>
      </w:pPr>
      <w:r w:rsidRPr="00322B14">
        <w:rPr>
          <w:sz w:val="24"/>
          <w:szCs w:val="24"/>
        </w:rPr>
        <w:t>Com exceção da CGTP</w:t>
      </w:r>
      <w:r w:rsidR="00874299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que não tem qualquer esperança nos resultados da consulta da </w:t>
      </w:r>
      <w:smartTag w:uri="urn:schemas-microsoft-com:office:smarttags" w:element="stockticker">
        <w:r w:rsidRPr="00322B14">
          <w:rPr>
            <w:sz w:val="24"/>
            <w:szCs w:val="24"/>
          </w:rPr>
          <w:t>SCO</w:t>
        </w:r>
      </w:smartTag>
      <w:r w:rsidRPr="00322B14">
        <w:rPr>
          <w:sz w:val="24"/>
          <w:szCs w:val="24"/>
        </w:rPr>
        <w:t xml:space="preserve">, todos os outros participantes esperam que as consultas possam contribuir para uma UE melhor para os cidadãos e as empresas, que traga crescimento, solidariedade e emprego. </w:t>
      </w:r>
    </w:p>
    <w:p w:rsidR="00C455D6" w:rsidRPr="00322B14" w:rsidRDefault="00C455D6" w:rsidP="00A14A01">
      <w:pPr>
        <w:rPr>
          <w:sz w:val="24"/>
          <w:szCs w:val="24"/>
        </w:rPr>
      </w:pPr>
    </w:p>
    <w:p w:rsidR="00C455D6" w:rsidRPr="00322B14" w:rsidRDefault="00C455D6" w:rsidP="00A14A01">
      <w:pPr>
        <w:rPr>
          <w:b/>
          <w:bCs/>
          <w:sz w:val="24"/>
          <w:szCs w:val="24"/>
        </w:rPr>
      </w:pPr>
      <w:r w:rsidRPr="00322B14">
        <w:rPr>
          <w:b/>
          <w:bCs/>
          <w:sz w:val="24"/>
          <w:szCs w:val="24"/>
        </w:rPr>
        <w:t>Q</w:t>
      </w:r>
      <w:r w:rsidR="004C0330" w:rsidRPr="00322B14">
        <w:rPr>
          <w:b/>
          <w:bCs/>
          <w:sz w:val="24"/>
          <w:szCs w:val="24"/>
        </w:rPr>
        <w:t>uestão</w:t>
      </w:r>
      <w:r w:rsidR="004C0330" w:rsidRPr="000C120D">
        <w:rPr>
          <w:b/>
          <w:sz w:val="24"/>
          <w:szCs w:val="24"/>
        </w:rPr>
        <w:t xml:space="preserve"> </w:t>
      </w:r>
      <w:r w:rsidR="004C0330" w:rsidRPr="00322B14">
        <w:rPr>
          <w:b/>
          <w:bCs/>
          <w:sz w:val="24"/>
          <w:szCs w:val="24"/>
        </w:rPr>
        <w:t>7: Como capacitar melhor os cidadãos para influenciar o futuro da Europa?</w:t>
      </w:r>
    </w:p>
    <w:p w:rsidR="00E76888" w:rsidRPr="00322B14" w:rsidRDefault="00E76888" w:rsidP="00B72F57">
      <w:pPr>
        <w:rPr>
          <w:sz w:val="24"/>
          <w:szCs w:val="24"/>
        </w:rPr>
      </w:pPr>
      <w:r w:rsidRPr="00322B14">
        <w:rPr>
          <w:sz w:val="24"/>
          <w:szCs w:val="24"/>
        </w:rPr>
        <w:t>A maioria dos participantes salientou a importância do n</w:t>
      </w:r>
      <w:r w:rsidR="00874299" w:rsidRPr="00322B14">
        <w:rPr>
          <w:sz w:val="24"/>
          <w:szCs w:val="24"/>
        </w:rPr>
        <w:t>.</w:t>
      </w:r>
      <w:r w:rsidRPr="00322B14">
        <w:rPr>
          <w:sz w:val="24"/>
          <w:szCs w:val="24"/>
        </w:rPr>
        <w:t>°</w:t>
      </w:r>
      <w:r w:rsidR="00874299" w:rsidRPr="00322B14">
        <w:rPr>
          <w:sz w:val="24"/>
          <w:szCs w:val="24"/>
        </w:rPr>
        <w:t xml:space="preserve"> </w:t>
      </w:r>
      <w:r w:rsidRPr="00322B14">
        <w:rPr>
          <w:sz w:val="24"/>
          <w:szCs w:val="24"/>
        </w:rPr>
        <w:t>2 do artigo 11</w:t>
      </w:r>
      <w:r w:rsidR="0015331B" w:rsidRPr="00322B14">
        <w:rPr>
          <w:sz w:val="24"/>
          <w:szCs w:val="24"/>
        </w:rPr>
        <w:t>.º</w:t>
      </w:r>
      <w:r w:rsidRPr="00322B14">
        <w:rPr>
          <w:sz w:val="24"/>
          <w:szCs w:val="24"/>
        </w:rPr>
        <w:t xml:space="preserve"> do Tratado e sublinhou o facto de iniciativas como a do CESE serem precisamente uma das formas de aplicar a referida disposição. </w:t>
      </w:r>
    </w:p>
    <w:p w:rsidR="00B72F57" w:rsidRPr="00322B14" w:rsidRDefault="00E76888" w:rsidP="00B72F57">
      <w:pPr>
        <w:rPr>
          <w:sz w:val="24"/>
          <w:szCs w:val="24"/>
        </w:rPr>
      </w:pPr>
      <w:r w:rsidRPr="00322B14">
        <w:rPr>
          <w:sz w:val="24"/>
          <w:szCs w:val="24"/>
        </w:rPr>
        <w:t>O</w:t>
      </w:r>
      <w:r w:rsidR="0050370A" w:rsidRPr="00322B14">
        <w:rPr>
          <w:sz w:val="24"/>
          <w:szCs w:val="24"/>
        </w:rPr>
        <w:t>s participantes consider</w:t>
      </w:r>
      <w:r w:rsidRPr="00322B14">
        <w:rPr>
          <w:sz w:val="24"/>
          <w:szCs w:val="24"/>
        </w:rPr>
        <w:t xml:space="preserve">aram </w:t>
      </w:r>
      <w:r w:rsidR="0050370A" w:rsidRPr="00322B14">
        <w:rPr>
          <w:sz w:val="24"/>
          <w:szCs w:val="24"/>
        </w:rPr>
        <w:t xml:space="preserve">que é </w:t>
      </w:r>
      <w:r w:rsidR="00B72F57" w:rsidRPr="00322B14">
        <w:rPr>
          <w:sz w:val="24"/>
          <w:szCs w:val="24"/>
        </w:rPr>
        <w:t xml:space="preserve">preciso </w:t>
      </w:r>
      <w:r w:rsidR="0050370A" w:rsidRPr="00322B14">
        <w:rPr>
          <w:sz w:val="24"/>
          <w:szCs w:val="24"/>
        </w:rPr>
        <w:t xml:space="preserve">mais e melhor </w:t>
      </w:r>
      <w:r w:rsidR="00B72F57" w:rsidRPr="00322B14">
        <w:rPr>
          <w:sz w:val="24"/>
          <w:szCs w:val="24"/>
        </w:rPr>
        <w:t xml:space="preserve">comunicação, informação e formação para que </w:t>
      </w:r>
      <w:r w:rsidR="0050370A" w:rsidRPr="00322B14">
        <w:rPr>
          <w:sz w:val="24"/>
          <w:szCs w:val="24"/>
        </w:rPr>
        <w:t xml:space="preserve">os cidadãos se sintam ouvidos e envolvidos. Neste contexto, é particularmente importante um enfoque </w:t>
      </w:r>
      <w:r w:rsidR="00B72F57" w:rsidRPr="00322B14">
        <w:rPr>
          <w:sz w:val="24"/>
          <w:szCs w:val="24"/>
        </w:rPr>
        <w:t>nas gerações mais novas</w:t>
      </w:r>
      <w:r w:rsidR="0050370A" w:rsidRPr="00322B14">
        <w:rPr>
          <w:sz w:val="24"/>
          <w:szCs w:val="24"/>
        </w:rPr>
        <w:t>.</w:t>
      </w:r>
      <w:r w:rsidR="00B72F57" w:rsidRPr="00322B14">
        <w:rPr>
          <w:sz w:val="24"/>
          <w:szCs w:val="24"/>
        </w:rPr>
        <w:t xml:space="preserve"> </w:t>
      </w:r>
    </w:p>
    <w:p w:rsidR="00E76888" w:rsidRPr="00322B14" w:rsidRDefault="0050370A" w:rsidP="00B72F57">
      <w:pPr>
        <w:rPr>
          <w:sz w:val="24"/>
          <w:szCs w:val="24"/>
        </w:rPr>
      </w:pPr>
      <w:r w:rsidRPr="00322B14">
        <w:rPr>
          <w:sz w:val="24"/>
          <w:szCs w:val="24"/>
        </w:rPr>
        <w:lastRenderedPageBreak/>
        <w:t xml:space="preserve">Também a este respeito, foi uma vez mais citada a necessidade de realizar debates </w:t>
      </w:r>
      <w:r w:rsidR="00B72F57" w:rsidRPr="00322B14">
        <w:rPr>
          <w:sz w:val="24"/>
          <w:szCs w:val="24"/>
        </w:rPr>
        <w:t>alargados aos cidadãos e às empresas</w:t>
      </w:r>
      <w:r w:rsidRPr="00322B14">
        <w:rPr>
          <w:sz w:val="24"/>
          <w:szCs w:val="24"/>
        </w:rPr>
        <w:t>.</w:t>
      </w:r>
      <w:r w:rsidR="00E76888" w:rsidRPr="00322B14">
        <w:rPr>
          <w:sz w:val="24"/>
          <w:szCs w:val="24"/>
        </w:rPr>
        <w:t xml:space="preserve"> </w:t>
      </w:r>
    </w:p>
    <w:p w:rsidR="004C0330" w:rsidRPr="00322B14" w:rsidRDefault="004C0330" w:rsidP="00A14A01">
      <w:pPr>
        <w:rPr>
          <w:sz w:val="24"/>
          <w:szCs w:val="24"/>
        </w:rPr>
      </w:pPr>
    </w:p>
    <w:p w:rsidR="00C455D6" w:rsidRPr="00322B14" w:rsidRDefault="00D74AE6" w:rsidP="00A14A01">
      <w:pPr>
        <w:rPr>
          <w:sz w:val="24"/>
          <w:szCs w:val="24"/>
        </w:rPr>
      </w:pPr>
      <w:r w:rsidRPr="00322B14">
        <w:rPr>
          <w:b/>
          <w:sz w:val="24"/>
          <w:szCs w:val="24"/>
        </w:rPr>
        <w:t>Outros pontos mencionados</w:t>
      </w:r>
      <w:r w:rsidRPr="000C120D">
        <w:rPr>
          <w:b/>
          <w:sz w:val="24"/>
          <w:szCs w:val="24"/>
        </w:rPr>
        <w:t>:</w:t>
      </w:r>
    </w:p>
    <w:p w:rsidR="00D74AE6" w:rsidRPr="00322B14" w:rsidRDefault="00D74AE6" w:rsidP="00D74AE6">
      <w:pPr>
        <w:numPr>
          <w:ilvl w:val="0"/>
          <w:numId w:val="6"/>
        </w:numPr>
        <w:rPr>
          <w:sz w:val="24"/>
          <w:szCs w:val="24"/>
        </w:rPr>
      </w:pPr>
      <w:r w:rsidRPr="00322B14">
        <w:rPr>
          <w:sz w:val="24"/>
          <w:szCs w:val="24"/>
        </w:rPr>
        <w:t>os participantes manifestaram-se favoráveis a debates presenciais sem no entanto excluir outras formas de consulta</w:t>
      </w:r>
      <w:r w:rsidR="00E76888" w:rsidRPr="00322B14">
        <w:rPr>
          <w:sz w:val="24"/>
          <w:szCs w:val="24"/>
        </w:rPr>
        <w:t>,</w:t>
      </w:r>
    </w:p>
    <w:p w:rsidR="00D74AE6" w:rsidRPr="00322B14" w:rsidRDefault="00D74AE6" w:rsidP="00D74AE6">
      <w:pPr>
        <w:numPr>
          <w:ilvl w:val="0"/>
          <w:numId w:val="6"/>
        </w:numPr>
        <w:rPr>
          <w:sz w:val="24"/>
          <w:szCs w:val="24"/>
        </w:rPr>
      </w:pPr>
      <w:r w:rsidRPr="00322B14">
        <w:rPr>
          <w:sz w:val="24"/>
          <w:szCs w:val="24"/>
        </w:rPr>
        <w:t>a questão da cidadania europeia foi mencionada como forma de reforçar o conceito de Europa e de solidariedade</w:t>
      </w:r>
      <w:r w:rsidR="00E76888" w:rsidRPr="00322B14">
        <w:rPr>
          <w:sz w:val="24"/>
          <w:szCs w:val="24"/>
        </w:rPr>
        <w:t>,</w:t>
      </w:r>
    </w:p>
    <w:p w:rsidR="00C455D6" w:rsidRPr="00322B14" w:rsidRDefault="00EF37FD" w:rsidP="006C5C92">
      <w:pPr>
        <w:numPr>
          <w:ilvl w:val="0"/>
          <w:numId w:val="6"/>
        </w:numPr>
        <w:rPr>
          <w:sz w:val="24"/>
          <w:szCs w:val="24"/>
        </w:rPr>
      </w:pPr>
      <w:r w:rsidRPr="00322B14">
        <w:rPr>
          <w:sz w:val="24"/>
          <w:szCs w:val="24"/>
        </w:rPr>
        <w:t>a questão da recente menção feita pelo Presidente Macron a uma forma de protecionismo europeu foi também mencionada</w:t>
      </w:r>
      <w:r w:rsidR="00874299" w:rsidRPr="00322B14">
        <w:rPr>
          <w:sz w:val="24"/>
          <w:szCs w:val="24"/>
        </w:rPr>
        <w:t>,</w:t>
      </w:r>
      <w:r w:rsidRPr="00322B14">
        <w:rPr>
          <w:sz w:val="24"/>
          <w:szCs w:val="24"/>
        </w:rPr>
        <w:t xml:space="preserve"> tendo os participantes considerado uma via negativa por poder levar a uma escalada de protecionismo.</w:t>
      </w:r>
    </w:p>
    <w:p w:rsidR="00603B26" w:rsidRPr="00322B14" w:rsidRDefault="00603B26" w:rsidP="00603B26">
      <w:pPr>
        <w:rPr>
          <w:sz w:val="24"/>
          <w:szCs w:val="24"/>
        </w:rPr>
      </w:pPr>
    </w:p>
    <w:p w:rsidR="00603B26" w:rsidRPr="00322B14" w:rsidRDefault="00603B26" w:rsidP="00603B26">
      <w:pPr>
        <w:rPr>
          <w:sz w:val="24"/>
          <w:szCs w:val="24"/>
        </w:rPr>
        <w:sectPr w:rsidR="00603B26" w:rsidRPr="00322B14" w:rsidSect="00322B14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726AB" w:rsidRPr="00322B14" w:rsidRDefault="008726AB" w:rsidP="008726AB">
      <w:pPr>
        <w:spacing w:line="240" w:lineRule="auto"/>
        <w:jc w:val="center"/>
        <w:rPr>
          <w:rFonts w:ascii="Candara" w:hAnsi="Candara"/>
          <w:sz w:val="28"/>
          <w:szCs w:val="28"/>
        </w:rPr>
      </w:pPr>
      <w:r w:rsidRPr="00322B14">
        <w:rPr>
          <w:rFonts w:ascii="Candara" w:hAnsi="Candara"/>
          <w:b/>
          <w:sz w:val="28"/>
          <w:szCs w:val="28"/>
        </w:rPr>
        <w:lastRenderedPageBreak/>
        <w:t>Diálogo com a sociedade civil organizada portuguesa sobre o Livro Branco sobre o Futuro da Europa – Reflexões e cenários para a UE27 em 2025</w:t>
      </w:r>
    </w:p>
    <w:p w:rsidR="008726AB" w:rsidRPr="00322B14" w:rsidRDefault="008726AB" w:rsidP="008726AB">
      <w:pPr>
        <w:spacing w:line="120" w:lineRule="auto"/>
        <w:jc w:val="center"/>
        <w:rPr>
          <w:rFonts w:ascii="Candara" w:hAnsi="Candara"/>
          <w:sz w:val="24"/>
          <w:szCs w:val="24"/>
        </w:rPr>
      </w:pPr>
    </w:p>
    <w:p w:rsidR="008726AB" w:rsidRPr="00322B14" w:rsidRDefault="008726AB" w:rsidP="008726AB">
      <w:pPr>
        <w:spacing w:line="240" w:lineRule="auto"/>
        <w:jc w:val="center"/>
        <w:rPr>
          <w:rFonts w:ascii="Candara" w:hAnsi="Candara"/>
          <w:b/>
          <w:sz w:val="24"/>
          <w:szCs w:val="24"/>
        </w:rPr>
      </w:pPr>
      <w:r w:rsidRPr="00322B14">
        <w:rPr>
          <w:rFonts w:ascii="Candara" w:hAnsi="Candara"/>
          <w:b/>
          <w:sz w:val="24"/>
          <w:szCs w:val="24"/>
        </w:rPr>
        <w:t>Lisboa, 29 de maio de 2017</w:t>
      </w:r>
    </w:p>
    <w:p w:rsidR="008726AB" w:rsidRPr="00322B14" w:rsidRDefault="008726AB" w:rsidP="008726AB">
      <w:pPr>
        <w:spacing w:line="120" w:lineRule="auto"/>
        <w:jc w:val="center"/>
        <w:rPr>
          <w:rFonts w:ascii="Candara" w:hAnsi="Candara"/>
          <w:sz w:val="24"/>
          <w:szCs w:val="24"/>
        </w:rPr>
      </w:pPr>
    </w:p>
    <w:p w:rsidR="008726AB" w:rsidRPr="00322B14" w:rsidRDefault="008726AB" w:rsidP="008726AB">
      <w:pPr>
        <w:spacing w:line="240" w:lineRule="auto"/>
        <w:jc w:val="center"/>
        <w:rPr>
          <w:rFonts w:ascii="Candara" w:hAnsi="Candara"/>
          <w:sz w:val="24"/>
          <w:szCs w:val="24"/>
        </w:rPr>
      </w:pPr>
      <w:r w:rsidRPr="00322B14">
        <w:rPr>
          <w:rFonts w:ascii="Candara" w:hAnsi="Candara"/>
          <w:sz w:val="24"/>
          <w:szCs w:val="24"/>
        </w:rPr>
        <w:t>Local da reunião: Conselho Económico e Social</w:t>
      </w:r>
    </w:p>
    <w:p w:rsidR="008726AB" w:rsidRPr="00322B14" w:rsidRDefault="008726AB" w:rsidP="008726AB">
      <w:pPr>
        <w:spacing w:line="240" w:lineRule="auto"/>
        <w:jc w:val="center"/>
        <w:rPr>
          <w:rFonts w:ascii="Candara" w:hAnsi="Candara"/>
          <w:sz w:val="28"/>
          <w:szCs w:val="28"/>
        </w:rPr>
      </w:pPr>
      <w:r w:rsidRPr="00322B14">
        <w:rPr>
          <w:rFonts w:ascii="Candara" w:hAnsi="Candara"/>
          <w:sz w:val="24"/>
          <w:szCs w:val="24"/>
        </w:rPr>
        <w:t>(Rua João Bastos, 8 – Lisboa)</w:t>
      </w:r>
    </w:p>
    <w:p w:rsidR="008726AB" w:rsidRPr="00322B14" w:rsidRDefault="008726AB" w:rsidP="008726AB">
      <w:pPr>
        <w:spacing w:line="120" w:lineRule="auto"/>
        <w:jc w:val="center"/>
        <w:rPr>
          <w:rFonts w:ascii="Candara" w:hAnsi="Candara"/>
          <w:sz w:val="28"/>
          <w:szCs w:val="28"/>
        </w:rPr>
      </w:pPr>
    </w:p>
    <w:p w:rsidR="008726AB" w:rsidRPr="00322B14" w:rsidRDefault="008726AB" w:rsidP="008726AB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  <w:r w:rsidRPr="00322B14">
        <w:rPr>
          <w:rFonts w:ascii="Candara" w:hAnsi="Candara"/>
          <w:b/>
          <w:sz w:val="28"/>
          <w:szCs w:val="28"/>
        </w:rPr>
        <w:t>Programa</w:t>
      </w:r>
    </w:p>
    <w:p w:rsidR="008726AB" w:rsidRPr="00322B14" w:rsidRDefault="008726AB" w:rsidP="008726AB">
      <w:pPr>
        <w:spacing w:line="120" w:lineRule="auto"/>
        <w:jc w:val="center"/>
        <w:rPr>
          <w:rFonts w:ascii="Candara" w:hAnsi="Candara"/>
          <w:sz w:val="24"/>
          <w:szCs w:val="24"/>
        </w:rPr>
      </w:pPr>
    </w:p>
    <w:p w:rsidR="008726AB" w:rsidRPr="00322B14" w:rsidRDefault="008726AB" w:rsidP="008726AB">
      <w:pPr>
        <w:spacing w:line="276" w:lineRule="auto"/>
        <w:rPr>
          <w:rFonts w:ascii="Candara" w:hAnsi="Candara"/>
          <w:b/>
        </w:rPr>
      </w:pPr>
      <w:r w:rsidRPr="00322B14">
        <w:rPr>
          <w:rFonts w:ascii="Candara" w:hAnsi="Candara"/>
          <w:b/>
        </w:rPr>
        <w:t>Delegação do CESE</w:t>
      </w:r>
    </w:p>
    <w:p w:rsidR="008726AB" w:rsidRPr="00322B14" w:rsidRDefault="008726AB" w:rsidP="008726AB">
      <w:pPr>
        <w:spacing w:line="276" w:lineRule="auto"/>
        <w:rPr>
          <w:rFonts w:ascii="Candara" w:hAnsi="Candara"/>
        </w:rPr>
      </w:pPr>
      <w:r w:rsidRPr="00322B14">
        <w:rPr>
          <w:rFonts w:ascii="Candara" w:hAnsi="Candara"/>
        </w:rPr>
        <w:tab/>
        <w:t>Pedro Almeida Freire (Grupo I, Empregadores)</w:t>
      </w:r>
    </w:p>
    <w:p w:rsidR="008726AB" w:rsidRPr="00322B14" w:rsidRDefault="008726AB" w:rsidP="008726AB">
      <w:pPr>
        <w:spacing w:line="276" w:lineRule="auto"/>
        <w:rPr>
          <w:rFonts w:ascii="Candara" w:hAnsi="Candara"/>
        </w:rPr>
      </w:pPr>
      <w:r w:rsidRPr="00322B14">
        <w:rPr>
          <w:rFonts w:ascii="Candara" w:hAnsi="Candara"/>
        </w:rPr>
        <w:tab/>
        <w:t>Carlos Silva (Grupo II, Trabalhadores)</w:t>
      </w:r>
    </w:p>
    <w:p w:rsidR="008726AB" w:rsidRPr="00322B14" w:rsidRDefault="008726AB" w:rsidP="008726AB">
      <w:pPr>
        <w:spacing w:line="276" w:lineRule="auto"/>
        <w:rPr>
          <w:rFonts w:ascii="Candara" w:hAnsi="Candara"/>
        </w:rPr>
      </w:pPr>
      <w:r w:rsidRPr="00322B14">
        <w:rPr>
          <w:rFonts w:ascii="Candara" w:hAnsi="Candara"/>
        </w:rPr>
        <w:tab/>
        <w:t>Jorge Pegado Liz (Grupo III, Interesses diversos)</w:t>
      </w:r>
    </w:p>
    <w:p w:rsidR="008726AB" w:rsidRPr="00322B14" w:rsidRDefault="008726AB" w:rsidP="008726AB">
      <w:pPr>
        <w:spacing w:line="120" w:lineRule="auto"/>
        <w:jc w:val="center"/>
        <w:rPr>
          <w:rFonts w:ascii="Candara" w:hAnsi="Candara"/>
        </w:rPr>
      </w:pP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tion items"/>
      </w:tblPr>
      <w:tblGrid>
        <w:gridCol w:w="2127"/>
        <w:gridCol w:w="7088"/>
      </w:tblGrid>
      <w:tr w:rsidR="008726AB" w:rsidRPr="00322B14" w:rsidTr="00224DB9">
        <w:trPr>
          <w:cantSplit/>
          <w:trHeight w:val="585"/>
        </w:trPr>
        <w:tc>
          <w:tcPr>
            <w:tcW w:w="2127" w:type="dxa"/>
          </w:tcPr>
          <w:p w:rsidR="008726AB" w:rsidRPr="00322B14" w:rsidRDefault="008726AB" w:rsidP="00224DB9">
            <w:pPr>
              <w:pStyle w:val="RowHeading"/>
              <w:tabs>
                <w:tab w:val="left" w:pos="1985"/>
              </w:tabs>
              <w:spacing w:after="0"/>
              <w:ind w:right="-81"/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</w:pPr>
            <w:r w:rsidRPr="00322B14"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  <w:t>10 h 00 – 12 h 00</w:t>
            </w:r>
          </w:p>
        </w:tc>
        <w:tc>
          <w:tcPr>
            <w:tcW w:w="7088" w:type="dxa"/>
          </w:tcPr>
          <w:p w:rsidR="008726AB" w:rsidRPr="00322B14" w:rsidRDefault="008726AB" w:rsidP="00224DB9">
            <w:pPr>
              <w:spacing w:line="276" w:lineRule="auto"/>
              <w:ind w:left="2268" w:hanging="2268"/>
              <w:rPr>
                <w:rFonts w:ascii="Candara" w:hAnsi="Candara"/>
                <w:b/>
              </w:rPr>
            </w:pPr>
            <w:r w:rsidRPr="00322B14">
              <w:rPr>
                <w:rFonts w:ascii="Candara" w:hAnsi="Candara"/>
                <w:b/>
              </w:rPr>
              <w:t>Representantes das organizações empresariais portuguesas</w:t>
            </w:r>
          </w:p>
          <w:p w:rsidR="008726AB" w:rsidRPr="00322B14" w:rsidRDefault="008726AB" w:rsidP="00224DB9">
            <w:pPr>
              <w:spacing w:line="276" w:lineRule="auto"/>
              <w:ind w:left="2268" w:hanging="2268"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>Boas</w:t>
            </w:r>
            <w:r w:rsidR="00053D22" w:rsidRPr="00322B14">
              <w:rPr>
                <w:rFonts w:ascii="Candara" w:hAnsi="Candara"/>
              </w:rPr>
              <w:t>-</w:t>
            </w:r>
            <w:r w:rsidRPr="00322B14">
              <w:rPr>
                <w:rFonts w:ascii="Candara" w:hAnsi="Candara"/>
              </w:rPr>
              <w:t xml:space="preserve">vindas pelo </w:t>
            </w:r>
            <w:r w:rsidR="00053D22" w:rsidRPr="00322B14">
              <w:rPr>
                <w:rFonts w:ascii="Candara" w:hAnsi="Candara"/>
              </w:rPr>
              <w:t>p</w:t>
            </w:r>
            <w:r w:rsidRPr="00322B14">
              <w:rPr>
                <w:rFonts w:ascii="Candara" w:hAnsi="Candara"/>
              </w:rPr>
              <w:t>residente do CES, Prof. Dr. António Correia de Campos</w:t>
            </w:r>
          </w:p>
          <w:p w:rsidR="008726AB" w:rsidRPr="00322B14" w:rsidRDefault="008726AB" w:rsidP="00224DB9">
            <w:pPr>
              <w:spacing w:line="120" w:lineRule="auto"/>
              <w:ind w:left="2268" w:hanging="2268"/>
              <w:rPr>
                <w:rFonts w:ascii="Candara" w:hAnsi="Candara"/>
              </w:rPr>
            </w:pPr>
          </w:p>
        </w:tc>
      </w:tr>
      <w:tr w:rsidR="008726AB" w:rsidRPr="00322B14" w:rsidTr="00224DB9">
        <w:trPr>
          <w:cantSplit/>
          <w:trHeight w:val="1418"/>
        </w:trPr>
        <w:tc>
          <w:tcPr>
            <w:tcW w:w="2127" w:type="dxa"/>
          </w:tcPr>
          <w:p w:rsidR="008726AB" w:rsidRPr="00322B14" w:rsidRDefault="008726AB" w:rsidP="00224DB9">
            <w:pPr>
              <w:pStyle w:val="RowHeading"/>
              <w:spacing w:after="0"/>
              <w:ind w:right="-364"/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</w:pPr>
          </w:p>
        </w:tc>
        <w:tc>
          <w:tcPr>
            <w:tcW w:w="7088" w:type="dxa"/>
          </w:tcPr>
          <w:p w:rsidR="008726AB" w:rsidRPr="00322B14" w:rsidRDefault="008726AB" w:rsidP="008726AB">
            <w:pPr>
              <w:numPr>
                <w:ilvl w:val="0"/>
                <w:numId w:val="7"/>
              </w:numPr>
              <w:spacing w:line="276" w:lineRule="auto"/>
              <w:ind w:left="425"/>
              <w:contextualSpacing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>Confederação do Turismo Português – CTP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Nuno Bernardo, </w:t>
            </w:r>
            <w:r w:rsidR="003E2FF4" w:rsidRPr="00322B14">
              <w:rPr>
                <w:bCs/>
                <w:sz w:val="18"/>
                <w:szCs w:val="18"/>
              </w:rPr>
              <w:t>v</w:t>
            </w:r>
            <w:r w:rsidRPr="00322B14">
              <w:rPr>
                <w:bCs/>
                <w:sz w:val="18"/>
                <w:szCs w:val="18"/>
              </w:rPr>
              <w:t>ogal da Comissão Executiva</w:t>
            </w:r>
          </w:p>
          <w:p w:rsidR="008726AB" w:rsidRPr="00322B14" w:rsidRDefault="008726AB" w:rsidP="008726AB">
            <w:pPr>
              <w:numPr>
                <w:ilvl w:val="0"/>
                <w:numId w:val="7"/>
              </w:numPr>
              <w:spacing w:line="276" w:lineRule="auto"/>
              <w:ind w:left="425"/>
              <w:contextualSpacing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>Confederação Empresarial de Portugal – CIP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Dr.ª Patrícia Gonçalves, </w:t>
            </w:r>
            <w:r w:rsidR="003E2FF4" w:rsidRPr="00322B14">
              <w:rPr>
                <w:bCs/>
                <w:sz w:val="18"/>
                <w:szCs w:val="18"/>
              </w:rPr>
              <w:t>d</w:t>
            </w:r>
            <w:r w:rsidRPr="00322B14">
              <w:rPr>
                <w:bCs/>
                <w:sz w:val="18"/>
                <w:szCs w:val="18"/>
              </w:rPr>
              <w:t>iretora</w:t>
            </w:r>
            <w:r w:rsidR="00B37C42" w:rsidRPr="00322B14">
              <w:rPr>
                <w:bCs/>
                <w:sz w:val="18"/>
                <w:szCs w:val="18"/>
              </w:rPr>
              <w:t>,</w:t>
            </w:r>
            <w:r w:rsidRPr="00322B14">
              <w:rPr>
                <w:bCs/>
                <w:sz w:val="18"/>
                <w:szCs w:val="18"/>
              </w:rPr>
              <w:t xml:space="preserve"> Departamento Assuntos Económicos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Nuno Biscaya, </w:t>
            </w:r>
            <w:r w:rsidR="003E2FF4" w:rsidRPr="00322B14">
              <w:rPr>
                <w:bCs/>
                <w:sz w:val="18"/>
                <w:szCs w:val="18"/>
              </w:rPr>
              <w:t>d</w:t>
            </w:r>
            <w:r w:rsidRPr="00322B14">
              <w:rPr>
                <w:bCs/>
                <w:sz w:val="18"/>
                <w:szCs w:val="18"/>
              </w:rPr>
              <w:t>iretor-</w:t>
            </w:r>
            <w:r w:rsidR="003E2FF4" w:rsidRPr="00322B14">
              <w:rPr>
                <w:bCs/>
                <w:sz w:val="18"/>
                <w:szCs w:val="18"/>
              </w:rPr>
              <w:t>a</w:t>
            </w:r>
            <w:r w:rsidRPr="00322B14">
              <w:rPr>
                <w:bCs/>
                <w:sz w:val="18"/>
                <w:szCs w:val="18"/>
              </w:rPr>
              <w:t>djunto</w:t>
            </w:r>
            <w:r w:rsidR="00B37C42" w:rsidRPr="00322B14">
              <w:rPr>
                <w:bCs/>
                <w:sz w:val="18"/>
                <w:szCs w:val="18"/>
              </w:rPr>
              <w:t>,</w:t>
            </w:r>
            <w:r w:rsidRPr="00322B14">
              <w:rPr>
                <w:bCs/>
                <w:sz w:val="18"/>
                <w:szCs w:val="18"/>
              </w:rPr>
              <w:t xml:space="preserve"> Departamento Assuntos Jurídicos e Sócio</w:t>
            </w:r>
            <w:r w:rsidR="00053D22" w:rsidRPr="00322B14">
              <w:rPr>
                <w:bCs/>
                <w:sz w:val="18"/>
                <w:szCs w:val="18"/>
              </w:rPr>
              <w:t>-</w:t>
            </w:r>
            <w:r w:rsidRPr="00322B14">
              <w:rPr>
                <w:bCs/>
                <w:sz w:val="18"/>
                <w:szCs w:val="18"/>
              </w:rPr>
              <w:t>Laborais</w:t>
            </w:r>
          </w:p>
          <w:p w:rsidR="008726AB" w:rsidRPr="00322B14" w:rsidRDefault="008726AB" w:rsidP="008726AB">
            <w:pPr>
              <w:numPr>
                <w:ilvl w:val="0"/>
                <w:numId w:val="7"/>
              </w:numPr>
              <w:spacing w:line="276" w:lineRule="auto"/>
              <w:ind w:left="425"/>
              <w:contextualSpacing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>Confederação do Comércio e Serviços de Portugal – CCP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Hélder Pedro, </w:t>
            </w:r>
            <w:r w:rsidR="003E2FF4" w:rsidRPr="00322B14">
              <w:rPr>
                <w:bCs/>
                <w:sz w:val="18"/>
                <w:szCs w:val="18"/>
              </w:rPr>
              <w:t>v</w:t>
            </w:r>
            <w:r w:rsidRPr="00322B14">
              <w:rPr>
                <w:bCs/>
                <w:sz w:val="18"/>
                <w:szCs w:val="18"/>
              </w:rPr>
              <w:t>ice-</w:t>
            </w:r>
            <w:r w:rsidR="003E2FF4" w:rsidRPr="00322B14">
              <w:rPr>
                <w:bCs/>
                <w:sz w:val="18"/>
                <w:szCs w:val="18"/>
              </w:rPr>
              <w:t>p</w:t>
            </w:r>
            <w:r w:rsidRPr="00322B14">
              <w:rPr>
                <w:bCs/>
                <w:sz w:val="18"/>
                <w:szCs w:val="18"/>
              </w:rPr>
              <w:t>residente da Direção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Vasco de Mello, </w:t>
            </w:r>
            <w:r w:rsidR="003E2FF4" w:rsidRPr="00322B14">
              <w:rPr>
                <w:bCs/>
                <w:sz w:val="18"/>
                <w:szCs w:val="18"/>
              </w:rPr>
              <w:t>v</w:t>
            </w:r>
            <w:r w:rsidRPr="00322B14">
              <w:rPr>
                <w:bCs/>
                <w:sz w:val="18"/>
                <w:szCs w:val="18"/>
              </w:rPr>
              <w:t>ice-</w:t>
            </w:r>
            <w:r w:rsidR="003E2FF4" w:rsidRPr="00322B14">
              <w:rPr>
                <w:bCs/>
                <w:sz w:val="18"/>
                <w:szCs w:val="18"/>
              </w:rPr>
              <w:t>p</w:t>
            </w:r>
            <w:r w:rsidRPr="00322B14">
              <w:rPr>
                <w:bCs/>
                <w:sz w:val="18"/>
                <w:szCs w:val="18"/>
              </w:rPr>
              <w:t>residente da Direção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rFonts w:ascii="Candara" w:hAnsi="Candara"/>
              </w:rPr>
            </w:pPr>
            <w:r w:rsidRPr="00322B14">
              <w:rPr>
                <w:bCs/>
                <w:sz w:val="18"/>
                <w:szCs w:val="18"/>
              </w:rPr>
              <w:t xml:space="preserve">Dr. Luís Cabaço Martins, </w:t>
            </w:r>
            <w:r w:rsidR="003E2FF4" w:rsidRPr="00322B14">
              <w:rPr>
                <w:bCs/>
                <w:sz w:val="18"/>
                <w:szCs w:val="18"/>
              </w:rPr>
              <w:t>v</w:t>
            </w:r>
            <w:r w:rsidRPr="00322B14">
              <w:rPr>
                <w:bCs/>
                <w:sz w:val="18"/>
                <w:szCs w:val="18"/>
              </w:rPr>
              <w:t>ogal da Direção</w:t>
            </w:r>
          </w:p>
          <w:p w:rsidR="008726AB" w:rsidRPr="00322B14" w:rsidRDefault="008726AB" w:rsidP="00224DB9">
            <w:pPr>
              <w:spacing w:line="276" w:lineRule="auto"/>
              <w:ind w:left="425"/>
              <w:contextualSpacing/>
              <w:rPr>
                <w:rFonts w:ascii="Candara" w:hAnsi="Candara"/>
              </w:rPr>
            </w:pPr>
          </w:p>
        </w:tc>
      </w:tr>
      <w:tr w:rsidR="008726AB" w:rsidRPr="00322B14" w:rsidTr="00224DB9">
        <w:trPr>
          <w:cantSplit/>
        </w:trPr>
        <w:tc>
          <w:tcPr>
            <w:tcW w:w="2127" w:type="dxa"/>
          </w:tcPr>
          <w:p w:rsidR="008726AB" w:rsidRPr="00322B14" w:rsidRDefault="008726AB" w:rsidP="00224DB9">
            <w:pPr>
              <w:pStyle w:val="RowHeading"/>
              <w:tabs>
                <w:tab w:val="left" w:pos="1985"/>
              </w:tabs>
              <w:spacing w:after="0"/>
              <w:ind w:right="-81"/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</w:pPr>
            <w:r w:rsidRPr="00322B14"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  <w:t xml:space="preserve">14 h 00 – 16 h 00 </w:t>
            </w:r>
          </w:p>
        </w:tc>
        <w:tc>
          <w:tcPr>
            <w:tcW w:w="7088" w:type="dxa"/>
          </w:tcPr>
          <w:p w:rsidR="008726AB" w:rsidRPr="00322B14" w:rsidRDefault="008726AB" w:rsidP="00224DB9">
            <w:pPr>
              <w:spacing w:line="276" w:lineRule="auto"/>
              <w:ind w:left="2268" w:hanging="2268"/>
              <w:rPr>
                <w:rFonts w:ascii="Candara" w:hAnsi="Candara"/>
                <w:b/>
              </w:rPr>
            </w:pPr>
            <w:r w:rsidRPr="00322B14">
              <w:rPr>
                <w:rFonts w:ascii="Candara" w:hAnsi="Candara"/>
                <w:b/>
              </w:rPr>
              <w:t>Representantes das organizações sindicais portuguesas</w:t>
            </w:r>
          </w:p>
          <w:p w:rsidR="008726AB" w:rsidRPr="00322B14" w:rsidRDefault="008726AB" w:rsidP="00224DB9">
            <w:pPr>
              <w:spacing w:line="276" w:lineRule="auto"/>
              <w:ind w:left="2268" w:hanging="2268"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>Boas</w:t>
            </w:r>
            <w:r w:rsidR="00053D22" w:rsidRPr="00322B14">
              <w:rPr>
                <w:rFonts w:ascii="Candara" w:hAnsi="Candara"/>
              </w:rPr>
              <w:t>-</w:t>
            </w:r>
            <w:r w:rsidRPr="00322B14">
              <w:rPr>
                <w:rFonts w:ascii="Candara" w:hAnsi="Candara"/>
              </w:rPr>
              <w:t xml:space="preserve">vindas pelo </w:t>
            </w:r>
            <w:r w:rsidR="00053D22" w:rsidRPr="00322B14">
              <w:rPr>
                <w:rFonts w:ascii="Candara" w:hAnsi="Candara"/>
              </w:rPr>
              <w:t>p</w:t>
            </w:r>
            <w:r w:rsidRPr="00322B14">
              <w:rPr>
                <w:rFonts w:ascii="Candara" w:hAnsi="Candara"/>
              </w:rPr>
              <w:t>residente do CES, Prof. Dr. António Correia de Campos</w:t>
            </w:r>
          </w:p>
          <w:p w:rsidR="008726AB" w:rsidRPr="00322B14" w:rsidRDefault="008726AB" w:rsidP="00224DB9">
            <w:pPr>
              <w:spacing w:line="120" w:lineRule="auto"/>
              <w:ind w:left="2268" w:hanging="2268"/>
              <w:rPr>
                <w:rFonts w:ascii="Candara" w:hAnsi="Candara"/>
                <w:b/>
              </w:rPr>
            </w:pPr>
          </w:p>
        </w:tc>
      </w:tr>
      <w:tr w:rsidR="008726AB" w:rsidRPr="00322B14" w:rsidTr="00224DB9">
        <w:trPr>
          <w:cantSplit/>
        </w:trPr>
        <w:tc>
          <w:tcPr>
            <w:tcW w:w="2127" w:type="dxa"/>
          </w:tcPr>
          <w:p w:rsidR="008726AB" w:rsidRPr="00322B14" w:rsidRDefault="008726AB" w:rsidP="00224DB9">
            <w:pPr>
              <w:pStyle w:val="RowHeading"/>
              <w:spacing w:after="0"/>
              <w:ind w:right="-364"/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</w:pPr>
          </w:p>
        </w:tc>
        <w:tc>
          <w:tcPr>
            <w:tcW w:w="7088" w:type="dxa"/>
          </w:tcPr>
          <w:p w:rsidR="008726AB" w:rsidRPr="00322B14" w:rsidRDefault="008726AB" w:rsidP="008726AB">
            <w:pPr>
              <w:numPr>
                <w:ilvl w:val="0"/>
                <w:numId w:val="7"/>
              </w:numPr>
              <w:spacing w:line="264" w:lineRule="auto"/>
              <w:ind w:left="425" w:hanging="357"/>
              <w:contextualSpacing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 xml:space="preserve">Confederação Geral dos Trabalhadores Portugueses – CGTP 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>João Torres, membro da Comissão Executiva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>João Barreiros, membro do Conselho Nacional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Fernando Maurício, Departamento Internacional 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rFonts w:ascii="Candara" w:hAnsi="Candara"/>
              </w:rPr>
            </w:pPr>
            <w:r w:rsidRPr="00322B14">
              <w:rPr>
                <w:bCs/>
                <w:sz w:val="18"/>
                <w:szCs w:val="18"/>
              </w:rPr>
              <w:t>Maurício Miguel, Departamento Internacional</w:t>
            </w:r>
          </w:p>
          <w:p w:rsidR="008726AB" w:rsidRPr="00322B14" w:rsidRDefault="008726AB" w:rsidP="008726AB">
            <w:pPr>
              <w:numPr>
                <w:ilvl w:val="0"/>
                <w:numId w:val="7"/>
              </w:numPr>
              <w:spacing w:line="264" w:lineRule="auto"/>
              <w:ind w:left="425" w:hanging="357"/>
              <w:contextualSpacing/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 xml:space="preserve">União Geral de Trabalhadores (UGT) 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João Dias da Silva, </w:t>
            </w:r>
            <w:r w:rsidR="003E2FF4" w:rsidRPr="00322B14">
              <w:rPr>
                <w:bCs/>
                <w:sz w:val="18"/>
                <w:szCs w:val="18"/>
              </w:rPr>
              <w:t>v</w:t>
            </w:r>
            <w:r w:rsidRPr="00322B14">
              <w:rPr>
                <w:bCs/>
                <w:sz w:val="18"/>
                <w:szCs w:val="18"/>
              </w:rPr>
              <w:t>ice-</w:t>
            </w:r>
            <w:r w:rsidR="003E2FF4" w:rsidRPr="00322B14">
              <w:rPr>
                <w:bCs/>
                <w:sz w:val="18"/>
                <w:szCs w:val="18"/>
              </w:rPr>
              <w:t>p</w:t>
            </w:r>
            <w:r w:rsidRPr="00322B14">
              <w:rPr>
                <w:bCs/>
                <w:sz w:val="18"/>
                <w:szCs w:val="18"/>
              </w:rPr>
              <w:t>residente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Dr.ª Paula Bernardo, </w:t>
            </w:r>
            <w:r w:rsidR="003E2FF4" w:rsidRPr="00322B14">
              <w:rPr>
                <w:bCs/>
                <w:sz w:val="18"/>
                <w:szCs w:val="18"/>
              </w:rPr>
              <w:t>s</w:t>
            </w:r>
            <w:r w:rsidRPr="00322B14">
              <w:rPr>
                <w:bCs/>
                <w:sz w:val="18"/>
                <w:szCs w:val="18"/>
              </w:rPr>
              <w:t>ecretária-</w:t>
            </w:r>
            <w:r w:rsidR="003E2FF4" w:rsidRPr="00322B14">
              <w:rPr>
                <w:bCs/>
                <w:sz w:val="18"/>
                <w:szCs w:val="18"/>
              </w:rPr>
              <w:t>g</w:t>
            </w:r>
            <w:r w:rsidRPr="00322B14">
              <w:rPr>
                <w:bCs/>
                <w:sz w:val="18"/>
                <w:szCs w:val="18"/>
              </w:rPr>
              <w:t xml:space="preserve">eral </w:t>
            </w:r>
            <w:r w:rsidR="003E2FF4" w:rsidRPr="00322B14">
              <w:rPr>
                <w:bCs/>
                <w:sz w:val="18"/>
                <w:szCs w:val="18"/>
              </w:rPr>
              <w:t>a</w:t>
            </w:r>
            <w:r w:rsidRPr="00322B14">
              <w:rPr>
                <w:bCs/>
                <w:sz w:val="18"/>
                <w:szCs w:val="18"/>
              </w:rPr>
              <w:t>djunta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Luis Correia, </w:t>
            </w:r>
            <w:r w:rsidR="003E2FF4" w:rsidRPr="00322B14">
              <w:rPr>
                <w:bCs/>
                <w:sz w:val="18"/>
                <w:szCs w:val="18"/>
              </w:rPr>
              <w:t>s</w:t>
            </w:r>
            <w:r w:rsidRPr="00322B14">
              <w:rPr>
                <w:bCs/>
                <w:sz w:val="18"/>
                <w:szCs w:val="18"/>
              </w:rPr>
              <w:t>ecretário-</w:t>
            </w:r>
            <w:r w:rsidR="003E2FF4" w:rsidRPr="00322B14">
              <w:rPr>
                <w:bCs/>
                <w:sz w:val="18"/>
                <w:szCs w:val="18"/>
              </w:rPr>
              <w:t>g</w:t>
            </w:r>
            <w:r w:rsidRPr="00322B14">
              <w:rPr>
                <w:bCs/>
                <w:sz w:val="18"/>
                <w:szCs w:val="18"/>
              </w:rPr>
              <w:t xml:space="preserve">eral </w:t>
            </w:r>
            <w:r w:rsidR="003E2FF4" w:rsidRPr="00322B14">
              <w:rPr>
                <w:bCs/>
                <w:sz w:val="18"/>
                <w:szCs w:val="18"/>
              </w:rPr>
              <w:t>a</w:t>
            </w:r>
            <w:r w:rsidRPr="00322B14">
              <w:rPr>
                <w:bCs/>
                <w:sz w:val="18"/>
                <w:szCs w:val="18"/>
              </w:rPr>
              <w:t>djunto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José Cordeiro, </w:t>
            </w:r>
            <w:r w:rsidR="003E2FF4" w:rsidRPr="00322B14">
              <w:rPr>
                <w:bCs/>
                <w:sz w:val="18"/>
                <w:szCs w:val="18"/>
              </w:rPr>
              <w:t>s</w:t>
            </w:r>
            <w:r w:rsidRPr="00322B14">
              <w:rPr>
                <w:bCs/>
                <w:sz w:val="18"/>
                <w:szCs w:val="18"/>
              </w:rPr>
              <w:t xml:space="preserve">ecretário </w:t>
            </w:r>
            <w:r w:rsidR="003E2FF4" w:rsidRPr="00322B14">
              <w:rPr>
                <w:bCs/>
                <w:sz w:val="18"/>
                <w:szCs w:val="18"/>
              </w:rPr>
              <w:t>e</w:t>
            </w:r>
            <w:r w:rsidRPr="00322B14">
              <w:rPr>
                <w:bCs/>
                <w:sz w:val="18"/>
                <w:szCs w:val="18"/>
              </w:rPr>
              <w:t>xecutiv</w:t>
            </w:r>
            <w:r w:rsidR="00DA291E" w:rsidRPr="00322B14">
              <w:rPr>
                <w:bCs/>
                <w:sz w:val="18"/>
                <w:szCs w:val="18"/>
              </w:rPr>
              <w:t>o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Carlos Alves, </w:t>
            </w:r>
            <w:r w:rsidR="003E2FF4" w:rsidRPr="00322B14">
              <w:rPr>
                <w:bCs/>
                <w:sz w:val="18"/>
                <w:szCs w:val="18"/>
              </w:rPr>
              <w:t>s</w:t>
            </w:r>
            <w:r w:rsidRPr="00322B14">
              <w:rPr>
                <w:bCs/>
                <w:sz w:val="18"/>
                <w:szCs w:val="18"/>
              </w:rPr>
              <w:t xml:space="preserve">ecretário </w:t>
            </w:r>
            <w:r w:rsidR="003E2FF4" w:rsidRPr="00322B14">
              <w:rPr>
                <w:bCs/>
                <w:sz w:val="18"/>
                <w:szCs w:val="18"/>
              </w:rPr>
              <w:t>e</w:t>
            </w:r>
            <w:r w:rsidRPr="00322B14">
              <w:rPr>
                <w:bCs/>
                <w:sz w:val="18"/>
                <w:szCs w:val="18"/>
              </w:rPr>
              <w:t>xecutivo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Dr.ª Lina Lopes, </w:t>
            </w:r>
            <w:r w:rsidR="003E2FF4" w:rsidRPr="00322B14">
              <w:rPr>
                <w:bCs/>
                <w:sz w:val="18"/>
                <w:szCs w:val="18"/>
              </w:rPr>
              <w:t>p</w:t>
            </w:r>
            <w:r w:rsidRPr="00322B14">
              <w:rPr>
                <w:bCs/>
                <w:sz w:val="18"/>
                <w:szCs w:val="18"/>
              </w:rPr>
              <w:t>residente da Comissão de Mulheres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850"/>
              <w:rPr>
                <w:rFonts w:ascii="Candara" w:hAnsi="Candara"/>
              </w:rPr>
            </w:pPr>
            <w:r w:rsidRPr="00322B14">
              <w:rPr>
                <w:bCs/>
                <w:sz w:val="18"/>
                <w:szCs w:val="18"/>
              </w:rPr>
              <w:t xml:space="preserve">Dr. Carlos Moreira, </w:t>
            </w:r>
            <w:r w:rsidR="003E2FF4" w:rsidRPr="00322B14">
              <w:rPr>
                <w:bCs/>
                <w:sz w:val="18"/>
                <w:szCs w:val="18"/>
              </w:rPr>
              <w:t>p</w:t>
            </w:r>
            <w:r w:rsidRPr="00322B14">
              <w:rPr>
                <w:bCs/>
                <w:sz w:val="18"/>
                <w:szCs w:val="18"/>
              </w:rPr>
              <w:t>residente da Comissão de Juventude</w:t>
            </w:r>
          </w:p>
          <w:p w:rsidR="008726AB" w:rsidRPr="00322B14" w:rsidRDefault="008726AB" w:rsidP="00224DB9">
            <w:pPr>
              <w:spacing w:line="120" w:lineRule="auto"/>
              <w:ind w:left="2268" w:hanging="2268"/>
              <w:rPr>
                <w:rFonts w:ascii="Candara" w:hAnsi="Candara"/>
              </w:rPr>
            </w:pPr>
          </w:p>
        </w:tc>
      </w:tr>
      <w:tr w:rsidR="008726AB" w:rsidRPr="00322B14" w:rsidTr="00224DB9">
        <w:trPr>
          <w:cantSplit/>
        </w:trPr>
        <w:tc>
          <w:tcPr>
            <w:tcW w:w="2127" w:type="dxa"/>
          </w:tcPr>
          <w:p w:rsidR="008726AB" w:rsidRPr="00322B14" w:rsidRDefault="008726AB" w:rsidP="00224DB9">
            <w:pPr>
              <w:pStyle w:val="RowHeading"/>
              <w:tabs>
                <w:tab w:val="left" w:pos="1985"/>
              </w:tabs>
              <w:spacing w:after="0"/>
              <w:ind w:right="-81"/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</w:pPr>
            <w:r w:rsidRPr="00322B14"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  <w:t xml:space="preserve">16 h 00 – 18 h 00 </w:t>
            </w:r>
          </w:p>
        </w:tc>
        <w:tc>
          <w:tcPr>
            <w:tcW w:w="7088" w:type="dxa"/>
          </w:tcPr>
          <w:p w:rsidR="008726AB" w:rsidRPr="00322B14" w:rsidRDefault="008726AB" w:rsidP="00224DB9">
            <w:pPr>
              <w:rPr>
                <w:rFonts w:ascii="Candara" w:hAnsi="Candara"/>
                <w:b/>
              </w:rPr>
            </w:pPr>
            <w:r w:rsidRPr="00322B14">
              <w:rPr>
                <w:rFonts w:ascii="Candara" w:hAnsi="Candara"/>
                <w:b/>
              </w:rPr>
              <w:t>Representantes das organizações que representam interesses diversos com assento no CES de Portugal</w:t>
            </w:r>
          </w:p>
          <w:p w:rsidR="008726AB" w:rsidRPr="00322B14" w:rsidRDefault="008726AB" w:rsidP="00224DB9">
            <w:pPr>
              <w:rPr>
                <w:rFonts w:ascii="Candara" w:hAnsi="Candara"/>
              </w:rPr>
            </w:pPr>
            <w:r w:rsidRPr="00322B14">
              <w:rPr>
                <w:rFonts w:ascii="Candara" w:hAnsi="Candara"/>
              </w:rPr>
              <w:t>Boas</w:t>
            </w:r>
            <w:r w:rsidR="001F1772" w:rsidRPr="00322B14">
              <w:rPr>
                <w:rFonts w:ascii="Candara" w:hAnsi="Candara"/>
              </w:rPr>
              <w:t>-</w:t>
            </w:r>
            <w:r w:rsidRPr="00322B14">
              <w:rPr>
                <w:rFonts w:ascii="Candara" w:hAnsi="Candara"/>
              </w:rPr>
              <w:t xml:space="preserve">vindas pelo </w:t>
            </w:r>
            <w:r w:rsidR="001F1772" w:rsidRPr="00322B14">
              <w:rPr>
                <w:rFonts w:ascii="Candara" w:hAnsi="Candara"/>
              </w:rPr>
              <w:t>p</w:t>
            </w:r>
            <w:r w:rsidRPr="00322B14">
              <w:rPr>
                <w:rFonts w:ascii="Candara" w:hAnsi="Candara"/>
              </w:rPr>
              <w:t>residente do CES, Prof. Dr. António Correia de Campos</w:t>
            </w:r>
          </w:p>
          <w:p w:rsidR="008726AB" w:rsidRPr="00322B14" w:rsidRDefault="008726AB" w:rsidP="00224DB9">
            <w:pPr>
              <w:spacing w:line="120" w:lineRule="auto"/>
              <w:ind w:left="2268" w:hanging="2268"/>
              <w:rPr>
                <w:rFonts w:ascii="Candara" w:hAnsi="Candara"/>
                <w:b/>
              </w:rPr>
            </w:pPr>
          </w:p>
        </w:tc>
      </w:tr>
      <w:tr w:rsidR="008726AB" w:rsidRPr="00322B14" w:rsidTr="00224DB9">
        <w:trPr>
          <w:cantSplit/>
        </w:trPr>
        <w:tc>
          <w:tcPr>
            <w:tcW w:w="2127" w:type="dxa"/>
          </w:tcPr>
          <w:p w:rsidR="008726AB" w:rsidRPr="00322B14" w:rsidRDefault="008726AB" w:rsidP="00224DB9">
            <w:pPr>
              <w:pStyle w:val="RowHeading"/>
              <w:spacing w:after="0"/>
              <w:ind w:right="-364"/>
              <w:rPr>
                <w:rFonts w:ascii="Candara" w:hAnsi="Candara" w:cs="Times New Roman"/>
                <w:b w:val="0"/>
                <w:sz w:val="22"/>
                <w:szCs w:val="22"/>
                <w:lang w:val="pt-PT"/>
              </w:rPr>
            </w:pPr>
          </w:p>
        </w:tc>
        <w:tc>
          <w:tcPr>
            <w:tcW w:w="7088" w:type="dxa"/>
          </w:tcPr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Joaquim Pequicho, </w:t>
            </w:r>
            <w:r w:rsidR="003E2FF4" w:rsidRPr="00322B14">
              <w:rPr>
                <w:bCs/>
                <w:sz w:val="18"/>
                <w:szCs w:val="18"/>
              </w:rPr>
              <w:t>d</w:t>
            </w:r>
            <w:r w:rsidRPr="00322B14">
              <w:rPr>
                <w:bCs/>
                <w:sz w:val="18"/>
                <w:szCs w:val="18"/>
              </w:rPr>
              <w:t xml:space="preserve">iretor </w:t>
            </w:r>
            <w:r w:rsidR="003E2FF4" w:rsidRPr="00322B14">
              <w:rPr>
                <w:bCs/>
                <w:sz w:val="18"/>
                <w:szCs w:val="18"/>
              </w:rPr>
              <w:t>e</w:t>
            </w:r>
            <w:r w:rsidRPr="00322B14">
              <w:rPr>
                <w:bCs/>
                <w:sz w:val="18"/>
                <w:szCs w:val="18"/>
              </w:rPr>
              <w:t xml:space="preserve">xecutivo da CONFECOOP 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 Alberto Regueira (DECO) 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Dr.ª Ana Cristina Tapadinhas, </w:t>
            </w:r>
            <w:r w:rsidR="003E2FF4" w:rsidRPr="00322B14">
              <w:rPr>
                <w:bCs/>
                <w:sz w:val="18"/>
                <w:szCs w:val="18"/>
              </w:rPr>
              <w:t>d</w:t>
            </w:r>
            <w:r w:rsidRPr="00322B14">
              <w:rPr>
                <w:bCs/>
                <w:sz w:val="18"/>
                <w:szCs w:val="18"/>
              </w:rPr>
              <w:t>iretora</w:t>
            </w:r>
            <w:r w:rsidR="003E2FF4" w:rsidRPr="00322B14">
              <w:rPr>
                <w:bCs/>
                <w:sz w:val="18"/>
                <w:szCs w:val="18"/>
              </w:rPr>
              <w:t>-g</w:t>
            </w:r>
            <w:r w:rsidRPr="00322B14">
              <w:rPr>
                <w:bCs/>
                <w:sz w:val="18"/>
                <w:szCs w:val="18"/>
              </w:rPr>
              <w:t xml:space="preserve">eral da DECO 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>Dr. José Leirião (CNIS)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 xml:space="preserve">Dr.ª Maria Teresa da Costa Macedo, </w:t>
            </w:r>
            <w:r w:rsidR="003E2FF4" w:rsidRPr="00322B14">
              <w:rPr>
                <w:bCs/>
                <w:sz w:val="18"/>
                <w:szCs w:val="18"/>
              </w:rPr>
              <w:t>p</w:t>
            </w:r>
            <w:r w:rsidRPr="00322B14">
              <w:rPr>
                <w:bCs/>
                <w:sz w:val="18"/>
                <w:szCs w:val="18"/>
              </w:rPr>
              <w:t>residente da Confederação Nacional das Associações de Família (CNAF)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>Dr.ª Ana Sofia Fernandes, Igualdade de Oportunidades Mulheres e Homens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bCs/>
                <w:sz w:val="18"/>
                <w:szCs w:val="18"/>
              </w:rPr>
            </w:pPr>
            <w:r w:rsidRPr="00322B14">
              <w:rPr>
                <w:bCs/>
                <w:sz w:val="18"/>
                <w:szCs w:val="18"/>
              </w:rPr>
              <w:t>Dr.ª Ana Coucello, Igualdade de Oportunidades Mulheres e Homens</w:t>
            </w:r>
          </w:p>
          <w:p w:rsidR="008726AB" w:rsidRPr="00322B14" w:rsidRDefault="008726AB" w:rsidP="008726AB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845" w:hanging="357"/>
              <w:rPr>
                <w:rFonts w:ascii="Candara" w:hAnsi="Candara"/>
              </w:rPr>
            </w:pPr>
            <w:r w:rsidRPr="00322B14">
              <w:rPr>
                <w:bCs/>
                <w:sz w:val="18"/>
                <w:szCs w:val="18"/>
              </w:rPr>
              <w:t>Dr.ª Marlene Mendes, Associação Portuguesa das Mulheres Juristas (APMJ)</w:t>
            </w:r>
            <w:r w:rsidRPr="00322B14">
              <w:rPr>
                <w:rFonts w:ascii="Candara" w:hAnsi="Candara"/>
              </w:rPr>
              <w:t xml:space="preserve"> </w:t>
            </w:r>
          </w:p>
          <w:p w:rsidR="008726AB" w:rsidRPr="00322B14" w:rsidRDefault="008726AB" w:rsidP="00224DB9">
            <w:pPr>
              <w:spacing w:line="240" w:lineRule="auto"/>
              <w:rPr>
                <w:rFonts w:ascii="Candara" w:hAnsi="Candara"/>
              </w:rPr>
            </w:pPr>
          </w:p>
        </w:tc>
      </w:tr>
    </w:tbl>
    <w:p w:rsidR="008726AB" w:rsidRPr="00322B14" w:rsidRDefault="008726AB" w:rsidP="008726AB">
      <w:pPr>
        <w:spacing w:line="276" w:lineRule="auto"/>
        <w:rPr>
          <w:rFonts w:ascii="Candara" w:hAnsi="Candara"/>
        </w:rPr>
      </w:pPr>
    </w:p>
    <w:p w:rsidR="00603B26" w:rsidRPr="00322B14" w:rsidRDefault="00603B26" w:rsidP="008726AB">
      <w:pPr>
        <w:spacing w:line="240" w:lineRule="auto"/>
        <w:jc w:val="center"/>
        <w:rPr>
          <w:sz w:val="24"/>
          <w:szCs w:val="24"/>
        </w:rPr>
      </w:pPr>
    </w:p>
    <w:sectPr w:rsidR="00603B26" w:rsidRPr="00322B14" w:rsidSect="00322B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88" w:rsidRDefault="00032088" w:rsidP="00032088">
      <w:pPr>
        <w:spacing w:line="240" w:lineRule="auto"/>
      </w:pPr>
      <w:r>
        <w:separator/>
      </w:r>
    </w:p>
  </w:endnote>
  <w:endnote w:type="continuationSeparator" w:id="0">
    <w:p w:rsidR="00032088" w:rsidRDefault="00032088" w:rsidP="0003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14" w:rsidRPr="00322B14" w:rsidRDefault="00322B14" w:rsidP="00322B14">
    <w:pPr>
      <w:pStyle w:val="Footer"/>
    </w:pPr>
    <w:r>
      <w:t xml:space="preserve">EESC-2017-02708-00-00-TCD-TRA (PT) </w:t>
    </w:r>
    <w:r>
      <w:fldChar w:fldCharType="begin"/>
    </w:r>
    <w:r>
      <w:instrText xml:space="preserve"> PAGE  \* Arabic  \* MERGEFORMAT </w:instrText>
    </w:r>
    <w:r>
      <w:fldChar w:fldCharType="separate"/>
    </w:r>
    <w:r w:rsidR="0090512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905123">
      <w:rPr>
        <w:noProof/>
      </w:rPr>
      <w:instrText>7</w:instrText>
    </w:r>
    <w:r>
      <w:fldChar w:fldCharType="end"/>
    </w:r>
    <w:r>
      <w:instrText xml:space="preserve"> -0 </w:instrText>
    </w:r>
    <w:r>
      <w:fldChar w:fldCharType="separate"/>
    </w:r>
    <w:r w:rsidR="00905123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14" w:rsidRPr="00322B14" w:rsidRDefault="00322B14" w:rsidP="00322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26" w:rsidRPr="00322B14" w:rsidRDefault="00322B14" w:rsidP="00322B14">
    <w:pPr>
      <w:pStyle w:val="Footer"/>
    </w:pPr>
    <w:r>
      <w:t xml:space="preserve">EESC-2017-02708-00-00-TCD-TRA (PT) </w:t>
    </w:r>
    <w:r>
      <w:fldChar w:fldCharType="begin"/>
    </w:r>
    <w:r>
      <w:instrText xml:space="preserve"> PAGE  \* Arabic  \* MERGEFORMAT </w:instrText>
    </w:r>
    <w:r>
      <w:fldChar w:fldCharType="separate"/>
    </w:r>
    <w:r w:rsidR="00905123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905123">
      <w:rPr>
        <w:noProof/>
      </w:rPr>
      <w:instrText>7</w:instrText>
    </w:r>
    <w:r>
      <w:fldChar w:fldCharType="end"/>
    </w:r>
    <w:r>
      <w:instrText xml:space="preserve"> -0 </w:instrText>
    </w:r>
    <w:r>
      <w:fldChar w:fldCharType="separate"/>
    </w:r>
    <w:r w:rsidR="00905123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14" w:rsidRPr="00322B14" w:rsidRDefault="00322B14" w:rsidP="0032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88" w:rsidRDefault="00032088" w:rsidP="00032088">
      <w:pPr>
        <w:spacing w:line="240" w:lineRule="auto"/>
      </w:pPr>
      <w:r>
        <w:separator/>
      </w:r>
    </w:p>
  </w:footnote>
  <w:footnote w:type="continuationSeparator" w:id="0">
    <w:p w:rsidR="00032088" w:rsidRDefault="00032088" w:rsidP="00032088">
      <w:pPr>
        <w:spacing w:line="240" w:lineRule="auto"/>
      </w:pPr>
      <w:r>
        <w:continuationSeparator/>
      </w:r>
    </w:p>
  </w:footnote>
  <w:footnote w:id="1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Empresarial de Portugal</w:t>
      </w:r>
      <w:r w:rsidR="00350A5E" w:rsidRPr="00322B14">
        <w:rPr>
          <w:szCs w:val="16"/>
        </w:rPr>
        <w:t>.</w:t>
      </w:r>
    </w:p>
  </w:footnote>
  <w:footnote w:id="2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do Comércio e Serviços de Portugal</w:t>
      </w:r>
      <w:r w:rsidR="00350A5E" w:rsidRPr="00322B14">
        <w:rPr>
          <w:szCs w:val="16"/>
        </w:rPr>
        <w:t>.</w:t>
      </w:r>
    </w:p>
  </w:footnote>
  <w:footnote w:id="3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do Turismo Português</w:t>
      </w:r>
      <w:r w:rsidR="00350A5E" w:rsidRPr="00322B14">
        <w:rPr>
          <w:szCs w:val="16"/>
        </w:rPr>
        <w:t>.</w:t>
      </w:r>
    </w:p>
  </w:footnote>
  <w:footnote w:id="4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Geral dos Trabalhadores Portugueses</w:t>
      </w:r>
      <w:r w:rsidR="00C40F67" w:rsidRPr="00322B14">
        <w:rPr>
          <w:szCs w:val="16"/>
        </w:rPr>
        <w:t>.</w:t>
      </w:r>
    </w:p>
  </w:footnote>
  <w:footnote w:id="5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União Geral de Trabalhadores</w:t>
      </w:r>
      <w:r w:rsidR="00C40F67" w:rsidRPr="00322B14">
        <w:rPr>
          <w:szCs w:val="16"/>
        </w:rPr>
        <w:t>.</w:t>
      </w:r>
    </w:p>
  </w:footnote>
  <w:footnote w:id="6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Cooperativa Portuguesa</w:t>
      </w:r>
      <w:r w:rsidR="00C40F67" w:rsidRPr="00322B14">
        <w:rPr>
          <w:szCs w:val="16"/>
        </w:rPr>
        <w:t>.</w:t>
      </w:r>
    </w:p>
  </w:footnote>
  <w:footnote w:id="7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Nacional das Instituições de Solidariedade</w:t>
      </w:r>
      <w:r w:rsidR="00C40F67" w:rsidRPr="00322B14">
        <w:rPr>
          <w:szCs w:val="16"/>
        </w:rPr>
        <w:t>.</w:t>
      </w:r>
    </w:p>
  </w:footnote>
  <w:footnote w:id="8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Confederação Nacional das Associações de Família</w:t>
      </w:r>
      <w:r w:rsidR="00C40F67" w:rsidRPr="00322B14">
        <w:rPr>
          <w:szCs w:val="16"/>
        </w:rPr>
        <w:t>.</w:t>
      </w:r>
    </w:p>
  </w:footnote>
  <w:footnote w:id="9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Associação Portuguesa das Mulheres Juristas</w:t>
      </w:r>
      <w:r w:rsidR="00C40F67" w:rsidRPr="00322B14">
        <w:rPr>
          <w:szCs w:val="16"/>
        </w:rPr>
        <w:t>.</w:t>
      </w:r>
    </w:p>
  </w:footnote>
  <w:footnote w:id="10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Igualdade de Oportunidades Mulheres e Homens</w:t>
      </w:r>
      <w:r w:rsidR="00C40F67" w:rsidRPr="00322B14">
        <w:rPr>
          <w:szCs w:val="16"/>
        </w:rPr>
        <w:t>.</w:t>
      </w:r>
    </w:p>
  </w:footnote>
  <w:footnote w:id="11">
    <w:p w:rsidR="006C5C92" w:rsidRPr="00322B14" w:rsidRDefault="006C5C92">
      <w:pPr>
        <w:pStyle w:val="FootnoteText"/>
      </w:pPr>
      <w:r w:rsidRPr="00322B14">
        <w:rPr>
          <w:rStyle w:val="FootnoteReference"/>
        </w:rPr>
        <w:footnoteRef/>
      </w:r>
      <w:r w:rsidRPr="00322B14">
        <w:t xml:space="preserve"> </w:t>
      </w:r>
      <w:r w:rsidRPr="00322B14">
        <w:tab/>
      </w:r>
      <w:r w:rsidRPr="00322B14">
        <w:rPr>
          <w:szCs w:val="16"/>
        </w:rPr>
        <w:t>Defesa do Consumidor</w:t>
      </w:r>
      <w:r w:rsidR="00C40F67" w:rsidRPr="00322B14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14" w:rsidRPr="00322B14" w:rsidRDefault="00322B14" w:rsidP="00322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26" w:rsidRPr="00322B14" w:rsidRDefault="00603B26" w:rsidP="00322B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14" w:rsidRPr="00322B14" w:rsidRDefault="00322B14" w:rsidP="00322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3E53307"/>
    <w:multiLevelType w:val="hybridMultilevel"/>
    <w:tmpl w:val="E2C8B9AE"/>
    <w:lvl w:ilvl="0" w:tplc="8DF8D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622B"/>
    <w:multiLevelType w:val="hybridMultilevel"/>
    <w:tmpl w:val="9FC27B5A"/>
    <w:lvl w:ilvl="0" w:tplc="A3D48E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3D48E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23CD6"/>
    <w:multiLevelType w:val="hybridMultilevel"/>
    <w:tmpl w:val="A8E86E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0B1243"/>
    <w:multiLevelType w:val="hybridMultilevel"/>
    <w:tmpl w:val="B428F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6F734F"/>
    <w:multiLevelType w:val="hybridMultilevel"/>
    <w:tmpl w:val="C6B82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D3971"/>
    <w:multiLevelType w:val="hybridMultilevel"/>
    <w:tmpl w:val="94E20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FB1719"/>
    <w:multiLevelType w:val="hybridMultilevel"/>
    <w:tmpl w:val="9A2AC0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C"/>
    <w:rsid w:val="00003B38"/>
    <w:rsid w:val="00032088"/>
    <w:rsid w:val="00043960"/>
    <w:rsid w:val="00053D22"/>
    <w:rsid w:val="00091AE7"/>
    <w:rsid w:val="0009709F"/>
    <w:rsid w:val="000C120D"/>
    <w:rsid w:val="00114685"/>
    <w:rsid w:val="001237D8"/>
    <w:rsid w:val="0013233C"/>
    <w:rsid w:val="0015331B"/>
    <w:rsid w:val="00196593"/>
    <w:rsid w:val="001A6853"/>
    <w:rsid w:val="001B2B1A"/>
    <w:rsid w:val="001B3122"/>
    <w:rsid w:val="001D31CA"/>
    <w:rsid w:val="001F1772"/>
    <w:rsid w:val="00224BD8"/>
    <w:rsid w:val="00251E40"/>
    <w:rsid w:val="00261B6D"/>
    <w:rsid w:val="002E7C8F"/>
    <w:rsid w:val="00322B14"/>
    <w:rsid w:val="003360E4"/>
    <w:rsid w:val="003508EE"/>
    <w:rsid w:val="00350A5E"/>
    <w:rsid w:val="0037135A"/>
    <w:rsid w:val="003944B0"/>
    <w:rsid w:val="003A7142"/>
    <w:rsid w:val="003E2FF4"/>
    <w:rsid w:val="0045368C"/>
    <w:rsid w:val="00461B37"/>
    <w:rsid w:val="0047690F"/>
    <w:rsid w:val="004846B7"/>
    <w:rsid w:val="004A121D"/>
    <w:rsid w:val="004C0330"/>
    <w:rsid w:val="004C1C1C"/>
    <w:rsid w:val="004C3850"/>
    <w:rsid w:val="004C4AFF"/>
    <w:rsid w:val="004F2732"/>
    <w:rsid w:val="0050370A"/>
    <w:rsid w:val="00531AAC"/>
    <w:rsid w:val="005743D7"/>
    <w:rsid w:val="005974D3"/>
    <w:rsid w:val="00603401"/>
    <w:rsid w:val="00603B26"/>
    <w:rsid w:val="006C0866"/>
    <w:rsid w:val="006C39E5"/>
    <w:rsid w:val="006C5C92"/>
    <w:rsid w:val="00716444"/>
    <w:rsid w:val="00723D67"/>
    <w:rsid w:val="007279FF"/>
    <w:rsid w:val="007577D5"/>
    <w:rsid w:val="00772270"/>
    <w:rsid w:val="007904EA"/>
    <w:rsid w:val="007B3E95"/>
    <w:rsid w:val="007B6345"/>
    <w:rsid w:val="0083068F"/>
    <w:rsid w:val="00846196"/>
    <w:rsid w:val="008601FF"/>
    <w:rsid w:val="008726AB"/>
    <w:rsid w:val="00872BAA"/>
    <w:rsid w:val="00874299"/>
    <w:rsid w:val="00905123"/>
    <w:rsid w:val="009327D8"/>
    <w:rsid w:val="00985AC7"/>
    <w:rsid w:val="009D21F9"/>
    <w:rsid w:val="00A02D02"/>
    <w:rsid w:val="00A07325"/>
    <w:rsid w:val="00A14A01"/>
    <w:rsid w:val="00A7320A"/>
    <w:rsid w:val="00AE7BC0"/>
    <w:rsid w:val="00B37C42"/>
    <w:rsid w:val="00B53EB5"/>
    <w:rsid w:val="00B61506"/>
    <w:rsid w:val="00B72F57"/>
    <w:rsid w:val="00B84136"/>
    <w:rsid w:val="00BA327A"/>
    <w:rsid w:val="00BD65DD"/>
    <w:rsid w:val="00C40F67"/>
    <w:rsid w:val="00C455D6"/>
    <w:rsid w:val="00C764FC"/>
    <w:rsid w:val="00CC3CDE"/>
    <w:rsid w:val="00CD0908"/>
    <w:rsid w:val="00CD0EEE"/>
    <w:rsid w:val="00CE6BA3"/>
    <w:rsid w:val="00CE7608"/>
    <w:rsid w:val="00D72255"/>
    <w:rsid w:val="00D74AE6"/>
    <w:rsid w:val="00D906AB"/>
    <w:rsid w:val="00DA291E"/>
    <w:rsid w:val="00DA65BF"/>
    <w:rsid w:val="00E078FB"/>
    <w:rsid w:val="00E76888"/>
    <w:rsid w:val="00EA24F1"/>
    <w:rsid w:val="00EF37FD"/>
    <w:rsid w:val="00F00720"/>
    <w:rsid w:val="00F044F5"/>
    <w:rsid w:val="00F0516D"/>
    <w:rsid w:val="00F32588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nhideWhenUsed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14"/>
    <w:pPr>
      <w:spacing w:line="288" w:lineRule="auto"/>
      <w:jc w:val="both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322B14"/>
    <w:pPr>
      <w:numPr>
        <w:numId w:val="9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22B14"/>
    <w:pPr>
      <w:numPr>
        <w:ilvl w:val="1"/>
        <w:numId w:val="9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22B14"/>
    <w:pPr>
      <w:numPr>
        <w:ilvl w:val="2"/>
        <w:numId w:val="9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22B14"/>
    <w:pPr>
      <w:numPr>
        <w:ilvl w:val="3"/>
        <w:numId w:val="9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22B14"/>
    <w:pPr>
      <w:numPr>
        <w:ilvl w:val="4"/>
        <w:numId w:val="9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2B14"/>
    <w:pPr>
      <w:numPr>
        <w:ilvl w:val="5"/>
        <w:numId w:val="9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22B14"/>
    <w:pPr>
      <w:numPr>
        <w:ilvl w:val="6"/>
        <w:numId w:val="9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2B14"/>
    <w:pPr>
      <w:numPr>
        <w:ilvl w:val="7"/>
        <w:numId w:val="9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2B14"/>
    <w:pPr>
      <w:numPr>
        <w:ilvl w:val="8"/>
        <w:numId w:val="9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C1C1C"/>
    <w:pPr>
      <w:ind w:left="720"/>
      <w:contextualSpacing/>
    </w:pPr>
  </w:style>
  <w:style w:type="paragraph" w:styleId="FootnoteText">
    <w:name w:val="footnote text"/>
    <w:basedOn w:val="Normal"/>
    <w:link w:val="FootnoteTextChar"/>
    <w:qFormat/>
    <w:rsid w:val="00322B1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32088"/>
    <w:rPr>
      <w:rFonts w:ascii="Times New Roman" w:eastAsia="Times New Roman" w:hAnsi="Times New Roman"/>
      <w:sz w:val="16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322B14"/>
    <w:rPr>
      <w:sz w:val="24"/>
      <w:vertAlign w:val="superscript"/>
    </w:rPr>
  </w:style>
  <w:style w:type="paragraph" w:styleId="Footer">
    <w:name w:val="footer"/>
    <w:basedOn w:val="Normal"/>
    <w:link w:val="FooterChar"/>
    <w:qFormat/>
    <w:rsid w:val="00322B14"/>
  </w:style>
  <w:style w:type="character" w:customStyle="1" w:styleId="FooterChar">
    <w:name w:val="Footer Char"/>
    <w:basedOn w:val="DefaultParagraphFont"/>
    <w:link w:val="Footer"/>
    <w:rsid w:val="00603B26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qFormat/>
    <w:rsid w:val="00322B14"/>
  </w:style>
  <w:style w:type="character" w:customStyle="1" w:styleId="HeaderChar">
    <w:name w:val="Header Char"/>
    <w:basedOn w:val="DefaultParagraphFont"/>
    <w:link w:val="Header"/>
    <w:rsid w:val="00603B26"/>
    <w:rPr>
      <w:rFonts w:ascii="Times New Roman" w:eastAsia="Times New Roman" w:hAnsi="Times New Roman"/>
      <w:lang w:val="en-US" w:eastAsia="en-US"/>
    </w:rPr>
  </w:style>
  <w:style w:type="paragraph" w:customStyle="1" w:styleId="RowHeading">
    <w:name w:val="Row Heading"/>
    <w:basedOn w:val="Normal"/>
    <w:uiPriority w:val="5"/>
    <w:qFormat/>
    <w:rsid w:val="00603B26"/>
    <w:pPr>
      <w:spacing w:after="120" w:line="264" w:lineRule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22B14"/>
    <w:rPr>
      <w:rFonts w:ascii="Times New Roman" w:eastAsia="Times New Roman" w:hAnsi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22B14"/>
    <w:rPr>
      <w:rFonts w:ascii="Times New Roman" w:eastAsia="Times New Roman" w:hAnsi="Times New Roman"/>
      <w:lang w:val="en-US" w:eastAsia="en-US"/>
    </w:rPr>
  </w:style>
  <w:style w:type="paragraph" w:customStyle="1" w:styleId="quotes">
    <w:name w:val="quotes"/>
    <w:basedOn w:val="Normal"/>
    <w:next w:val="Normal"/>
    <w:rsid w:val="00322B14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nhideWhenUsed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14"/>
    <w:pPr>
      <w:spacing w:line="288" w:lineRule="auto"/>
      <w:jc w:val="both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322B14"/>
    <w:pPr>
      <w:numPr>
        <w:numId w:val="9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22B14"/>
    <w:pPr>
      <w:numPr>
        <w:ilvl w:val="1"/>
        <w:numId w:val="9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22B14"/>
    <w:pPr>
      <w:numPr>
        <w:ilvl w:val="2"/>
        <w:numId w:val="9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22B14"/>
    <w:pPr>
      <w:numPr>
        <w:ilvl w:val="3"/>
        <w:numId w:val="9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22B14"/>
    <w:pPr>
      <w:numPr>
        <w:ilvl w:val="4"/>
        <w:numId w:val="9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2B14"/>
    <w:pPr>
      <w:numPr>
        <w:ilvl w:val="5"/>
        <w:numId w:val="9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22B14"/>
    <w:pPr>
      <w:numPr>
        <w:ilvl w:val="6"/>
        <w:numId w:val="9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2B14"/>
    <w:pPr>
      <w:numPr>
        <w:ilvl w:val="7"/>
        <w:numId w:val="9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2B14"/>
    <w:pPr>
      <w:numPr>
        <w:ilvl w:val="8"/>
        <w:numId w:val="9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C1C1C"/>
    <w:pPr>
      <w:ind w:left="720"/>
      <w:contextualSpacing/>
    </w:pPr>
  </w:style>
  <w:style w:type="paragraph" w:styleId="FootnoteText">
    <w:name w:val="footnote text"/>
    <w:basedOn w:val="Normal"/>
    <w:link w:val="FootnoteTextChar"/>
    <w:qFormat/>
    <w:rsid w:val="00322B1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32088"/>
    <w:rPr>
      <w:rFonts w:ascii="Times New Roman" w:eastAsia="Times New Roman" w:hAnsi="Times New Roman"/>
      <w:sz w:val="16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322B14"/>
    <w:rPr>
      <w:sz w:val="24"/>
      <w:vertAlign w:val="superscript"/>
    </w:rPr>
  </w:style>
  <w:style w:type="paragraph" w:styleId="Footer">
    <w:name w:val="footer"/>
    <w:basedOn w:val="Normal"/>
    <w:link w:val="FooterChar"/>
    <w:qFormat/>
    <w:rsid w:val="00322B14"/>
  </w:style>
  <w:style w:type="character" w:customStyle="1" w:styleId="FooterChar">
    <w:name w:val="Footer Char"/>
    <w:basedOn w:val="DefaultParagraphFont"/>
    <w:link w:val="Footer"/>
    <w:rsid w:val="00603B26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qFormat/>
    <w:rsid w:val="00322B14"/>
  </w:style>
  <w:style w:type="character" w:customStyle="1" w:styleId="HeaderChar">
    <w:name w:val="Header Char"/>
    <w:basedOn w:val="DefaultParagraphFont"/>
    <w:link w:val="Header"/>
    <w:rsid w:val="00603B26"/>
    <w:rPr>
      <w:rFonts w:ascii="Times New Roman" w:eastAsia="Times New Roman" w:hAnsi="Times New Roman"/>
      <w:lang w:val="en-US" w:eastAsia="en-US"/>
    </w:rPr>
  </w:style>
  <w:style w:type="paragraph" w:customStyle="1" w:styleId="RowHeading">
    <w:name w:val="Row Heading"/>
    <w:basedOn w:val="Normal"/>
    <w:uiPriority w:val="5"/>
    <w:qFormat/>
    <w:rsid w:val="00603B26"/>
    <w:pPr>
      <w:spacing w:after="120" w:line="264" w:lineRule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22B14"/>
    <w:rPr>
      <w:rFonts w:ascii="Times New Roman" w:eastAsia="Times New Roman" w:hAnsi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22B14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22B14"/>
    <w:rPr>
      <w:rFonts w:ascii="Times New Roman" w:eastAsia="Times New Roman" w:hAnsi="Times New Roman"/>
      <w:lang w:val="en-US" w:eastAsia="en-US"/>
    </w:rPr>
  </w:style>
  <w:style w:type="paragraph" w:customStyle="1" w:styleId="quotes">
    <w:name w:val="quotes"/>
    <w:basedOn w:val="Normal"/>
    <w:next w:val="Normal"/>
    <w:rsid w:val="00322B14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WTPCSN73YJ26-5-3265</_dlc_DocId>
    <_dlc_DocIdUrl xmlns="8a3471f6-0f36-4ccf-b5ee-1ca67ea797ef">
      <Url>http://dm/EESC/2017/_layouts/DocIdRedir.aspx?ID=WTPCSN73YJ26-5-3265</Url>
      <Description>WTPCSN73YJ26-5-3265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2017-06-02T12:00:00+00:00</ProductionDate>
    <DocumentNumber xmlns="d1332135-b17a-446f-a1ae-f2f9eb486b6d">2708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17</Value>
      <Value>15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6346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707D-C4A4-4CB4-AD03-F95C9B32F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8FEAC-1F62-4C3E-8C16-8C762805EA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A4B6A7-AE70-44D2-9F06-15759FA4A046}">
  <ds:schemaRefs>
    <ds:schemaRef ds:uri="http://purl.org/dc/terms/"/>
    <ds:schemaRef ds:uri="http://schemas.microsoft.com/sharepoint/v3/field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8a3471f6-0f36-4ccf-b5ee-1ca67ea797e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1332135-b17a-446f-a1ae-f2f9eb486b6d"/>
  </ds:schemaRefs>
</ds:datastoreItem>
</file>

<file path=customXml/itemProps4.xml><?xml version="1.0" encoding="utf-8"?>
<ds:datastoreItem xmlns:ds="http://schemas.openxmlformats.org/officeDocument/2006/customXml" ds:itemID="{A9E82D94-5BE9-4173-8297-F22B0F8E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1332135-b17a-446f-a1ae-f2f9eb48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9525CD-6DE2-4232-B81C-4ABAA13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7</Pages>
  <Words>2010</Words>
  <Characters>11057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Futuro da Europa - Relatório de missão Portugal</vt:lpstr>
    </vt:vector>
  </TitlesOfParts>
  <Company>CESE-CDR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Futuro da Europa - Relatório de missão Portugal</dc:title>
  <dc:subject>Trabalhos consultivos, diversos</dc:subject>
  <dc:creator>Luís Lobo</dc:creator>
  <cp:keywords>EESC-2017-02708-00-00-TCD-TRA-PT</cp:keywords>
  <dc:description>Rapporteur: -  Original language: - PT Date of document: - 02/06/2017 Date of meeting: -  External documents: -  Administrator responsible: - M. Rodrigues Lobo Luis Antero</dc:description>
  <cp:lastModifiedBy>Helmi Soosaar</cp:lastModifiedBy>
  <cp:revision>2</cp:revision>
  <cp:lastPrinted>2017-06-02T09:33:00Z</cp:lastPrinted>
  <dcterms:created xsi:type="dcterms:W3CDTF">2017-07-18T10:49:00Z</dcterms:created>
  <dcterms:modified xsi:type="dcterms:W3CDTF">2017-07-18T10:49:00Z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02/06/2017</vt:lpwstr>
  </property>
  <property fmtid="{D5CDD505-2E9C-101B-9397-08002B2CF9AE}" pid="4" name="Pref_Time">
    <vt:lpwstr>14:05:19</vt:lpwstr>
  </property>
  <property fmtid="{D5CDD505-2E9C-101B-9397-08002B2CF9AE}" pid="5" name="Pref_User">
    <vt:lpwstr>hnic</vt:lpwstr>
  </property>
  <property fmtid="{D5CDD505-2E9C-101B-9397-08002B2CF9AE}" pid="6" name="Pref_FileName">
    <vt:lpwstr>EESC-2017-02708-00-00-TCD-TRA-PT-CRR.docx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995ea6dd-f2ad-4444-99c1-75bdb0f3409d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8;#FR|d2afafd3-4c81-4f60-8f52-ee33f2f54ff3;#15;#PT|50ccc04a-eadd-42ae-a0cb-acaf45f812ba;#4;#EN|f2175f21-25d7-44a3-96da-d6a61b075e1b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2708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Marché unique, production, consommation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15;#PT|50ccc04a-eadd-42ae-a0cb-acaf45f812ba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PT|50ccc04a-eadd-42ae-a0cb-acaf45f812ba</vt:lpwstr>
  </property>
  <property fmtid="{D5CDD505-2E9C-101B-9397-08002B2CF9AE}" pid="29" name="TaxCatchAll">
    <vt:lpwstr>6;#Final|ea5e6674-7b27-4bac-b091-73adbb394efe;#17;#TCD|cd9d6eb6-3f4f-424a-b2d1-57c9d450eaaf;#5;#Unrestricted|826e22d7-d029-4ec0-a450-0c28ff673572;#15;#PT|50ccc04a-eadd-42ae-a0cb-acaf45f812ba;#2;#TRA|150d2a88-1431-44e6-a8ca-0bb753ab8672;#1;#EESC|422833ec-8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6346</vt:i4>
  </property>
  <property fmtid="{D5CDD505-2E9C-101B-9397-08002B2CF9AE}" pid="34" name="DocumentYear">
    <vt:i4>2017</vt:i4>
  </property>
  <property fmtid="{D5CDD505-2E9C-101B-9397-08002B2CF9AE}" pid="35" name="DocumentLanguage">
    <vt:lpwstr>15;#PT|50ccc04a-eadd-42ae-a0cb-acaf45f812ba</vt:lpwstr>
  </property>
</Properties>
</file>