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71" w:type="dxa"/>
        <w:tblLayout w:type="fixed"/>
        <w:tblLook w:val="0000" w:firstRow="0" w:lastRow="0" w:firstColumn="0" w:lastColumn="0" w:noHBand="0" w:noVBand="0"/>
      </w:tblPr>
      <w:tblGrid>
        <w:gridCol w:w="8571"/>
      </w:tblGrid>
      <w:tr w:rsidR="000B3214" w:rsidRPr="000F3274" w:rsidTr="008C5451">
        <w:trPr>
          <w:trHeight w:val="1148"/>
        </w:trPr>
        <w:tc>
          <w:tcPr>
            <w:tcW w:w="8571" w:type="dxa"/>
            <w:tcBorders>
              <w:top w:val="nil"/>
              <w:left w:val="nil"/>
              <w:bottom w:val="nil"/>
              <w:right w:val="nil"/>
            </w:tcBorders>
          </w:tcPr>
          <w:p w:rsidR="000B3214" w:rsidRPr="000F3274" w:rsidRDefault="00A41CCC" w:rsidP="008C5451">
            <w:pPr>
              <w:pStyle w:val="ces1"/>
              <w:jc w:val="center"/>
              <w:rPr>
                <w:lang w:val="nl-NL"/>
              </w:rPr>
            </w:pPr>
            <w:bookmarkStart w:id="0" w:name="_GoBack"/>
            <w:bookmarkEnd w:id="0"/>
            <w:r w:rsidRPr="000F3274">
              <w:rPr>
                <w:noProof/>
                <w:lang w:val="en-GB" w:eastAsia="en-GB"/>
              </w:rPr>
              <w:drawing>
                <wp:inline distT="0" distB="0" distL="0" distR="0" wp14:anchorId="5D96AA6D" wp14:editId="7814F5B4">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rsidR="000B3214" w:rsidRPr="00410962" w:rsidRDefault="00BB33C6" w:rsidP="008C5451">
            <w:pPr>
              <w:ind w:right="-108"/>
              <w:jc w:val="center"/>
              <w:rPr>
                <w:rFonts w:ascii="Arial" w:hAnsi="Arial" w:cs="Arial"/>
                <w:b/>
                <w:i/>
                <w:sz w:val="20"/>
              </w:rPr>
            </w:pPr>
            <w:r w:rsidRPr="00410962">
              <w:rPr>
                <w:rFonts w:ascii="Arial" w:hAnsi="Arial" w:cs="Arial"/>
                <w:b/>
                <w:i/>
                <w:sz w:val="20"/>
              </w:rPr>
              <w:t>Europees Economisch en Sociaal Comité</w:t>
            </w:r>
          </w:p>
          <w:p w:rsidR="000B3214" w:rsidRPr="000F3274" w:rsidRDefault="00BB33C6" w:rsidP="00BB33C6">
            <w:pPr>
              <w:jc w:val="center"/>
            </w:pPr>
            <w:r w:rsidRPr="00410962">
              <w:rPr>
                <w:rFonts w:ascii="Arial" w:hAnsi="Arial" w:cs="Arial"/>
                <w:b/>
                <w:i/>
                <w:sz w:val="20"/>
              </w:rPr>
              <w:t>Directie</w:t>
            </w:r>
            <w:r w:rsidR="000B3214" w:rsidRPr="00410962">
              <w:rPr>
                <w:rFonts w:ascii="Arial" w:hAnsi="Arial" w:cs="Arial"/>
                <w:b/>
                <w:i/>
                <w:sz w:val="20"/>
              </w:rPr>
              <w:t xml:space="preserve"> B- </w:t>
            </w:r>
            <w:r w:rsidRPr="00410962">
              <w:rPr>
                <w:rFonts w:ascii="Arial" w:hAnsi="Arial" w:cs="Arial"/>
                <w:b/>
                <w:i/>
                <w:sz w:val="20"/>
              </w:rPr>
              <w:t>Externe Betrekkingen</w:t>
            </w:r>
          </w:p>
        </w:tc>
      </w:tr>
    </w:tbl>
    <w:p w:rsidR="000B3214" w:rsidRPr="000F3274" w:rsidRDefault="00A41CCC" w:rsidP="000B3214">
      <w:pPr>
        <w:tabs>
          <w:tab w:val="left" w:pos="5850"/>
        </w:tabs>
      </w:pPr>
      <w:r w:rsidRPr="000F3274">
        <w:rPr>
          <w:noProof/>
          <w:lang w:val="en-GB" w:eastAsia="en-GB"/>
        </w:rPr>
        <mc:AlternateContent>
          <mc:Choice Requires="wps">
            <w:drawing>
              <wp:anchor distT="0" distB="0" distL="114300" distR="114300" simplePos="0" relativeHeight="251657728" behindDoc="1" locked="0" layoutInCell="0" allowOverlap="1" wp14:anchorId="5722FFFD" wp14:editId="74C361A7">
                <wp:simplePos x="0" y="0"/>
                <wp:positionH relativeFrom="page">
                  <wp:posOffset>6769100</wp:posOffset>
                </wp:positionH>
                <wp:positionV relativeFrom="page">
                  <wp:posOffset>10081260</wp:posOffset>
                </wp:positionV>
                <wp:extent cx="647700" cy="396240"/>
                <wp:effectExtent l="0" t="381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214" w:rsidRPr="000F3274" w:rsidRDefault="007C73FD" w:rsidP="000B3214">
                            <w:pPr>
                              <w:jc w:val="center"/>
                              <w:rPr>
                                <w:rFonts w:ascii="Arial" w:hAnsi="Arial" w:cs="Arial"/>
                                <w:b/>
                                <w:bCs/>
                                <w:sz w:val="48"/>
                              </w:rPr>
                            </w:pPr>
                            <w:r w:rsidRPr="000F3274">
                              <w:rPr>
                                <w:rFonts w:ascii="Arial" w:hAnsi="Arial" w:cs="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3"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ZAtgIAALg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y4lGQLYCAAC4&#10;BQAADgAAAAAAAAAAAAAAAAAuAgAAZHJzL2Uyb0RvYy54bWxQSwECLQAUAAYACAAAACEA61QxWt4A&#10;AAAPAQAADwAAAAAAAAAAAAAAAAAQBQAAZHJzL2Rvd25yZXYueG1sUEsFBgAAAAAEAAQA8wAAABsG&#10;AAAAAA==&#10;">
                <v:textbox>
                  <w:txbxContent>
                    <w:p w:rsidRPr="000F3274" w:rsidR="000B3214" w:rsidP="000B3214" w:rsidRDefault="007C73FD">
                      <w:pPr>
                        <w:jc w:val="center"/>
                        <w:rPr>
                          <w:rFonts w:ascii="Arial" w:hAnsi="Arial" w:cs="Arial"/>
                          <w:b/>
                          <w:bCs/>
                          <w:sz w:val="48"/>
                        </w:rPr>
                      </w:pPr>
                      <w:r w:rsidRPr="000F3274">
                        <w:rPr>
                          <w:rFonts w:ascii="Arial" w:hAnsi="Arial" w:cs="Arial"/>
                          <w:b/>
                          <w:bCs/>
                          <w:sz w:val="48"/>
                        </w:rPr>
                        <w:t>NL</w:t>
                      </w:r>
                    </w:p>
                  </w:txbxContent>
                </v:textbox>
                <w10:wrap anchorx="page" anchory="page"/>
              </v:shape>
            </w:pict>
          </mc:Fallback>
        </mc:AlternateContent>
      </w:r>
    </w:p>
    <w:tbl>
      <w:tblPr>
        <w:tblW w:w="8571" w:type="dxa"/>
        <w:tblLayout w:type="fixed"/>
        <w:tblLook w:val="0000" w:firstRow="0" w:lastRow="0" w:firstColumn="0" w:lastColumn="0" w:noHBand="0" w:noVBand="0"/>
      </w:tblPr>
      <w:tblGrid>
        <w:gridCol w:w="5464"/>
        <w:gridCol w:w="3107"/>
      </w:tblGrid>
      <w:tr w:rsidR="000B3214" w:rsidRPr="000F3274" w:rsidTr="00026332">
        <w:trPr>
          <w:trHeight w:val="615"/>
        </w:trPr>
        <w:tc>
          <w:tcPr>
            <w:tcW w:w="5464" w:type="dxa"/>
            <w:tcBorders>
              <w:top w:val="nil"/>
              <w:left w:val="nil"/>
              <w:bottom w:val="nil"/>
              <w:right w:val="nil"/>
            </w:tcBorders>
          </w:tcPr>
          <w:p w:rsidR="000B3214" w:rsidRPr="000F3274" w:rsidRDefault="000B3214" w:rsidP="008C5451"/>
        </w:tc>
        <w:tc>
          <w:tcPr>
            <w:tcW w:w="3107" w:type="dxa"/>
            <w:tcBorders>
              <w:top w:val="nil"/>
              <w:left w:val="nil"/>
              <w:bottom w:val="nil"/>
              <w:right w:val="nil"/>
            </w:tcBorders>
          </w:tcPr>
          <w:p w:rsidR="000B3214" w:rsidRPr="000F3274" w:rsidRDefault="00BB33C6" w:rsidP="008C5451">
            <w:pPr>
              <w:jc w:val="right"/>
            </w:pPr>
            <w:r w:rsidRPr="000F3274">
              <w:t xml:space="preserve">Brussel, </w:t>
            </w:r>
            <w:r w:rsidR="000F3274" w:rsidRPr="000F3274">
              <w:t>19</w:t>
            </w:r>
            <w:r w:rsidRPr="000F3274">
              <w:t xml:space="preserve"> juni</w:t>
            </w:r>
            <w:r w:rsidR="00352E4E" w:rsidRPr="000F3274">
              <w:t xml:space="preserve"> </w:t>
            </w:r>
            <w:r w:rsidR="000B3214" w:rsidRPr="000F3274">
              <w:t>201</w:t>
            </w:r>
            <w:r w:rsidR="009E46BF" w:rsidRPr="000F3274">
              <w:t>7</w:t>
            </w:r>
          </w:p>
          <w:p w:rsidR="000B3214" w:rsidRPr="000F3274" w:rsidRDefault="00352E4E" w:rsidP="00026332">
            <w:pPr>
              <w:jc w:val="right"/>
            </w:pPr>
            <w:r w:rsidRPr="000F3274">
              <w:t>Dir-B REX/EB 09</w:t>
            </w:r>
            <w:r w:rsidR="00D518BE" w:rsidRPr="000F3274">
              <w:t>9</w:t>
            </w:r>
            <w:r w:rsidR="000B3214" w:rsidRPr="000F3274">
              <w:t>-201</w:t>
            </w:r>
            <w:r w:rsidR="009E46BF" w:rsidRPr="000F3274">
              <w:t>7</w:t>
            </w:r>
          </w:p>
        </w:tc>
      </w:tr>
    </w:tbl>
    <w:p w:rsidR="000B3214" w:rsidRPr="000F3274" w:rsidRDefault="000B3214" w:rsidP="000B3214">
      <w:pPr>
        <w:tabs>
          <w:tab w:val="center" w:pos="4513"/>
          <w:tab w:val="left" w:pos="7118"/>
        </w:tabs>
        <w:jc w:val="center"/>
        <w:rPr>
          <w:b/>
          <w:u w:val="single"/>
        </w:rPr>
      </w:pPr>
    </w:p>
    <w:p w:rsidR="000B3214" w:rsidRPr="000F3274" w:rsidRDefault="00BB33C6" w:rsidP="000B3214">
      <w:pPr>
        <w:tabs>
          <w:tab w:val="center" w:pos="4513"/>
          <w:tab w:val="left" w:pos="7118"/>
        </w:tabs>
        <w:jc w:val="center"/>
        <w:rPr>
          <w:b/>
        </w:rPr>
      </w:pPr>
      <w:r w:rsidRPr="000F3274">
        <w:rPr>
          <w:b/>
        </w:rPr>
        <w:t>Verslag brainstorm over de Toekomst van Europa</w:t>
      </w:r>
    </w:p>
    <w:p w:rsidR="000B3214" w:rsidRPr="000F3274" w:rsidRDefault="000B3214" w:rsidP="000B3214">
      <w:pPr>
        <w:tabs>
          <w:tab w:val="center" w:pos="4513"/>
          <w:tab w:val="left" w:pos="7118"/>
        </w:tabs>
        <w:jc w:val="center"/>
        <w:rPr>
          <w:b/>
        </w:rPr>
      </w:pPr>
      <w:r w:rsidRPr="000F3274">
        <w:rPr>
          <w:b/>
        </w:rPr>
        <w:t>__________________________________________________________________________________</w:t>
      </w:r>
    </w:p>
    <w:p w:rsidR="000B3214" w:rsidRPr="000F3274" w:rsidRDefault="000B3214" w:rsidP="000B3214">
      <w:pPr>
        <w:tabs>
          <w:tab w:val="center" w:pos="4513"/>
          <w:tab w:val="left" w:pos="7118"/>
        </w:tabs>
        <w:ind w:left="709" w:hanging="709"/>
        <w:rPr>
          <w:b/>
        </w:rPr>
      </w:pPr>
    </w:p>
    <w:p w:rsidR="000B3214" w:rsidRPr="000F3274" w:rsidRDefault="007C73FD" w:rsidP="00410962">
      <w:pPr>
        <w:tabs>
          <w:tab w:val="left" w:pos="992"/>
          <w:tab w:val="left" w:pos="1418"/>
        </w:tabs>
        <w:ind w:left="1418" w:hanging="1418"/>
        <w:rPr>
          <w:b/>
        </w:rPr>
      </w:pPr>
      <w:r w:rsidRPr="000F3274">
        <w:rPr>
          <w:b/>
        </w:rPr>
        <w:t>Betreft</w:t>
      </w:r>
      <w:r w:rsidR="000B3214" w:rsidRPr="000F3274">
        <w:rPr>
          <w:b/>
        </w:rPr>
        <w:tab/>
      </w:r>
      <w:r w:rsidR="000B3214" w:rsidRPr="000F3274">
        <w:t>:</w:t>
      </w:r>
      <w:r w:rsidR="000F3274">
        <w:tab/>
      </w:r>
      <w:r w:rsidRPr="000F3274">
        <w:rPr>
          <w:b/>
        </w:rPr>
        <w:t>Brainstorm over de Toekomst van Europa, georganiseerd in samenwerking met de SER, Den Haag, 1 juni 2017</w:t>
      </w:r>
    </w:p>
    <w:p w:rsidR="007C73FD" w:rsidRPr="000F3274" w:rsidRDefault="007C73FD" w:rsidP="000F3274">
      <w:pPr>
        <w:tabs>
          <w:tab w:val="left" w:pos="992"/>
          <w:tab w:val="left" w:pos="1418"/>
        </w:tabs>
        <w:ind w:hanging="425"/>
        <w:rPr>
          <w:b/>
        </w:rPr>
      </w:pPr>
    </w:p>
    <w:p w:rsidR="007C73FD" w:rsidRPr="000F3274" w:rsidRDefault="007C73FD" w:rsidP="000F3274">
      <w:pPr>
        <w:tabs>
          <w:tab w:val="left" w:pos="992"/>
          <w:tab w:val="left" w:pos="1418"/>
        </w:tabs>
        <w:ind w:left="1418" w:hanging="1418"/>
      </w:pPr>
      <w:r w:rsidRPr="000F3274">
        <w:rPr>
          <w:b/>
        </w:rPr>
        <w:t>Aan</w:t>
      </w:r>
      <w:r w:rsidR="000B3214" w:rsidRPr="000F3274">
        <w:rPr>
          <w:b/>
        </w:rPr>
        <w:tab/>
      </w:r>
      <w:r w:rsidR="000B3214" w:rsidRPr="000F3274">
        <w:t>:</w:t>
      </w:r>
      <w:r w:rsidR="000F3274">
        <w:tab/>
      </w:r>
      <w:r w:rsidRPr="000F3274">
        <w:t>Dhr Van Iersel, Mw Del Rio, Dhr Moos, rapporteurs</w:t>
      </w:r>
    </w:p>
    <w:p w:rsidR="00807119" w:rsidRPr="000F3274" w:rsidRDefault="000F3274" w:rsidP="000F3274">
      <w:pPr>
        <w:tabs>
          <w:tab w:val="left" w:pos="992"/>
        </w:tabs>
        <w:ind w:left="1417" w:hanging="425"/>
      </w:pPr>
      <w:r>
        <w:t>:</w:t>
      </w:r>
      <w:r>
        <w:tab/>
      </w:r>
      <w:r w:rsidR="007C73FD" w:rsidRPr="000F3274">
        <w:t xml:space="preserve">Leden ad hoc groep over de Toekomst van Europa </w:t>
      </w:r>
    </w:p>
    <w:p w:rsidR="007C73FD" w:rsidRPr="000F3274" w:rsidRDefault="000F3274" w:rsidP="000F3274">
      <w:pPr>
        <w:tabs>
          <w:tab w:val="left" w:pos="992"/>
        </w:tabs>
        <w:ind w:left="1417" w:hanging="425"/>
      </w:pPr>
      <w:r>
        <w:t>:</w:t>
      </w:r>
      <w:r>
        <w:tab/>
      </w:r>
      <w:r w:rsidR="007C73FD" w:rsidRPr="000F3274">
        <w:t xml:space="preserve">Dhr Quaedvlieg, Mw Muller, Dhr Osinga, organiserende leden </w:t>
      </w:r>
    </w:p>
    <w:p w:rsidR="000B3214" w:rsidRPr="000F3274" w:rsidRDefault="000F3274" w:rsidP="000F3274">
      <w:pPr>
        <w:tabs>
          <w:tab w:val="left" w:pos="992"/>
        </w:tabs>
        <w:ind w:left="1417" w:hanging="425"/>
      </w:pPr>
      <w:r>
        <w:t>:</w:t>
      </w:r>
      <w:r>
        <w:tab/>
      </w:r>
      <w:r w:rsidR="007C73FD" w:rsidRPr="000F3274">
        <w:t>Dhr</w:t>
      </w:r>
      <w:r w:rsidR="000B3214" w:rsidRPr="000F3274">
        <w:t xml:space="preserve"> </w:t>
      </w:r>
      <w:r w:rsidR="007C73FD" w:rsidRPr="000F3274">
        <w:t>Hick, Directeur</w:t>
      </w:r>
    </w:p>
    <w:p w:rsidR="000B3214" w:rsidRPr="000F3274" w:rsidRDefault="000B3214" w:rsidP="000F3274">
      <w:pPr>
        <w:tabs>
          <w:tab w:val="left" w:pos="992"/>
        </w:tabs>
        <w:ind w:left="1417" w:hanging="425"/>
        <w:rPr>
          <w:i/>
        </w:rPr>
      </w:pPr>
      <w:r w:rsidRPr="000F3274">
        <w:t>:</w:t>
      </w:r>
      <w:r w:rsidR="000F3274">
        <w:tab/>
      </w:r>
      <w:r w:rsidR="007C73FD" w:rsidRPr="000F3274">
        <w:t>Mw Porres, Afdelingshoofd</w:t>
      </w:r>
    </w:p>
    <w:p w:rsidR="002076C7" w:rsidRPr="000F3274" w:rsidRDefault="002076C7" w:rsidP="007C73FD">
      <w:pPr>
        <w:tabs>
          <w:tab w:val="left" w:pos="1134"/>
        </w:tabs>
        <w:rPr>
          <w:i/>
        </w:rPr>
      </w:pPr>
    </w:p>
    <w:p w:rsidR="005A27FA" w:rsidRPr="000F3274" w:rsidRDefault="00A41CCC" w:rsidP="00EF6504">
      <w:pPr>
        <w:rPr>
          <w:i/>
        </w:rPr>
      </w:pPr>
      <w:r w:rsidRPr="000F3274">
        <w:rPr>
          <w:i/>
          <w:noProof/>
          <w:lang w:val="en-GB" w:eastAsia="en-GB"/>
        </w:rPr>
        <w:drawing>
          <wp:inline distT="0" distB="0" distL="0" distR="0" wp14:anchorId="06862E38" wp14:editId="64A7D90F">
            <wp:extent cx="3609975" cy="4197985"/>
            <wp:effectExtent l="0" t="0" r="9525" b="0"/>
            <wp:docPr id="2" name="Picture 2" descr="20170601_16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0601_1615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9975" cy="4197985"/>
                    </a:xfrm>
                    <a:prstGeom prst="rect">
                      <a:avLst/>
                    </a:prstGeom>
                    <a:noFill/>
                    <a:ln>
                      <a:noFill/>
                    </a:ln>
                  </pic:spPr>
                </pic:pic>
              </a:graphicData>
            </a:graphic>
          </wp:inline>
        </w:drawing>
      </w:r>
    </w:p>
    <w:p w:rsidR="00C473EE" w:rsidRPr="000F3274" w:rsidRDefault="00C473EE" w:rsidP="00EF6504">
      <w:pPr>
        <w:rPr>
          <w:i/>
          <w:sz w:val="18"/>
          <w:szCs w:val="18"/>
        </w:rPr>
      </w:pPr>
    </w:p>
    <w:p w:rsidR="005A27FA" w:rsidRPr="000F3274" w:rsidRDefault="007C73FD" w:rsidP="00EF6504">
      <w:pPr>
        <w:rPr>
          <w:i/>
          <w:sz w:val="18"/>
          <w:szCs w:val="18"/>
        </w:rPr>
      </w:pPr>
      <w:r w:rsidRPr="000F3274">
        <w:rPr>
          <w:i/>
          <w:sz w:val="18"/>
          <w:szCs w:val="18"/>
        </w:rPr>
        <w:t>Infographic showing participants' ideal scenario</w:t>
      </w:r>
      <w:r w:rsidR="00367173" w:rsidRPr="000F3274">
        <w:rPr>
          <w:i/>
          <w:sz w:val="18"/>
          <w:szCs w:val="18"/>
        </w:rPr>
        <w:t>s</w:t>
      </w:r>
      <w:r w:rsidRPr="000F3274">
        <w:rPr>
          <w:i/>
          <w:sz w:val="18"/>
          <w:szCs w:val="18"/>
        </w:rPr>
        <w:t xml:space="preserve"> (green dots), least preferred scenario</w:t>
      </w:r>
      <w:r w:rsidR="00367173" w:rsidRPr="000F3274">
        <w:rPr>
          <w:i/>
          <w:sz w:val="18"/>
          <w:szCs w:val="18"/>
        </w:rPr>
        <w:t>s</w:t>
      </w:r>
      <w:r w:rsidRPr="000F3274">
        <w:rPr>
          <w:i/>
          <w:sz w:val="18"/>
          <w:szCs w:val="18"/>
        </w:rPr>
        <w:t xml:space="preserve"> (red dots) and 'most likely to happen' scenario</w:t>
      </w:r>
      <w:r w:rsidR="00367173" w:rsidRPr="000F3274">
        <w:rPr>
          <w:i/>
          <w:sz w:val="18"/>
          <w:szCs w:val="18"/>
        </w:rPr>
        <w:t>s</w:t>
      </w:r>
      <w:r w:rsidRPr="000F3274">
        <w:rPr>
          <w:i/>
          <w:sz w:val="18"/>
          <w:szCs w:val="18"/>
        </w:rPr>
        <w:t xml:space="preserve"> (blue dots).</w:t>
      </w:r>
    </w:p>
    <w:p w:rsidR="00886E77" w:rsidRPr="000F3274" w:rsidRDefault="00886E77" w:rsidP="00EF6504">
      <w:pPr>
        <w:rPr>
          <w:b/>
        </w:rPr>
      </w:pPr>
    </w:p>
    <w:p w:rsidR="00C473EE" w:rsidRPr="000F3274" w:rsidRDefault="003F24F2" w:rsidP="00F84D57">
      <w:pPr>
        <w:spacing w:line="276" w:lineRule="auto"/>
        <w:rPr>
          <w:b/>
        </w:rPr>
      </w:pPr>
      <w:r w:rsidRPr="000F3274">
        <w:rPr>
          <w:b/>
        </w:rPr>
        <w:lastRenderedPageBreak/>
        <w:t>Conclusies van de brainstorm over de Toekomst van Europa in Nederland</w:t>
      </w:r>
    </w:p>
    <w:p w:rsidR="003F24F2" w:rsidRPr="000F3274" w:rsidRDefault="003F24F2" w:rsidP="00F84D57">
      <w:pPr>
        <w:spacing w:line="276" w:lineRule="auto"/>
        <w:rPr>
          <w:b/>
        </w:rPr>
      </w:pPr>
    </w:p>
    <w:p w:rsidR="003F24F2" w:rsidRPr="00026332" w:rsidRDefault="003F24F2" w:rsidP="00410962">
      <w:pPr>
        <w:pStyle w:val="Heading1"/>
        <w:spacing w:line="276" w:lineRule="auto"/>
        <w:rPr>
          <w:b/>
        </w:rPr>
      </w:pPr>
      <w:r w:rsidRPr="00026332">
        <w:rPr>
          <w:b/>
        </w:rPr>
        <w:t xml:space="preserve">Wat wil het Nederlands maatschappelijk middenveld van de Europese Unie, en hoe </w:t>
      </w:r>
      <w:r w:rsidR="00FE01DA" w:rsidRPr="00026332">
        <w:rPr>
          <w:b/>
        </w:rPr>
        <w:t xml:space="preserve">kan dat </w:t>
      </w:r>
      <w:r w:rsidRPr="00026332">
        <w:rPr>
          <w:b/>
        </w:rPr>
        <w:t>worden gerealiseerd?</w:t>
      </w:r>
    </w:p>
    <w:p w:rsidR="003F24F2" w:rsidRPr="000F3274" w:rsidRDefault="003F24F2" w:rsidP="00F84D57">
      <w:pPr>
        <w:spacing w:line="276" w:lineRule="auto"/>
        <w:rPr>
          <w:b/>
        </w:rPr>
      </w:pPr>
    </w:p>
    <w:p w:rsidR="00A76D3C" w:rsidRPr="000F3274" w:rsidRDefault="00FE01DA" w:rsidP="00F84D57">
      <w:pPr>
        <w:spacing w:line="276" w:lineRule="auto"/>
      </w:pPr>
      <w:r w:rsidRPr="000F3274">
        <w:t xml:space="preserve">De deelnemers aan het Nederlandse debat willen eerst en vooral een EU die </w:t>
      </w:r>
      <w:r w:rsidR="00242B5F" w:rsidRPr="000F3274">
        <w:t xml:space="preserve">binnen </w:t>
      </w:r>
      <w:r w:rsidR="00242B5F" w:rsidRPr="000F3274">
        <w:rPr>
          <w:u w:val="single"/>
        </w:rPr>
        <w:t>duidelijke kaders</w:t>
      </w:r>
      <w:r w:rsidR="00242B5F" w:rsidRPr="000F3274">
        <w:t xml:space="preserve"> </w:t>
      </w:r>
      <w:r w:rsidR="00242B5F" w:rsidRPr="000F3274">
        <w:rPr>
          <w:u w:val="single"/>
        </w:rPr>
        <w:t xml:space="preserve">weldoordachte en werkbare </w:t>
      </w:r>
      <w:r w:rsidRPr="000F3274">
        <w:rPr>
          <w:u w:val="single"/>
        </w:rPr>
        <w:t>beleidsvoorstellen</w:t>
      </w:r>
      <w:r w:rsidRPr="000F3274">
        <w:t xml:space="preserve"> </w:t>
      </w:r>
      <w:r w:rsidR="00A76D3C" w:rsidRPr="000F3274">
        <w:t>ontwerpt</w:t>
      </w:r>
      <w:r w:rsidR="00242B5F" w:rsidRPr="000F3274">
        <w:t>,</w:t>
      </w:r>
      <w:r w:rsidRPr="000F3274">
        <w:t xml:space="preserve"> </w:t>
      </w:r>
      <w:r w:rsidR="00242B5F" w:rsidRPr="000F3274">
        <w:t xml:space="preserve">waarvan </w:t>
      </w:r>
      <w:r w:rsidRPr="000F3274">
        <w:t xml:space="preserve">de </w:t>
      </w:r>
      <w:r w:rsidRPr="000F3274">
        <w:rPr>
          <w:u w:val="single"/>
        </w:rPr>
        <w:t>invulling en uitwerking</w:t>
      </w:r>
      <w:r w:rsidRPr="000F3274">
        <w:t xml:space="preserve"> meer dan nu het geval is aan de Lidstaten wordt overgelaten. </w:t>
      </w:r>
      <w:r w:rsidR="00A76D3C" w:rsidRPr="000F3274">
        <w:t xml:space="preserve">Hieraan ten grondslag liggen </w:t>
      </w:r>
      <w:r w:rsidR="00A76D3C" w:rsidRPr="000F3274">
        <w:rPr>
          <w:u w:val="single"/>
        </w:rPr>
        <w:t>duidelijke strategische keuzes</w:t>
      </w:r>
      <w:r w:rsidR="00A76D3C" w:rsidRPr="000F3274">
        <w:t>: wat doen we wel</w:t>
      </w:r>
      <w:r w:rsidR="00242B5F" w:rsidRPr="000F3274">
        <w:t xml:space="preserve"> samen</w:t>
      </w:r>
      <w:r w:rsidR="00A76D3C" w:rsidRPr="000F3274">
        <w:t>, wat niet, op welke terreinen kunnen we het eens worden?</w:t>
      </w:r>
    </w:p>
    <w:p w:rsidR="00A76D3C" w:rsidRPr="000F3274" w:rsidRDefault="00A76D3C" w:rsidP="00F84D57">
      <w:pPr>
        <w:spacing w:line="276" w:lineRule="auto"/>
      </w:pPr>
    </w:p>
    <w:p w:rsidR="00FE01DA" w:rsidRPr="000F3274" w:rsidRDefault="00FE44A2" w:rsidP="00F84D57">
      <w:pPr>
        <w:spacing w:line="276" w:lineRule="auto"/>
      </w:pPr>
      <w:r w:rsidRPr="000F3274">
        <w:t xml:space="preserve">Besluitvorming op Europees niveau moet op een </w:t>
      </w:r>
      <w:r w:rsidRPr="000F3274">
        <w:rPr>
          <w:u w:val="single"/>
        </w:rPr>
        <w:t>transparante</w:t>
      </w:r>
      <w:r w:rsidRPr="000F3274">
        <w:t xml:space="preserve"> manier gebeuren, </w:t>
      </w:r>
      <w:r w:rsidR="00A76D3C" w:rsidRPr="000F3274">
        <w:t xml:space="preserve">volgens </w:t>
      </w:r>
      <w:r w:rsidR="00A76D3C" w:rsidRPr="000F3274">
        <w:rPr>
          <w:u w:val="single"/>
        </w:rPr>
        <w:t>heldere spelregels</w:t>
      </w:r>
      <w:r w:rsidR="00A76D3C" w:rsidRPr="000F3274">
        <w:t xml:space="preserve">. </w:t>
      </w:r>
      <w:r w:rsidR="00A76D3C" w:rsidRPr="000F3274">
        <w:rPr>
          <w:u w:val="single"/>
        </w:rPr>
        <w:t>Weloverwogen en goed onderbouwde besluiten</w:t>
      </w:r>
      <w:r w:rsidR="00A76D3C" w:rsidRPr="000F3274">
        <w:t xml:space="preserve"> </w:t>
      </w:r>
      <w:r w:rsidR="005A10C6" w:rsidRPr="000F3274">
        <w:t xml:space="preserve">- genomen op basis van de inbreng van mensen met verstand van zaken - moeten vervolgens </w:t>
      </w:r>
      <w:r w:rsidR="00A76D3C" w:rsidRPr="000F3274">
        <w:rPr>
          <w:u w:val="single"/>
        </w:rPr>
        <w:t>duidelijk worden gecommuniceerd</w:t>
      </w:r>
      <w:r w:rsidR="00886E77" w:rsidRPr="000F3274">
        <w:t xml:space="preserve">. </w:t>
      </w:r>
      <w:r w:rsidR="00797D5A">
        <w:rPr>
          <w:lang w:val="nl-BE"/>
        </w:rPr>
        <w:t xml:space="preserve">Communicatie betekent ook luisteren naar de praktijk. </w:t>
      </w:r>
      <w:r w:rsidR="00886E77" w:rsidRPr="000F3274">
        <w:t xml:space="preserve">De inbreng van maatschappelijk middenveld en andere stakeholders moet terug te vinden zijn. Daarnaast is </w:t>
      </w:r>
      <w:r w:rsidR="00A76D3C" w:rsidRPr="000F3274">
        <w:t>het vertellen van het hele verhaal bepalend voor het draagvlak onder burgers en organisaties in de Lidstaten.</w:t>
      </w:r>
      <w:r w:rsidR="00797D5A" w:rsidRPr="00797D5A">
        <w:rPr>
          <w:lang w:val="nl-BE"/>
        </w:rPr>
        <w:t xml:space="preserve"> </w:t>
      </w:r>
      <w:r w:rsidR="00797D5A">
        <w:rPr>
          <w:lang w:val="nl-BE"/>
        </w:rPr>
        <w:t>Voorbeeld: wind- en zonne-energie is een lokale uitwerking van internationale afspraken, denk aan de sustainable development goals (SDGs).</w:t>
      </w:r>
      <w:r w:rsidR="00886E77" w:rsidRPr="000F3274">
        <w:t xml:space="preserve"> </w:t>
      </w:r>
    </w:p>
    <w:p w:rsidR="00886E77" w:rsidRPr="000F3274" w:rsidRDefault="00886E77" w:rsidP="00F84D57">
      <w:pPr>
        <w:spacing w:line="276" w:lineRule="auto"/>
      </w:pPr>
    </w:p>
    <w:p w:rsidR="003F24F2" w:rsidRPr="000F3274" w:rsidRDefault="00FE01DA" w:rsidP="00F84D57">
      <w:pPr>
        <w:spacing w:line="276" w:lineRule="auto"/>
      </w:pPr>
      <w:r w:rsidRPr="000F3274">
        <w:rPr>
          <w:u w:val="single"/>
        </w:rPr>
        <w:t>Betere coherentie</w:t>
      </w:r>
      <w:r w:rsidRPr="000F3274">
        <w:t xml:space="preserve"> tussen de verschillende beleidsterreinen werd herhaaldelijk genoemd. Nog te vaak worden door verschillende DGs beleidsvoorstellen geproduceerd die incompatibel zijn doordat ze vanuit verschillende standpunten zijn vormgegeven, uiteenlopende doelen nastreven of in de praktijk tegenstrijdige effecten hebben. </w:t>
      </w:r>
      <w:r w:rsidR="005A10C6" w:rsidRPr="000F3274">
        <w:t>Een herinrichting van het systeem is nodig om dit probleem op te lossen. Het stellen van duidelijke</w:t>
      </w:r>
      <w:r w:rsidR="00797D5A">
        <w:rPr>
          <w:lang w:val="nl-BE"/>
        </w:rPr>
        <w:t xml:space="preserve">, horizontale </w:t>
      </w:r>
      <w:r w:rsidR="005A10C6" w:rsidRPr="000F3274">
        <w:t>politieke prioriteiten moet daarbij als leidraad dienen.</w:t>
      </w:r>
    </w:p>
    <w:p w:rsidR="00A76D3C" w:rsidRPr="000F3274" w:rsidRDefault="00A76D3C" w:rsidP="00F84D57">
      <w:pPr>
        <w:spacing w:line="276" w:lineRule="auto"/>
      </w:pPr>
    </w:p>
    <w:p w:rsidR="00A76D3C" w:rsidRPr="000F3274" w:rsidRDefault="00A76D3C" w:rsidP="00F84D57">
      <w:pPr>
        <w:spacing w:line="276" w:lineRule="auto"/>
        <w:rPr>
          <w:i/>
        </w:rPr>
      </w:pPr>
      <w:r w:rsidRPr="000F3274">
        <w:t xml:space="preserve">De EU die bouwt aan welvaart en welzijn voor iedereen in de samenleving moet stevig gefundeerd zijn op een </w:t>
      </w:r>
      <w:r w:rsidRPr="000F3274">
        <w:rPr>
          <w:u w:val="single"/>
        </w:rPr>
        <w:t xml:space="preserve">sociale, </w:t>
      </w:r>
      <w:r w:rsidR="00886E77" w:rsidRPr="000F3274">
        <w:rPr>
          <w:u w:val="single"/>
        </w:rPr>
        <w:t xml:space="preserve">een </w:t>
      </w:r>
      <w:r w:rsidRPr="000F3274">
        <w:rPr>
          <w:u w:val="single"/>
        </w:rPr>
        <w:t xml:space="preserve">economische en </w:t>
      </w:r>
      <w:r w:rsidR="00886E77" w:rsidRPr="000F3274">
        <w:rPr>
          <w:u w:val="single"/>
        </w:rPr>
        <w:t>een milieu</w:t>
      </w:r>
      <w:r w:rsidR="00C56F71" w:rsidRPr="000F3274">
        <w:rPr>
          <w:u w:val="single"/>
        </w:rPr>
        <w:t>component</w:t>
      </w:r>
      <w:r w:rsidR="00C56F71" w:rsidRPr="000F3274">
        <w:t xml:space="preserve">. Enkele van deze componenten verdienen versterking – in </w:t>
      </w:r>
      <w:r w:rsidR="00F56B5B" w:rsidRPr="000F3274">
        <w:t xml:space="preserve">het streven naar een </w:t>
      </w:r>
      <w:r w:rsidR="00C56F71" w:rsidRPr="000F3274">
        <w:t xml:space="preserve">interne markt </w:t>
      </w:r>
      <w:r w:rsidR="00F56B5B" w:rsidRPr="000F3274">
        <w:t xml:space="preserve">heeft </w:t>
      </w:r>
      <w:r w:rsidR="00C56F71" w:rsidRPr="000F3274">
        <w:t>tot nu toe het accent vooral gelegen op de economische aspecten.</w:t>
      </w:r>
      <w:r w:rsidR="00797D5A" w:rsidRPr="00797D5A">
        <w:rPr>
          <w:lang w:val="nl-BE"/>
        </w:rPr>
        <w:t xml:space="preserve"> </w:t>
      </w:r>
      <w:r w:rsidR="00797D5A">
        <w:rPr>
          <w:lang w:val="nl-BE"/>
        </w:rPr>
        <w:t>Er moet aandacht zijn voor hen die onvoldoende profiteren van globalisering.</w:t>
      </w:r>
    </w:p>
    <w:p w:rsidR="00FE01DA" w:rsidRPr="000F3274" w:rsidRDefault="00FE01DA" w:rsidP="00F84D57">
      <w:pPr>
        <w:spacing w:line="276" w:lineRule="auto"/>
      </w:pPr>
    </w:p>
    <w:p w:rsidR="003C23FB" w:rsidRPr="000F3274" w:rsidRDefault="003C23FB" w:rsidP="00F84D57">
      <w:pPr>
        <w:spacing w:line="276" w:lineRule="auto"/>
      </w:pPr>
      <w:r w:rsidRPr="000F3274">
        <w:t xml:space="preserve">Als de </w:t>
      </w:r>
      <w:r w:rsidR="00F56B5B" w:rsidRPr="000F3274">
        <w:t xml:space="preserve">hierboven beschreven richtlijnen worden vertaald </w:t>
      </w:r>
      <w:r w:rsidRPr="000F3274">
        <w:t>naar beleidsterreinen waarop de Unie volgens de deelnemers een duidelijke toegevoegde waarde heeft, resulteert dat in de volgende opsomming:</w:t>
      </w:r>
    </w:p>
    <w:p w:rsidR="003C23FB" w:rsidRPr="000F3274" w:rsidRDefault="003C23FB" w:rsidP="00F84D57">
      <w:pPr>
        <w:spacing w:line="276" w:lineRule="auto"/>
      </w:pPr>
    </w:p>
    <w:p w:rsidR="003C23FB" w:rsidRPr="000F3274" w:rsidRDefault="00BD5F9D" w:rsidP="00F84D57">
      <w:pPr>
        <w:numPr>
          <w:ilvl w:val="0"/>
          <w:numId w:val="21"/>
        </w:numPr>
        <w:spacing w:line="276" w:lineRule="auto"/>
      </w:pPr>
      <w:r w:rsidRPr="000F3274">
        <w:t>M</w:t>
      </w:r>
      <w:r w:rsidR="003C23FB" w:rsidRPr="000F3274">
        <w:t>igratie</w:t>
      </w:r>
      <w:r w:rsidRPr="000F3274">
        <w:t>;</w:t>
      </w:r>
    </w:p>
    <w:p w:rsidR="003C23FB" w:rsidRPr="000F3274" w:rsidRDefault="00BD5F9D" w:rsidP="00F84D57">
      <w:pPr>
        <w:numPr>
          <w:ilvl w:val="0"/>
          <w:numId w:val="21"/>
        </w:numPr>
        <w:spacing w:line="276" w:lineRule="auto"/>
      </w:pPr>
      <w:r w:rsidRPr="000F3274">
        <w:t>D</w:t>
      </w:r>
      <w:r w:rsidR="003C23FB" w:rsidRPr="000F3274">
        <w:t>efensie</w:t>
      </w:r>
      <w:r w:rsidRPr="000F3274">
        <w:t>;</w:t>
      </w:r>
    </w:p>
    <w:p w:rsidR="0089042D" w:rsidRPr="000F3274" w:rsidRDefault="00BD5F9D" w:rsidP="00F84D57">
      <w:pPr>
        <w:numPr>
          <w:ilvl w:val="0"/>
          <w:numId w:val="21"/>
        </w:numPr>
        <w:spacing w:line="276" w:lineRule="auto"/>
      </w:pPr>
      <w:r w:rsidRPr="000F3274">
        <w:t>B</w:t>
      </w:r>
      <w:r w:rsidR="006C1F10" w:rsidRPr="000F3274">
        <w:t>estuur van de EMU</w:t>
      </w:r>
      <w:r w:rsidRPr="000F3274">
        <w:t>;</w:t>
      </w:r>
    </w:p>
    <w:p w:rsidR="00BD5F9D" w:rsidRPr="000F3274" w:rsidRDefault="00BD5F9D" w:rsidP="00F84D57">
      <w:pPr>
        <w:numPr>
          <w:ilvl w:val="0"/>
          <w:numId w:val="21"/>
        </w:numPr>
        <w:spacing w:line="276" w:lineRule="auto"/>
      </w:pPr>
      <w:r w:rsidRPr="000F3274">
        <w:t xml:space="preserve">Een brede en solide economische agenda inclusief </w:t>
      </w:r>
      <w:r w:rsidR="00797D5A">
        <w:rPr>
          <w:lang w:val="nl-BE"/>
        </w:rPr>
        <w:t xml:space="preserve">land- en tuinbouw, </w:t>
      </w:r>
      <w:r w:rsidRPr="000F3274">
        <w:t>energie, transport, diensten, etc;</w:t>
      </w:r>
    </w:p>
    <w:p w:rsidR="00BD5F9D" w:rsidRPr="000F3274" w:rsidRDefault="00BD5F9D" w:rsidP="00F84D57">
      <w:pPr>
        <w:numPr>
          <w:ilvl w:val="0"/>
          <w:numId w:val="21"/>
        </w:numPr>
        <w:spacing w:line="276" w:lineRule="auto"/>
      </w:pPr>
      <w:r w:rsidRPr="000F3274">
        <w:t>Een duidelijke sociale component, inclusief een actief werkgelegenheidsbeleid</w:t>
      </w:r>
      <w:r w:rsidR="005C430D" w:rsidRPr="000F3274">
        <w:t>, bescherming van werknemers, arbeidsomstandigheden en sociale zekerheid</w:t>
      </w:r>
      <w:r w:rsidRPr="000F3274">
        <w:t>;</w:t>
      </w:r>
    </w:p>
    <w:p w:rsidR="006C1F10" w:rsidRPr="000F3274" w:rsidRDefault="00BD5F9D" w:rsidP="00F84D57">
      <w:pPr>
        <w:numPr>
          <w:ilvl w:val="0"/>
          <w:numId w:val="21"/>
        </w:numPr>
        <w:spacing w:line="276" w:lineRule="auto"/>
      </w:pPr>
      <w:r w:rsidRPr="000F3274">
        <w:t>Buiten haar grondgebied speelt de EU een rol als waardengemeenschap</w:t>
      </w:r>
      <w:r w:rsidR="006C1F10" w:rsidRPr="000F3274">
        <w:t xml:space="preserve"> </w:t>
      </w:r>
      <w:r w:rsidRPr="000F3274">
        <w:t>(democratie, rechtsstaat, mensenrechten)</w:t>
      </w:r>
      <w:r w:rsidR="00737243" w:rsidRPr="000F3274">
        <w:t>.</w:t>
      </w:r>
    </w:p>
    <w:p w:rsidR="0089042D" w:rsidRPr="000F3274" w:rsidRDefault="0089042D" w:rsidP="00F84D57">
      <w:pPr>
        <w:spacing w:line="276" w:lineRule="auto"/>
      </w:pPr>
    </w:p>
    <w:p w:rsidR="0089042D" w:rsidRPr="000F3274" w:rsidRDefault="0089042D" w:rsidP="00F84D57">
      <w:pPr>
        <w:spacing w:line="276" w:lineRule="auto"/>
      </w:pPr>
      <w:r w:rsidRPr="000F3274">
        <w:t xml:space="preserve">Er ligt </w:t>
      </w:r>
      <w:r w:rsidR="00F56B5B" w:rsidRPr="000F3274">
        <w:t xml:space="preserve">bijvoorbeeld </w:t>
      </w:r>
      <w:r w:rsidRPr="000F3274">
        <w:t>een concrete kans voor Europa op het gebied van digitalisering, in het bijzonder betreffende de ontsluiting van het platteland. Dit is een voorbeeld van een beleidsterrein waarop een duidelijke meerwaarde ligt in een Europese aanpak</w:t>
      </w:r>
      <w:r w:rsidR="00797D5A">
        <w:rPr>
          <w:lang w:val="nl-BE"/>
        </w:rPr>
        <w:t>(en de kost gaat voor de baat),</w:t>
      </w:r>
      <w:r w:rsidRPr="000F3274">
        <w:t xml:space="preserve"> omdat het probleem van achterblijvende plattelandsgebieden op dit vlak zich Europawijd voordoet, en Lidstaten elkaar dus </w:t>
      </w:r>
      <w:r w:rsidRPr="000F3274">
        <w:lastRenderedPageBreak/>
        <w:t>zullen kunnen vinden in een gezamenlijke aanpak. Dit is ook een beleidsterrein waar op EU-niveau de lijnen kunnen worden uitgezet</w:t>
      </w:r>
      <w:r w:rsidR="001B3E1A" w:rsidRPr="000F3274">
        <w:t>,</w:t>
      </w:r>
      <w:r w:rsidRPr="000F3274">
        <w:t xml:space="preserve"> terwijl de invulling wordt overgelaten aan de bevoegde autoriteiten in de Lidstaten.</w:t>
      </w:r>
      <w:r w:rsidR="00797D5A" w:rsidRPr="00797D5A">
        <w:rPr>
          <w:lang w:val="nl-BE"/>
        </w:rPr>
        <w:t xml:space="preserve"> </w:t>
      </w:r>
      <w:r w:rsidR="00797D5A">
        <w:rPr>
          <w:lang w:val="nl-BE"/>
        </w:rPr>
        <w:t>Geconstateerd werd dat het plan Juncker (EFSI) in Nederland nog onvoldoende werkt. Geanalyseerd moet worden waarom.</w:t>
      </w:r>
    </w:p>
    <w:p w:rsidR="00DB28B3" w:rsidRPr="000F3274" w:rsidRDefault="00DB28B3" w:rsidP="00F84D57">
      <w:pPr>
        <w:spacing w:line="276" w:lineRule="auto"/>
      </w:pPr>
    </w:p>
    <w:p w:rsidR="003F24F2" w:rsidRPr="00026332" w:rsidRDefault="003F24F2" w:rsidP="00F84D57">
      <w:pPr>
        <w:pStyle w:val="Heading1"/>
        <w:keepNext/>
        <w:spacing w:line="276" w:lineRule="auto"/>
        <w:rPr>
          <w:b/>
        </w:rPr>
      </w:pPr>
      <w:r w:rsidRPr="00026332">
        <w:rPr>
          <w:b/>
        </w:rPr>
        <w:t>Hoe vertaalt zich dit in scenario's voor de toekomst van Europa?</w:t>
      </w:r>
    </w:p>
    <w:p w:rsidR="00252000" w:rsidRPr="00F84D57" w:rsidRDefault="00252000" w:rsidP="00F84D57">
      <w:pPr>
        <w:keepNext/>
        <w:spacing w:line="276" w:lineRule="auto"/>
      </w:pPr>
    </w:p>
    <w:p w:rsidR="001B3E1A" w:rsidRPr="000F3274" w:rsidRDefault="001B3E1A" w:rsidP="00F84D57">
      <w:pPr>
        <w:spacing w:line="276" w:lineRule="auto"/>
      </w:pPr>
      <w:r w:rsidRPr="000F3274">
        <w:t>Hoewel de deelnemers de scenario's een nuttige tool vinden in dit debat, geven ze er de voorkeur aan niet te kiezen, maar een open mind te houden. Combinaties van scenario's en tussenvormen zijn denkbaar.</w:t>
      </w:r>
    </w:p>
    <w:p w:rsidR="001B3E1A" w:rsidRPr="000F3274" w:rsidRDefault="001B3E1A" w:rsidP="00F84D57">
      <w:pPr>
        <w:spacing w:line="276" w:lineRule="auto"/>
      </w:pPr>
    </w:p>
    <w:p w:rsidR="00916768" w:rsidRPr="000F3274" w:rsidRDefault="003F24F2" w:rsidP="00F84D57">
      <w:pPr>
        <w:spacing w:line="276" w:lineRule="auto"/>
      </w:pPr>
      <w:r w:rsidRPr="000F3274">
        <w:t>Deelnemers spraken zich duidelijk in meerderheid uit voor</w:t>
      </w:r>
      <w:r w:rsidR="003C23FB" w:rsidRPr="000F3274">
        <w:t xml:space="preserve"> de sc</w:t>
      </w:r>
      <w:r w:rsidR="00BD5F9D" w:rsidRPr="000F3274">
        <w:t>enario's waarbij samenwerk</w:t>
      </w:r>
      <w:r w:rsidR="00737243" w:rsidRPr="000F3274">
        <w:t>ing op Europees niveau wordt geï</w:t>
      </w:r>
      <w:r w:rsidR="005C430D" w:rsidRPr="000F3274">
        <w:t xml:space="preserve">ntensiveerd </w:t>
      </w:r>
      <w:r w:rsidR="0089042D" w:rsidRPr="000F3274">
        <w:t>op die beleidsterreinen waar de EU een duidelijke toegevoegde waarde heeft</w:t>
      </w:r>
      <w:r w:rsidR="005C430D" w:rsidRPr="000F3274">
        <w:t>, maar</w:t>
      </w:r>
      <w:r w:rsidR="0089042D" w:rsidRPr="000F3274">
        <w:t xml:space="preserve"> </w:t>
      </w:r>
      <w:r w:rsidR="00BD5F9D" w:rsidRPr="000F3274">
        <w:t>met de duidelijke vo</w:t>
      </w:r>
      <w:r w:rsidR="0089042D" w:rsidRPr="000F3274">
        <w:t xml:space="preserve">orwaarde dat het ontwerpen van beleidskaders en –voorstellen </w:t>
      </w:r>
      <w:r w:rsidR="00BD5F9D" w:rsidRPr="000F3274">
        <w:t xml:space="preserve">op een efficiënte en doelgerichte manier gebeurt. </w:t>
      </w:r>
      <w:r w:rsidR="00737243" w:rsidRPr="000F3274">
        <w:t xml:space="preserve">De uitwerking </w:t>
      </w:r>
      <w:r w:rsidR="00916768" w:rsidRPr="000F3274">
        <w:t xml:space="preserve">ervan </w:t>
      </w:r>
      <w:r w:rsidR="00737243" w:rsidRPr="000F3274">
        <w:t xml:space="preserve">is </w:t>
      </w:r>
      <w:r w:rsidR="0089042D" w:rsidRPr="000F3274">
        <w:t xml:space="preserve">vervolgens </w:t>
      </w:r>
      <w:r w:rsidR="00737243" w:rsidRPr="000F3274">
        <w:t>van groot belang</w:t>
      </w:r>
      <w:r w:rsidR="003716F7" w:rsidRPr="000F3274">
        <w:t>.</w:t>
      </w:r>
      <w:r w:rsidR="00916768" w:rsidRPr="000F3274">
        <w:t xml:space="preserve"> </w:t>
      </w:r>
      <w:r w:rsidR="00797D5A">
        <w:rPr>
          <w:lang w:val="nl-BE"/>
        </w:rPr>
        <w:t>Een Europa van verschillende snelheden moet niet leiden tot een gefragmenteerde interne markt. O</w:t>
      </w:r>
      <w:r w:rsidR="00797D5A" w:rsidRPr="00FE01DA">
        <w:rPr>
          <w:lang w:val="nl-BE"/>
        </w:rPr>
        <w:t>m de</w:t>
      </w:r>
      <w:r w:rsidR="00797D5A">
        <w:rPr>
          <w:lang w:val="nl-BE"/>
        </w:rPr>
        <w:t xml:space="preserve"> interne markt </w:t>
      </w:r>
      <w:r w:rsidR="00737243" w:rsidRPr="000F3274">
        <w:t>te optimaliseren moet</w:t>
      </w:r>
      <w:r w:rsidR="003716F7" w:rsidRPr="000F3274">
        <w:t xml:space="preserve"> allereerst</w:t>
      </w:r>
      <w:r w:rsidR="00737243" w:rsidRPr="000F3274">
        <w:t xml:space="preserve"> de stem en positie van sociale partners, maatschappelijk middenveld en burgers op een duidelijke en consistente manier</w:t>
      </w:r>
      <w:r w:rsidR="00916768" w:rsidRPr="000F3274">
        <w:t xml:space="preserve"> </w:t>
      </w:r>
      <w:r w:rsidR="00737243" w:rsidRPr="000F3274">
        <w:t>worden meegenomen.</w:t>
      </w:r>
      <w:r w:rsidR="003716F7" w:rsidRPr="000F3274">
        <w:t xml:space="preserve"> Daarnaast moet ruimte worden ingebouwd om de invulling van onderaf te laten ontstaan.</w:t>
      </w:r>
    </w:p>
    <w:p w:rsidR="003716F7" w:rsidRPr="000F3274" w:rsidRDefault="003716F7" w:rsidP="00F84D57">
      <w:pPr>
        <w:spacing w:line="276" w:lineRule="auto"/>
      </w:pPr>
    </w:p>
    <w:p w:rsidR="00916768" w:rsidRPr="000F3274" w:rsidRDefault="005C430D" w:rsidP="00F84D57">
      <w:pPr>
        <w:spacing w:line="276" w:lineRule="auto"/>
      </w:pPr>
      <w:r w:rsidRPr="000F3274">
        <w:rPr>
          <w:u w:val="single"/>
        </w:rPr>
        <w:t>S</w:t>
      </w:r>
      <w:r w:rsidR="00916768" w:rsidRPr="000F3274">
        <w:rPr>
          <w:u w:val="single"/>
        </w:rPr>
        <w:t>cenario 3</w:t>
      </w:r>
      <w:r w:rsidRPr="000F3274">
        <w:t>:</w:t>
      </w:r>
      <w:r w:rsidR="00916768" w:rsidRPr="000F3274">
        <w:t xml:space="preserve"> </w:t>
      </w:r>
      <w:r w:rsidRPr="000F3274">
        <w:t xml:space="preserve">Logischerwijs zal dit scenario zich vooral voordoen in situaties waar Lidstaten grote divergenties kennen. De vraag werd gesteld wat te doen met degenen die in eerste instantie niet meegaan in de kopgroep. In de kopgroep bereikte resultaten kunnen niet aan eventuele achterblijvers worden opgelegd. </w:t>
      </w:r>
      <w:r w:rsidR="00391EDA" w:rsidRPr="000F3274">
        <w:t xml:space="preserve">Het risico op </w:t>
      </w:r>
      <w:r w:rsidR="00391EDA" w:rsidRPr="000F3274">
        <w:rPr>
          <w:i/>
        </w:rPr>
        <w:t>opt-outs</w:t>
      </w:r>
      <w:r w:rsidR="00391EDA" w:rsidRPr="000F3274">
        <w:t xml:space="preserve"> onder de norm is reëel. </w:t>
      </w:r>
      <w:r w:rsidRPr="000F3274">
        <w:t xml:space="preserve">Tegelijkertijd zou het bewerkstelligen </w:t>
      </w:r>
      <w:r w:rsidR="00DB28B3" w:rsidRPr="000F3274">
        <w:t xml:space="preserve">van </w:t>
      </w:r>
      <w:r w:rsidRPr="000F3274">
        <w:t>een soort opwaartse concurrentie in sommige gevallen wel wenselijk kunnen zijn.</w:t>
      </w:r>
      <w:r w:rsidR="00914993" w:rsidRPr="00914993">
        <w:rPr>
          <w:lang w:val="nl-BE"/>
        </w:rPr>
        <w:t xml:space="preserve"> </w:t>
      </w:r>
      <w:r w:rsidR="00914993">
        <w:rPr>
          <w:lang w:val="nl-BE"/>
        </w:rPr>
        <w:t>Voorkomen moet worden dat de werking van de interne markt teveel wordt belemmerd door een Europa van verschillende snelheden.</w:t>
      </w:r>
    </w:p>
    <w:p w:rsidR="00916768" w:rsidRPr="000F3274" w:rsidRDefault="00916768" w:rsidP="00F84D57">
      <w:pPr>
        <w:spacing w:line="276" w:lineRule="auto"/>
      </w:pPr>
    </w:p>
    <w:p w:rsidR="00743A0A" w:rsidRPr="000F3274" w:rsidRDefault="00743A0A" w:rsidP="00F84D57">
      <w:pPr>
        <w:spacing w:line="276" w:lineRule="auto"/>
      </w:pPr>
      <w:r w:rsidRPr="000F3274">
        <w:rPr>
          <w:u w:val="single"/>
        </w:rPr>
        <w:t>Scenario 4</w:t>
      </w:r>
      <w:r w:rsidRPr="000F3274">
        <w:t xml:space="preserve"> was volgens deelnemers alleen denkbaar als 'minder' betekent dat op EU-niveau zaken op hoofdlijnen worden gedaan en ze dus minde</w:t>
      </w:r>
      <w:r w:rsidR="001B3E1A" w:rsidRPr="000F3274">
        <w:t>r</w:t>
      </w:r>
      <w:r w:rsidRPr="000F3274">
        <w:t xml:space="preserve"> worden 'dichtgetimmerd'. Een onderzoek uitgevoerd in 2015 door het Hogerhuis in het Verenigd Koninkrijk</w:t>
      </w:r>
      <w:r w:rsidRPr="000F3274">
        <w:rPr>
          <w:rStyle w:val="FootnoteReference"/>
        </w:rPr>
        <w:footnoteReference w:id="1"/>
      </w:r>
      <w:r w:rsidRPr="000F3274">
        <w:t xml:space="preserve"> liet zien dat er in Brussel in beginsel niets gebeurt dat er niet thuishoort. Overigens was iedereen voorstander van 'efficiënter'.</w:t>
      </w:r>
      <w:r w:rsidR="00914993" w:rsidRPr="00914993">
        <w:rPr>
          <w:lang w:val="nl-BE"/>
        </w:rPr>
        <w:t xml:space="preserve"> </w:t>
      </w:r>
      <w:r w:rsidR="00914993">
        <w:rPr>
          <w:lang w:val="nl-BE"/>
        </w:rPr>
        <w:t>De praktijk laten meedenken bij het formuleren van voorstellen, is cruciaal. Het REFIT platform biedt nu mogelijk al een voorbeeld.</w:t>
      </w:r>
    </w:p>
    <w:p w:rsidR="00743A0A" w:rsidRPr="000F3274" w:rsidRDefault="00743A0A" w:rsidP="00F84D57">
      <w:pPr>
        <w:spacing w:line="276" w:lineRule="auto"/>
      </w:pPr>
    </w:p>
    <w:p w:rsidR="00916768" w:rsidRPr="000F3274" w:rsidRDefault="00916768" w:rsidP="00F84D57">
      <w:pPr>
        <w:spacing w:line="276" w:lineRule="auto"/>
      </w:pPr>
      <w:r w:rsidRPr="000F3274">
        <w:t xml:space="preserve">Met betrekking tot </w:t>
      </w:r>
      <w:r w:rsidRPr="000F3274">
        <w:rPr>
          <w:u w:val="single"/>
        </w:rPr>
        <w:t>scenario 5</w:t>
      </w:r>
      <w:r w:rsidRPr="000F3274">
        <w:t xml:space="preserve"> concludeerden de deelnemers dat </w:t>
      </w:r>
      <w:r w:rsidR="00743A0A" w:rsidRPr="000F3274">
        <w:t xml:space="preserve">'veel meer samen doen' niet per </w:t>
      </w:r>
      <w:r w:rsidRPr="000F3274">
        <w:t xml:space="preserve">se een verdere soevereiniteitsoverdracht betekent. Veel kan worden bereikt door middel van goede coördinatie, regelmatig overleg, </w:t>
      </w:r>
      <w:r w:rsidR="001B3E1A" w:rsidRPr="000F3274">
        <w:t xml:space="preserve">en </w:t>
      </w:r>
      <w:r w:rsidRPr="000F3274">
        <w:t>op een gezamenlijke golflengte afstemmen.</w:t>
      </w:r>
      <w:r w:rsidR="00914993" w:rsidRPr="00914993">
        <w:rPr>
          <w:lang w:val="nl-BE"/>
        </w:rPr>
        <w:t xml:space="preserve"> </w:t>
      </w:r>
      <w:r w:rsidR="00914993">
        <w:rPr>
          <w:lang w:val="nl-BE"/>
        </w:rPr>
        <w:t>We constateren ook dat Europa vaak pas besluiten neemt onder grote druk (crises). Het zou anders moeten zijn, maar zo werkt het in de praktijk.</w:t>
      </w:r>
    </w:p>
    <w:p w:rsidR="00916768" w:rsidRPr="000F3274" w:rsidRDefault="00916768" w:rsidP="00F84D57">
      <w:pPr>
        <w:spacing w:line="276" w:lineRule="auto"/>
      </w:pPr>
    </w:p>
    <w:p w:rsidR="00916768" w:rsidRPr="000F3274" w:rsidRDefault="00916768" w:rsidP="00F84D57">
      <w:pPr>
        <w:spacing w:line="276" w:lineRule="auto"/>
      </w:pPr>
      <w:r w:rsidRPr="000F3274">
        <w:t xml:space="preserve">Als mogelijk </w:t>
      </w:r>
      <w:r w:rsidRPr="000F3274">
        <w:rPr>
          <w:u w:val="single"/>
        </w:rPr>
        <w:t>6</w:t>
      </w:r>
      <w:r w:rsidRPr="000F3274">
        <w:rPr>
          <w:u w:val="single"/>
          <w:vertAlign w:val="superscript"/>
        </w:rPr>
        <w:t>e</w:t>
      </w:r>
      <w:r w:rsidRPr="000F3274">
        <w:rPr>
          <w:u w:val="single"/>
        </w:rPr>
        <w:t xml:space="preserve"> scenario</w:t>
      </w:r>
      <w:r w:rsidRPr="000F3274">
        <w:t xml:space="preserve"> werd geopperd dat er eerst een pas op de plaats zou kunnen worden gemaakt om aan de rafelranden van de huidige EU te werken. Een doorlichting van het</w:t>
      </w:r>
      <w:r w:rsidR="001B3E1A" w:rsidRPr="000F3274">
        <w:t xml:space="preserve"> bestaande beleid/de </w:t>
      </w:r>
      <w:r w:rsidRPr="000F3274">
        <w:t xml:space="preserve">huidige regelgeving kan aan het licht brengen welke ongewenste effecten er moeten worden </w:t>
      </w:r>
      <w:r w:rsidRPr="000F3274">
        <w:lastRenderedPageBreak/>
        <w:t>rechtgetrokken of bijgesteld, of er gaten zijn die moeten worden opgevuld, en om de samenhang in het acquis te versterken. Vervolgens kan de blik weer op de toekomst worden gericht.</w:t>
      </w:r>
    </w:p>
    <w:p w:rsidR="00743A0A" w:rsidRPr="000F3274" w:rsidRDefault="00743A0A" w:rsidP="00F84D57">
      <w:pPr>
        <w:spacing w:line="276" w:lineRule="auto"/>
      </w:pPr>
    </w:p>
    <w:p w:rsidR="00743A0A" w:rsidRPr="000F3274" w:rsidRDefault="00743A0A" w:rsidP="00F84D57">
      <w:pPr>
        <w:spacing w:line="276" w:lineRule="auto"/>
      </w:pPr>
      <w:r w:rsidRPr="000F3274">
        <w:rPr>
          <w:u w:val="single"/>
        </w:rPr>
        <w:t>Scenario 2</w:t>
      </w:r>
      <w:r w:rsidRPr="000F3274">
        <w:t xml:space="preserve"> is tezamen met </w:t>
      </w:r>
      <w:r w:rsidRPr="000F3274">
        <w:rPr>
          <w:u w:val="single"/>
        </w:rPr>
        <w:t>scenario 1</w:t>
      </w:r>
      <w:r w:rsidRPr="000F3274">
        <w:t xml:space="preserve"> in de ogen van de deelnemers verreweg het minst wenselijk, waarbij opvalt dat veel deelnemers scenario 1 toch</w:t>
      </w:r>
      <w:r w:rsidR="004C1148" w:rsidRPr="000F3274">
        <w:t>,</w:t>
      </w:r>
      <w:r w:rsidRPr="000F3274">
        <w:t xml:space="preserve"> </w:t>
      </w:r>
      <w:r w:rsidR="004C1148" w:rsidRPr="000F3274">
        <w:t xml:space="preserve">tegelijkertijd, </w:t>
      </w:r>
      <w:r w:rsidRPr="000F3274">
        <w:t xml:space="preserve">het meest </w:t>
      </w:r>
      <w:r w:rsidR="00914993">
        <w:rPr>
          <w:lang w:val="nl-BE"/>
        </w:rPr>
        <w:t xml:space="preserve">realistisch </w:t>
      </w:r>
      <w:r w:rsidRPr="000F3274">
        <w:t xml:space="preserve">achten. </w:t>
      </w:r>
    </w:p>
    <w:p w:rsidR="0058278C" w:rsidRPr="000F3274" w:rsidRDefault="0058278C" w:rsidP="00F84D57">
      <w:pPr>
        <w:spacing w:line="276" w:lineRule="auto"/>
      </w:pPr>
    </w:p>
    <w:p w:rsidR="0089042D" w:rsidRPr="000F3274" w:rsidRDefault="00743A0A" w:rsidP="00F84D57">
      <w:pPr>
        <w:spacing w:line="276" w:lineRule="auto"/>
      </w:pPr>
      <w:r w:rsidRPr="000F3274">
        <w:t>Deze laatste constatering, t</w:t>
      </w:r>
      <w:r w:rsidR="007F580A" w:rsidRPr="000F3274">
        <w:t>ot slot</w:t>
      </w:r>
      <w:r w:rsidR="001B3E1A" w:rsidRPr="000F3274">
        <w:t>,</w:t>
      </w:r>
      <w:r w:rsidR="007F580A" w:rsidRPr="000F3274">
        <w:t xml:space="preserve"> </w:t>
      </w:r>
      <w:r w:rsidRPr="000F3274">
        <w:t xml:space="preserve">laat </w:t>
      </w:r>
      <w:r w:rsidR="005C430D" w:rsidRPr="000F3274">
        <w:t xml:space="preserve">zien dat er een duidelijke kloof is tussen wat men ziet als de ideale </w:t>
      </w:r>
      <w:r w:rsidRPr="000F3274">
        <w:t>toekomst</w:t>
      </w:r>
      <w:r w:rsidR="005C430D" w:rsidRPr="000F3274">
        <w:t xml:space="preserve">scenario's </w:t>
      </w:r>
      <w:r w:rsidRPr="000F3274">
        <w:t xml:space="preserve">enerzijds, </w:t>
      </w:r>
      <w:r w:rsidR="005C430D" w:rsidRPr="000F3274">
        <w:t>en de verwachtingen van wat er in de praktijk zal gebeuren</w:t>
      </w:r>
      <w:r w:rsidRPr="000F3274">
        <w:t xml:space="preserve"> anderzijds</w:t>
      </w:r>
      <w:r w:rsidR="005C430D" w:rsidRPr="000F3274">
        <w:t xml:space="preserve">. </w:t>
      </w:r>
      <w:r w:rsidR="004C1148" w:rsidRPr="000F3274">
        <w:t xml:space="preserve">Om deze kloof te overbruggen, zal </w:t>
      </w:r>
      <w:r w:rsidR="001B3E1A" w:rsidRPr="000F3274">
        <w:t xml:space="preserve">het vertrouwen en het draagvlak in de samenleving moeten worden versterkt. Daartoe is een EU nodig die duidelijke kaders stelt, inbreng van belanghebbenden meeneemt, ruimte voor invulling van onderaf laat, en focust op die gebieden waar een gezamenlijke Europese aanpak een duidelijke meerwaarde biedt. </w:t>
      </w:r>
    </w:p>
    <w:p w:rsidR="00DB28B3" w:rsidRDefault="00DB28B3" w:rsidP="0058278C"/>
    <w:p w:rsidR="00F84D57" w:rsidRPr="000F3274" w:rsidRDefault="00F84D57" w:rsidP="0058278C"/>
    <w:tbl>
      <w:tblPr>
        <w:tblW w:w="5000" w:type="pct"/>
        <w:jc w:val="center"/>
        <w:tblBorders>
          <w:top w:val="nil"/>
          <w:left w:val="nil"/>
          <w:bottom w:val="nil"/>
          <w:right w:val="nil"/>
        </w:tblBorders>
        <w:tblLayout w:type="fixed"/>
        <w:tblLook w:val="0000" w:firstRow="0" w:lastRow="0" w:firstColumn="0" w:lastColumn="0" w:noHBand="0" w:noVBand="0"/>
      </w:tblPr>
      <w:tblGrid>
        <w:gridCol w:w="4503"/>
        <w:gridCol w:w="4786"/>
      </w:tblGrid>
      <w:tr w:rsidR="00184844" w:rsidRPr="00026332" w:rsidTr="00F84D57">
        <w:trPr>
          <w:trHeight w:val="93"/>
          <w:jc w:val="center"/>
        </w:trPr>
        <w:tc>
          <w:tcPr>
            <w:tcW w:w="4503" w:type="dxa"/>
          </w:tcPr>
          <w:p w:rsidR="00184844" w:rsidRPr="00026332" w:rsidRDefault="00184844" w:rsidP="00F84D57">
            <w:pPr>
              <w:jc w:val="left"/>
              <w:rPr>
                <w:rFonts w:eastAsia="Calibri"/>
                <w:b/>
                <w:bCs/>
                <w:i/>
                <w:iCs/>
              </w:rPr>
            </w:pPr>
            <w:r w:rsidRPr="00026332">
              <w:rPr>
                <w:rFonts w:eastAsia="Calibri"/>
                <w:b/>
                <w:bCs/>
                <w:i/>
                <w:iCs/>
              </w:rPr>
              <w:t>PROGRAMMA</w:t>
            </w:r>
          </w:p>
          <w:p w:rsidR="00184844" w:rsidRPr="00026332" w:rsidRDefault="00184844" w:rsidP="00026332">
            <w:pPr>
              <w:jc w:val="left"/>
              <w:rPr>
                <w:rFonts w:eastAsia="Calibri"/>
                <w:b/>
                <w:bCs/>
                <w:color w:val="000000"/>
              </w:rPr>
            </w:pPr>
          </w:p>
          <w:p w:rsidR="00184844" w:rsidRPr="00026332" w:rsidRDefault="00184844" w:rsidP="00026332">
            <w:pPr>
              <w:jc w:val="left"/>
              <w:rPr>
                <w:rFonts w:eastAsia="Calibri"/>
                <w:b/>
                <w:bCs/>
                <w:color w:val="000000"/>
              </w:rPr>
            </w:pPr>
          </w:p>
          <w:p w:rsidR="00184844" w:rsidRPr="00026332" w:rsidRDefault="00184844" w:rsidP="00026332">
            <w:pPr>
              <w:jc w:val="left"/>
              <w:rPr>
                <w:rFonts w:eastAsia="Calibri"/>
                <w:color w:val="000000"/>
              </w:rPr>
            </w:pPr>
            <w:r w:rsidRPr="00026332">
              <w:rPr>
                <w:rFonts w:eastAsia="Calibri"/>
                <w:b/>
                <w:bCs/>
                <w:color w:val="000000"/>
              </w:rPr>
              <w:t>14.15–14.30</w:t>
            </w:r>
            <w:r w:rsidR="00DB28B3" w:rsidRPr="00026332">
              <w:rPr>
                <w:rFonts w:eastAsia="Calibri"/>
                <w:b/>
                <w:bCs/>
                <w:color w:val="000000"/>
              </w:rPr>
              <w:t xml:space="preserve"> uur</w:t>
            </w:r>
            <w:r w:rsidRPr="00026332">
              <w:rPr>
                <w:rFonts w:eastAsia="Calibri"/>
                <w:b/>
                <w:bCs/>
                <w:color w:val="000000"/>
              </w:rPr>
              <w:t xml:space="preserve"> </w:t>
            </w:r>
          </w:p>
        </w:tc>
        <w:tc>
          <w:tcPr>
            <w:tcW w:w="4786" w:type="dxa"/>
          </w:tcPr>
          <w:p w:rsidR="00184844" w:rsidRPr="00026332" w:rsidRDefault="00184844" w:rsidP="00026332">
            <w:pPr>
              <w:jc w:val="left"/>
              <w:rPr>
                <w:rFonts w:eastAsia="Calibri"/>
                <w:b/>
                <w:bCs/>
                <w:color w:val="000000"/>
              </w:rPr>
            </w:pPr>
          </w:p>
          <w:p w:rsidR="00184844" w:rsidRPr="00026332" w:rsidRDefault="00184844" w:rsidP="00026332">
            <w:pPr>
              <w:jc w:val="left"/>
              <w:rPr>
                <w:rFonts w:eastAsia="Calibri"/>
                <w:b/>
                <w:bCs/>
                <w:color w:val="000000"/>
              </w:rPr>
            </w:pPr>
          </w:p>
          <w:p w:rsidR="00184844" w:rsidRPr="00026332" w:rsidRDefault="00184844" w:rsidP="00026332">
            <w:pPr>
              <w:jc w:val="left"/>
              <w:rPr>
                <w:rFonts w:eastAsia="Calibri"/>
                <w:b/>
                <w:bCs/>
                <w:color w:val="000000"/>
              </w:rPr>
            </w:pPr>
          </w:p>
          <w:p w:rsidR="00184844" w:rsidRPr="00026332" w:rsidRDefault="00184844" w:rsidP="00026332">
            <w:pPr>
              <w:jc w:val="left"/>
              <w:rPr>
                <w:rFonts w:eastAsia="Calibri"/>
                <w:color w:val="000000"/>
              </w:rPr>
            </w:pPr>
            <w:r w:rsidRPr="00026332">
              <w:rPr>
                <w:rFonts w:eastAsia="Calibri"/>
                <w:b/>
                <w:bCs/>
                <w:color w:val="000000"/>
              </w:rPr>
              <w:t xml:space="preserve">Zaal open </w:t>
            </w:r>
          </w:p>
        </w:tc>
      </w:tr>
      <w:tr w:rsidR="00184844" w:rsidRPr="00026332" w:rsidTr="00F84D57">
        <w:trPr>
          <w:trHeight w:val="207"/>
          <w:jc w:val="center"/>
        </w:trPr>
        <w:tc>
          <w:tcPr>
            <w:tcW w:w="4503" w:type="dxa"/>
          </w:tcPr>
          <w:p w:rsidR="00184844" w:rsidRPr="00026332" w:rsidRDefault="00184844" w:rsidP="00026332">
            <w:pPr>
              <w:jc w:val="left"/>
              <w:rPr>
                <w:rFonts w:eastAsia="Calibri"/>
                <w:b/>
                <w:bCs/>
                <w:color w:val="000000"/>
              </w:rPr>
            </w:pPr>
          </w:p>
          <w:p w:rsidR="00184844" w:rsidRPr="00026332" w:rsidRDefault="00184844" w:rsidP="00026332">
            <w:pPr>
              <w:jc w:val="left"/>
              <w:rPr>
                <w:rFonts w:eastAsia="Calibri"/>
                <w:color w:val="000000"/>
              </w:rPr>
            </w:pPr>
            <w:r w:rsidRPr="00026332">
              <w:rPr>
                <w:rFonts w:eastAsia="Calibri"/>
                <w:b/>
                <w:bCs/>
                <w:color w:val="000000"/>
              </w:rPr>
              <w:t xml:space="preserve">14.30–14.40 </w:t>
            </w:r>
            <w:r w:rsidR="00DB28B3" w:rsidRPr="00026332">
              <w:rPr>
                <w:rFonts w:eastAsia="Calibri"/>
                <w:b/>
                <w:bCs/>
                <w:color w:val="000000"/>
              </w:rPr>
              <w:t>uur</w:t>
            </w:r>
          </w:p>
        </w:tc>
        <w:tc>
          <w:tcPr>
            <w:tcW w:w="4786" w:type="dxa"/>
          </w:tcPr>
          <w:p w:rsidR="00184844" w:rsidRPr="00026332" w:rsidRDefault="00184844" w:rsidP="00026332">
            <w:pPr>
              <w:jc w:val="left"/>
              <w:rPr>
                <w:rFonts w:eastAsia="Calibri"/>
                <w:b/>
                <w:bCs/>
                <w:color w:val="000000"/>
              </w:rPr>
            </w:pPr>
          </w:p>
          <w:p w:rsidR="00184844" w:rsidRPr="00026332" w:rsidRDefault="00184844" w:rsidP="00026332">
            <w:pPr>
              <w:jc w:val="left"/>
              <w:rPr>
                <w:rFonts w:eastAsia="Calibri"/>
                <w:color w:val="000000"/>
              </w:rPr>
            </w:pPr>
            <w:r w:rsidRPr="00026332">
              <w:rPr>
                <w:rFonts w:eastAsia="Calibri"/>
                <w:b/>
                <w:bCs/>
                <w:color w:val="000000"/>
              </w:rPr>
              <w:t xml:space="preserve">Welkom </w:t>
            </w:r>
          </w:p>
          <w:p w:rsidR="00184844" w:rsidRPr="00026332" w:rsidRDefault="00184844" w:rsidP="00026332">
            <w:pPr>
              <w:pStyle w:val="ListParagraph"/>
              <w:numPr>
                <w:ilvl w:val="0"/>
                <w:numId w:val="23"/>
              </w:numPr>
              <w:ind w:left="284" w:hanging="284"/>
              <w:jc w:val="left"/>
              <w:rPr>
                <w:rFonts w:eastAsia="Calibri"/>
                <w:color w:val="000000"/>
              </w:rPr>
            </w:pPr>
            <w:r w:rsidRPr="00026332">
              <w:rPr>
                <w:rFonts w:eastAsia="Calibri"/>
                <w:b/>
                <w:bCs/>
                <w:color w:val="000000"/>
              </w:rPr>
              <w:t>Mevr. Mariëtte Hamer</w:t>
            </w:r>
            <w:r w:rsidRPr="00026332">
              <w:rPr>
                <w:rFonts w:eastAsia="Calibri"/>
                <w:color w:val="000000"/>
              </w:rPr>
              <w:t xml:space="preserve">, voorzitter Sociaal-Economische Raad </w:t>
            </w:r>
          </w:p>
          <w:p w:rsidR="00184844" w:rsidRPr="00026332" w:rsidRDefault="00184844" w:rsidP="00026332">
            <w:pPr>
              <w:jc w:val="left"/>
              <w:rPr>
                <w:rFonts w:eastAsia="Calibri"/>
                <w:color w:val="000000"/>
              </w:rPr>
            </w:pPr>
          </w:p>
        </w:tc>
      </w:tr>
      <w:tr w:rsidR="00184844" w:rsidRPr="00026332" w:rsidTr="00F84D57">
        <w:trPr>
          <w:trHeight w:val="667"/>
          <w:jc w:val="center"/>
        </w:trPr>
        <w:tc>
          <w:tcPr>
            <w:tcW w:w="4503" w:type="dxa"/>
          </w:tcPr>
          <w:p w:rsidR="00184844" w:rsidRPr="00026332" w:rsidRDefault="00184844" w:rsidP="00026332">
            <w:pPr>
              <w:jc w:val="left"/>
              <w:rPr>
                <w:rFonts w:eastAsia="Calibri"/>
                <w:color w:val="000000"/>
              </w:rPr>
            </w:pPr>
            <w:r w:rsidRPr="00026332">
              <w:rPr>
                <w:rFonts w:eastAsia="Calibri"/>
                <w:b/>
                <w:bCs/>
                <w:color w:val="000000"/>
              </w:rPr>
              <w:t>14.40–15.15</w:t>
            </w:r>
            <w:r w:rsidR="00DB28B3" w:rsidRPr="00026332">
              <w:rPr>
                <w:rFonts w:eastAsia="Calibri"/>
                <w:b/>
                <w:bCs/>
                <w:color w:val="000000"/>
              </w:rPr>
              <w:t xml:space="preserve"> uur</w:t>
            </w:r>
            <w:r w:rsidRPr="00026332">
              <w:rPr>
                <w:rFonts w:eastAsia="Calibri"/>
                <w:b/>
                <w:bCs/>
                <w:color w:val="000000"/>
              </w:rPr>
              <w:t xml:space="preserve"> </w:t>
            </w:r>
          </w:p>
        </w:tc>
        <w:tc>
          <w:tcPr>
            <w:tcW w:w="4786" w:type="dxa"/>
          </w:tcPr>
          <w:p w:rsidR="00184844" w:rsidRPr="00026332" w:rsidRDefault="00184844" w:rsidP="00026332">
            <w:pPr>
              <w:jc w:val="left"/>
              <w:rPr>
                <w:rFonts w:eastAsia="Calibri"/>
                <w:color w:val="000000"/>
              </w:rPr>
            </w:pPr>
            <w:r w:rsidRPr="00026332">
              <w:rPr>
                <w:rFonts w:eastAsia="Calibri"/>
                <w:b/>
                <w:bCs/>
                <w:color w:val="000000"/>
              </w:rPr>
              <w:t xml:space="preserve">Inleiding "De staat van de EU in het licht van het Witboek over de Toekomst van Europa" </w:t>
            </w:r>
          </w:p>
          <w:p w:rsidR="00184844" w:rsidRPr="00026332" w:rsidRDefault="00184844" w:rsidP="00F84D57">
            <w:pPr>
              <w:pStyle w:val="ListParagraph"/>
              <w:numPr>
                <w:ilvl w:val="0"/>
                <w:numId w:val="23"/>
              </w:numPr>
              <w:ind w:left="284" w:hanging="284"/>
              <w:jc w:val="left"/>
              <w:rPr>
                <w:rFonts w:eastAsia="Calibri"/>
                <w:color w:val="000000"/>
              </w:rPr>
            </w:pPr>
            <w:r w:rsidRPr="00026332">
              <w:rPr>
                <w:rFonts w:eastAsia="Calibri"/>
                <w:b/>
                <w:bCs/>
                <w:color w:val="000000"/>
              </w:rPr>
              <w:t>Dhr Marnix Krop</w:t>
            </w:r>
            <w:r w:rsidRPr="00026332">
              <w:rPr>
                <w:rFonts w:eastAsia="Calibri"/>
                <w:color w:val="000000"/>
              </w:rPr>
              <w:t xml:space="preserve">, voormalig DG Europese Samenwerking Ministerie van Buitenlandse Zaken, oud-Ambassadeur voor Nederland in Polen en Duitsland, senior visiting research fellow bij Clingendael </w:t>
            </w:r>
          </w:p>
          <w:p w:rsidR="00184844" w:rsidRPr="00026332" w:rsidRDefault="00184844" w:rsidP="00026332">
            <w:pPr>
              <w:jc w:val="left"/>
              <w:rPr>
                <w:rFonts w:eastAsia="Calibri"/>
                <w:color w:val="000000"/>
              </w:rPr>
            </w:pPr>
          </w:p>
          <w:p w:rsidR="00184844" w:rsidRPr="00026332" w:rsidRDefault="00184844" w:rsidP="00026332">
            <w:pPr>
              <w:jc w:val="left"/>
              <w:rPr>
                <w:rFonts w:eastAsia="Calibri"/>
                <w:color w:val="000000"/>
              </w:rPr>
            </w:pPr>
            <w:r w:rsidRPr="00026332">
              <w:rPr>
                <w:rFonts w:eastAsia="Calibri"/>
                <w:color w:val="000000"/>
              </w:rPr>
              <w:t xml:space="preserve">Gevolgd door een Q&amp;A </w:t>
            </w:r>
          </w:p>
        </w:tc>
      </w:tr>
      <w:tr w:rsidR="00184844" w:rsidRPr="00026332" w:rsidTr="00F84D57">
        <w:trPr>
          <w:trHeight w:val="93"/>
          <w:jc w:val="center"/>
        </w:trPr>
        <w:tc>
          <w:tcPr>
            <w:tcW w:w="4503" w:type="dxa"/>
          </w:tcPr>
          <w:p w:rsidR="00184844" w:rsidRPr="00026332" w:rsidRDefault="00184844" w:rsidP="00026332">
            <w:pPr>
              <w:jc w:val="left"/>
              <w:rPr>
                <w:rFonts w:eastAsia="Calibri"/>
                <w:b/>
                <w:bCs/>
                <w:color w:val="000000"/>
              </w:rPr>
            </w:pPr>
          </w:p>
          <w:p w:rsidR="00184844" w:rsidRPr="00026332" w:rsidRDefault="00184844" w:rsidP="00026332">
            <w:pPr>
              <w:jc w:val="left"/>
              <w:rPr>
                <w:rFonts w:eastAsia="Calibri"/>
                <w:color w:val="000000"/>
              </w:rPr>
            </w:pPr>
            <w:r w:rsidRPr="00026332">
              <w:rPr>
                <w:rFonts w:eastAsia="Calibri"/>
                <w:b/>
                <w:bCs/>
                <w:color w:val="000000"/>
              </w:rPr>
              <w:t>15.15–15.40</w:t>
            </w:r>
            <w:r w:rsidR="00DB28B3" w:rsidRPr="00026332">
              <w:rPr>
                <w:rFonts w:eastAsia="Calibri"/>
                <w:b/>
                <w:bCs/>
                <w:color w:val="000000"/>
              </w:rPr>
              <w:t xml:space="preserve"> uur</w:t>
            </w:r>
            <w:r w:rsidRPr="00026332">
              <w:rPr>
                <w:rFonts w:eastAsia="Calibri"/>
                <w:b/>
                <w:bCs/>
                <w:color w:val="000000"/>
              </w:rPr>
              <w:t xml:space="preserve"> </w:t>
            </w:r>
          </w:p>
        </w:tc>
        <w:tc>
          <w:tcPr>
            <w:tcW w:w="4786" w:type="dxa"/>
          </w:tcPr>
          <w:p w:rsidR="00184844" w:rsidRPr="00026332" w:rsidRDefault="00184844" w:rsidP="00026332">
            <w:pPr>
              <w:jc w:val="left"/>
              <w:rPr>
                <w:rFonts w:eastAsia="Calibri"/>
                <w:b/>
                <w:bCs/>
                <w:color w:val="000000"/>
              </w:rPr>
            </w:pPr>
          </w:p>
          <w:p w:rsidR="00184844" w:rsidRDefault="00184844" w:rsidP="00026332">
            <w:pPr>
              <w:jc w:val="left"/>
              <w:rPr>
                <w:rFonts w:eastAsia="Calibri"/>
                <w:b/>
                <w:bCs/>
                <w:color w:val="000000"/>
              </w:rPr>
            </w:pPr>
            <w:r w:rsidRPr="00026332">
              <w:rPr>
                <w:rFonts w:eastAsia="Calibri"/>
                <w:b/>
                <w:bCs/>
                <w:color w:val="000000"/>
              </w:rPr>
              <w:t>Korte introductie: het advies van het EESC aan de Europese Commissie :</w:t>
            </w:r>
          </w:p>
          <w:p w:rsidR="00F84D57" w:rsidRPr="00026332" w:rsidRDefault="00F84D57" w:rsidP="00026332">
            <w:pPr>
              <w:jc w:val="left"/>
              <w:rPr>
                <w:rFonts w:eastAsia="Calibri"/>
                <w:color w:val="000000"/>
              </w:rPr>
            </w:pPr>
          </w:p>
        </w:tc>
      </w:tr>
      <w:tr w:rsidR="00184844" w:rsidRPr="00026332" w:rsidTr="00F84D57">
        <w:trPr>
          <w:trHeight w:val="785"/>
          <w:jc w:val="center"/>
        </w:trPr>
        <w:tc>
          <w:tcPr>
            <w:tcW w:w="4503" w:type="dxa"/>
          </w:tcPr>
          <w:p w:rsidR="00184844" w:rsidRPr="00026332" w:rsidRDefault="00184844" w:rsidP="00026332">
            <w:pPr>
              <w:jc w:val="left"/>
              <w:rPr>
                <w:rFonts w:eastAsia="Calibri"/>
                <w:b/>
                <w:bCs/>
                <w:color w:val="000000"/>
              </w:rPr>
            </w:pPr>
          </w:p>
          <w:p w:rsidR="00184844" w:rsidRPr="00026332" w:rsidRDefault="00184844" w:rsidP="00026332">
            <w:pPr>
              <w:jc w:val="left"/>
              <w:rPr>
                <w:rFonts w:eastAsia="Calibri"/>
                <w:b/>
                <w:bCs/>
                <w:color w:val="000000"/>
              </w:rPr>
            </w:pPr>
          </w:p>
          <w:p w:rsidR="00184844" w:rsidRPr="00026332" w:rsidRDefault="00184844" w:rsidP="00026332">
            <w:pPr>
              <w:jc w:val="left"/>
              <w:rPr>
                <w:rFonts w:eastAsia="Calibri"/>
                <w:b/>
                <w:bCs/>
                <w:color w:val="000000"/>
              </w:rPr>
            </w:pPr>
          </w:p>
          <w:p w:rsidR="00184844" w:rsidRPr="00026332" w:rsidRDefault="00184844" w:rsidP="00026332">
            <w:pPr>
              <w:jc w:val="left"/>
              <w:rPr>
                <w:rFonts w:eastAsia="Calibri"/>
                <w:b/>
                <w:bCs/>
                <w:color w:val="000000"/>
              </w:rPr>
            </w:pPr>
          </w:p>
          <w:p w:rsidR="00184844" w:rsidRPr="00026332" w:rsidRDefault="00184844" w:rsidP="00026332">
            <w:pPr>
              <w:jc w:val="left"/>
              <w:rPr>
                <w:rFonts w:eastAsia="Calibri"/>
                <w:b/>
                <w:bCs/>
                <w:color w:val="000000"/>
              </w:rPr>
            </w:pPr>
          </w:p>
          <w:p w:rsidR="00184844" w:rsidRPr="00026332" w:rsidRDefault="00184844" w:rsidP="00026332">
            <w:pPr>
              <w:jc w:val="left"/>
              <w:rPr>
                <w:rFonts w:eastAsia="Calibri"/>
                <w:b/>
                <w:bCs/>
                <w:color w:val="000000"/>
              </w:rPr>
            </w:pPr>
          </w:p>
          <w:p w:rsidR="00184844" w:rsidRPr="00026332" w:rsidRDefault="00184844" w:rsidP="00026332">
            <w:pPr>
              <w:jc w:val="left"/>
              <w:rPr>
                <w:rFonts w:eastAsia="Calibri"/>
                <w:b/>
                <w:bCs/>
                <w:color w:val="000000"/>
              </w:rPr>
            </w:pPr>
          </w:p>
          <w:p w:rsidR="00184844" w:rsidRPr="00026332" w:rsidRDefault="00184844" w:rsidP="00026332">
            <w:pPr>
              <w:jc w:val="left"/>
              <w:rPr>
                <w:rFonts w:eastAsia="Calibri"/>
                <w:b/>
                <w:bCs/>
                <w:color w:val="000000"/>
              </w:rPr>
            </w:pPr>
          </w:p>
          <w:p w:rsidR="00184844" w:rsidRPr="00026332" w:rsidRDefault="00184844" w:rsidP="00026332">
            <w:pPr>
              <w:jc w:val="left"/>
              <w:rPr>
                <w:rFonts w:eastAsia="Calibri"/>
                <w:b/>
                <w:bCs/>
                <w:color w:val="000000"/>
              </w:rPr>
            </w:pPr>
          </w:p>
          <w:p w:rsidR="00184844" w:rsidRPr="00026332" w:rsidRDefault="00184844" w:rsidP="00026332">
            <w:pPr>
              <w:jc w:val="left"/>
              <w:rPr>
                <w:rFonts w:eastAsia="Calibri"/>
                <w:b/>
                <w:bCs/>
                <w:color w:val="000000"/>
              </w:rPr>
            </w:pPr>
          </w:p>
          <w:p w:rsidR="00184844" w:rsidRPr="00026332" w:rsidRDefault="00184844" w:rsidP="00026332">
            <w:pPr>
              <w:jc w:val="left"/>
              <w:rPr>
                <w:rFonts w:eastAsia="Calibri"/>
                <w:b/>
                <w:bCs/>
                <w:color w:val="000000"/>
              </w:rPr>
            </w:pPr>
          </w:p>
          <w:p w:rsidR="00184844" w:rsidRPr="00026332" w:rsidRDefault="00184844" w:rsidP="00026332">
            <w:pPr>
              <w:jc w:val="left"/>
              <w:rPr>
                <w:rFonts w:eastAsia="Calibri"/>
                <w:color w:val="000000"/>
              </w:rPr>
            </w:pPr>
            <w:r w:rsidRPr="00026332">
              <w:rPr>
                <w:rFonts w:eastAsia="Calibri"/>
                <w:b/>
                <w:bCs/>
                <w:color w:val="000000"/>
              </w:rPr>
              <w:t xml:space="preserve">15.40–16.00 </w:t>
            </w:r>
            <w:r w:rsidR="00DB28B3" w:rsidRPr="00026332">
              <w:rPr>
                <w:rFonts w:eastAsia="Calibri"/>
                <w:b/>
                <w:bCs/>
                <w:color w:val="000000"/>
              </w:rPr>
              <w:t>uur</w:t>
            </w:r>
          </w:p>
        </w:tc>
        <w:tc>
          <w:tcPr>
            <w:tcW w:w="4786" w:type="dxa"/>
          </w:tcPr>
          <w:p w:rsidR="00184844" w:rsidRPr="00026332" w:rsidRDefault="00184844" w:rsidP="00F84D57">
            <w:pPr>
              <w:pStyle w:val="ListParagraph"/>
              <w:numPr>
                <w:ilvl w:val="0"/>
                <w:numId w:val="23"/>
              </w:numPr>
              <w:ind w:left="284" w:hanging="284"/>
              <w:jc w:val="left"/>
              <w:rPr>
                <w:rFonts w:eastAsia="Calibri"/>
                <w:color w:val="000000"/>
              </w:rPr>
            </w:pPr>
            <w:r w:rsidRPr="00026332">
              <w:rPr>
                <w:rFonts w:eastAsia="Calibri"/>
                <w:b/>
                <w:bCs/>
                <w:color w:val="000000"/>
              </w:rPr>
              <w:lastRenderedPageBreak/>
              <w:t>Dhr Winand Quaedvlieg</w:t>
            </w:r>
            <w:r w:rsidRPr="00026332">
              <w:rPr>
                <w:rFonts w:eastAsia="Calibri"/>
                <w:color w:val="000000"/>
              </w:rPr>
              <w:t xml:space="preserve">, Lid van het EESC namens VNO-NCW en MKB Nederland </w:t>
            </w:r>
          </w:p>
          <w:p w:rsidR="00184844" w:rsidRPr="00026332" w:rsidRDefault="00184844" w:rsidP="00F84D57">
            <w:pPr>
              <w:pStyle w:val="ListParagraph"/>
              <w:numPr>
                <w:ilvl w:val="0"/>
                <w:numId w:val="23"/>
              </w:numPr>
              <w:ind w:left="284" w:hanging="284"/>
              <w:jc w:val="left"/>
              <w:rPr>
                <w:rFonts w:eastAsia="Calibri"/>
                <w:color w:val="000000"/>
              </w:rPr>
            </w:pPr>
            <w:r w:rsidRPr="00F84D57">
              <w:rPr>
                <w:rFonts w:eastAsia="Calibri"/>
                <w:color w:val="000000"/>
              </w:rPr>
              <w:t>Mevr</w:t>
            </w:r>
            <w:r w:rsidRPr="00026332">
              <w:rPr>
                <w:rFonts w:eastAsia="Calibri"/>
                <w:b/>
                <w:bCs/>
                <w:color w:val="000000"/>
              </w:rPr>
              <w:t>. Catelijne Muller</w:t>
            </w:r>
            <w:r w:rsidRPr="00026332">
              <w:rPr>
                <w:rFonts w:eastAsia="Calibri"/>
                <w:color w:val="000000"/>
              </w:rPr>
              <w:t xml:space="preserve">, Lid van het EESC namens de Vakcentrale voor Professionals (VCP) </w:t>
            </w:r>
          </w:p>
          <w:p w:rsidR="00184844" w:rsidRPr="00026332" w:rsidRDefault="00184844" w:rsidP="00F84D57">
            <w:pPr>
              <w:pStyle w:val="ListParagraph"/>
              <w:numPr>
                <w:ilvl w:val="0"/>
                <w:numId w:val="23"/>
              </w:numPr>
              <w:ind w:left="284" w:hanging="284"/>
              <w:jc w:val="left"/>
              <w:rPr>
                <w:rFonts w:eastAsia="Calibri"/>
                <w:color w:val="000000"/>
              </w:rPr>
            </w:pPr>
            <w:r w:rsidRPr="00026332">
              <w:rPr>
                <w:rFonts w:eastAsia="Calibri"/>
                <w:b/>
                <w:bCs/>
                <w:color w:val="000000"/>
              </w:rPr>
              <w:t>Dhr Klaas Johan Osinga</w:t>
            </w:r>
            <w:r w:rsidRPr="00026332">
              <w:rPr>
                <w:rFonts w:eastAsia="Calibri"/>
                <w:color w:val="000000"/>
              </w:rPr>
              <w:t xml:space="preserve">, Lid van het EESC namens LTO Nederland </w:t>
            </w:r>
          </w:p>
          <w:p w:rsidR="00184844" w:rsidRPr="00026332" w:rsidRDefault="00184844" w:rsidP="00026332">
            <w:pPr>
              <w:jc w:val="left"/>
              <w:rPr>
                <w:rFonts w:eastAsia="Calibri"/>
                <w:color w:val="000000"/>
              </w:rPr>
            </w:pPr>
          </w:p>
          <w:p w:rsidR="00184844" w:rsidRPr="00026332" w:rsidRDefault="00184844" w:rsidP="00026332">
            <w:pPr>
              <w:jc w:val="left"/>
              <w:rPr>
                <w:rFonts w:eastAsia="Calibri"/>
                <w:color w:val="000000"/>
              </w:rPr>
            </w:pPr>
            <w:r w:rsidRPr="00026332">
              <w:rPr>
                <w:rFonts w:eastAsia="Calibri"/>
                <w:color w:val="000000"/>
              </w:rPr>
              <w:t xml:space="preserve">Gevolgd door Q&amp;A betreffende doel &amp; opzet van het debat en het EESC-advies aan de Commissie </w:t>
            </w:r>
          </w:p>
          <w:p w:rsidR="00184844" w:rsidRPr="00026332" w:rsidRDefault="00184844" w:rsidP="00026332">
            <w:pPr>
              <w:jc w:val="left"/>
              <w:rPr>
                <w:rFonts w:eastAsia="Calibri"/>
                <w:b/>
                <w:bCs/>
                <w:color w:val="000000"/>
              </w:rPr>
            </w:pPr>
          </w:p>
          <w:p w:rsidR="00184844" w:rsidRPr="00026332" w:rsidRDefault="00184844" w:rsidP="00026332">
            <w:pPr>
              <w:jc w:val="left"/>
              <w:rPr>
                <w:rFonts w:eastAsia="Calibri"/>
                <w:color w:val="000000"/>
              </w:rPr>
            </w:pPr>
            <w:r w:rsidRPr="00026332">
              <w:rPr>
                <w:rFonts w:eastAsia="Calibri"/>
                <w:b/>
                <w:bCs/>
                <w:color w:val="000000"/>
              </w:rPr>
              <w:t xml:space="preserve">Koffiepauze </w:t>
            </w:r>
          </w:p>
        </w:tc>
      </w:tr>
      <w:tr w:rsidR="00184844" w:rsidRPr="00026332" w:rsidTr="00F84D57">
        <w:trPr>
          <w:trHeight w:val="93"/>
          <w:jc w:val="center"/>
        </w:trPr>
        <w:tc>
          <w:tcPr>
            <w:tcW w:w="4503" w:type="dxa"/>
          </w:tcPr>
          <w:p w:rsidR="00184844" w:rsidRPr="00026332" w:rsidRDefault="00184844" w:rsidP="00026332">
            <w:pPr>
              <w:jc w:val="left"/>
              <w:rPr>
                <w:rFonts w:eastAsia="Calibri"/>
                <w:b/>
                <w:bCs/>
                <w:color w:val="000000"/>
              </w:rPr>
            </w:pPr>
          </w:p>
          <w:p w:rsidR="00184844" w:rsidRPr="00026332" w:rsidRDefault="00184844" w:rsidP="00026332">
            <w:pPr>
              <w:jc w:val="left"/>
              <w:rPr>
                <w:rFonts w:eastAsia="Calibri"/>
                <w:color w:val="000000"/>
              </w:rPr>
            </w:pPr>
            <w:r w:rsidRPr="00026332">
              <w:rPr>
                <w:rFonts w:eastAsia="Calibri"/>
                <w:b/>
                <w:bCs/>
                <w:color w:val="000000"/>
              </w:rPr>
              <w:t xml:space="preserve">16.00–17.20 </w:t>
            </w:r>
            <w:r w:rsidR="00DB28B3" w:rsidRPr="00026332">
              <w:rPr>
                <w:rFonts w:eastAsia="Calibri"/>
                <w:b/>
                <w:bCs/>
                <w:color w:val="000000"/>
              </w:rPr>
              <w:t>uur</w:t>
            </w:r>
          </w:p>
        </w:tc>
        <w:tc>
          <w:tcPr>
            <w:tcW w:w="4786" w:type="dxa"/>
          </w:tcPr>
          <w:p w:rsidR="00184844" w:rsidRPr="00026332" w:rsidRDefault="00184844" w:rsidP="00026332">
            <w:pPr>
              <w:jc w:val="left"/>
              <w:rPr>
                <w:rFonts w:eastAsia="Calibri"/>
                <w:b/>
                <w:bCs/>
                <w:color w:val="000000"/>
              </w:rPr>
            </w:pPr>
          </w:p>
          <w:p w:rsidR="00184844" w:rsidRPr="00026332" w:rsidRDefault="00184844" w:rsidP="00026332">
            <w:pPr>
              <w:jc w:val="left"/>
              <w:rPr>
                <w:rFonts w:eastAsia="Calibri"/>
                <w:color w:val="000000"/>
              </w:rPr>
            </w:pPr>
            <w:r w:rsidRPr="00026332">
              <w:rPr>
                <w:rFonts w:eastAsia="Calibri"/>
                <w:b/>
                <w:bCs/>
                <w:color w:val="000000"/>
              </w:rPr>
              <w:t xml:space="preserve">Gestructureerde gedachtewisseling </w:t>
            </w:r>
          </w:p>
        </w:tc>
      </w:tr>
      <w:tr w:rsidR="00184844" w:rsidRPr="00026332" w:rsidTr="00F84D57">
        <w:trPr>
          <w:trHeight w:val="551"/>
          <w:jc w:val="center"/>
        </w:trPr>
        <w:tc>
          <w:tcPr>
            <w:tcW w:w="9289" w:type="dxa"/>
            <w:gridSpan w:val="2"/>
          </w:tcPr>
          <w:p w:rsidR="00184844" w:rsidRPr="00026332" w:rsidRDefault="00184844" w:rsidP="00026332">
            <w:pPr>
              <w:jc w:val="left"/>
              <w:rPr>
                <w:rFonts w:eastAsia="Calibri"/>
                <w:color w:val="000000"/>
              </w:rPr>
            </w:pPr>
            <w:r w:rsidRPr="00026332">
              <w:rPr>
                <w:rFonts w:eastAsia="Calibri"/>
                <w:color w:val="000000"/>
              </w:rPr>
              <w:t xml:space="preserve">Open brainstorm met vertegenwoordigers van de deelnemende organisaties </w:t>
            </w:r>
          </w:p>
          <w:p w:rsidR="00184844" w:rsidRPr="00026332" w:rsidRDefault="00184844" w:rsidP="00026332">
            <w:pPr>
              <w:jc w:val="left"/>
              <w:rPr>
                <w:rFonts w:eastAsia="Calibri"/>
                <w:color w:val="000000"/>
              </w:rPr>
            </w:pPr>
            <w:r w:rsidRPr="00026332">
              <w:rPr>
                <w:rFonts w:eastAsia="Calibri"/>
                <w:b/>
                <w:bCs/>
                <w:color w:val="000000"/>
              </w:rPr>
              <w:t>Ronde 1</w:t>
            </w:r>
            <w:r w:rsidRPr="00026332">
              <w:rPr>
                <w:rFonts w:eastAsia="Calibri"/>
                <w:color w:val="000000"/>
              </w:rPr>
              <w:t xml:space="preserve">: Wat willen we als maatschappelijk middenveld met en van de Europese Unie? Hoe kunnen we dat bereiken? Welke rol kan het maatschappelijk middenveld daarbij zelf spelen? </w:t>
            </w:r>
          </w:p>
          <w:p w:rsidR="00184844" w:rsidRPr="00026332" w:rsidRDefault="00184844" w:rsidP="00026332">
            <w:pPr>
              <w:jc w:val="left"/>
              <w:rPr>
                <w:rFonts w:eastAsia="Calibri"/>
                <w:color w:val="000000"/>
              </w:rPr>
            </w:pPr>
            <w:r w:rsidRPr="00026332">
              <w:rPr>
                <w:rFonts w:eastAsia="Calibri"/>
                <w:b/>
                <w:bCs/>
                <w:color w:val="000000"/>
              </w:rPr>
              <w:t>Ronde 2</w:t>
            </w:r>
            <w:r w:rsidRPr="00026332">
              <w:rPr>
                <w:rFonts w:eastAsia="Calibri"/>
                <w:color w:val="000000"/>
              </w:rPr>
              <w:t xml:space="preserve">: Hoe vertaalt zich dat naar mogelijke toekomstscenario's voor de Europese Unie? </w:t>
            </w:r>
          </w:p>
        </w:tc>
      </w:tr>
    </w:tbl>
    <w:p w:rsidR="00184844" w:rsidRDefault="00184844" w:rsidP="00184844">
      <w:pPr>
        <w:pStyle w:val="Default"/>
        <w:rPr>
          <w:rFonts w:ascii="Times New Roman" w:hAnsi="Times New Roman" w:cs="Times New Roman"/>
          <w:sz w:val="22"/>
          <w:szCs w:val="22"/>
          <w:lang w:val="nl-NL"/>
        </w:rPr>
      </w:pPr>
    </w:p>
    <w:p w:rsidR="00F84D57" w:rsidRPr="00F84D57" w:rsidRDefault="00F84D57" w:rsidP="00184844">
      <w:pPr>
        <w:pStyle w:val="Default"/>
        <w:rPr>
          <w:rFonts w:ascii="Times New Roman" w:hAnsi="Times New Roman" w:cs="Times New Roman"/>
          <w:sz w:val="22"/>
          <w:szCs w:val="22"/>
          <w:lang w:val="nl-NL"/>
        </w:rPr>
      </w:pPr>
    </w:p>
    <w:p w:rsidR="00184844" w:rsidRPr="00F84D57" w:rsidRDefault="00184844" w:rsidP="00F84D57">
      <w:pPr>
        <w:tabs>
          <w:tab w:val="left" w:pos="4536"/>
        </w:tabs>
      </w:pPr>
      <w:r w:rsidRPr="00F84D57">
        <w:rPr>
          <w:b/>
          <w:bCs/>
        </w:rPr>
        <w:t xml:space="preserve">17.20–17.30 </w:t>
      </w:r>
      <w:r w:rsidR="00DB28B3" w:rsidRPr="00F84D57">
        <w:rPr>
          <w:b/>
          <w:bCs/>
        </w:rPr>
        <w:t>uur</w:t>
      </w:r>
      <w:r w:rsidRPr="00F84D57">
        <w:rPr>
          <w:b/>
          <w:bCs/>
        </w:rPr>
        <w:tab/>
        <w:t>Afsluiting door de leden van het EESC</w:t>
      </w:r>
    </w:p>
    <w:p w:rsidR="00A7196A" w:rsidRPr="00F84D57" w:rsidRDefault="00A7196A"/>
    <w:sectPr w:rsidR="00A7196A" w:rsidRPr="00F84D57" w:rsidSect="002023A0">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59" w:rsidRDefault="00AA4A59">
      <w:pPr>
        <w:spacing w:line="240" w:lineRule="auto"/>
      </w:pPr>
      <w:r>
        <w:separator/>
      </w:r>
    </w:p>
  </w:endnote>
  <w:endnote w:type="continuationSeparator" w:id="0">
    <w:p w:rsidR="00AA4A59" w:rsidRDefault="00AA4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A0" w:rsidRPr="002023A0" w:rsidRDefault="002023A0" w:rsidP="0020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32" w:rsidRPr="002023A0" w:rsidRDefault="002023A0" w:rsidP="002023A0">
    <w:pPr>
      <w:pStyle w:val="Footer"/>
    </w:pPr>
    <w:r>
      <w:t xml:space="preserve">EESC-2017-02886-00-01-TCD-TRA (NL) </w:t>
    </w:r>
    <w:r>
      <w:fldChar w:fldCharType="begin"/>
    </w:r>
    <w:r>
      <w:instrText xml:space="preserve"> PAGE  \* Arabic  \* MERGEFORMAT </w:instrText>
    </w:r>
    <w:r>
      <w:fldChar w:fldCharType="separate"/>
    </w:r>
    <w:r w:rsidR="006B7F06">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6B7F06">
      <w:rPr>
        <w:noProof/>
      </w:rPr>
      <w:instrText>5</w:instrText>
    </w:r>
    <w:r>
      <w:fldChar w:fldCharType="end"/>
    </w:r>
    <w:r>
      <w:instrText xml:space="preserve"> </w:instrText>
    </w:r>
    <w:r>
      <w:fldChar w:fldCharType="separate"/>
    </w:r>
    <w:r w:rsidR="006B7F06">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A0" w:rsidRPr="002023A0" w:rsidRDefault="002023A0" w:rsidP="0020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59" w:rsidRDefault="00AA4A59">
      <w:pPr>
        <w:spacing w:line="240" w:lineRule="auto"/>
      </w:pPr>
      <w:r>
        <w:separator/>
      </w:r>
    </w:p>
  </w:footnote>
  <w:footnote w:type="continuationSeparator" w:id="0">
    <w:p w:rsidR="00AA4A59" w:rsidRDefault="00AA4A59">
      <w:pPr>
        <w:spacing w:line="240" w:lineRule="auto"/>
      </w:pPr>
      <w:r>
        <w:continuationSeparator/>
      </w:r>
    </w:p>
  </w:footnote>
  <w:footnote w:id="1">
    <w:p w:rsidR="00743A0A" w:rsidRPr="000F3274" w:rsidRDefault="00743A0A">
      <w:pPr>
        <w:pStyle w:val="FootnoteText"/>
      </w:pPr>
      <w:r w:rsidRPr="000F3274">
        <w:rPr>
          <w:rStyle w:val="FootnoteReference"/>
        </w:rPr>
        <w:footnoteRef/>
      </w:r>
      <w:r w:rsidR="00F84D57">
        <w:tab/>
      </w:r>
      <w:r w:rsidRPr="000F3274">
        <w:t xml:space="preserve">The Review of the Balance of Competences, </w:t>
      </w:r>
      <w:hyperlink r:id="rId1" w:history="1">
        <w:r w:rsidRPr="000F3274">
          <w:rPr>
            <w:rStyle w:val="Hyperlink"/>
          </w:rPr>
          <w:t>https://www.publications.parliament.uk/pa/ld201415/ldselect/ldeucom/140/14002.htm</w:t>
        </w:r>
      </w:hyperlink>
      <w:r w:rsidRPr="000F3274">
        <w:t>, 2015</w:t>
      </w:r>
      <w:r w:rsidR="00F84D5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A0" w:rsidRPr="002023A0" w:rsidRDefault="002023A0" w:rsidP="0020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A0" w:rsidRPr="002023A0" w:rsidRDefault="002023A0" w:rsidP="002023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A0" w:rsidRPr="002023A0" w:rsidRDefault="002023A0" w:rsidP="0020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8984AD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multilevel"/>
    <w:tmpl w:val="A61E587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C02867"/>
    <w:multiLevelType w:val="hybridMultilevel"/>
    <w:tmpl w:val="40902366"/>
    <w:lvl w:ilvl="0" w:tplc="C3C87D44">
      <w:start w:val="1"/>
      <w:numFmt w:val="bullet"/>
      <w:lvlRestart w:val="0"/>
      <w:lvlText w:val=""/>
      <w:lvlJc w:val="left"/>
      <w:pPr>
        <w:tabs>
          <w:tab w:val="num" w:pos="0"/>
        </w:tabs>
        <w:ind w:left="369" w:hanging="369"/>
      </w:pPr>
      <w:rPr>
        <w:rFonts w:ascii="Symbol" w:hAnsi="Symbol" w:cs="Times New Roman"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180964"/>
    <w:multiLevelType w:val="hybridMultilevel"/>
    <w:tmpl w:val="005051E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25A00"/>
    <w:multiLevelType w:val="multilevel"/>
    <w:tmpl w:val="EA46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B6A14"/>
    <w:multiLevelType w:val="hybridMultilevel"/>
    <w:tmpl w:val="110AEE44"/>
    <w:lvl w:ilvl="0" w:tplc="A7CCDF2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F2AFD"/>
    <w:multiLevelType w:val="hybridMultilevel"/>
    <w:tmpl w:val="508A1D4A"/>
    <w:lvl w:ilvl="0" w:tplc="080C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nsid w:val="232A331F"/>
    <w:multiLevelType w:val="hybridMultilevel"/>
    <w:tmpl w:val="5E80B07C"/>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581AFE"/>
    <w:multiLevelType w:val="hybridMultilevel"/>
    <w:tmpl w:val="F09AD0DE"/>
    <w:lvl w:ilvl="0" w:tplc="C63EAA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683942"/>
    <w:multiLevelType w:val="hybridMultilevel"/>
    <w:tmpl w:val="90E2A946"/>
    <w:lvl w:ilvl="0" w:tplc="A7CCDF2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416606"/>
    <w:multiLevelType w:val="hybridMultilevel"/>
    <w:tmpl w:val="8AF69B30"/>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7D1365"/>
    <w:multiLevelType w:val="hybridMultilevel"/>
    <w:tmpl w:val="9DC4D24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ED4127"/>
    <w:multiLevelType w:val="hybridMultilevel"/>
    <w:tmpl w:val="48FC54AE"/>
    <w:lvl w:ilvl="0" w:tplc="08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87648A"/>
    <w:multiLevelType w:val="hybridMultilevel"/>
    <w:tmpl w:val="934C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2558AB"/>
    <w:multiLevelType w:val="hybridMultilevel"/>
    <w:tmpl w:val="AEA206D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777F2E"/>
    <w:multiLevelType w:val="hybridMultilevel"/>
    <w:tmpl w:val="E9C4B60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44519C"/>
    <w:multiLevelType w:val="hybridMultilevel"/>
    <w:tmpl w:val="ABE4D63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8C0EFF"/>
    <w:multiLevelType w:val="hybridMultilevel"/>
    <w:tmpl w:val="900CC042"/>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CF7DC8"/>
    <w:multiLevelType w:val="hybridMultilevel"/>
    <w:tmpl w:val="743EDF5C"/>
    <w:lvl w:ilvl="0" w:tplc="080C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nsid w:val="759A5A4C"/>
    <w:multiLevelType w:val="hybridMultilevel"/>
    <w:tmpl w:val="D63E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AB75E4"/>
    <w:multiLevelType w:val="hybridMultilevel"/>
    <w:tmpl w:val="0248E532"/>
    <w:lvl w:ilvl="0" w:tplc="080C0001">
      <w:start w:val="1"/>
      <w:numFmt w:val="bullet"/>
      <w:lvlText w:val=""/>
      <w:lvlJc w:val="left"/>
      <w:pPr>
        <w:ind w:left="2886" w:hanging="360"/>
      </w:pPr>
      <w:rPr>
        <w:rFonts w:ascii="Symbol" w:hAnsi="Symbol" w:hint="default"/>
      </w:rPr>
    </w:lvl>
    <w:lvl w:ilvl="1" w:tplc="08090003" w:tentative="1">
      <w:start w:val="1"/>
      <w:numFmt w:val="bullet"/>
      <w:lvlText w:val="o"/>
      <w:lvlJc w:val="left"/>
      <w:pPr>
        <w:ind w:left="3606" w:hanging="360"/>
      </w:pPr>
      <w:rPr>
        <w:rFonts w:ascii="Courier New" w:hAnsi="Courier New" w:cs="Courier New" w:hint="default"/>
      </w:rPr>
    </w:lvl>
    <w:lvl w:ilvl="2" w:tplc="08090005" w:tentative="1">
      <w:start w:val="1"/>
      <w:numFmt w:val="bullet"/>
      <w:lvlText w:val=""/>
      <w:lvlJc w:val="left"/>
      <w:pPr>
        <w:ind w:left="4326" w:hanging="360"/>
      </w:pPr>
      <w:rPr>
        <w:rFonts w:ascii="Wingdings" w:hAnsi="Wingdings" w:hint="default"/>
      </w:rPr>
    </w:lvl>
    <w:lvl w:ilvl="3" w:tplc="08090001" w:tentative="1">
      <w:start w:val="1"/>
      <w:numFmt w:val="bullet"/>
      <w:lvlText w:val=""/>
      <w:lvlJc w:val="left"/>
      <w:pPr>
        <w:ind w:left="5046" w:hanging="360"/>
      </w:pPr>
      <w:rPr>
        <w:rFonts w:ascii="Symbol" w:hAnsi="Symbol" w:hint="default"/>
      </w:rPr>
    </w:lvl>
    <w:lvl w:ilvl="4" w:tplc="08090003" w:tentative="1">
      <w:start w:val="1"/>
      <w:numFmt w:val="bullet"/>
      <w:lvlText w:val="o"/>
      <w:lvlJc w:val="left"/>
      <w:pPr>
        <w:ind w:left="5766" w:hanging="360"/>
      </w:pPr>
      <w:rPr>
        <w:rFonts w:ascii="Courier New" w:hAnsi="Courier New" w:cs="Courier New" w:hint="default"/>
      </w:rPr>
    </w:lvl>
    <w:lvl w:ilvl="5" w:tplc="08090005" w:tentative="1">
      <w:start w:val="1"/>
      <w:numFmt w:val="bullet"/>
      <w:lvlText w:val=""/>
      <w:lvlJc w:val="left"/>
      <w:pPr>
        <w:ind w:left="6486" w:hanging="360"/>
      </w:pPr>
      <w:rPr>
        <w:rFonts w:ascii="Wingdings" w:hAnsi="Wingdings" w:hint="default"/>
      </w:rPr>
    </w:lvl>
    <w:lvl w:ilvl="6" w:tplc="08090001" w:tentative="1">
      <w:start w:val="1"/>
      <w:numFmt w:val="bullet"/>
      <w:lvlText w:val=""/>
      <w:lvlJc w:val="left"/>
      <w:pPr>
        <w:ind w:left="7206" w:hanging="360"/>
      </w:pPr>
      <w:rPr>
        <w:rFonts w:ascii="Symbol" w:hAnsi="Symbol" w:hint="default"/>
      </w:rPr>
    </w:lvl>
    <w:lvl w:ilvl="7" w:tplc="08090003" w:tentative="1">
      <w:start w:val="1"/>
      <w:numFmt w:val="bullet"/>
      <w:lvlText w:val="o"/>
      <w:lvlJc w:val="left"/>
      <w:pPr>
        <w:ind w:left="7926" w:hanging="360"/>
      </w:pPr>
      <w:rPr>
        <w:rFonts w:ascii="Courier New" w:hAnsi="Courier New" w:cs="Courier New" w:hint="default"/>
      </w:rPr>
    </w:lvl>
    <w:lvl w:ilvl="8" w:tplc="08090005" w:tentative="1">
      <w:start w:val="1"/>
      <w:numFmt w:val="bullet"/>
      <w:lvlText w:val=""/>
      <w:lvlJc w:val="left"/>
      <w:pPr>
        <w:ind w:left="8646" w:hanging="360"/>
      </w:pPr>
      <w:rPr>
        <w:rFonts w:ascii="Wingdings" w:hAnsi="Wingdings" w:hint="default"/>
      </w:rPr>
    </w:lvl>
  </w:abstractNum>
  <w:abstractNum w:abstractNumId="21">
    <w:nsid w:val="793C3897"/>
    <w:multiLevelType w:val="hybridMultilevel"/>
    <w:tmpl w:val="80DC0F64"/>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A7250A"/>
    <w:multiLevelType w:val="hybridMultilevel"/>
    <w:tmpl w:val="752ED25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22"/>
  </w:num>
  <w:num w:numId="6">
    <w:abstractNumId w:val="4"/>
  </w:num>
  <w:num w:numId="7">
    <w:abstractNumId w:val="7"/>
  </w:num>
  <w:num w:numId="8">
    <w:abstractNumId w:val="14"/>
  </w:num>
  <w:num w:numId="9">
    <w:abstractNumId w:val="20"/>
  </w:num>
  <w:num w:numId="10">
    <w:abstractNumId w:val="18"/>
  </w:num>
  <w:num w:numId="11">
    <w:abstractNumId w:val="21"/>
  </w:num>
  <w:num w:numId="12">
    <w:abstractNumId w:val="16"/>
  </w:num>
  <w:num w:numId="13">
    <w:abstractNumId w:val="11"/>
  </w:num>
  <w:num w:numId="14">
    <w:abstractNumId w:val="15"/>
  </w:num>
  <w:num w:numId="15">
    <w:abstractNumId w:val="6"/>
  </w:num>
  <w:num w:numId="16">
    <w:abstractNumId w:val="10"/>
  </w:num>
  <w:num w:numId="17">
    <w:abstractNumId w:val="19"/>
  </w:num>
  <w:num w:numId="18">
    <w:abstractNumId w:val="9"/>
  </w:num>
  <w:num w:numId="19">
    <w:abstractNumId w:val="5"/>
  </w:num>
  <w:num w:numId="20">
    <w:abstractNumId w:val="17"/>
  </w:num>
  <w:num w:numId="21">
    <w:abstractNumId w:val="12"/>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C7"/>
    <w:rsid w:val="00000121"/>
    <w:rsid w:val="000078B2"/>
    <w:rsid w:val="00026332"/>
    <w:rsid w:val="00027FF4"/>
    <w:rsid w:val="00042338"/>
    <w:rsid w:val="00042ADF"/>
    <w:rsid w:val="00044619"/>
    <w:rsid w:val="0005710A"/>
    <w:rsid w:val="00060280"/>
    <w:rsid w:val="000705C3"/>
    <w:rsid w:val="00074CBD"/>
    <w:rsid w:val="000751C0"/>
    <w:rsid w:val="0008534B"/>
    <w:rsid w:val="00097494"/>
    <w:rsid w:val="000A1079"/>
    <w:rsid w:val="000A1459"/>
    <w:rsid w:val="000B30B4"/>
    <w:rsid w:val="000B3214"/>
    <w:rsid w:val="000D79D6"/>
    <w:rsid w:val="000E6AF5"/>
    <w:rsid w:val="000F3274"/>
    <w:rsid w:val="000F578C"/>
    <w:rsid w:val="00120F8D"/>
    <w:rsid w:val="0013272E"/>
    <w:rsid w:val="001346E1"/>
    <w:rsid w:val="00151E72"/>
    <w:rsid w:val="00155DDC"/>
    <w:rsid w:val="00173BFD"/>
    <w:rsid w:val="00181CD5"/>
    <w:rsid w:val="00184844"/>
    <w:rsid w:val="0018724B"/>
    <w:rsid w:val="0019079C"/>
    <w:rsid w:val="001A24E5"/>
    <w:rsid w:val="001B1A51"/>
    <w:rsid w:val="001B3E1A"/>
    <w:rsid w:val="001B49D8"/>
    <w:rsid w:val="001E247D"/>
    <w:rsid w:val="001E2CDC"/>
    <w:rsid w:val="001E38A2"/>
    <w:rsid w:val="001E791C"/>
    <w:rsid w:val="001F1346"/>
    <w:rsid w:val="001F46DE"/>
    <w:rsid w:val="002023A0"/>
    <w:rsid w:val="00206FA6"/>
    <w:rsid w:val="002076C7"/>
    <w:rsid w:val="0021799C"/>
    <w:rsid w:val="00221856"/>
    <w:rsid w:val="0022328D"/>
    <w:rsid w:val="0022359E"/>
    <w:rsid w:val="0023366F"/>
    <w:rsid w:val="00242B5F"/>
    <w:rsid w:val="002456C8"/>
    <w:rsid w:val="00245FA5"/>
    <w:rsid w:val="00246915"/>
    <w:rsid w:val="00252000"/>
    <w:rsid w:val="00262FED"/>
    <w:rsid w:val="00270E90"/>
    <w:rsid w:val="00293AD8"/>
    <w:rsid w:val="00293BD5"/>
    <w:rsid w:val="002A5ABE"/>
    <w:rsid w:val="002B3FF7"/>
    <w:rsid w:val="002C4D74"/>
    <w:rsid w:val="002E6015"/>
    <w:rsid w:val="003005AB"/>
    <w:rsid w:val="00300A1D"/>
    <w:rsid w:val="00302A51"/>
    <w:rsid w:val="003108F3"/>
    <w:rsid w:val="0031236E"/>
    <w:rsid w:val="00312439"/>
    <w:rsid w:val="00317487"/>
    <w:rsid w:val="00320024"/>
    <w:rsid w:val="00322811"/>
    <w:rsid w:val="00330956"/>
    <w:rsid w:val="003359BB"/>
    <w:rsid w:val="00337FEE"/>
    <w:rsid w:val="003473DE"/>
    <w:rsid w:val="003519EC"/>
    <w:rsid w:val="00352E4E"/>
    <w:rsid w:val="003531C2"/>
    <w:rsid w:val="00353C1A"/>
    <w:rsid w:val="00367173"/>
    <w:rsid w:val="003716F7"/>
    <w:rsid w:val="003875BE"/>
    <w:rsid w:val="00391D6A"/>
    <w:rsid w:val="00391EDA"/>
    <w:rsid w:val="003A4637"/>
    <w:rsid w:val="003A4A88"/>
    <w:rsid w:val="003B14C1"/>
    <w:rsid w:val="003B224F"/>
    <w:rsid w:val="003C23FB"/>
    <w:rsid w:val="003E3BA9"/>
    <w:rsid w:val="003E5CB2"/>
    <w:rsid w:val="003F24F2"/>
    <w:rsid w:val="00410962"/>
    <w:rsid w:val="00420ABD"/>
    <w:rsid w:val="0042218C"/>
    <w:rsid w:val="00426FE6"/>
    <w:rsid w:val="00437ECA"/>
    <w:rsid w:val="00446C2C"/>
    <w:rsid w:val="00463330"/>
    <w:rsid w:val="00467203"/>
    <w:rsid w:val="0047569A"/>
    <w:rsid w:val="0048648B"/>
    <w:rsid w:val="004B4223"/>
    <w:rsid w:val="004B5CD3"/>
    <w:rsid w:val="004C1148"/>
    <w:rsid w:val="004C2909"/>
    <w:rsid w:val="004D2355"/>
    <w:rsid w:val="00507182"/>
    <w:rsid w:val="00530735"/>
    <w:rsid w:val="005476B0"/>
    <w:rsid w:val="00551D3A"/>
    <w:rsid w:val="00555E7C"/>
    <w:rsid w:val="00560866"/>
    <w:rsid w:val="00564A82"/>
    <w:rsid w:val="00566B8E"/>
    <w:rsid w:val="00576702"/>
    <w:rsid w:val="00580111"/>
    <w:rsid w:val="0058278C"/>
    <w:rsid w:val="005832A4"/>
    <w:rsid w:val="00586287"/>
    <w:rsid w:val="00591549"/>
    <w:rsid w:val="005A10C6"/>
    <w:rsid w:val="005A27FA"/>
    <w:rsid w:val="005A741B"/>
    <w:rsid w:val="005B3A7F"/>
    <w:rsid w:val="005C3F40"/>
    <w:rsid w:val="005C430D"/>
    <w:rsid w:val="005C6166"/>
    <w:rsid w:val="005D0B0F"/>
    <w:rsid w:val="005D59D6"/>
    <w:rsid w:val="005E755D"/>
    <w:rsid w:val="005F57F5"/>
    <w:rsid w:val="006020AE"/>
    <w:rsid w:val="00606FA2"/>
    <w:rsid w:val="00616C88"/>
    <w:rsid w:val="00622AB6"/>
    <w:rsid w:val="0062374E"/>
    <w:rsid w:val="00633CDC"/>
    <w:rsid w:val="00636BF1"/>
    <w:rsid w:val="006456B7"/>
    <w:rsid w:val="00660603"/>
    <w:rsid w:val="00665644"/>
    <w:rsid w:val="00666456"/>
    <w:rsid w:val="00674917"/>
    <w:rsid w:val="00675F33"/>
    <w:rsid w:val="006767F3"/>
    <w:rsid w:val="006A6CF7"/>
    <w:rsid w:val="006B1C10"/>
    <w:rsid w:val="006B4D6C"/>
    <w:rsid w:val="006B782C"/>
    <w:rsid w:val="006B7F06"/>
    <w:rsid w:val="006C027E"/>
    <w:rsid w:val="006C1F10"/>
    <w:rsid w:val="006C4BE5"/>
    <w:rsid w:val="006E6F1F"/>
    <w:rsid w:val="006F7EA4"/>
    <w:rsid w:val="0072530D"/>
    <w:rsid w:val="00726EBD"/>
    <w:rsid w:val="00731D3A"/>
    <w:rsid w:val="0073508D"/>
    <w:rsid w:val="00737243"/>
    <w:rsid w:val="007432A5"/>
    <w:rsid w:val="00743A0A"/>
    <w:rsid w:val="00762EC5"/>
    <w:rsid w:val="007635DB"/>
    <w:rsid w:val="0077127A"/>
    <w:rsid w:val="00780689"/>
    <w:rsid w:val="00787C73"/>
    <w:rsid w:val="00791397"/>
    <w:rsid w:val="007966B5"/>
    <w:rsid w:val="00797D5A"/>
    <w:rsid w:val="007A1C33"/>
    <w:rsid w:val="007A2E8E"/>
    <w:rsid w:val="007C73FD"/>
    <w:rsid w:val="007F580A"/>
    <w:rsid w:val="00801B3C"/>
    <w:rsid w:val="00807119"/>
    <w:rsid w:val="00811C85"/>
    <w:rsid w:val="00832305"/>
    <w:rsid w:val="0083746C"/>
    <w:rsid w:val="008455D7"/>
    <w:rsid w:val="008509A9"/>
    <w:rsid w:val="00855E4E"/>
    <w:rsid w:val="00861D41"/>
    <w:rsid w:val="00873677"/>
    <w:rsid w:val="008825BC"/>
    <w:rsid w:val="00886E77"/>
    <w:rsid w:val="0089042D"/>
    <w:rsid w:val="008936F8"/>
    <w:rsid w:val="0089559A"/>
    <w:rsid w:val="008A0AC5"/>
    <w:rsid w:val="008A0D3F"/>
    <w:rsid w:val="008B62A5"/>
    <w:rsid w:val="008B7C64"/>
    <w:rsid w:val="008C5451"/>
    <w:rsid w:val="008D5868"/>
    <w:rsid w:val="008E3B86"/>
    <w:rsid w:val="008E59FF"/>
    <w:rsid w:val="008E6BB7"/>
    <w:rsid w:val="008E7BE2"/>
    <w:rsid w:val="008F0299"/>
    <w:rsid w:val="008F5066"/>
    <w:rsid w:val="0091029D"/>
    <w:rsid w:val="009104A5"/>
    <w:rsid w:val="00911DBC"/>
    <w:rsid w:val="00913E9A"/>
    <w:rsid w:val="00914993"/>
    <w:rsid w:val="00915210"/>
    <w:rsid w:val="00916768"/>
    <w:rsid w:val="00926079"/>
    <w:rsid w:val="009309B4"/>
    <w:rsid w:val="00940444"/>
    <w:rsid w:val="00941FB4"/>
    <w:rsid w:val="00956F74"/>
    <w:rsid w:val="00957D4B"/>
    <w:rsid w:val="009748A0"/>
    <w:rsid w:val="0099762A"/>
    <w:rsid w:val="009B64AC"/>
    <w:rsid w:val="009C0A1C"/>
    <w:rsid w:val="009D4F49"/>
    <w:rsid w:val="009E2DAB"/>
    <w:rsid w:val="009E46BF"/>
    <w:rsid w:val="009F0365"/>
    <w:rsid w:val="009F3803"/>
    <w:rsid w:val="00A04696"/>
    <w:rsid w:val="00A04A68"/>
    <w:rsid w:val="00A04D05"/>
    <w:rsid w:val="00A052DB"/>
    <w:rsid w:val="00A06353"/>
    <w:rsid w:val="00A16F99"/>
    <w:rsid w:val="00A174DE"/>
    <w:rsid w:val="00A20499"/>
    <w:rsid w:val="00A23728"/>
    <w:rsid w:val="00A26E68"/>
    <w:rsid w:val="00A32370"/>
    <w:rsid w:val="00A366B1"/>
    <w:rsid w:val="00A41CCC"/>
    <w:rsid w:val="00A55E67"/>
    <w:rsid w:val="00A57C8F"/>
    <w:rsid w:val="00A61E67"/>
    <w:rsid w:val="00A7082C"/>
    <w:rsid w:val="00A7196A"/>
    <w:rsid w:val="00A75DBC"/>
    <w:rsid w:val="00A76D3C"/>
    <w:rsid w:val="00A96955"/>
    <w:rsid w:val="00AA4A59"/>
    <w:rsid w:val="00AB5A70"/>
    <w:rsid w:val="00AD776A"/>
    <w:rsid w:val="00AF193A"/>
    <w:rsid w:val="00B00B01"/>
    <w:rsid w:val="00B1640A"/>
    <w:rsid w:val="00B16DB4"/>
    <w:rsid w:val="00B20F29"/>
    <w:rsid w:val="00B45AB7"/>
    <w:rsid w:val="00B60BBF"/>
    <w:rsid w:val="00B72A3A"/>
    <w:rsid w:val="00B84C28"/>
    <w:rsid w:val="00B94914"/>
    <w:rsid w:val="00BB33C6"/>
    <w:rsid w:val="00BB4888"/>
    <w:rsid w:val="00BB5B38"/>
    <w:rsid w:val="00BC0215"/>
    <w:rsid w:val="00BC0D0B"/>
    <w:rsid w:val="00BC284F"/>
    <w:rsid w:val="00BC2A09"/>
    <w:rsid w:val="00BD202B"/>
    <w:rsid w:val="00BD5F9D"/>
    <w:rsid w:val="00C000B8"/>
    <w:rsid w:val="00C106DB"/>
    <w:rsid w:val="00C13CFB"/>
    <w:rsid w:val="00C473EE"/>
    <w:rsid w:val="00C56F71"/>
    <w:rsid w:val="00C614AA"/>
    <w:rsid w:val="00C64634"/>
    <w:rsid w:val="00C64640"/>
    <w:rsid w:val="00CB000A"/>
    <w:rsid w:val="00CB2BC8"/>
    <w:rsid w:val="00CB56CC"/>
    <w:rsid w:val="00CD0C22"/>
    <w:rsid w:val="00CE5620"/>
    <w:rsid w:val="00D04754"/>
    <w:rsid w:val="00D340CA"/>
    <w:rsid w:val="00D518BE"/>
    <w:rsid w:val="00D60A6D"/>
    <w:rsid w:val="00D64C14"/>
    <w:rsid w:val="00D813D8"/>
    <w:rsid w:val="00DA36DC"/>
    <w:rsid w:val="00DA38EC"/>
    <w:rsid w:val="00DB28B3"/>
    <w:rsid w:val="00DB5CC7"/>
    <w:rsid w:val="00DD1E16"/>
    <w:rsid w:val="00DE188E"/>
    <w:rsid w:val="00DE41A1"/>
    <w:rsid w:val="00E03B74"/>
    <w:rsid w:val="00E1528D"/>
    <w:rsid w:val="00E22354"/>
    <w:rsid w:val="00E375EA"/>
    <w:rsid w:val="00E51E09"/>
    <w:rsid w:val="00E53864"/>
    <w:rsid w:val="00E576A3"/>
    <w:rsid w:val="00E716CF"/>
    <w:rsid w:val="00E771DE"/>
    <w:rsid w:val="00EA59C8"/>
    <w:rsid w:val="00EC4DFB"/>
    <w:rsid w:val="00EE1969"/>
    <w:rsid w:val="00EE26CF"/>
    <w:rsid w:val="00EF1BC8"/>
    <w:rsid w:val="00EF6504"/>
    <w:rsid w:val="00F221ED"/>
    <w:rsid w:val="00F252E0"/>
    <w:rsid w:val="00F26D2C"/>
    <w:rsid w:val="00F36784"/>
    <w:rsid w:val="00F44BE4"/>
    <w:rsid w:val="00F46363"/>
    <w:rsid w:val="00F47CEC"/>
    <w:rsid w:val="00F56B5B"/>
    <w:rsid w:val="00F57C51"/>
    <w:rsid w:val="00F700D8"/>
    <w:rsid w:val="00F73354"/>
    <w:rsid w:val="00F74AEB"/>
    <w:rsid w:val="00F74C23"/>
    <w:rsid w:val="00F84D57"/>
    <w:rsid w:val="00F857B9"/>
    <w:rsid w:val="00F97C32"/>
    <w:rsid w:val="00F97D7C"/>
    <w:rsid w:val="00FB2D84"/>
    <w:rsid w:val="00FB72A3"/>
    <w:rsid w:val="00FC0D0C"/>
    <w:rsid w:val="00FC5F9A"/>
    <w:rsid w:val="00FE01DA"/>
    <w:rsid w:val="00FE0361"/>
    <w:rsid w:val="00FE44A2"/>
    <w:rsid w:val="00FF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274"/>
    <w:pPr>
      <w:spacing w:line="288" w:lineRule="auto"/>
      <w:jc w:val="both"/>
    </w:pPr>
    <w:rPr>
      <w:rFonts w:ascii="Times New Roman" w:eastAsia="Times New Roman" w:hAnsi="Times New Roman"/>
      <w:sz w:val="22"/>
      <w:szCs w:val="22"/>
      <w:lang w:val="nl-NL"/>
    </w:rPr>
  </w:style>
  <w:style w:type="paragraph" w:styleId="Heading1">
    <w:name w:val="heading 1"/>
    <w:basedOn w:val="Normal"/>
    <w:next w:val="Normal"/>
    <w:link w:val="Heading1Char"/>
    <w:qFormat/>
    <w:rsid w:val="000F3274"/>
    <w:pPr>
      <w:numPr>
        <w:numId w:val="1"/>
      </w:numPr>
      <w:ind w:left="567" w:hanging="567"/>
      <w:outlineLvl w:val="0"/>
    </w:pPr>
    <w:rPr>
      <w:kern w:val="28"/>
    </w:rPr>
  </w:style>
  <w:style w:type="paragraph" w:styleId="Heading2">
    <w:name w:val="heading 2"/>
    <w:basedOn w:val="Normal"/>
    <w:next w:val="Normal"/>
    <w:link w:val="Heading2Char"/>
    <w:qFormat/>
    <w:rsid w:val="000F3274"/>
    <w:pPr>
      <w:numPr>
        <w:ilvl w:val="1"/>
        <w:numId w:val="1"/>
      </w:numPr>
      <w:ind w:left="567" w:hanging="567"/>
      <w:outlineLvl w:val="1"/>
    </w:pPr>
  </w:style>
  <w:style w:type="paragraph" w:styleId="Heading3">
    <w:name w:val="heading 3"/>
    <w:basedOn w:val="Normal"/>
    <w:next w:val="Normal"/>
    <w:link w:val="Heading3Char"/>
    <w:qFormat/>
    <w:rsid w:val="000F3274"/>
    <w:pPr>
      <w:numPr>
        <w:ilvl w:val="2"/>
        <w:numId w:val="1"/>
      </w:numPr>
      <w:ind w:left="567" w:hanging="567"/>
      <w:outlineLvl w:val="2"/>
    </w:pPr>
  </w:style>
  <w:style w:type="paragraph" w:styleId="Heading4">
    <w:name w:val="heading 4"/>
    <w:basedOn w:val="Normal"/>
    <w:next w:val="Normal"/>
    <w:link w:val="Heading4Char"/>
    <w:qFormat/>
    <w:rsid w:val="000F3274"/>
    <w:pPr>
      <w:numPr>
        <w:ilvl w:val="3"/>
        <w:numId w:val="1"/>
      </w:numPr>
      <w:ind w:left="567" w:hanging="567"/>
      <w:outlineLvl w:val="3"/>
    </w:pPr>
  </w:style>
  <w:style w:type="paragraph" w:styleId="Heading5">
    <w:name w:val="heading 5"/>
    <w:basedOn w:val="Normal"/>
    <w:next w:val="Normal"/>
    <w:link w:val="Heading5Char"/>
    <w:qFormat/>
    <w:rsid w:val="000F3274"/>
    <w:pPr>
      <w:numPr>
        <w:ilvl w:val="4"/>
        <w:numId w:val="1"/>
      </w:numPr>
      <w:ind w:left="567" w:hanging="567"/>
      <w:outlineLvl w:val="4"/>
    </w:pPr>
  </w:style>
  <w:style w:type="paragraph" w:styleId="Heading6">
    <w:name w:val="heading 6"/>
    <w:basedOn w:val="Normal"/>
    <w:next w:val="Normal"/>
    <w:link w:val="Heading6Char"/>
    <w:qFormat/>
    <w:rsid w:val="000F3274"/>
    <w:pPr>
      <w:numPr>
        <w:ilvl w:val="5"/>
        <w:numId w:val="1"/>
      </w:numPr>
      <w:ind w:left="567" w:hanging="567"/>
      <w:outlineLvl w:val="5"/>
    </w:pPr>
  </w:style>
  <w:style w:type="paragraph" w:styleId="Heading7">
    <w:name w:val="heading 7"/>
    <w:basedOn w:val="Normal"/>
    <w:next w:val="Normal"/>
    <w:link w:val="Heading7Char"/>
    <w:qFormat/>
    <w:rsid w:val="000F3274"/>
    <w:pPr>
      <w:numPr>
        <w:ilvl w:val="6"/>
        <w:numId w:val="1"/>
      </w:numPr>
      <w:ind w:left="567" w:hanging="567"/>
      <w:outlineLvl w:val="6"/>
    </w:pPr>
  </w:style>
  <w:style w:type="paragraph" w:styleId="Heading8">
    <w:name w:val="heading 8"/>
    <w:basedOn w:val="Normal"/>
    <w:next w:val="Normal"/>
    <w:link w:val="Heading8Char"/>
    <w:qFormat/>
    <w:rsid w:val="000F3274"/>
    <w:pPr>
      <w:numPr>
        <w:ilvl w:val="7"/>
        <w:numId w:val="1"/>
      </w:numPr>
      <w:ind w:left="567" w:hanging="567"/>
      <w:outlineLvl w:val="7"/>
    </w:pPr>
  </w:style>
  <w:style w:type="paragraph" w:styleId="Heading9">
    <w:name w:val="heading 9"/>
    <w:basedOn w:val="Normal"/>
    <w:next w:val="Normal"/>
    <w:link w:val="Heading9Char"/>
    <w:qFormat/>
    <w:rsid w:val="000F327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6C7"/>
    <w:rPr>
      <w:rFonts w:ascii="Times New Roman" w:eastAsia="Times New Roman" w:hAnsi="Times New Roman"/>
      <w:kern w:val="28"/>
      <w:sz w:val="22"/>
      <w:szCs w:val="22"/>
    </w:rPr>
  </w:style>
  <w:style w:type="character" w:customStyle="1" w:styleId="Heading2Char">
    <w:name w:val="Heading 2 Char"/>
    <w:link w:val="Heading2"/>
    <w:rsid w:val="002076C7"/>
    <w:rPr>
      <w:rFonts w:ascii="Times New Roman" w:eastAsia="Times New Roman" w:hAnsi="Times New Roman"/>
      <w:sz w:val="22"/>
      <w:szCs w:val="22"/>
    </w:rPr>
  </w:style>
  <w:style w:type="character" w:customStyle="1" w:styleId="Heading3Char">
    <w:name w:val="Heading 3 Char"/>
    <w:link w:val="Heading3"/>
    <w:rsid w:val="002076C7"/>
    <w:rPr>
      <w:rFonts w:ascii="Times New Roman" w:eastAsia="Times New Roman" w:hAnsi="Times New Roman"/>
      <w:sz w:val="22"/>
      <w:szCs w:val="22"/>
    </w:rPr>
  </w:style>
  <w:style w:type="character" w:customStyle="1" w:styleId="Heading4Char">
    <w:name w:val="Heading 4 Char"/>
    <w:link w:val="Heading4"/>
    <w:rsid w:val="002076C7"/>
    <w:rPr>
      <w:rFonts w:ascii="Times New Roman" w:eastAsia="Times New Roman" w:hAnsi="Times New Roman"/>
      <w:sz w:val="22"/>
      <w:szCs w:val="22"/>
    </w:rPr>
  </w:style>
  <w:style w:type="character" w:customStyle="1" w:styleId="Heading5Char">
    <w:name w:val="Heading 5 Char"/>
    <w:link w:val="Heading5"/>
    <w:rsid w:val="002076C7"/>
    <w:rPr>
      <w:rFonts w:ascii="Times New Roman" w:eastAsia="Times New Roman" w:hAnsi="Times New Roman"/>
      <w:sz w:val="22"/>
      <w:szCs w:val="22"/>
    </w:rPr>
  </w:style>
  <w:style w:type="character" w:customStyle="1" w:styleId="Heading6Char">
    <w:name w:val="Heading 6 Char"/>
    <w:link w:val="Heading6"/>
    <w:rsid w:val="002076C7"/>
    <w:rPr>
      <w:rFonts w:ascii="Times New Roman" w:eastAsia="Times New Roman" w:hAnsi="Times New Roman"/>
      <w:sz w:val="22"/>
      <w:szCs w:val="22"/>
    </w:rPr>
  </w:style>
  <w:style w:type="character" w:customStyle="1" w:styleId="Heading7Char">
    <w:name w:val="Heading 7 Char"/>
    <w:link w:val="Heading7"/>
    <w:rsid w:val="002076C7"/>
    <w:rPr>
      <w:rFonts w:ascii="Times New Roman" w:eastAsia="Times New Roman" w:hAnsi="Times New Roman"/>
      <w:sz w:val="22"/>
      <w:szCs w:val="22"/>
    </w:rPr>
  </w:style>
  <w:style w:type="character" w:customStyle="1" w:styleId="Heading8Char">
    <w:name w:val="Heading 8 Char"/>
    <w:link w:val="Heading8"/>
    <w:rsid w:val="002076C7"/>
    <w:rPr>
      <w:rFonts w:ascii="Times New Roman" w:eastAsia="Times New Roman" w:hAnsi="Times New Roman"/>
      <w:sz w:val="22"/>
      <w:szCs w:val="22"/>
    </w:rPr>
  </w:style>
  <w:style w:type="character" w:customStyle="1" w:styleId="Heading9Char">
    <w:name w:val="Heading 9 Char"/>
    <w:link w:val="Heading9"/>
    <w:rsid w:val="002076C7"/>
    <w:rPr>
      <w:rFonts w:ascii="Times New Roman" w:eastAsia="Times New Roman" w:hAnsi="Times New Roman"/>
      <w:sz w:val="22"/>
      <w:szCs w:val="22"/>
    </w:rPr>
  </w:style>
  <w:style w:type="paragraph" w:styleId="Footer">
    <w:name w:val="footer"/>
    <w:basedOn w:val="Normal"/>
    <w:link w:val="FooterChar"/>
    <w:qFormat/>
    <w:rsid w:val="000F3274"/>
  </w:style>
  <w:style w:type="character" w:customStyle="1" w:styleId="FooterChar">
    <w:name w:val="Footer Char"/>
    <w:link w:val="Footer"/>
    <w:rsid w:val="002076C7"/>
    <w:rPr>
      <w:rFonts w:ascii="Times New Roman" w:eastAsia="Times New Roman" w:hAnsi="Times New Roman"/>
      <w:sz w:val="22"/>
      <w:szCs w:val="22"/>
      <w:lang w:val="nl-NL"/>
    </w:rPr>
  </w:style>
  <w:style w:type="paragraph" w:styleId="FootnoteText">
    <w:name w:val="footnote text"/>
    <w:basedOn w:val="Normal"/>
    <w:link w:val="FootnoteTextChar"/>
    <w:qFormat/>
    <w:rsid w:val="000F3274"/>
    <w:pPr>
      <w:keepLines/>
      <w:spacing w:after="60" w:line="240" w:lineRule="auto"/>
      <w:ind w:left="567" w:hanging="567"/>
    </w:pPr>
    <w:rPr>
      <w:sz w:val="16"/>
    </w:rPr>
  </w:style>
  <w:style w:type="character" w:customStyle="1" w:styleId="FootnoteTextChar">
    <w:name w:val="Footnote Text Char"/>
    <w:link w:val="FootnoteText"/>
    <w:rsid w:val="002076C7"/>
    <w:rPr>
      <w:rFonts w:ascii="Times New Roman" w:eastAsia="Times New Roman" w:hAnsi="Times New Roman"/>
      <w:sz w:val="16"/>
      <w:szCs w:val="22"/>
    </w:rPr>
  </w:style>
  <w:style w:type="paragraph" w:styleId="Header">
    <w:name w:val="header"/>
    <w:basedOn w:val="Normal"/>
    <w:link w:val="HeaderChar"/>
    <w:qFormat/>
    <w:rsid w:val="000F3274"/>
  </w:style>
  <w:style w:type="character" w:customStyle="1" w:styleId="HeaderChar">
    <w:name w:val="Header Char"/>
    <w:link w:val="Header"/>
    <w:rsid w:val="002076C7"/>
    <w:rPr>
      <w:rFonts w:ascii="Times New Roman" w:eastAsia="Times New Roman" w:hAnsi="Times New Roman"/>
      <w:sz w:val="22"/>
      <w:szCs w:val="22"/>
      <w:lang w:val="nl-NL"/>
    </w:rPr>
  </w:style>
  <w:style w:type="paragraph" w:customStyle="1" w:styleId="quotes">
    <w:name w:val="quotes"/>
    <w:basedOn w:val="Normal"/>
    <w:next w:val="Normal"/>
    <w:rsid w:val="000F3274"/>
    <w:pPr>
      <w:ind w:left="720"/>
    </w:pPr>
    <w:rPr>
      <w:i/>
    </w:rPr>
  </w:style>
  <w:style w:type="character" w:styleId="FootnoteReference">
    <w:name w:val="footnote reference"/>
    <w:basedOn w:val="DefaultParagraphFont"/>
    <w:unhideWhenUsed/>
    <w:qFormat/>
    <w:rsid w:val="000F3274"/>
    <w:rPr>
      <w:sz w:val="24"/>
      <w:vertAlign w:val="superscript"/>
    </w:rPr>
  </w:style>
  <w:style w:type="paragraph" w:styleId="BalloonText">
    <w:name w:val="Balloon Text"/>
    <w:basedOn w:val="Normal"/>
    <w:link w:val="BalloonTextChar"/>
    <w:uiPriority w:val="99"/>
    <w:semiHidden/>
    <w:unhideWhenUsed/>
    <w:rsid w:val="002B3FF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B3FF7"/>
    <w:rPr>
      <w:rFonts w:ascii="Tahoma" w:eastAsia="Times New Roman" w:hAnsi="Tahoma" w:cs="Tahoma"/>
      <w:sz w:val="16"/>
      <w:szCs w:val="16"/>
    </w:rPr>
  </w:style>
  <w:style w:type="character" w:customStyle="1" w:styleId="hps">
    <w:name w:val="hps"/>
    <w:rsid w:val="00A61E67"/>
  </w:style>
  <w:style w:type="paragraph" w:styleId="ListParagraph">
    <w:name w:val="List Paragraph"/>
    <w:basedOn w:val="Normal"/>
    <w:uiPriority w:val="34"/>
    <w:qFormat/>
    <w:rsid w:val="00F97D7C"/>
    <w:pPr>
      <w:ind w:left="720"/>
      <w:contextualSpacing/>
    </w:pPr>
    <w:rPr>
      <w:lang w:val="en-US"/>
    </w:rPr>
  </w:style>
  <w:style w:type="character" w:customStyle="1" w:styleId="atn">
    <w:name w:val="atn"/>
    <w:rsid w:val="00F97D7C"/>
  </w:style>
  <w:style w:type="paragraph" w:customStyle="1" w:styleId="ces1">
    <w:name w:val="ces1"/>
    <w:basedOn w:val="Normal"/>
    <w:rsid w:val="000B3214"/>
    <w:rPr>
      <w:lang w:val="nl-BE"/>
    </w:rPr>
  </w:style>
  <w:style w:type="character" w:styleId="Hyperlink">
    <w:name w:val="Hyperlink"/>
    <w:uiPriority w:val="99"/>
    <w:unhideWhenUsed/>
    <w:rsid w:val="00743A0A"/>
    <w:rPr>
      <w:color w:val="0000FF"/>
      <w:u w:val="single"/>
    </w:rPr>
  </w:style>
  <w:style w:type="paragraph" w:customStyle="1" w:styleId="Default">
    <w:name w:val="Default"/>
    <w:rsid w:val="0018484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274"/>
    <w:pPr>
      <w:spacing w:line="288" w:lineRule="auto"/>
      <w:jc w:val="both"/>
    </w:pPr>
    <w:rPr>
      <w:rFonts w:ascii="Times New Roman" w:eastAsia="Times New Roman" w:hAnsi="Times New Roman"/>
      <w:sz w:val="22"/>
      <w:szCs w:val="22"/>
      <w:lang w:val="nl-NL"/>
    </w:rPr>
  </w:style>
  <w:style w:type="paragraph" w:styleId="Heading1">
    <w:name w:val="heading 1"/>
    <w:basedOn w:val="Normal"/>
    <w:next w:val="Normal"/>
    <w:link w:val="Heading1Char"/>
    <w:qFormat/>
    <w:rsid w:val="000F3274"/>
    <w:pPr>
      <w:numPr>
        <w:numId w:val="1"/>
      </w:numPr>
      <w:ind w:left="567" w:hanging="567"/>
      <w:outlineLvl w:val="0"/>
    </w:pPr>
    <w:rPr>
      <w:kern w:val="28"/>
    </w:rPr>
  </w:style>
  <w:style w:type="paragraph" w:styleId="Heading2">
    <w:name w:val="heading 2"/>
    <w:basedOn w:val="Normal"/>
    <w:next w:val="Normal"/>
    <w:link w:val="Heading2Char"/>
    <w:qFormat/>
    <w:rsid w:val="000F3274"/>
    <w:pPr>
      <w:numPr>
        <w:ilvl w:val="1"/>
        <w:numId w:val="1"/>
      </w:numPr>
      <w:ind w:left="567" w:hanging="567"/>
      <w:outlineLvl w:val="1"/>
    </w:pPr>
  </w:style>
  <w:style w:type="paragraph" w:styleId="Heading3">
    <w:name w:val="heading 3"/>
    <w:basedOn w:val="Normal"/>
    <w:next w:val="Normal"/>
    <w:link w:val="Heading3Char"/>
    <w:qFormat/>
    <w:rsid w:val="000F3274"/>
    <w:pPr>
      <w:numPr>
        <w:ilvl w:val="2"/>
        <w:numId w:val="1"/>
      </w:numPr>
      <w:ind w:left="567" w:hanging="567"/>
      <w:outlineLvl w:val="2"/>
    </w:pPr>
  </w:style>
  <w:style w:type="paragraph" w:styleId="Heading4">
    <w:name w:val="heading 4"/>
    <w:basedOn w:val="Normal"/>
    <w:next w:val="Normal"/>
    <w:link w:val="Heading4Char"/>
    <w:qFormat/>
    <w:rsid w:val="000F3274"/>
    <w:pPr>
      <w:numPr>
        <w:ilvl w:val="3"/>
        <w:numId w:val="1"/>
      </w:numPr>
      <w:ind w:left="567" w:hanging="567"/>
      <w:outlineLvl w:val="3"/>
    </w:pPr>
  </w:style>
  <w:style w:type="paragraph" w:styleId="Heading5">
    <w:name w:val="heading 5"/>
    <w:basedOn w:val="Normal"/>
    <w:next w:val="Normal"/>
    <w:link w:val="Heading5Char"/>
    <w:qFormat/>
    <w:rsid w:val="000F3274"/>
    <w:pPr>
      <w:numPr>
        <w:ilvl w:val="4"/>
        <w:numId w:val="1"/>
      </w:numPr>
      <w:ind w:left="567" w:hanging="567"/>
      <w:outlineLvl w:val="4"/>
    </w:pPr>
  </w:style>
  <w:style w:type="paragraph" w:styleId="Heading6">
    <w:name w:val="heading 6"/>
    <w:basedOn w:val="Normal"/>
    <w:next w:val="Normal"/>
    <w:link w:val="Heading6Char"/>
    <w:qFormat/>
    <w:rsid w:val="000F3274"/>
    <w:pPr>
      <w:numPr>
        <w:ilvl w:val="5"/>
        <w:numId w:val="1"/>
      </w:numPr>
      <w:ind w:left="567" w:hanging="567"/>
      <w:outlineLvl w:val="5"/>
    </w:pPr>
  </w:style>
  <w:style w:type="paragraph" w:styleId="Heading7">
    <w:name w:val="heading 7"/>
    <w:basedOn w:val="Normal"/>
    <w:next w:val="Normal"/>
    <w:link w:val="Heading7Char"/>
    <w:qFormat/>
    <w:rsid w:val="000F3274"/>
    <w:pPr>
      <w:numPr>
        <w:ilvl w:val="6"/>
        <w:numId w:val="1"/>
      </w:numPr>
      <w:ind w:left="567" w:hanging="567"/>
      <w:outlineLvl w:val="6"/>
    </w:pPr>
  </w:style>
  <w:style w:type="paragraph" w:styleId="Heading8">
    <w:name w:val="heading 8"/>
    <w:basedOn w:val="Normal"/>
    <w:next w:val="Normal"/>
    <w:link w:val="Heading8Char"/>
    <w:qFormat/>
    <w:rsid w:val="000F3274"/>
    <w:pPr>
      <w:numPr>
        <w:ilvl w:val="7"/>
        <w:numId w:val="1"/>
      </w:numPr>
      <w:ind w:left="567" w:hanging="567"/>
      <w:outlineLvl w:val="7"/>
    </w:pPr>
  </w:style>
  <w:style w:type="paragraph" w:styleId="Heading9">
    <w:name w:val="heading 9"/>
    <w:basedOn w:val="Normal"/>
    <w:next w:val="Normal"/>
    <w:link w:val="Heading9Char"/>
    <w:qFormat/>
    <w:rsid w:val="000F327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6C7"/>
    <w:rPr>
      <w:rFonts w:ascii="Times New Roman" w:eastAsia="Times New Roman" w:hAnsi="Times New Roman"/>
      <w:kern w:val="28"/>
      <w:sz w:val="22"/>
      <w:szCs w:val="22"/>
    </w:rPr>
  </w:style>
  <w:style w:type="character" w:customStyle="1" w:styleId="Heading2Char">
    <w:name w:val="Heading 2 Char"/>
    <w:link w:val="Heading2"/>
    <w:rsid w:val="002076C7"/>
    <w:rPr>
      <w:rFonts w:ascii="Times New Roman" w:eastAsia="Times New Roman" w:hAnsi="Times New Roman"/>
      <w:sz w:val="22"/>
      <w:szCs w:val="22"/>
    </w:rPr>
  </w:style>
  <w:style w:type="character" w:customStyle="1" w:styleId="Heading3Char">
    <w:name w:val="Heading 3 Char"/>
    <w:link w:val="Heading3"/>
    <w:rsid w:val="002076C7"/>
    <w:rPr>
      <w:rFonts w:ascii="Times New Roman" w:eastAsia="Times New Roman" w:hAnsi="Times New Roman"/>
      <w:sz w:val="22"/>
      <w:szCs w:val="22"/>
    </w:rPr>
  </w:style>
  <w:style w:type="character" w:customStyle="1" w:styleId="Heading4Char">
    <w:name w:val="Heading 4 Char"/>
    <w:link w:val="Heading4"/>
    <w:rsid w:val="002076C7"/>
    <w:rPr>
      <w:rFonts w:ascii="Times New Roman" w:eastAsia="Times New Roman" w:hAnsi="Times New Roman"/>
      <w:sz w:val="22"/>
      <w:szCs w:val="22"/>
    </w:rPr>
  </w:style>
  <w:style w:type="character" w:customStyle="1" w:styleId="Heading5Char">
    <w:name w:val="Heading 5 Char"/>
    <w:link w:val="Heading5"/>
    <w:rsid w:val="002076C7"/>
    <w:rPr>
      <w:rFonts w:ascii="Times New Roman" w:eastAsia="Times New Roman" w:hAnsi="Times New Roman"/>
      <w:sz w:val="22"/>
      <w:szCs w:val="22"/>
    </w:rPr>
  </w:style>
  <w:style w:type="character" w:customStyle="1" w:styleId="Heading6Char">
    <w:name w:val="Heading 6 Char"/>
    <w:link w:val="Heading6"/>
    <w:rsid w:val="002076C7"/>
    <w:rPr>
      <w:rFonts w:ascii="Times New Roman" w:eastAsia="Times New Roman" w:hAnsi="Times New Roman"/>
      <w:sz w:val="22"/>
      <w:szCs w:val="22"/>
    </w:rPr>
  </w:style>
  <w:style w:type="character" w:customStyle="1" w:styleId="Heading7Char">
    <w:name w:val="Heading 7 Char"/>
    <w:link w:val="Heading7"/>
    <w:rsid w:val="002076C7"/>
    <w:rPr>
      <w:rFonts w:ascii="Times New Roman" w:eastAsia="Times New Roman" w:hAnsi="Times New Roman"/>
      <w:sz w:val="22"/>
      <w:szCs w:val="22"/>
    </w:rPr>
  </w:style>
  <w:style w:type="character" w:customStyle="1" w:styleId="Heading8Char">
    <w:name w:val="Heading 8 Char"/>
    <w:link w:val="Heading8"/>
    <w:rsid w:val="002076C7"/>
    <w:rPr>
      <w:rFonts w:ascii="Times New Roman" w:eastAsia="Times New Roman" w:hAnsi="Times New Roman"/>
      <w:sz w:val="22"/>
      <w:szCs w:val="22"/>
    </w:rPr>
  </w:style>
  <w:style w:type="character" w:customStyle="1" w:styleId="Heading9Char">
    <w:name w:val="Heading 9 Char"/>
    <w:link w:val="Heading9"/>
    <w:rsid w:val="002076C7"/>
    <w:rPr>
      <w:rFonts w:ascii="Times New Roman" w:eastAsia="Times New Roman" w:hAnsi="Times New Roman"/>
      <w:sz w:val="22"/>
      <w:szCs w:val="22"/>
    </w:rPr>
  </w:style>
  <w:style w:type="paragraph" w:styleId="Footer">
    <w:name w:val="footer"/>
    <w:basedOn w:val="Normal"/>
    <w:link w:val="FooterChar"/>
    <w:qFormat/>
    <w:rsid w:val="000F3274"/>
  </w:style>
  <w:style w:type="character" w:customStyle="1" w:styleId="FooterChar">
    <w:name w:val="Footer Char"/>
    <w:link w:val="Footer"/>
    <w:rsid w:val="002076C7"/>
    <w:rPr>
      <w:rFonts w:ascii="Times New Roman" w:eastAsia="Times New Roman" w:hAnsi="Times New Roman"/>
      <w:sz w:val="22"/>
      <w:szCs w:val="22"/>
      <w:lang w:val="nl-NL"/>
    </w:rPr>
  </w:style>
  <w:style w:type="paragraph" w:styleId="FootnoteText">
    <w:name w:val="footnote text"/>
    <w:basedOn w:val="Normal"/>
    <w:link w:val="FootnoteTextChar"/>
    <w:qFormat/>
    <w:rsid w:val="000F3274"/>
    <w:pPr>
      <w:keepLines/>
      <w:spacing w:after="60" w:line="240" w:lineRule="auto"/>
      <w:ind w:left="567" w:hanging="567"/>
    </w:pPr>
    <w:rPr>
      <w:sz w:val="16"/>
    </w:rPr>
  </w:style>
  <w:style w:type="character" w:customStyle="1" w:styleId="FootnoteTextChar">
    <w:name w:val="Footnote Text Char"/>
    <w:link w:val="FootnoteText"/>
    <w:rsid w:val="002076C7"/>
    <w:rPr>
      <w:rFonts w:ascii="Times New Roman" w:eastAsia="Times New Roman" w:hAnsi="Times New Roman"/>
      <w:sz w:val="16"/>
      <w:szCs w:val="22"/>
    </w:rPr>
  </w:style>
  <w:style w:type="paragraph" w:styleId="Header">
    <w:name w:val="header"/>
    <w:basedOn w:val="Normal"/>
    <w:link w:val="HeaderChar"/>
    <w:qFormat/>
    <w:rsid w:val="000F3274"/>
  </w:style>
  <w:style w:type="character" w:customStyle="1" w:styleId="HeaderChar">
    <w:name w:val="Header Char"/>
    <w:link w:val="Header"/>
    <w:rsid w:val="002076C7"/>
    <w:rPr>
      <w:rFonts w:ascii="Times New Roman" w:eastAsia="Times New Roman" w:hAnsi="Times New Roman"/>
      <w:sz w:val="22"/>
      <w:szCs w:val="22"/>
      <w:lang w:val="nl-NL"/>
    </w:rPr>
  </w:style>
  <w:style w:type="paragraph" w:customStyle="1" w:styleId="quotes">
    <w:name w:val="quotes"/>
    <w:basedOn w:val="Normal"/>
    <w:next w:val="Normal"/>
    <w:rsid w:val="000F3274"/>
    <w:pPr>
      <w:ind w:left="720"/>
    </w:pPr>
    <w:rPr>
      <w:i/>
    </w:rPr>
  </w:style>
  <w:style w:type="character" w:styleId="FootnoteReference">
    <w:name w:val="footnote reference"/>
    <w:basedOn w:val="DefaultParagraphFont"/>
    <w:unhideWhenUsed/>
    <w:qFormat/>
    <w:rsid w:val="000F3274"/>
    <w:rPr>
      <w:sz w:val="24"/>
      <w:vertAlign w:val="superscript"/>
    </w:rPr>
  </w:style>
  <w:style w:type="paragraph" w:styleId="BalloonText">
    <w:name w:val="Balloon Text"/>
    <w:basedOn w:val="Normal"/>
    <w:link w:val="BalloonTextChar"/>
    <w:uiPriority w:val="99"/>
    <w:semiHidden/>
    <w:unhideWhenUsed/>
    <w:rsid w:val="002B3FF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B3FF7"/>
    <w:rPr>
      <w:rFonts w:ascii="Tahoma" w:eastAsia="Times New Roman" w:hAnsi="Tahoma" w:cs="Tahoma"/>
      <w:sz w:val="16"/>
      <w:szCs w:val="16"/>
    </w:rPr>
  </w:style>
  <w:style w:type="character" w:customStyle="1" w:styleId="hps">
    <w:name w:val="hps"/>
    <w:rsid w:val="00A61E67"/>
  </w:style>
  <w:style w:type="paragraph" w:styleId="ListParagraph">
    <w:name w:val="List Paragraph"/>
    <w:basedOn w:val="Normal"/>
    <w:uiPriority w:val="34"/>
    <w:qFormat/>
    <w:rsid w:val="00F97D7C"/>
    <w:pPr>
      <w:ind w:left="720"/>
      <w:contextualSpacing/>
    </w:pPr>
    <w:rPr>
      <w:lang w:val="en-US"/>
    </w:rPr>
  </w:style>
  <w:style w:type="character" w:customStyle="1" w:styleId="atn">
    <w:name w:val="atn"/>
    <w:rsid w:val="00F97D7C"/>
  </w:style>
  <w:style w:type="paragraph" w:customStyle="1" w:styleId="ces1">
    <w:name w:val="ces1"/>
    <w:basedOn w:val="Normal"/>
    <w:rsid w:val="000B3214"/>
    <w:rPr>
      <w:lang w:val="nl-BE"/>
    </w:rPr>
  </w:style>
  <w:style w:type="character" w:styleId="Hyperlink">
    <w:name w:val="Hyperlink"/>
    <w:uiPriority w:val="99"/>
    <w:unhideWhenUsed/>
    <w:rsid w:val="00743A0A"/>
    <w:rPr>
      <w:color w:val="0000FF"/>
      <w:u w:val="single"/>
    </w:rPr>
  </w:style>
  <w:style w:type="paragraph" w:customStyle="1" w:styleId="Default">
    <w:name w:val="Default"/>
    <w:rsid w:val="0018484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ublications.parliament.uk/pa/ld201415/ldselect/ldeucom/140/1400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WTPCSN73YJ26-5-4723</_dlc_DocId>
    <_dlc_DocIdUrl xmlns="8a3471f6-0f36-4ccf-b5ee-1ca67ea797ef">
      <Url>http://dm/EESC/2017/_layouts/DocIdRedir.aspx?ID=WTPCSN73YJ26-5-4723</Url>
      <Description>WTPCSN73YJ26-5-4723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2017-06-14T12:00:00+00:00</ProductionDate>
    <DocumentNumber xmlns="d1332135-b17a-446f-a1ae-f2f9eb486b6d">2886</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17</Value>
      <Value>12</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6836</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Commission consultative des mutations industrielles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CC058-EB8D-4E65-AFB8-F2201327C5A2}">
  <ds:schemaRefs>
    <ds:schemaRef ds:uri="http://www.w3.org/XML/1998/namespace"/>
    <ds:schemaRef ds:uri="http://purl.org/dc/elements/1.1/"/>
    <ds:schemaRef ds:uri="http://schemas.microsoft.com/sharepoint/v3/field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d1332135-b17a-446f-a1ae-f2f9eb486b6d"/>
    <ds:schemaRef ds:uri="8a3471f6-0f36-4ccf-b5ee-1ca67ea797ef"/>
    <ds:schemaRef ds:uri="http://purl.org/dc/terms/"/>
  </ds:schemaRefs>
</ds:datastoreItem>
</file>

<file path=customXml/itemProps2.xml><?xml version="1.0" encoding="utf-8"?>
<ds:datastoreItem xmlns:ds="http://schemas.openxmlformats.org/officeDocument/2006/customXml" ds:itemID="{643B6CAB-70C9-42A2-8F37-5B79BFF8AEC4}">
  <ds:schemaRefs>
    <ds:schemaRef ds:uri="http://schemas.microsoft.com/sharepoint/v3/contenttype/forms"/>
  </ds:schemaRefs>
</ds:datastoreItem>
</file>

<file path=customXml/itemProps3.xml><?xml version="1.0" encoding="utf-8"?>
<ds:datastoreItem xmlns:ds="http://schemas.openxmlformats.org/officeDocument/2006/customXml" ds:itemID="{C23C69C0-B92C-4E86-A931-2C9D0E978483}">
  <ds:schemaRefs>
    <ds:schemaRef ds:uri="http://schemas.microsoft.com/sharepoint/events"/>
  </ds:schemaRefs>
</ds:datastoreItem>
</file>

<file path=customXml/itemProps4.xml><?xml version="1.0" encoding="utf-8"?>
<ds:datastoreItem xmlns:ds="http://schemas.openxmlformats.org/officeDocument/2006/customXml" ds:itemID="{EF794CA8-72A9-4323-A3BB-D67F32973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81D023-CFEA-440F-BC47-79E43958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5</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Verslag brainstorm over de Toekomst van Europa</vt:lpstr>
    </vt:vector>
  </TitlesOfParts>
  <Company>CESE-CdR</Company>
  <LinksUpToDate>false</LinksUpToDate>
  <CharactersWithSpaces>9355</CharactersWithSpaces>
  <SharedDoc>false</SharedDoc>
  <HLinks>
    <vt:vector size="6" baseType="variant">
      <vt:variant>
        <vt:i4>5636105</vt:i4>
      </vt:variant>
      <vt:variant>
        <vt:i4>0</vt:i4>
      </vt:variant>
      <vt:variant>
        <vt:i4>0</vt:i4>
      </vt:variant>
      <vt:variant>
        <vt:i4>5</vt:i4>
      </vt:variant>
      <vt:variant>
        <vt:lpwstr>https://www.publications.parliament.uk/pa/ld201415/ldselect/ldeucom/140/14002.htm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brainstorm over de Toekomst van Europa</dc:title>
  <dc:subject>Advieswerkzaamheden, diversen</dc:subject>
  <dc:creator>Else Boonstra</dc:creator>
  <cp:keywords>EESC-2017-02886-00-01-TCD-TRA-NL</cp:keywords>
  <dc:description>Rapporteur: -  Original language: - NL Date of document: - 14/06/2017 Date of meeting: -  External documents: -  Administrator responsible: - M. Hick Alan</dc:description>
  <cp:lastModifiedBy>Larissa Robert</cp:lastModifiedBy>
  <cp:revision>2</cp:revision>
  <cp:lastPrinted>2017-06-13T10:25:00Z</cp:lastPrinted>
  <dcterms:created xsi:type="dcterms:W3CDTF">2017-06-19T11:56:00Z</dcterms:created>
  <dcterms:modified xsi:type="dcterms:W3CDTF">2017-06-19T11:56:00Z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0x010100EA97B91038054C99906057A708A1480A003F2E69B9A178FF4F86235F65FC497A74</vt:lpwstr>
  </property>
  <property fmtid="{D5CDD505-2E9C-101B-9397-08002B2CF9AE}" pid="3" name="StyleCheckSum">
    <vt:lpwstr>32471_C4333_P46_L9</vt:lpwstr>
  </property>
  <property fmtid="{D5CDD505-2E9C-101B-9397-08002B2CF9AE}" pid="4" name="Pref_formatted">
    <vt:bool>true</vt:bool>
  </property>
  <property fmtid="{D5CDD505-2E9C-101B-9397-08002B2CF9AE}" pid="5" name="Pref_Date">
    <vt:lpwstr>14/06/2017, 13/06/2017</vt:lpwstr>
  </property>
  <property fmtid="{D5CDD505-2E9C-101B-9397-08002B2CF9AE}" pid="6" name="Pref_Time">
    <vt:lpwstr>16:31:32, 14:56:50</vt:lpwstr>
  </property>
  <property fmtid="{D5CDD505-2E9C-101B-9397-08002B2CF9AE}" pid="7" name="Pref_User">
    <vt:lpwstr>enied, hnic</vt:lpwstr>
  </property>
  <property fmtid="{D5CDD505-2E9C-101B-9397-08002B2CF9AE}" pid="8" name="Pref_FileName">
    <vt:lpwstr>EESC-2017-02886-00-01-TCD-TRA-NL-CRR.docx, EESC-2017-02886-00-00-TCD-TRA-NL-CRR.docx</vt:lpwstr>
  </property>
  <property fmtid="{D5CDD505-2E9C-101B-9397-08002B2CF9AE}" pid="9" name="_dlc_DocIdItemGuid">
    <vt:lpwstr>ec465f6f-4043-4667-ab92-3df1c7d4db77</vt:lpwstr>
  </property>
  <property fmtid="{D5CDD505-2E9C-101B-9397-08002B2CF9AE}" pid="10" name="DocumentType_0">
    <vt:lpwstr>TCD|cd9d6eb6-3f4f-424a-b2d1-57c9d450eaaf</vt:lpwstr>
  </property>
  <property fmtid="{D5CDD505-2E9C-101B-9397-08002B2CF9AE}" pid="11" name="AvailableTranslations">
    <vt:lpwstr>12;#NL|55c6556c-b4f4-441d-9acf-c498d4f838bd;#4;#EN|f2175f21-25d7-44a3-96da-d6a61b075e1b</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2886</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8" name="DocumentType">
    <vt:lpwstr>17;#TCD|cd9d6eb6-3f4f-424a-b2d1-57c9d450eaaf</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Commission consultative des mutations industrielles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12;#NL|55c6556c-b4f4-441d-9acf-c498d4f838bd</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NL|55c6556c-b4f4-441d-9acf-c498d4f838bd</vt:lpwstr>
  </property>
  <property fmtid="{D5CDD505-2E9C-101B-9397-08002B2CF9AE}" pid="30" name="TaxCatchAll">
    <vt:lpwstr>6;#Final|ea5e6674-7b27-4bac-b091-73adbb394efe;#17;#TCD|cd9d6eb6-3f4f-424a-b2d1-57c9d450eaaf;#5;#Unrestricted|826e22d7-d029-4ec0-a450-0c28ff673572;#12;#NL|55c6556c-b4f4-441d-9acf-c498d4f838bd;#2;#TRA|150d2a88-1431-44e6-a8ca-0bb753ab8672;#1;#EESC|422833ec-8</vt:lpwstr>
  </property>
  <property fmtid="{D5CDD505-2E9C-101B-9397-08002B2CF9AE}" pid="31" name="AvailableTranslations_0">
    <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6836</vt:i4>
  </property>
  <property fmtid="{D5CDD505-2E9C-101B-9397-08002B2CF9AE}" pid="35" name="DocumentYear">
    <vt:i4>2017</vt:i4>
  </property>
  <property fmtid="{D5CDD505-2E9C-101B-9397-08002B2CF9AE}" pid="36" name="DocumentLanguage">
    <vt:lpwstr>12;#NL|55c6556c-b4f4-441d-9acf-c498d4f838bd</vt:lpwstr>
  </property>
</Properties>
</file>