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2" w:rsidRDefault="00D7076F" w:rsidP="005A5A02">
      <w:pPr>
        <w:spacing w:after="200"/>
        <w:jc w:val="center"/>
        <w:rPr>
          <w:b/>
        </w:rPr>
      </w:pPr>
      <w:bookmarkStart w:id="0" w:name="_GoBack"/>
      <w:bookmarkEnd w:id="0"/>
      <w:r w:rsidRPr="00CC4783">
        <w:rPr>
          <w:b/>
        </w:rPr>
        <w:t>Rapport de la task-force</w:t>
      </w:r>
      <w:r w:rsidR="00B011AE" w:rsidRPr="00CC4783">
        <w:rPr>
          <w:b/>
        </w:rPr>
        <w:t xml:space="preserve"> </w:t>
      </w:r>
      <w:r w:rsidR="006A646A" w:rsidRPr="00CC4783">
        <w:rPr>
          <w:b/>
        </w:rPr>
        <w:t>–</w:t>
      </w:r>
      <w:r w:rsidR="00B011AE" w:rsidRPr="00CC4783">
        <w:rPr>
          <w:b/>
        </w:rPr>
        <w:t xml:space="preserve"> consultation sur le Livre blanc</w:t>
      </w:r>
      <w:r w:rsidR="006D2693" w:rsidRPr="00CC4783">
        <w:rPr>
          <w:b/>
        </w:rPr>
        <w:t xml:space="preserve"> sur l</w:t>
      </w:r>
      <w:r w:rsidR="00960861" w:rsidRPr="00CC4783">
        <w:rPr>
          <w:b/>
        </w:rPr>
        <w:t>’</w:t>
      </w:r>
      <w:r w:rsidR="006D2693" w:rsidRPr="00CC4783">
        <w:rPr>
          <w:b/>
        </w:rPr>
        <w:t>avenir de l</w:t>
      </w:r>
      <w:r w:rsidR="00960861" w:rsidRPr="00CC4783">
        <w:rPr>
          <w:b/>
        </w:rPr>
        <w:t>’</w:t>
      </w:r>
      <w:r w:rsidR="006D2693" w:rsidRPr="00CC4783">
        <w:rPr>
          <w:b/>
        </w:rPr>
        <w:t xml:space="preserve">Europe </w:t>
      </w:r>
      <w:r w:rsidR="001121C6">
        <w:rPr>
          <w:b/>
        </w:rPr>
        <w:br/>
      </w:r>
      <w:r w:rsidR="006D2693" w:rsidRPr="00CC4783">
        <w:rPr>
          <w:b/>
        </w:rPr>
        <w:t>(FR-18</w:t>
      </w:r>
      <w:r w:rsidR="00B011AE" w:rsidRPr="00CC4783">
        <w:rPr>
          <w:b/>
        </w:rPr>
        <w:t>/05/2017)</w:t>
      </w:r>
    </w:p>
    <w:p w:rsidR="005E70BD" w:rsidRDefault="005E70BD" w:rsidP="005A5A02">
      <w:pPr>
        <w:spacing w:after="200"/>
        <w:jc w:val="center"/>
        <w:rPr>
          <w:b/>
        </w:rPr>
      </w:pPr>
    </w:p>
    <w:p w:rsidR="00DA25B9" w:rsidRPr="00CC4783" w:rsidRDefault="00DA25B9" w:rsidP="005A5A02">
      <w:pPr>
        <w:spacing w:after="200"/>
        <w:jc w:val="center"/>
        <w:rPr>
          <w:b/>
        </w:rPr>
      </w:pPr>
    </w:p>
    <w:p w:rsidR="00D67350" w:rsidRPr="00CC4783" w:rsidRDefault="00D67350" w:rsidP="005A5A02">
      <w:pPr>
        <w:spacing w:after="200"/>
        <w:rPr>
          <w:b/>
        </w:rPr>
      </w:pPr>
      <w:r w:rsidRPr="00CC4783">
        <w:rPr>
          <w:b/>
        </w:rPr>
        <w:t>Introduction</w:t>
      </w:r>
    </w:p>
    <w:p w:rsidR="00404155" w:rsidRPr="00CC4783" w:rsidRDefault="00404155" w:rsidP="005A5A02">
      <w:pPr>
        <w:spacing w:after="200"/>
      </w:pPr>
    </w:p>
    <w:p w:rsidR="00FE3235" w:rsidRPr="00CC4783" w:rsidRDefault="00FE3235" w:rsidP="005A5A02">
      <w:pPr>
        <w:spacing w:after="200"/>
      </w:pPr>
      <w:r w:rsidRPr="00CC4783">
        <w:t xml:space="preserve">La consultation de la société civile organisée française à propos du </w:t>
      </w:r>
      <w:r w:rsidRPr="00CC4783">
        <w:rPr>
          <w:b/>
        </w:rPr>
        <w:t>Livre blanc sur l</w:t>
      </w:r>
      <w:r w:rsidR="00960861" w:rsidRPr="00CC4783">
        <w:rPr>
          <w:b/>
        </w:rPr>
        <w:t>’</w:t>
      </w:r>
      <w:r w:rsidRPr="00CC4783">
        <w:rPr>
          <w:b/>
        </w:rPr>
        <w:t>avenir de l</w:t>
      </w:r>
      <w:r w:rsidR="00960861" w:rsidRPr="00CC4783">
        <w:rPr>
          <w:b/>
        </w:rPr>
        <w:t>’</w:t>
      </w:r>
      <w:r w:rsidRPr="00CC4783">
        <w:rPr>
          <w:b/>
        </w:rPr>
        <w:t>Europe</w:t>
      </w:r>
      <w:r w:rsidRPr="00CC4783">
        <w:t>, se déroule l</w:t>
      </w:r>
      <w:r w:rsidR="00B011AE" w:rsidRPr="00CC4783">
        <w:t>e 18</w:t>
      </w:r>
      <w:r w:rsidR="006A646A" w:rsidRPr="00CC4783">
        <w:t> </w:t>
      </w:r>
      <w:r w:rsidRPr="00CC4783">
        <w:t>mai 2017 au matin, au siège du Conseil économique, social et environnement français (Cese fr).</w:t>
      </w:r>
    </w:p>
    <w:p w:rsidR="00404155" w:rsidRPr="00CC4783" w:rsidRDefault="006A646A" w:rsidP="005A5A02">
      <w:pPr>
        <w:spacing w:after="200"/>
      </w:pPr>
      <w:r w:rsidRPr="00CC4783">
        <w:t>M. </w:t>
      </w:r>
      <w:r w:rsidR="00404155" w:rsidRPr="00CC4783">
        <w:t xml:space="preserve">Jean-Marie Cambacérès, </w:t>
      </w:r>
      <w:r w:rsidRPr="00CC4783">
        <w:t>p</w:t>
      </w:r>
      <w:r w:rsidR="00404155" w:rsidRPr="00CC4783">
        <w:t xml:space="preserve">résident de la section des affaires européennes et internationales du Cese fr, prononce une allocution de bienvenue </w:t>
      </w:r>
      <w:r w:rsidR="00FE3235" w:rsidRPr="00CC4783">
        <w:t xml:space="preserve">aux membres français du CESE UE et </w:t>
      </w:r>
      <w:r w:rsidR="00404155" w:rsidRPr="00CC4783">
        <w:t>souligne l</w:t>
      </w:r>
      <w:r w:rsidR="00960861" w:rsidRPr="00CC4783">
        <w:t>’</w:t>
      </w:r>
      <w:r w:rsidR="00404155" w:rsidRPr="00CC4783">
        <w:t xml:space="preserve">intérêt et la concomitance de la consultation du CESE avec la </w:t>
      </w:r>
      <w:r w:rsidRPr="00CC4783">
        <w:t>r</w:t>
      </w:r>
      <w:r w:rsidR="00404155" w:rsidRPr="00CC4783">
        <w:t>ésolution préparée par le Cese fr</w:t>
      </w:r>
      <w:r w:rsidR="00FE3235" w:rsidRPr="00CC4783">
        <w:t xml:space="preserve"> sur l</w:t>
      </w:r>
      <w:r w:rsidR="00960861" w:rsidRPr="00CC4783">
        <w:t>’</w:t>
      </w:r>
      <w:r w:rsidR="00FE3235" w:rsidRPr="00CC4783">
        <w:t>avenir de l</w:t>
      </w:r>
      <w:r w:rsidR="00960861" w:rsidRPr="00CC4783">
        <w:t>’</w:t>
      </w:r>
      <w:r w:rsidR="00FE3235" w:rsidRPr="00CC4783">
        <w:t>Europe</w:t>
      </w:r>
      <w:r w:rsidR="00404155" w:rsidRPr="00CC4783">
        <w:t xml:space="preserve">. </w:t>
      </w:r>
    </w:p>
    <w:p w:rsidR="00FE3235" w:rsidRPr="00CC4783" w:rsidRDefault="00FE3235" w:rsidP="005A5A02">
      <w:pPr>
        <w:spacing w:after="200"/>
      </w:pPr>
      <w:r w:rsidRPr="00CC4783">
        <w:t xml:space="preserve">Puis </w:t>
      </w:r>
      <w:r w:rsidR="006A646A" w:rsidRPr="00CC4783">
        <w:t>M</w:t>
      </w:r>
      <w:r w:rsidR="006A646A" w:rsidRPr="00CC4783">
        <w:rPr>
          <w:vertAlign w:val="superscript"/>
        </w:rPr>
        <w:t>me</w:t>
      </w:r>
      <w:r w:rsidR="006A646A" w:rsidRPr="00CC4783">
        <w:t> </w:t>
      </w:r>
      <w:r w:rsidR="006772E7" w:rsidRPr="00CC4783">
        <w:t xml:space="preserve">Butaud-Stubbs </w:t>
      </w:r>
      <w:r w:rsidRPr="00CC4783">
        <w:t xml:space="preserve">résume le contenu du Livre blanc, </w:t>
      </w:r>
      <w:r w:rsidR="006A646A" w:rsidRPr="00CC4783">
        <w:t>M</w:t>
      </w:r>
      <w:r w:rsidR="006A646A" w:rsidRPr="00CC4783">
        <w:rPr>
          <w:vertAlign w:val="superscript"/>
        </w:rPr>
        <w:t>me</w:t>
      </w:r>
      <w:r w:rsidR="006A646A" w:rsidRPr="00CC4783">
        <w:t> </w:t>
      </w:r>
      <w:r w:rsidRPr="00CC4783">
        <w:t xml:space="preserve">Laure Battut détaille le calendrier européen des étapes de la consultation et </w:t>
      </w:r>
      <w:r w:rsidR="006772E7" w:rsidRPr="00CC4783">
        <w:t>M</w:t>
      </w:r>
      <w:r w:rsidR="006A646A" w:rsidRPr="00CC4783">
        <w:t>. </w:t>
      </w:r>
      <w:r w:rsidR="006772E7" w:rsidRPr="00CC4783">
        <w:t>Roirant pr</w:t>
      </w:r>
      <w:r w:rsidRPr="00CC4783">
        <w:t xml:space="preserve">écise la méthodologie </w:t>
      </w:r>
      <w:r w:rsidR="0082083A" w:rsidRPr="00CC4783">
        <w:t xml:space="preserve">de travail </w:t>
      </w:r>
      <w:r w:rsidRPr="00CC4783">
        <w:t>retenue</w:t>
      </w:r>
      <w:r w:rsidR="006766CD" w:rsidRPr="00CC4783">
        <w:t>.</w:t>
      </w:r>
    </w:p>
    <w:p w:rsidR="001C7EB6" w:rsidRPr="00CC4783" w:rsidRDefault="003D5528" w:rsidP="005A5A02">
      <w:pPr>
        <w:spacing w:after="200"/>
      </w:pPr>
      <w:r w:rsidRPr="00CC4783">
        <w:t>Ouvert</w:t>
      </w:r>
      <w:r w:rsidR="0004414C" w:rsidRPr="00CC4783">
        <w:t>e</w:t>
      </w:r>
      <w:r w:rsidRPr="00CC4783">
        <w:t xml:space="preserve"> à la société civile organisée</w:t>
      </w:r>
      <w:r w:rsidR="0004414C" w:rsidRPr="00CC4783">
        <w:t xml:space="preserve"> française</w:t>
      </w:r>
      <w:r w:rsidRPr="00CC4783">
        <w:t>, la consultation</w:t>
      </w:r>
      <w:r w:rsidR="007A70B3" w:rsidRPr="00CC4783">
        <w:t xml:space="preserve"> </w:t>
      </w:r>
      <w:r w:rsidR="0004414C" w:rsidRPr="00CC4783">
        <w:t>rassemble 49</w:t>
      </w:r>
      <w:r w:rsidR="006A646A" w:rsidRPr="00CC4783">
        <w:t> </w:t>
      </w:r>
      <w:r w:rsidR="0004414C" w:rsidRPr="00CC4783">
        <w:t xml:space="preserve">inscrits parmi lesquels </w:t>
      </w:r>
      <w:r w:rsidR="006772E7" w:rsidRPr="00CC4783">
        <w:t xml:space="preserve">de nombreux </w:t>
      </w:r>
      <w:r w:rsidR="0004414C" w:rsidRPr="00CC4783">
        <w:t xml:space="preserve">acteurs </w:t>
      </w:r>
      <w:r w:rsidR="006772E7" w:rsidRPr="00CC4783">
        <w:t>provenant des</w:t>
      </w:r>
      <w:r w:rsidR="0004414C" w:rsidRPr="00CC4783">
        <w:t xml:space="preserve"> groupes employeurs et activités diverses, la quasi-totalité des mouvements syndicaux, </w:t>
      </w:r>
      <w:r w:rsidR="007A70B3" w:rsidRPr="00CC4783">
        <w:t>5</w:t>
      </w:r>
      <w:r w:rsidR="006A646A" w:rsidRPr="00CC4783">
        <w:t> </w:t>
      </w:r>
      <w:r w:rsidRPr="00CC4783">
        <w:t>membres du CESE</w:t>
      </w:r>
      <w:r w:rsidR="007A70B3" w:rsidRPr="00CC4783">
        <w:t>, 6</w:t>
      </w:r>
      <w:r w:rsidR="006A646A" w:rsidRPr="00CC4783">
        <w:t> </w:t>
      </w:r>
      <w:r w:rsidR="007A70B3" w:rsidRPr="00CC4783">
        <w:t xml:space="preserve">membres du </w:t>
      </w:r>
      <w:r w:rsidRPr="00CC4783">
        <w:t>Cese</w:t>
      </w:r>
      <w:r w:rsidR="0004414C" w:rsidRPr="00CC4783">
        <w:t xml:space="preserve"> fr</w:t>
      </w:r>
      <w:r w:rsidRPr="00CC4783">
        <w:t xml:space="preserve">, </w:t>
      </w:r>
      <w:r w:rsidR="006772E7" w:rsidRPr="00CC4783">
        <w:t>un</w:t>
      </w:r>
      <w:r w:rsidR="003C09EE" w:rsidRPr="00CC4783">
        <w:t xml:space="preserve">e analyste politique </w:t>
      </w:r>
      <w:r w:rsidR="007A70B3" w:rsidRPr="00CC4783">
        <w:t>de</w:t>
      </w:r>
      <w:r w:rsidR="001C7EB6" w:rsidRPr="00CC4783">
        <w:t xml:space="preserve"> la représentation en France de la Commission européenne</w:t>
      </w:r>
      <w:r w:rsidR="0004414C" w:rsidRPr="00CC4783">
        <w:t xml:space="preserve"> et </w:t>
      </w:r>
      <w:r w:rsidR="006A646A" w:rsidRPr="00CC4783">
        <w:t>M</w:t>
      </w:r>
      <w:r w:rsidR="006A646A" w:rsidRPr="00CC4783">
        <w:rPr>
          <w:vertAlign w:val="superscript"/>
        </w:rPr>
        <w:t>me</w:t>
      </w:r>
      <w:r w:rsidR="006A646A" w:rsidRPr="00CC4783">
        <w:t> </w:t>
      </w:r>
      <w:r w:rsidR="0004414C" w:rsidRPr="00CC4783">
        <w:t xml:space="preserve">Catherine Lalumière (ancienne </w:t>
      </w:r>
      <w:r w:rsidR="006A646A" w:rsidRPr="00CC4783">
        <w:t>m</w:t>
      </w:r>
      <w:r w:rsidR="0004414C" w:rsidRPr="00CC4783">
        <w:t xml:space="preserve">inistre, ancienne </w:t>
      </w:r>
      <w:r w:rsidR="006A646A" w:rsidRPr="00CC4783">
        <w:t>s</w:t>
      </w:r>
      <w:r w:rsidR="0004414C" w:rsidRPr="00CC4783">
        <w:t>ecrétaire générale du Conseil de l</w:t>
      </w:r>
      <w:r w:rsidR="00960861" w:rsidRPr="00CC4783">
        <w:t>’</w:t>
      </w:r>
      <w:r w:rsidR="0004414C" w:rsidRPr="00CC4783">
        <w:t xml:space="preserve">Europe, </w:t>
      </w:r>
      <w:r w:rsidR="006A646A" w:rsidRPr="00CC4783">
        <w:t>p</w:t>
      </w:r>
      <w:r w:rsidR="0004414C" w:rsidRPr="00CC4783">
        <w:t>résidente de la Maison de l</w:t>
      </w:r>
      <w:r w:rsidR="00960861" w:rsidRPr="00CC4783">
        <w:t>’</w:t>
      </w:r>
      <w:r w:rsidR="0004414C" w:rsidRPr="00CC4783">
        <w:t>Europe à Paris)</w:t>
      </w:r>
      <w:r w:rsidR="001C7EB6" w:rsidRPr="00CC4783">
        <w:t>.</w:t>
      </w:r>
    </w:p>
    <w:p w:rsidR="003E6359" w:rsidRPr="00CC4783" w:rsidRDefault="001C7EB6" w:rsidP="005A5A02">
      <w:pPr>
        <w:spacing w:after="200"/>
      </w:pPr>
      <w:r w:rsidRPr="00CC4783">
        <w:t xml:space="preserve">Le format de la consultation a favorisé </w:t>
      </w:r>
      <w:r w:rsidR="00751001" w:rsidRPr="00CC4783">
        <w:t xml:space="preserve">de nombreuses </w:t>
      </w:r>
      <w:r w:rsidR="006772E7" w:rsidRPr="00CC4783">
        <w:t>contributions</w:t>
      </w:r>
      <w:r w:rsidRPr="00CC4783">
        <w:t xml:space="preserve">. </w:t>
      </w:r>
      <w:r w:rsidR="00D7076F" w:rsidRPr="00CC4783">
        <w:t xml:space="preserve">En effet, </w:t>
      </w:r>
      <w:r w:rsidR="003D3E8D" w:rsidRPr="00CC4783">
        <w:t>t</w:t>
      </w:r>
      <w:r w:rsidRPr="00CC4783">
        <w:t>rois ateliers</w:t>
      </w:r>
      <w:r w:rsidR="00FE3235" w:rsidRPr="00CC4783">
        <w:t xml:space="preserve"> simultanés </w:t>
      </w:r>
      <w:r w:rsidRPr="00CC4783">
        <w:t xml:space="preserve">animés par les </w:t>
      </w:r>
      <w:r w:rsidR="006A646A" w:rsidRPr="00CC4783">
        <w:t>m</w:t>
      </w:r>
      <w:r w:rsidRPr="00CC4783">
        <w:t xml:space="preserve">embres du CESE ont mobilisé les participants </w:t>
      </w:r>
      <w:r w:rsidR="00751001" w:rsidRPr="00CC4783">
        <w:t xml:space="preserve">à partir du </w:t>
      </w:r>
      <w:r w:rsidRPr="00CC4783">
        <w:t xml:space="preserve">questionnaire préparé par le CESE. </w:t>
      </w:r>
      <w:r w:rsidR="006772E7" w:rsidRPr="00CC4783">
        <w:t>T</w:t>
      </w:r>
      <w:r w:rsidR="003D3E8D" w:rsidRPr="00CC4783">
        <w:t xml:space="preserve">rois rapporteurs ont restitué les interventions en </w:t>
      </w:r>
      <w:r w:rsidR="006772E7" w:rsidRPr="00CC4783">
        <w:t xml:space="preserve">réunion </w:t>
      </w:r>
      <w:r w:rsidR="003D3E8D" w:rsidRPr="00CC4783">
        <w:t xml:space="preserve">plénière. </w:t>
      </w:r>
      <w:r w:rsidR="00D7076F" w:rsidRPr="00CC4783">
        <w:t>L</w:t>
      </w:r>
      <w:r w:rsidR="003E6359" w:rsidRPr="00CC4783">
        <w:t xml:space="preserve">a validité de la méthode est renforcée par </w:t>
      </w:r>
      <w:r w:rsidR="001B7807" w:rsidRPr="00CC4783">
        <w:t>l</w:t>
      </w:r>
      <w:r w:rsidR="00D7076F" w:rsidRPr="00CC4783">
        <w:t>e mode d</w:t>
      </w:r>
      <w:r w:rsidR="00960861" w:rsidRPr="00CC4783">
        <w:t>’</w:t>
      </w:r>
      <w:r w:rsidR="00D7076F" w:rsidRPr="00CC4783">
        <w:t>expression: les acteurs ne</w:t>
      </w:r>
      <w:r w:rsidR="001B7807" w:rsidRPr="00CC4783">
        <w:t xml:space="preserve"> s</w:t>
      </w:r>
      <w:r w:rsidR="00960861" w:rsidRPr="00CC4783">
        <w:t>’</w:t>
      </w:r>
      <w:r w:rsidR="001B7807" w:rsidRPr="00CC4783">
        <w:t>expriment pas au titre de leur appartenance à une institution ou à u</w:t>
      </w:r>
      <w:r w:rsidR="00D7076F" w:rsidRPr="00CC4783">
        <w:t>n groupe d</w:t>
      </w:r>
      <w:r w:rsidR="00960861" w:rsidRPr="00CC4783">
        <w:t>’</w:t>
      </w:r>
      <w:r w:rsidR="00D7076F" w:rsidRPr="00CC4783">
        <w:t>acteurs</w:t>
      </w:r>
      <w:r w:rsidR="001B7807" w:rsidRPr="00CC4783">
        <w:t xml:space="preserve">, mais au nom de leur organisation. </w:t>
      </w:r>
    </w:p>
    <w:p w:rsidR="00C1204B" w:rsidRPr="00CC4783" w:rsidRDefault="00D7076F" w:rsidP="005A5A02">
      <w:pPr>
        <w:spacing w:after="200"/>
      </w:pPr>
      <w:r w:rsidRPr="00CC4783">
        <w:t>Le présent docume</w:t>
      </w:r>
      <w:r w:rsidR="00C1204B" w:rsidRPr="00CC4783">
        <w:t xml:space="preserve">nt </w:t>
      </w:r>
      <w:r w:rsidR="002E37D8" w:rsidRPr="00CC4783">
        <w:t>synthétise</w:t>
      </w:r>
      <w:r w:rsidR="006772E7" w:rsidRPr="00CC4783">
        <w:t xml:space="preserve"> la consultation</w:t>
      </w:r>
      <w:r w:rsidR="002E37D8" w:rsidRPr="00CC4783">
        <w:t xml:space="preserve">, </w:t>
      </w:r>
      <w:r w:rsidR="006772E7" w:rsidRPr="00CC4783">
        <w:t xml:space="preserve">en vue des travaux du groupe </w:t>
      </w:r>
      <w:r w:rsidRPr="00CC4783">
        <w:rPr>
          <w:i/>
        </w:rPr>
        <w:t>ad</w:t>
      </w:r>
      <w:r w:rsidR="001121C6">
        <w:rPr>
          <w:i/>
        </w:rPr>
        <w:t> </w:t>
      </w:r>
      <w:r w:rsidRPr="00CC4783">
        <w:rPr>
          <w:i/>
        </w:rPr>
        <w:t>hoc</w:t>
      </w:r>
      <w:r w:rsidRPr="00CC4783">
        <w:t xml:space="preserve"> du CESE </w:t>
      </w:r>
      <w:r w:rsidR="0004414C" w:rsidRPr="00CC4783">
        <w:t>se réunissant</w:t>
      </w:r>
      <w:r w:rsidRPr="00CC4783">
        <w:t xml:space="preserve"> </w:t>
      </w:r>
      <w:r w:rsidR="002E37D8" w:rsidRPr="00CC4783">
        <w:t xml:space="preserve">les </w:t>
      </w:r>
      <w:r w:rsidR="00C1204B" w:rsidRPr="00CC4783">
        <w:t>1</w:t>
      </w:r>
      <w:r w:rsidR="003C09EE" w:rsidRPr="00CC4783">
        <w:rPr>
          <w:vertAlign w:val="superscript"/>
        </w:rPr>
        <w:t>er</w:t>
      </w:r>
      <w:r w:rsidRPr="00CC4783">
        <w:t xml:space="preserve"> et 20</w:t>
      </w:r>
      <w:r w:rsidR="006A646A" w:rsidRPr="00CC4783">
        <w:t> </w:t>
      </w:r>
      <w:r w:rsidRPr="00CC4783">
        <w:t>juin 2017</w:t>
      </w:r>
      <w:r w:rsidR="002E37D8" w:rsidRPr="00CC4783">
        <w:t xml:space="preserve"> pour</w:t>
      </w:r>
      <w:r w:rsidR="0004414C" w:rsidRPr="00CC4783">
        <w:t xml:space="preserve"> </w:t>
      </w:r>
      <w:r w:rsidRPr="00CC4783">
        <w:t xml:space="preserve">préparer </w:t>
      </w:r>
      <w:r w:rsidR="00C1204B" w:rsidRPr="00CC4783">
        <w:t>un avis exploratoire sur l</w:t>
      </w:r>
      <w:r w:rsidR="00960861" w:rsidRPr="00CC4783">
        <w:t>’</w:t>
      </w:r>
      <w:r w:rsidR="00C1204B" w:rsidRPr="00CC4783">
        <w:t>avenir de l</w:t>
      </w:r>
      <w:r w:rsidR="00960861" w:rsidRPr="00CC4783">
        <w:t>’</w:t>
      </w:r>
      <w:r w:rsidR="00C1204B" w:rsidRPr="00CC4783">
        <w:t>Europe. À chaque question, nous répondons d</w:t>
      </w:r>
      <w:r w:rsidR="00960861" w:rsidRPr="00CC4783">
        <w:t>’</w:t>
      </w:r>
      <w:r w:rsidR="00C1204B" w:rsidRPr="00CC4783">
        <w:t xml:space="preserve">abord par les informations faisant </w:t>
      </w:r>
      <w:r w:rsidR="006A646A" w:rsidRPr="00CC4783">
        <w:t>l’</w:t>
      </w:r>
      <w:r w:rsidR="002E37D8" w:rsidRPr="00CC4783">
        <w:t xml:space="preserve">unanimité ou </w:t>
      </w:r>
      <w:r w:rsidR="00C1204B" w:rsidRPr="00CC4783">
        <w:t xml:space="preserve">consensus </w:t>
      </w:r>
      <w:r w:rsidR="002E37D8" w:rsidRPr="00CC4783">
        <w:t>au sein de la</w:t>
      </w:r>
      <w:r w:rsidR="00C1204B" w:rsidRPr="00CC4783">
        <w:t xml:space="preserve"> civile organisée française.</w:t>
      </w:r>
    </w:p>
    <w:p w:rsidR="00D67350" w:rsidRPr="001121C6" w:rsidRDefault="003D3E8D" w:rsidP="00DB3DD0">
      <w:pPr>
        <w:keepNext/>
        <w:keepLines/>
        <w:spacing w:after="200"/>
        <w:rPr>
          <w:b/>
        </w:rPr>
      </w:pPr>
      <w:r w:rsidRPr="00CC4783">
        <w:rPr>
          <w:b/>
        </w:rPr>
        <w:lastRenderedPageBreak/>
        <w:t>Question</w:t>
      </w:r>
      <w:r w:rsidR="006A646A" w:rsidRPr="00CC4783">
        <w:rPr>
          <w:b/>
        </w:rPr>
        <w:t> </w:t>
      </w:r>
      <w:r w:rsidRPr="001121C6">
        <w:rPr>
          <w:b/>
        </w:rPr>
        <w:t>1</w:t>
      </w:r>
      <w:r w:rsidR="00DA25B9" w:rsidRPr="001121C6">
        <w:rPr>
          <w:b/>
        </w:rPr>
        <w:t xml:space="preserve">: </w:t>
      </w:r>
      <w:r w:rsidR="00DA25B9" w:rsidRPr="00DB3DD0">
        <w:rPr>
          <w:b/>
        </w:rPr>
        <w:t>Lequel des cinq scénarios présentés dans le livre blanc correspond selon vous le mieux aux défis internes et externes auxquels l’UE est confrontée, et pourquoi?</w:t>
      </w:r>
    </w:p>
    <w:p w:rsidR="003E6359" w:rsidRPr="00CC4783" w:rsidRDefault="009E6770" w:rsidP="00DB3DD0">
      <w:pPr>
        <w:keepNext/>
        <w:keepLines/>
        <w:spacing w:after="200"/>
      </w:pPr>
      <w:r w:rsidRPr="00CC4783">
        <w:t>Les représentan</w:t>
      </w:r>
      <w:r w:rsidR="00666909" w:rsidRPr="00CC4783">
        <w:t xml:space="preserve">ts de la société civile expriment </w:t>
      </w:r>
      <w:r w:rsidR="00980FA1" w:rsidRPr="00CC4783">
        <w:t>leur</w:t>
      </w:r>
      <w:r w:rsidR="00666909" w:rsidRPr="00CC4783">
        <w:t xml:space="preserve"> </w:t>
      </w:r>
      <w:r w:rsidR="00FE3235" w:rsidRPr="00CC4783">
        <w:t xml:space="preserve">rejet </w:t>
      </w:r>
      <w:r w:rsidR="00666909" w:rsidRPr="00CC4783">
        <w:t>unanim</w:t>
      </w:r>
      <w:r w:rsidR="00FE3235" w:rsidRPr="00CC4783">
        <w:t>e</w:t>
      </w:r>
      <w:r w:rsidR="00992F40" w:rsidRPr="00CC4783">
        <w:t xml:space="preserve"> des</w:t>
      </w:r>
      <w:r w:rsidR="00666909" w:rsidRPr="00CC4783">
        <w:t xml:space="preserve"> scénarios</w:t>
      </w:r>
      <w:r w:rsidR="006A646A" w:rsidRPr="00CC4783">
        <w:t> </w:t>
      </w:r>
      <w:r w:rsidR="00666909" w:rsidRPr="00CC4783">
        <w:t xml:space="preserve">1 et 2. </w:t>
      </w:r>
      <w:r w:rsidR="003C09EE" w:rsidRPr="00CC4783">
        <w:t>Opposés au scénario de la continuité</w:t>
      </w:r>
      <w:r w:rsidR="00666909" w:rsidRPr="00CC4783">
        <w:t xml:space="preserve">, </w:t>
      </w:r>
      <w:r w:rsidR="003E6359" w:rsidRPr="00CC4783">
        <w:t>les acteurs n</w:t>
      </w:r>
      <w:r w:rsidR="00960861" w:rsidRPr="00CC4783">
        <w:t>’</w:t>
      </w:r>
      <w:r w:rsidR="00666909" w:rsidRPr="00CC4783">
        <w:t>exprime</w:t>
      </w:r>
      <w:r w:rsidR="003E6359" w:rsidRPr="00CC4783">
        <w:t xml:space="preserve">nt </w:t>
      </w:r>
      <w:r w:rsidR="001B7807" w:rsidRPr="00CC4783">
        <w:t>pas d</w:t>
      </w:r>
      <w:r w:rsidR="00960861" w:rsidRPr="00CC4783">
        <w:t>’</w:t>
      </w:r>
      <w:r w:rsidR="001B7807" w:rsidRPr="00CC4783">
        <w:t xml:space="preserve">appétence </w:t>
      </w:r>
      <w:r w:rsidR="00980FA1" w:rsidRPr="00CC4783">
        <w:t xml:space="preserve">pour </w:t>
      </w:r>
      <w:r w:rsidR="001B7807" w:rsidRPr="00CC4783">
        <w:t>le</w:t>
      </w:r>
      <w:r w:rsidR="003E6359" w:rsidRPr="00CC4783">
        <w:t xml:space="preserve"> scénario </w:t>
      </w:r>
      <w:r w:rsidR="003C09EE" w:rsidRPr="00CC4783">
        <w:t xml:space="preserve">proposant de recentrer </w:t>
      </w:r>
      <w:r w:rsidR="003E6359" w:rsidRPr="00CC4783">
        <w:t>progressivement l</w:t>
      </w:r>
      <w:r w:rsidR="00960861" w:rsidRPr="00CC4783">
        <w:t>’</w:t>
      </w:r>
      <w:r w:rsidR="003E6359" w:rsidRPr="00CC4783">
        <w:t>Union européenne sur le marché unique</w:t>
      </w:r>
      <w:r w:rsidR="00FE3235" w:rsidRPr="00CC4783">
        <w:t xml:space="preserve"> car cette dimension leur semble trop limitée</w:t>
      </w:r>
      <w:r w:rsidR="006766CD" w:rsidRPr="00CC4783">
        <w:t>.</w:t>
      </w:r>
    </w:p>
    <w:p w:rsidR="00992F40" w:rsidRPr="00CC4783" w:rsidRDefault="003E6359" w:rsidP="005A5A02">
      <w:pPr>
        <w:spacing w:after="200"/>
      </w:pPr>
      <w:r w:rsidRPr="00CC4783">
        <w:t>Le scénario</w:t>
      </w:r>
      <w:r w:rsidR="006A646A" w:rsidRPr="00CC4783">
        <w:t> </w:t>
      </w:r>
      <w:r w:rsidRPr="00CC4783">
        <w:t xml:space="preserve">3 </w:t>
      </w:r>
      <w:r w:rsidR="00992F40" w:rsidRPr="00CC4783">
        <w:t xml:space="preserve">suscite des avis partagés </w:t>
      </w:r>
      <w:r w:rsidRPr="00CC4783">
        <w:t xml:space="preserve">entre </w:t>
      </w:r>
      <w:r w:rsidR="001B7807" w:rsidRPr="00CC4783">
        <w:t xml:space="preserve">employeurs, </w:t>
      </w:r>
      <w:r w:rsidRPr="00CC4783">
        <w:t>favorables à la coopération renforcée</w:t>
      </w:r>
      <w:r w:rsidR="006766CD" w:rsidRPr="00CC4783">
        <w:t xml:space="preserve"> dans des domaines</w:t>
      </w:r>
      <w:r w:rsidR="006A646A" w:rsidRPr="00CC4783">
        <w:t xml:space="preserve"> </w:t>
      </w:r>
      <w:r w:rsidR="006766CD" w:rsidRPr="00CC4783">
        <w:t xml:space="preserve">clés: intégration de la zone </w:t>
      </w:r>
      <w:r w:rsidR="006A646A" w:rsidRPr="00CC4783">
        <w:t xml:space="preserve">euro, </w:t>
      </w:r>
      <w:r w:rsidR="006766CD" w:rsidRPr="00CC4783">
        <w:t xml:space="preserve">défense et sécurité, lutte contre le changement climatique, </w:t>
      </w:r>
      <w:r w:rsidR="006A646A" w:rsidRPr="00CC4783">
        <w:t>n</w:t>
      </w:r>
      <w:r w:rsidR="006766CD" w:rsidRPr="00CC4783">
        <w:t xml:space="preserve">umérique, </w:t>
      </w:r>
      <w:r w:rsidR="006A646A" w:rsidRPr="00CC4783">
        <w:t>u</w:t>
      </w:r>
      <w:r w:rsidR="006766CD" w:rsidRPr="00CC4783">
        <w:t>nion de l</w:t>
      </w:r>
      <w:r w:rsidR="00960861" w:rsidRPr="00CC4783">
        <w:t>’</w:t>
      </w:r>
      <w:r w:rsidR="006766CD" w:rsidRPr="00CC4783">
        <w:t>énergie</w:t>
      </w:r>
      <w:r w:rsidR="0023723F" w:rsidRPr="00CC4783">
        <w:t xml:space="preserve"> </w:t>
      </w:r>
      <w:r w:rsidRPr="00CC4783">
        <w:t xml:space="preserve">et </w:t>
      </w:r>
      <w:r w:rsidR="001B7807" w:rsidRPr="00CC4783">
        <w:t>le</w:t>
      </w:r>
      <w:r w:rsidR="003C09EE" w:rsidRPr="00CC4783">
        <w:t>s membres du</w:t>
      </w:r>
      <w:r w:rsidR="001B7807" w:rsidRPr="00CC4783">
        <w:t xml:space="preserve"> groupe </w:t>
      </w:r>
      <w:r w:rsidR="009070C9" w:rsidRPr="00CC4783">
        <w:t>représentant les activités diverses</w:t>
      </w:r>
      <w:r w:rsidR="001B7807" w:rsidRPr="00CC4783">
        <w:t xml:space="preserve"> </w:t>
      </w:r>
      <w:r w:rsidR="00992F40" w:rsidRPr="00CC4783">
        <w:t>qui considère</w:t>
      </w:r>
      <w:r w:rsidR="003C09EE" w:rsidRPr="00CC4783">
        <w:t>nt</w:t>
      </w:r>
      <w:r w:rsidR="00992F40" w:rsidRPr="00CC4783">
        <w:t xml:space="preserve"> </w:t>
      </w:r>
      <w:r w:rsidR="002E37D8" w:rsidRPr="00CC4783">
        <w:t xml:space="preserve">toute </w:t>
      </w:r>
      <w:r w:rsidR="006A646A" w:rsidRPr="00CC4783">
        <w:t>«</w:t>
      </w:r>
      <w:r w:rsidR="002E37D8" w:rsidRPr="00CC4783">
        <w:t>coalition</w:t>
      </w:r>
      <w:r w:rsidR="001B7807" w:rsidRPr="00CC4783">
        <w:t xml:space="preserve"> de pays </w:t>
      </w:r>
      <w:r w:rsidR="002E37D8" w:rsidRPr="00CC4783">
        <w:t>volontaire</w:t>
      </w:r>
      <w:r w:rsidR="006A646A" w:rsidRPr="00CC4783">
        <w:t>»</w:t>
      </w:r>
      <w:r w:rsidR="001121C6">
        <w:rPr>
          <w:rStyle w:val="FootnoteReference"/>
        </w:rPr>
        <w:footnoteReference w:id="1"/>
      </w:r>
      <w:r w:rsidR="001B7807" w:rsidRPr="00CC4783">
        <w:t xml:space="preserve"> </w:t>
      </w:r>
      <w:r w:rsidRPr="00CC4783">
        <w:t>comme facteur d</w:t>
      </w:r>
      <w:r w:rsidR="00960861" w:rsidRPr="00CC4783">
        <w:t>’</w:t>
      </w:r>
      <w:r w:rsidRPr="00CC4783">
        <w:t>affaiblissement de l</w:t>
      </w:r>
      <w:r w:rsidR="00960861" w:rsidRPr="00CC4783">
        <w:t>’</w:t>
      </w:r>
      <w:r w:rsidRPr="00CC4783">
        <w:t>Union européenne.</w:t>
      </w:r>
    </w:p>
    <w:p w:rsidR="00980FA1" w:rsidRPr="00CC4783" w:rsidRDefault="00992F40" w:rsidP="005A5A02">
      <w:pPr>
        <w:spacing w:after="200"/>
      </w:pPr>
      <w:r w:rsidRPr="00CC4783">
        <w:t>L</w:t>
      </w:r>
      <w:r w:rsidR="003E6359" w:rsidRPr="00CC4783">
        <w:t>e scénario</w:t>
      </w:r>
      <w:r w:rsidR="006A646A" w:rsidRPr="00CC4783">
        <w:t> </w:t>
      </w:r>
      <w:r w:rsidR="003E6359" w:rsidRPr="00CC4783">
        <w:t xml:space="preserve">4 </w:t>
      </w:r>
      <w:r w:rsidR="001B7807" w:rsidRPr="00CC4783">
        <w:t>reçoit le soutien des employeurs</w:t>
      </w:r>
      <w:r w:rsidR="00BB0E14" w:rsidRPr="00CC4783">
        <w:t>, alors que les syndicats ne croie</w:t>
      </w:r>
      <w:r w:rsidR="002E37D8" w:rsidRPr="00CC4783">
        <w:t xml:space="preserve">nt </w:t>
      </w:r>
      <w:r w:rsidR="00FE3235" w:rsidRPr="00CC4783">
        <w:t xml:space="preserve">guère </w:t>
      </w:r>
      <w:r w:rsidR="002E37D8" w:rsidRPr="00CC4783">
        <w:t xml:space="preserve">dans une Union européenne </w:t>
      </w:r>
      <w:r w:rsidR="00BB0E14" w:rsidRPr="00CC4783">
        <w:t xml:space="preserve">centrant ses efforts sur un nombre </w:t>
      </w:r>
      <w:r w:rsidR="00980FA1" w:rsidRPr="00CC4783">
        <w:t xml:space="preserve">réduit </w:t>
      </w:r>
      <w:r w:rsidR="00BB0E14" w:rsidRPr="00CC4783">
        <w:t>de domaines</w:t>
      </w:r>
      <w:r w:rsidR="00980FA1" w:rsidRPr="00CC4783">
        <w:t xml:space="preserve"> d</w:t>
      </w:r>
      <w:r w:rsidR="00960861" w:rsidRPr="00CC4783">
        <w:t>’</w:t>
      </w:r>
      <w:r w:rsidR="00980FA1" w:rsidRPr="00CC4783">
        <w:t>action</w:t>
      </w:r>
      <w:r w:rsidR="00BB0E14" w:rsidRPr="00CC4783">
        <w:t xml:space="preserve">. </w:t>
      </w:r>
    </w:p>
    <w:p w:rsidR="00BB0E14" w:rsidRPr="00CC4783" w:rsidRDefault="00BB0E14" w:rsidP="005A5A02">
      <w:pPr>
        <w:spacing w:after="200"/>
      </w:pPr>
      <w:r w:rsidRPr="00CC4783">
        <w:t>Inversement, le scénario</w:t>
      </w:r>
      <w:r w:rsidR="006A646A" w:rsidRPr="00CC4783">
        <w:t> </w:t>
      </w:r>
      <w:r w:rsidRPr="00CC4783">
        <w:t xml:space="preserve">5 </w:t>
      </w:r>
      <w:r w:rsidR="009B29F5" w:rsidRPr="00CC4783">
        <w:t>n</w:t>
      </w:r>
      <w:r w:rsidR="006766CD" w:rsidRPr="00CC4783">
        <w:t xml:space="preserve">e semble </w:t>
      </w:r>
      <w:r w:rsidR="009B29F5" w:rsidRPr="00CC4783">
        <w:t xml:space="preserve">pas </w:t>
      </w:r>
      <w:r w:rsidR="006766CD" w:rsidRPr="00CC4783">
        <w:t xml:space="preserve">très </w:t>
      </w:r>
      <w:r w:rsidRPr="00CC4783">
        <w:t>crédible aux employeurs</w:t>
      </w:r>
      <w:r w:rsidR="00FE3235" w:rsidRPr="00CC4783">
        <w:t xml:space="preserve"> compte tenu de l</w:t>
      </w:r>
      <w:r w:rsidR="00960861" w:rsidRPr="00CC4783">
        <w:t>’</w:t>
      </w:r>
      <w:r w:rsidR="00FE3235" w:rsidRPr="00CC4783">
        <w:t>état des opinions publiques</w:t>
      </w:r>
      <w:r w:rsidR="007A17AC" w:rsidRPr="00CC4783">
        <w:t>,</w:t>
      </w:r>
      <w:r w:rsidRPr="00CC4783">
        <w:t xml:space="preserve"> alors qu</w:t>
      </w:r>
      <w:r w:rsidR="00960861" w:rsidRPr="00CC4783">
        <w:t>’</w:t>
      </w:r>
      <w:r w:rsidRPr="00CC4783">
        <w:t xml:space="preserve">il apparait </w:t>
      </w:r>
      <w:r w:rsidR="00FE3235" w:rsidRPr="00CC4783">
        <w:t xml:space="preserve">plutôt </w:t>
      </w:r>
      <w:r w:rsidR="007A17AC" w:rsidRPr="00CC4783">
        <w:t>comme la piste à privilégier par les</w:t>
      </w:r>
      <w:r w:rsidRPr="00CC4783">
        <w:t xml:space="preserve"> syndicats</w:t>
      </w:r>
      <w:r w:rsidR="00751001" w:rsidRPr="00CC4783">
        <w:t xml:space="preserve"> </w:t>
      </w:r>
      <w:r w:rsidR="007A17AC" w:rsidRPr="00CC4783">
        <w:t xml:space="preserve">et les </w:t>
      </w:r>
      <w:r w:rsidR="00992F40" w:rsidRPr="00CC4783">
        <w:t xml:space="preserve">représentants </w:t>
      </w:r>
      <w:r w:rsidR="006A646A" w:rsidRPr="00CC4783">
        <w:t>«</w:t>
      </w:r>
      <w:r w:rsidR="00992F40" w:rsidRPr="00CC4783">
        <w:t>activités diverses</w:t>
      </w:r>
      <w:r w:rsidR="006A646A" w:rsidRPr="00CC4783">
        <w:t>»</w:t>
      </w:r>
      <w:r w:rsidRPr="00CC4783">
        <w:t>.</w:t>
      </w:r>
    </w:p>
    <w:p w:rsidR="00DA25B9" w:rsidRPr="00DA25B9" w:rsidRDefault="00BB0E14" w:rsidP="00DB3DD0">
      <w:pPr>
        <w:keepNext/>
        <w:spacing w:after="200"/>
        <w:rPr>
          <w:rFonts w:eastAsiaTheme="minorHAnsi"/>
          <w:b/>
          <w:sz w:val="24"/>
          <w:szCs w:val="24"/>
          <w:lang w:val="fr-BE"/>
        </w:rPr>
      </w:pPr>
      <w:r w:rsidRPr="00CC4783">
        <w:rPr>
          <w:b/>
        </w:rPr>
        <w:t>Question</w:t>
      </w:r>
      <w:r w:rsidR="006A646A" w:rsidRPr="00CC4783">
        <w:rPr>
          <w:b/>
        </w:rPr>
        <w:t> </w:t>
      </w:r>
      <w:r w:rsidRPr="00CC4783">
        <w:rPr>
          <w:b/>
        </w:rPr>
        <w:t>2</w:t>
      </w:r>
      <w:r w:rsidR="00DA25B9" w:rsidRPr="00DB3DD0">
        <w:rPr>
          <w:rFonts w:eastAsiaTheme="minorHAnsi"/>
          <w:b/>
          <w:lang w:val="fr-BE"/>
        </w:rPr>
        <w:t>: Un autre scénario, non envisagé, serait-il possible et préférable? Le cas échéant, pourquoi? Comment pensez-vous que la confiance puisse être renforcée en Europe?</w:t>
      </w:r>
    </w:p>
    <w:p w:rsidR="001065F0" w:rsidRPr="00CC4783" w:rsidRDefault="00312938" w:rsidP="005A5A02">
      <w:pPr>
        <w:spacing w:after="200"/>
      </w:pPr>
      <w:r w:rsidRPr="00CC4783">
        <w:t>Seuls</w:t>
      </w:r>
      <w:r w:rsidR="003C09EE" w:rsidRPr="00CC4783">
        <w:t xml:space="preserve"> les membres </w:t>
      </w:r>
      <w:r w:rsidR="00992F40" w:rsidRPr="00CC4783">
        <w:t>d</w:t>
      </w:r>
      <w:r w:rsidR="003C09EE" w:rsidRPr="00CC4783">
        <w:t>u</w:t>
      </w:r>
      <w:r w:rsidR="00992F40" w:rsidRPr="00CC4783">
        <w:t xml:space="preserve"> groupe représentant les activités diverses </w:t>
      </w:r>
      <w:r w:rsidRPr="00CC4783">
        <w:t xml:space="preserve">proposent un scénario alternatif, </w:t>
      </w:r>
      <w:r w:rsidR="00D501F8" w:rsidRPr="00CC4783">
        <w:t xml:space="preserve">fondé </w:t>
      </w:r>
      <w:r w:rsidRPr="00CC4783">
        <w:t>sur les va</w:t>
      </w:r>
      <w:r w:rsidR="00705DF1" w:rsidRPr="00CC4783">
        <w:t>leurs à l</w:t>
      </w:r>
      <w:r w:rsidR="00960861" w:rsidRPr="00CC4783">
        <w:t>’</w:t>
      </w:r>
      <w:r w:rsidR="00705DF1" w:rsidRPr="00CC4783">
        <w:t xml:space="preserve">origine du </w:t>
      </w:r>
      <w:r w:rsidR="006A646A" w:rsidRPr="00CC4783">
        <w:t>p</w:t>
      </w:r>
      <w:r w:rsidR="00705DF1" w:rsidRPr="00CC4783">
        <w:t xml:space="preserve">rojet </w:t>
      </w:r>
      <w:r w:rsidRPr="00CC4783">
        <w:t>européen (humanisme, justice sociale, diversité culturelle)</w:t>
      </w:r>
      <w:r w:rsidR="001065F0" w:rsidRPr="00CC4783">
        <w:t xml:space="preserve"> et l</w:t>
      </w:r>
      <w:r w:rsidR="00960861" w:rsidRPr="00CC4783">
        <w:t>’</w:t>
      </w:r>
      <w:r w:rsidR="001065F0" w:rsidRPr="00CC4783">
        <w:t>ajout des piliers social et environnemental à la vision générale proposée par la Commission européenne</w:t>
      </w:r>
      <w:r w:rsidRPr="00CC4783">
        <w:t>.</w:t>
      </w:r>
    </w:p>
    <w:p w:rsidR="00312938" w:rsidRPr="00CC4783" w:rsidRDefault="00312938" w:rsidP="005A5A02">
      <w:pPr>
        <w:spacing w:after="200"/>
      </w:pPr>
      <w:r w:rsidRPr="00CC4783">
        <w:t xml:space="preserve">De </w:t>
      </w:r>
      <w:r w:rsidR="007A17AC" w:rsidRPr="00CC4783">
        <w:t>leur côté</w:t>
      </w:r>
      <w:r w:rsidRPr="00CC4783">
        <w:t xml:space="preserve">, </w:t>
      </w:r>
      <w:r w:rsidR="00705DF1" w:rsidRPr="00CC4783">
        <w:t xml:space="preserve">les employeurs </w:t>
      </w:r>
      <w:r w:rsidR="007A17AC" w:rsidRPr="00CC4783">
        <w:t xml:space="preserve">suggèrent de </w:t>
      </w:r>
      <w:r w:rsidR="003C09EE" w:rsidRPr="00CC4783">
        <w:t xml:space="preserve">se </w:t>
      </w:r>
      <w:r w:rsidR="007A17AC" w:rsidRPr="00CC4783">
        <w:t xml:space="preserve">fixer </w:t>
      </w:r>
      <w:r w:rsidR="003C09EE" w:rsidRPr="00CC4783">
        <w:t>l</w:t>
      </w:r>
      <w:r w:rsidR="00960861" w:rsidRPr="00CC4783">
        <w:t>’</w:t>
      </w:r>
      <w:r w:rsidR="003C09EE" w:rsidRPr="00CC4783">
        <w:t>année</w:t>
      </w:r>
      <w:r w:rsidR="006A646A" w:rsidRPr="00CC4783">
        <w:t> </w:t>
      </w:r>
      <w:r w:rsidR="003C09EE" w:rsidRPr="00CC4783">
        <w:t>2025</w:t>
      </w:r>
      <w:r w:rsidR="002E37D8" w:rsidRPr="00CC4783">
        <w:t>,</w:t>
      </w:r>
      <w:r w:rsidR="003C09EE" w:rsidRPr="00CC4783">
        <w:t xml:space="preserve"> comme horizon temporel</w:t>
      </w:r>
      <w:r w:rsidR="00FE3235" w:rsidRPr="00CC4783">
        <w:t xml:space="preserve"> et d</w:t>
      </w:r>
      <w:r w:rsidR="00960861" w:rsidRPr="00CC4783">
        <w:t>’</w:t>
      </w:r>
      <w:r w:rsidR="00FE3235" w:rsidRPr="00CC4783">
        <w:t>adopter une approche résolument prospective. Il s</w:t>
      </w:r>
      <w:r w:rsidR="00960861" w:rsidRPr="00CC4783">
        <w:t>’</w:t>
      </w:r>
      <w:r w:rsidR="00FE3235" w:rsidRPr="00CC4783">
        <w:t>agit de bâtir l</w:t>
      </w:r>
      <w:r w:rsidR="00960861" w:rsidRPr="00CC4783">
        <w:t>’</w:t>
      </w:r>
      <w:r w:rsidR="00FE3235" w:rsidRPr="00CC4783">
        <w:t>Europe de nos enfants</w:t>
      </w:r>
      <w:r w:rsidR="006766CD" w:rsidRPr="00CC4783">
        <w:t>.</w:t>
      </w:r>
      <w:r w:rsidR="00507DFA" w:rsidRPr="00CC4783">
        <w:t xml:space="preserve"> </w:t>
      </w:r>
    </w:p>
    <w:p w:rsidR="00705DF1" w:rsidRPr="00CC4783" w:rsidRDefault="00705DF1" w:rsidP="00CC4783">
      <w:pPr>
        <w:keepNext/>
        <w:spacing w:after="200"/>
        <w:rPr>
          <w:b/>
        </w:rPr>
      </w:pPr>
      <w:r w:rsidRPr="00CC4783">
        <w:rPr>
          <w:b/>
        </w:rPr>
        <w:t>Question</w:t>
      </w:r>
      <w:r w:rsidR="006A646A" w:rsidRPr="00CC4783">
        <w:rPr>
          <w:b/>
        </w:rPr>
        <w:t> </w:t>
      </w:r>
      <w:r w:rsidRPr="001121C6">
        <w:rPr>
          <w:b/>
        </w:rPr>
        <w:t>3</w:t>
      </w:r>
      <w:r w:rsidR="00DA25B9" w:rsidRPr="00DB3DD0">
        <w:rPr>
          <w:b/>
        </w:rPr>
        <w:t>: Est-il nécessaire d’assurer plus de visibilité et de mieux communiquer sur l’Europe, et comment?</w:t>
      </w:r>
    </w:p>
    <w:p w:rsidR="00337639" w:rsidRPr="00CC4783" w:rsidRDefault="00337639" w:rsidP="005A5A02">
      <w:pPr>
        <w:spacing w:after="200"/>
      </w:pPr>
      <w:r w:rsidRPr="00CC4783">
        <w:t>La société civile estime qu</w:t>
      </w:r>
      <w:r w:rsidR="00960861" w:rsidRPr="00CC4783">
        <w:t>’</w:t>
      </w:r>
      <w:r w:rsidRPr="00CC4783">
        <w:t>une</w:t>
      </w:r>
      <w:r w:rsidR="00705DF1" w:rsidRPr="00CC4783">
        <w:t xml:space="preserve"> </w:t>
      </w:r>
      <w:r w:rsidR="00D501F8" w:rsidRPr="00CC4783">
        <w:t xml:space="preserve">importante </w:t>
      </w:r>
      <w:r w:rsidR="00705DF1" w:rsidRPr="00CC4783">
        <w:t>marg</w:t>
      </w:r>
      <w:r w:rsidR="00E248FB" w:rsidRPr="00CC4783">
        <w:t xml:space="preserve">e de progression existe en matière de visibilité et de </w:t>
      </w:r>
      <w:r w:rsidR="009070C9" w:rsidRPr="00CC4783">
        <w:t>communic</w:t>
      </w:r>
      <w:r w:rsidR="006772E7" w:rsidRPr="00CC4783">
        <w:t xml:space="preserve">ation, </w:t>
      </w:r>
      <w:r w:rsidR="00D501F8" w:rsidRPr="00CC4783">
        <w:t>à la fois en recourant à un «</w:t>
      </w:r>
      <w:r w:rsidR="00D501F8" w:rsidRPr="00CC4783">
        <w:rPr>
          <w:i/>
        </w:rPr>
        <w:t>story telling</w:t>
      </w:r>
      <w:r w:rsidR="00D501F8" w:rsidRPr="00CC4783">
        <w:t>» efficace à partir de succès tangibles (</w:t>
      </w:r>
      <w:r w:rsidR="006F30D7" w:rsidRPr="00CC4783">
        <w:t xml:space="preserve">Erasmus, Airbus, </w:t>
      </w:r>
      <w:r w:rsidR="006766CD" w:rsidRPr="00CC4783">
        <w:t xml:space="preserve">mobilité, protection des consommateurs </w:t>
      </w:r>
      <w:r w:rsidR="00D501F8" w:rsidRPr="00CC4783">
        <w:t>par exemple)</w:t>
      </w:r>
      <w:r w:rsidR="006F30D7" w:rsidRPr="00CC4783">
        <w:t>. Cela n</w:t>
      </w:r>
      <w:r w:rsidR="00960861" w:rsidRPr="00CC4783">
        <w:t>’</w:t>
      </w:r>
      <w:r w:rsidR="006F30D7" w:rsidRPr="00CC4783">
        <w:t>exclut pas d</w:t>
      </w:r>
      <w:r w:rsidR="00960861" w:rsidRPr="00CC4783">
        <w:t>’</w:t>
      </w:r>
      <w:r w:rsidR="00D501F8" w:rsidRPr="00CC4783">
        <w:t>ins</w:t>
      </w:r>
      <w:r w:rsidR="006766CD" w:rsidRPr="00CC4783">
        <w:t>is</w:t>
      </w:r>
      <w:r w:rsidR="00D501F8" w:rsidRPr="00CC4783">
        <w:t>t</w:t>
      </w:r>
      <w:r w:rsidR="006F30D7" w:rsidRPr="00CC4783">
        <w:t>er</w:t>
      </w:r>
      <w:r w:rsidR="00D501F8" w:rsidRPr="00CC4783">
        <w:t xml:space="preserve"> sur </w:t>
      </w:r>
      <w:r w:rsidR="006A646A" w:rsidRPr="00CC4783">
        <w:t>«</w:t>
      </w:r>
      <w:r w:rsidR="00992F40" w:rsidRPr="00CC4783">
        <w:t>être</w:t>
      </w:r>
      <w:r w:rsidR="006A646A" w:rsidRPr="00CC4783">
        <w:t>»</w:t>
      </w:r>
      <w:r w:rsidR="00992F40" w:rsidRPr="00CC4783">
        <w:t xml:space="preserve"> plutôt que </w:t>
      </w:r>
      <w:r w:rsidR="006A646A" w:rsidRPr="00CC4783">
        <w:t>«</w:t>
      </w:r>
      <w:r w:rsidR="00992F40" w:rsidRPr="00CC4783">
        <w:t>faire</w:t>
      </w:r>
      <w:r w:rsidR="006A646A" w:rsidRPr="00CC4783">
        <w:t>»</w:t>
      </w:r>
      <w:r w:rsidR="00D501F8" w:rsidRPr="00CC4783">
        <w:t xml:space="preserve"> et</w:t>
      </w:r>
      <w:r w:rsidR="006766CD" w:rsidRPr="00CC4783">
        <w:t>, pourquoi pas</w:t>
      </w:r>
      <w:r w:rsidR="00D501F8" w:rsidRPr="00CC4783">
        <w:t xml:space="preserve"> stimul</w:t>
      </w:r>
      <w:r w:rsidR="006F30D7" w:rsidRPr="00CC4783">
        <w:t>er</w:t>
      </w:r>
      <w:r w:rsidR="00D501F8" w:rsidRPr="00CC4783">
        <w:t xml:space="preserve"> un </w:t>
      </w:r>
      <w:r w:rsidR="006766CD" w:rsidRPr="00CC4783">
        <w:t>véritable «</w:t>
      </w:r>
      <w:r w:rsidR="00D501F8" w:rsidRPr="00CC4783">
        <w:t>imaginaire européen</w:t>
      </w:r>
      <w:r w:rsidR="006766CD" w:rsidRPr="00CC4783">
        <w:t>»</w:t>
      </w:r>
      <w:r w:rsidR="00D501F8" w:rsidRPr="00CC4783">
        <w:t xml:space="preserve"> à partir de </w:t>
      </w:r>
      <w:r w:rsidR="003C09EE" w:rsidRPr="00CC4783">
        <w:t>fiction</w:t>
      </w:r>
      <w:r w:rsidR="00D501F8" w:rsidRPr="00CC4783">
        <w:t>s (série</w:t>
      </w:r>
      <w:r w:rsidR="006766CD" w:rsidRPr="00CC4783">
        <w:t xml:space="preserve"> télévisée</w:t>
      </w:r>
      <w:r w:rsidR="00D501F8" w:rsidRPr="00CC4783">
        <w:t>, film…).</w:t>
      </w:r>
    </w:p>
    <w:p w:rsidR="009070C9" w:rsidRPr="00CC4783" w:rsidRDefault="00337639" w:rsidP="005A5A02">
      <w:pPr>
        <w:spacing w:after="200"/>
      </w:pPr>
      <w:r w:rsidRPr="00CC4783">
        <w:t xml:space="preserve">Employeurs et </w:t>
      </w:r>
      <w:r w:rsidR="009070C9" w:rsidRPr="00CC4783">
        <w:t>représentant</w:t>
      </w:r>
      <w:r w:rsidR="003C09EE" w:rsidRPr="00CC4783">
        <w:t>s</w:t>
      </w:r>
      <w:r w:rsidR="009070C9" w:rsidRPr="00CC4783">
        <w:t xml:space="preserve"> des activités diverses </w:t>
      </w:r>
      <w:r w:rsidRPr="00CC4783">
        <w:t xml:space="preserve">constatent que la communication </w:t>
      </w:r>
      <w:r w:rsidR="00D501F8" w:rsidRPr="00CC4783">
        <w:t xml:space="preserve">actuelle est orientée </w:t>
      </w:r>
      <w:r w:rsidR="007A17AC" w:rsidRPr="00CC4783">
        <w:t>en direction de publics</w:t>
      </w:r>
      <w:r w:rsidRPr="00CC4783">
        <w:t xml:space="preserve"> convaincus et facilement accessibles</w:t>
      </w:r>
      <w:r w:rsidR="00D501F8" w:rsidRPr="00CC4783">
        <w:t xml:space="preserve"> et ne touche pas les citoyens indifférents ou rétifs au projet européen</w:t>
      </w:r>
      <w:r w:rsidR="007A17AC" w:rsidRPr="00CC4783">
        <w:t>.</w:t>
      </w:r>
      <w:r w:rsidR="00507DFA" w:rsidRPr="00CC4783">
        <w:t xml:space="preserve"> </w:t>
      </w:r>
    </w:p>
    <w:p w:rsidR="009070C9" w:rsidRPr="00CC4783" w:rsidRDefault="007A17AC">
      <w:pPr>
        <w:spacing w:after="200"/>
      </w:pPr>
      <w:r w:rsidRPr="00CC4783">
        <w:t>L</w:t>
      </w:r>
      <w:r w:rsidR="00C73867" w:rsidRPr="00CC4783">
        <w:t xml:space="preserve">es </w:t>
      </w:r>
      <w:r w:rsidR="00705DF1" w:rsidRPr="00CC4783">
        <w:t xml:space="preserve">employeurs </w:t>
      </w:r>
      <w:r w:rsidRPr="00CC4783">
        <w:t>remarqu</w:t>
      </w:r>
      <w:r w:rsidR="00C73867" w:rsidRPr="00CC4783">
        <w:t>ent que l</w:t>
      </w:r>
      <w:r w:rsidR="00960861" w:rsidRPr="00CC4783">
        <w:t>’</w:t>
      </w:r>
      <w:r w:rsidR="007C1D54" w:rsidRPr="00CC4783">
        <w:t xml:space="preserve">euroscepticisme </w:t>
      </w:r>
      <w:r w:rsidR="00C73867" w:rsidRPr="00CC4783">
        <w:t xml:space="preserve">est </w:t>
      </w:r>
      <w:r w:rsidR="00D501F8" w:rsidRPr="00CC4783">
        <w:t xml:space="preserve">plus </w:t>
      </w:r>
      <w:r w:rsidR="007C1D54" w:rsidRPr="00CC4783">
        <w:t xml:space="preserve">basé sur </w:t>
      </w:r>
      <w:r w:rsidR="006A646A" w:rsidRPr="00CC4783">
        <w:t>«</w:t>
      </w:r>
      <w:r w:rsidR="009C714F" w:rsidRPr="00CC4783">
        <w:t>ce que l</w:t>
      </w:r>
      <w:r w:rsidR="00960861" w:rsidRPr="00CC4783">
        <w:t>’</w:t>
      </w:r>
      <w:r w:rsidR="009C714F" w:rsidRPr="00CC4783">
        <w:t>Europe n</w:t>
      </w:r>
      <w:r w:rsidR="00960861" w:rsidRPr="00CC4783">
        <w:t>’</w:t>
      </w:r>
      <w:r w:rsidR="009C714F" w:rsidRPr="00CC4783">
        <w:t>a pas fait</w:t>
      </w:r>
      <w:r w:rsidR="006A646A" w:rsidRPr="00CC4783">
        <w:t>»</w:t>
      </w:r>
      <w:r w:rsidR="00D501F8" w:rsidRPr="00CC4783">
        <w:t xml:space="preserve">: emploi, croissance, sécurité, </w:t>
      </w:r>
      <w:r w:rsidR="001065F0" w:rsidRPr="00CC4783">
        <w:t>propos</w:t>
      </w:r>
      <w:r w:rsidRPr="00CC4783">
        <w:t xml:space="preserve"> illustré par </w:t>
      </w:r>
      <w:r w:rsidR="007C1D54" w:rsidRPr="00CC4783">
        <w:t>les</w:t>
      </w:r>
      <w:r w:rsidR="001065F0" w:rsidRPr="00CC4783">
        <w:t xml:space="preserve"> syndicats</w:t>
      </w:r>
      <w:r w:rsidR="00C73867" w:rsidRPr="00CC4783">
        <w:t xml:space="preserve"> </w:t>
      </w:r>
      <w:r w:rsidR="00992F40" w:rsidRPr="00CC4783">
        <w:t>dans le</w:t>
      </w:r>
      <w:r w:rsidR="00E248FB" w:rsidRPr="00CC4783">
        <w:t xml:space="preserve"> domaine social</w:t>
      </w:r>
      <w:r w:rsidR="00D501F8" w:rsidRPr="00CC4783">
        <w:t xml:space="preserve"> que sur ce que l</w:t>
      </w:r>
      <w:r w:rsidR="00960861" w:rsidRPr="00CC4783">
        <w:t>’</w:t>
      </w:r>
      <w:r w:rsidR="00D501F8" w:rsidRPr="00CC4783">
        <w:t>Europe a réalisé</w:t>
      </w:r>
      <w:r w:rsidR="00E248FB" w:rsidRPr="00CC4783">
        <w:t>.</w:t>
      </w:r>
    </w:p>
    <w:p w:rsidR="009C714F" w:rsidRPr="00CC4783" w:rsidRDefault="00C73867">
      <w:pPr>
        <w:spacing w:after="200"/>
      </w:pPr>
      <w:r w:rsidRPr="00CC4783">
        <w:lastRenderedPageBreak/>
        <w:t>L</w:t>
      </w:r>
      <w:r w:rsidR="00E248FB" w:rsidRPr="00CC4783">
        <w:t xml:space="preserve">es propositions abondent sur les moyens </w:t>
      </w:r>
      <w:r w:rsidR="00D501F8" w:rsidRPr="00CC4783">
        <w:t>permettant d</w:t>
      </w:r>
      <w:r w:rsidR="00960861" w:rsidRPr="00CC4783">
        <w:t>’</w:t>
      </w:r>
      <w:r w:rsidR="00D501F8" w:rsidRPr="00CC4783">
        <w:t>assurer une</w:t>
      </w:r>
      <w:r w:rsidR="00E248FB" w:rsidRPr="00CC4783">
        <w:t xml:space="preserve"> meilleure visibilité et</w:t>
      </w:r>
      <w:r w:rsidR="00D501F8" w:rsidRPr="00CC4783">
        <w:t xml:space="preserve"> une</w:t>
      </w:r>
      <w:r w:rsidR="00E248FB" w:rsidRPr="00CC4783">
        <w:t xml:space="preserve"> communication </w:t>
      </w:r>
      <w:r w:rsidR="001065F0" w:rsidRPr="00CC4783">
        <w:t>mieux</w:t>
      </w:r>
      <w:r w:rsidR="00E248FB" w:rsidRPr="00CC4783">
        <w:t xml:space="preserve"> ciblée: </w:t>
      </w:r>
      <w:r w:rsidR="001065F0" w:rsidRPr="00CC4783">
        <w:t>soutien à la presse européenne,</w:t>
      </w:r>
      <w:r w:rsidR="00D501F8" w:rsidRPr="00CC4783">
        <w:t xml:space="preserve"> formation des journalistes français, </w:t>
      </w:r>
      <w:r w:rsidR="006766CD" w:rsidRPr="00CC4783">
        <w:t>lancement d</w:t>
      </w:r>
      <w:r w:rsidR="00960861" w:rsidRPr="00CC4783">
        <w:t>’</w:t>
      </w:r>
      <w:r w:rsidR="006766CD" w:rsidRPr="00CC4783">
        <w:t xml:space="preserve">un </w:t>
      </w:r>
      <w:r w:rsidR="00B07EDE" w:rsidRPr="00CC4783">
        <w:t>talk-show</w:t>
      </w:r>
      <w:r w:rsidR="006766CD" w:rsidRPr="00CC4783">
        <w:t xml:space="preserve"> européen,</w:t>
      </w:r>
      <w:r w:rsidR="00E248FB" w:rsidRPr="00CC4783">
        <w:t xml:space="preserve"> plus grande place à l</w:t>
      </w:r>
      <w:r w:rsidR="00960861" w:rsidRPr="00CC4783">
        <w:t>’</w:t>
      </w:r>
      <w:r w:rsidR="00E248FB" w:rsidRPr="00CC4783">
        <w:t xml:space="preserve">Europe dans les programmes scolaires, </w:t>
      </w:r>
      <w:r w:rsidR="006766CD" w:rsidRPr="00CC4783">
        <w:t>renforcement de l</w:t>
      </w:r>
      <w:r w:rsidR="00960861" w:rsidRPr="00CC4783">
        <w:t>’</w:t>
      </w:r>
      <w:r w:rsidR="006766CD" w:rsidRPr="00CC4783">
        <w:t>enseignement des langues européennes, communication obligatoire des élus nationaux sur les réalisations accomplies grâce aux fonds structurels,</w:t>
      </w:r>
      <w:r w:rsidR="00507DFA" w:rsidRPr="00CC4783">
        <w:t xml:space="preserve"> </w:t>
      </w:r>
      <w:r w:rsidR="009C714F" w:rsidRPr="00CC4783">
        <w:t xml:space="preserve">développement de mécanismes de consultation </w:t>
      </w:r>
      <w:r w:rsidR="00B932CE" w:rsidRPr="00CC4783">
        <w:t>citoyenne</w:t>
      </w:r>
      <w:r w:rsidR="00D501F8" w:rsidRPr="00CC4783">
        <w:t xml:space="preserve"> sur les territoires..</w:t>
      </w:r>
      <w:r w:rsidR="009C714F" w:rsidRPr="00CC4783">
        <w:t xml:space="preserve">. </w:t>
      </w:r>
    </w:p>
    <w:p w:rsidR="009C714F" w:rsidRPr="00CC4783" w:rsidRDefault="007C1D54" w:rsidP="00CC4783">
      <w:pPr>
        <w:keepNext/>
        <w:spacing w:after="200"/>
        <w:rPr>
          <w:b/>
        </w:rPr>
      </w:pPr>
      <w:r w:rsidRPr="00CC4783">
        <w:rPr>
          <w:b/>
        </w:rPr>
        <w:t>Question</w:t>
      </w:r>
      <w:r w:rsidR="002F7923" w:rsidRPr="00CC4783">
        <w:rPr>
          <w:b/>
        </w:rPr>
        <w:t> </w:t>
      </w:r>
      <w:r w:rsidRPr="001121C6">
        <w:rPr>
          <w:b/>
        </w:rPr>
        <w:t>4</w:t>
      </w:r>
      <w:r w:rsidR="00DA25B9" w:rsidRPr="00DB3DD0">
        <w:rPr>
          <w:b/>
        </w:rPr>
        <w:t>: Les domaines d’action évoqués sont-ils exhaustifs et suffisamment illustratifs? Comment les classeriez-vous par ordre d’importance? Y a-t-il un domaine d’action majeur qui n’est pas mentionné ou qui n’est pas suffisamment traité? Si c’est le cas, duquel s’agit-il, et lequel des cinq scénarios correspondrait-il le mieux à son développement?</w:t>
      </w:r>
    </w:p>
    <w:p w:rsidR="0017309B" w:rsidRPr="00CC4783" w:rsidRDefault="00E248FB" w:rsidP="005A5A02">
      <w:pPr>
        <w:spacing w:after="200"/>
      </w:pPr>
      <w:r w:rsidRPr="00CC4783">
        <w:t>Les domaines d</w:t>
      </w:r>
      <w:r w:rsidR="00960861" w:rsidRPr="00CC4783">
        <w:t>’</w:t>
      </w:r>
      <w:r w:rsidRPr="00CC4783">
        <w:t xml:space="preserve">action </w:t>
      </w:r>
      <w:r w:rsidR="00D501F8" w:rsidRPr="00CC4783">
        <w:t xml:space="preserve">mentionnés dans le Livre blanc </w:t>
      </w:r>
      <w:r w:rsidRPr="00CC4783">
        <w:t xml:space="preserve">ne sont pas </w:t>
      </w:r>
      <w:r w:rsidR="00B932CE" w:rsidRPr="00CC4783">
        <w:t xml:space="preserve">suffisamment exhaustifs. </w:t>
      </w:r>
      <w:r w:rsidR="006F30D7" w:rsidRPr="00CC4783">
        <w:t xml:space="preserve">Dans </w:t>
      </w:r>
      <w:r w:rsidR="00B07EDE" w:rsidRPr="00CC4783">
        <w:t>les trois ateliers</w:t>
      </w:r>
      <w:r w:rsidR="006F30D7" w:rsidRPr="00CC4783">
        <w:t>, i</w:t>
      </w:r>
      <w:r w:rsidR="00992F40" w:rsidRPr="00CC4783">
        <w:t xml:space="preserve">l y a unanimité sur </w:t>
      </w:r>
      <w:r w:rsidR="0017309B" w:rsidRPr="00CC4783">
        <w:t xml:space="preserve">la nécessaire </w:t>
      </w:r>
      <w:r w:rsidR="00440F18" w:rsidRPr="00CC4783">
        <w:t xml:space="preserve">mention </w:t>
      </w:r>
      <w:r w:rsidR="0017309B" w:rsidRPr="00CC4783">
        <w:t>de l</w:t>
      </w:r>
      <w:r w:rsidR="00960861" w:rsidRPr="00CC4783">
        <w:t>’</w:t>
      </w:r>
      <w:r w:rsidR="0017309B" w:rsidRPr="00CC4783">
        <w:t xml:space="preserve">investissement. </w:t>
      </w:r>
    </w:p>
    <w:p w:rsidR="00992F40" w:rsidRPr="00CC4783" w:rsidRDefault="0017309B" w:rsidP="005A5A02">
      <w:pPr>
        <w:spacing w:after="200"/>
      </w:pPr>
      <w:r w:rsidRPr="00CC4783">
        <w:t>Plus spécifiquement</w:t>
      </w:r>
      <w:r w:rsidR="00B932CE" w:rsidRPr="00CC4783">
        <w:t xml:space="preserve">, les employeurs </w:t>
      </w:r>
      <w:r w:rsidRPr="00CC4783">
        <w:t xml:space="preserve">auraient souhaité recenser </w:t>
      </w:r>
      <w:r w:rsidR="001065F0" w:rsidRPr="00CC4783">
        <w:t>l</w:t>
      </w:r>
      <w:r w:rsidR="00960861" w:rsidRPr="00CC4783">
        <w:t>’</w:t>
      </w:r>
      <w:r w:rsidR="001065F0" w:rsidRPr="00CC4783">
        <w:t>industrie,</w:t>
      </w:r>
      <w:r w:rsidRPr="00CC4783">
        <w:t xml:space="preserve"> l</w:t>
      </w:r>
      <w:r w:rsidR="00960861" w:rsidRPr="00CC4783">
        <w:t>’</w:t>
      </w:r>
      <w:r w:rsidRPr="00CC4783">
        <w:t>économie numérique</w:t>
      </w:r>
      <w:r w:rsidR="0070555A" w:rsidRPr="00CC4783">
        <w:t xml:space="preserve">, </w:t>
      </w:r>
      <w:r w:rsidRPr="00CC4783">
        <w:t>la politique régionale</w:t>
      </w:r>
      <w:r w:rsidR="0070555A" w:rsidRPr="00CC4783">
        <w:t>, l</w:t>
      </w:r>
      <w:r w:rsidR="00D501F8" w:rsidRPr="00CC4783">
        <w:t>a valorisation du</w:t>
      </w:r>
      <w:r w:rsidR="0070555A" w:rsidRPr="00CC4783">
        <w:t xml:space="preserve"> patrimoine culturel</w:t>
      </w:r>
      <w:r w:rsidR="001065F0" w:rsidRPr="00CC4783">
        <w:t xml:space="preserve">. </w:t>
      </w:r>
    </w:p>
    <w:p w:rsidR="00317173" w:rsidRPr="00CC4783" w:rsidRDefault="00BF429E" w:rsidP="005A5A02">
      <w:pPr>
        <w:spacing w:after="200"/>
      </w:pPr>
      <w:r w:rsidRPr="00CC4783">
        <w:t xml:space="preserve">De leur côté, </w:t>
      </w:r>
      <w:r w:rsidR="00992F40" w:rsidRPr="00CC4783">
        <w:t xml:space="preserve">les représentants des syndicats proposent </w:t>
      </w:r>
      <w:r w:rsidR="003C09EE" w:rsidRPr="00CC4783">
        <w:t>d</w:t>
      </w:r>
      <w:r w:rsidR="00960861" w:rsidRPr="00CC4783">
        <w:t>’</w:t>
      </w:r>
      <w:r w:rsidR="00317173" w:rsidRPr="00CC4783">
        <w:t>ajouter</w:t>
      </w:r>
      <w:r w:rsidR="00992F40" w:rsidRPr="00CC4783">
        <w:t xml:space="preserve"> deux domaines d</w:t>
      </w:r>
      <w:r w:rsidR="00960861" w:rsidRPr="00CC4783">
        <w:t>’</w:t>
      </w:r>
      <w:r w:rsidR="00992F40" w:rsidRPr="00CC4783">
        <w:t xml:space="preserve">action </w:t>
      </w:r>
      <w:r w:rsidR="003C09EE" w:rsidRPr="00CC4783">
        <w:t xml:space="preserve">respectivement </w:t>
      </w:r>
      <w:r w:rsidR="00992F40" w:rsidRPr="00CC4783">
        <w:t xml:space="preserve">intitulés social et environnement. </w:t>
      </w:r>
      <w:r w:rsidR="0017309B" w:rsidRPr="00CC4783">
        <w:t xml:space="preserve">En outre, </w:t>
      </w:r>
      <w:r w:rsidR="001065F0" w:rsidRPr="00CC4783">
        <w:t>les syndicats</w:t>
      </w:r>
      <w:r w:rsidR="00C73867" w:rsidRPr="00CC4783">
        <w:t xml:space="preserve"> </w:t>
      </w:r>
      <w:r w:rsidR="0017309B" w:rsidRPr="00CC4783">
        <w:t>attirent l</w:t>
      </w:r>
      <w:r w:rsidR="00960861" w:rsidRPr="00CC4783">
        <w:t>’</w:t>
      </w:r>
      <w:r w:rsidR="0017309B" w:rsidRPr="00CC4783">
        <w:t>attention sur l</w:t>
      </w:r>
      <w:r w:rsidR="00960861" w:rsidRPr="00CC4783">
        <w:t>’</w:t>
      </w:r>
      <w:r w:rsidR="0017309B" w:rsidRPr="00CC4783">
        <w:t xml:space="preserve">importance de </w:t>
      </w:r>
      <w:r w:rsidR="009070C9" w:rsidRPr="00CC4783">
        <w:t>ne pas inclure certaines politiques (par exemple l</w:t>
      </w:r>
      <w:r w:rsidR="00960861" w:rsidRPr="00CC4783">
        <w:t>’</w:t>
      </w:r>
      <w:r w:rsidR="009070C9" w:rsidRPr="00CC4783">
        <w:t xml:space="preserve">éducation) dans les </w:t>
      </w:r>
      <w:r w:rsidR="0017309B" w:rsidRPr="00CC4783">
        <w:t>déficit</w:t>
      </w:r>
      <w:r w:rsidR="009070C9" w:rsidRPr="00CC4783">
        <w:t xml:space="preserve">s </w:t>
      </w:r>
      <w:r w:rsidR="00992F40" w:rsidRPr="00CC4783">
        <w:t xml:space="preserve">déclarés par </w:t>
      </w:r>
      <w:r w:rsidR="009070C9" w:rsidRPr="00CC4783">
        <w:t xml:space="preserve">les </w:t>
      </w:r>
      <w:r w:rsidR="002F7923" w:rsidRPr="00CC4783">
        <w:t>É</w:t>
      </w:r>
      <w:r w:rsidR="009070C9" w:rsidRPr="00CC4783">
        <w:t>tats membres</w:t>
      </w:r>
      <w:r w:rsidR="006766CD" w:rsidRPr="00CC4783">
        <w:t xml:space="preserve"> et de valoriser les vertus du dialogue social au niveau européen et national.</w:t>
      </w:r>
      <w:r w:rsidR="009070C9" w:rsidRPr="00CC4783">
        <w:t xml:space="preserve"> </w:t>
      </w:r>
    </w:p>
    <w:p w:rsidR="00705DF1" w:rsidRPr="00CC4783" w:rsidRDefault="002D779B" w:rsidP="005A5A02">
      <w:pPr>
        <w:spacing w:after="200"/>
      </w:pPr>
      <w:r w:rsidRPr="00CC4783">
        <w:t xml:space="preserve">Enfin, les représentants du groupe divers </w:t>
      </w:r>
      <w:r w:rsidR="00C73867" w:rsidRPr="00CC4783">
        <w:t>insistent sur</w:t>
      </w:r>
      <w:r w:rsidRPr="00CC4783">
        <w:t xml:space="preserve"> l</w:t>
      </w:r>
      <w:r w:rsidR="00960861" w:rsidRPr="00CC4783">
        <w:t>’</w:t>
      </w:r>
      <w:r w:rsidRPr="00CC4783">
        <w:t xml:space="preserve">importance de refléter les préoccupations des jeunes dans </w:t>
      </w:r>
      <w:r w:rsidR="009070C9" w:rsidRPr="00CC4783">
        <w:t xml:space="preserve">tous </w:t>
      </w:r>
      <w:r w:rsidRPr="00CC4783">
        <w:t>les domaines d</w:t>
      </w:r>
      <w:r w:rsidR="00960861" w:rsidRPr="00CC4783">
        <w:t>’</w:t>
      </w:r>
      <w:r w:rsidRPr="00CC4783">
        <w:t>action de l</w:t>
      </w:r>
      <w:r w:rsidR="00960861" w:rsidRPr="00CC4783">
        <w:t>’</w:t>
      </w:r>
      <w:r w:rsidRPr="00CC4783">
        <w:t>UE.</w:t>
      </w:r>
    </w:p>
    <w:p w:rsidR="00BF429E" w:rsidRPr="00CC4783" w:rsidRDefault="0017309B" w:rsidP="00CC4783">
      <w:pPr>
        <w:keepNext/>
        <w:spacing w:after="200"/>
        <w:rPr>
          <w:b/>
        </w:rPr>
      </w:pPr>
      <w:r w:rsidRPr="00CC4783">
        <w:rPr>
          <w:b/>
        </w:rPr>
        <w:t>Question</w:t>
      </w:r>
      <w:r w:rsidR="002F7923" w:rsidRPr="00CC4783">
        <w:rPr>
          <w:b/>
        </w:rPr>
        <w:t> </w:t>
      </w:r>
      <w:r w:rsidRPr="001121C6">
        <w:rPr>
          <w:b/>
        </w:rPr>
        <w:t>5</w:t>
      </w:r>
      <w:r w:rsidR="00DA25B9" w:rsidRPr="00DB3DD0">
        <w:rPr>
          <w:b/>
        </w:rPr>
        <w:t>: S’agissant de «la voie à suivre», comment les «Débats sur l’avenir de l’Europe» dans les parlements nationaux, les villes et les régions partout en Europe devraient-ils être structurés? Quel rôle la société civile devrait-elle jouer sur cette «voie à suivre», et comment?</w:t>
      </w:r>
    </w:p>
    <w:p w:rsidR="00657737" w:rsidRPr="00CC4783" w:rsidRDefault="00F40DA8" w:rsidP="005A5A02">
      <w:pPr>
        <w:spacing w:after="200"/>
      </w:pPr>
      <w:r w:rsidRPr="00CC4783">
        <w:t>Un consensus existe sur l</w:t>
      </w:r>
      <w:r w:rsidR="00960861" w:rsidRPr="00CC4783">
        <w:t>’</w:t>
      </w:r>
      <w:r w:rsidRPr="00CC4783">
        <w:t>importance d</w:t>
      </w:r>
      <w:r w:rsidR="00960861" w:rsidRPr="00CC4783">
        <w:t>’</w:t>
      </w:r>
      <w:r w:rsidRPr="00CC4783">
        <w:t>une participati</w:t>
      </w:r>
      <w:r w:rsidR="0070555A" w:rsidRPr="00CC4783">
        <w:t>on de la société civile aux échelons locaux, nationaux et européens</w:t>
      </w:r>
      <w:r w:rsidRPr="00CC4783">
        <w:t>.</w:t>
      </w:r>
    </w:p>
    <w:p w:rsidR="00317173" w:rsidRPr="00CC4783" w:rsidRDefault="0070555A" w:rsidP="005A5A02">
      <w:pPr>
        <w:spacing w:after="200"/>
      </w:pPr>
      <w:r w:rsidRPr="00CC4783">
        <w:t xml:space="preserve">Les syndicats proposent de structurer les débats </w:t>
      </w:r>
      <w:r w:rsidR="006F30D7" w:rsidRPr="00CC4783">
        <w:t>sur l</w:t>
      </w:r>
      <w:r w:rsidR="00960861" w:rsidRPr="00CC4783">
        <w:t>’</w:t>
      </w:r>
      <w:r w:rsidR="006F30D7" w:rsidRPr="00CC4783">
        <w:t>avenir de l</w:t>
      </w:r>
      <w:r w:rsidR="00960861" w:rsidRPr="00CC4783">
        <w:t>’</w:t>
      </w:r>
      <w:r w:rsidR="006F30D7" w:rsidRPr="00CC4783">
        <w:t xml:space="preserve">Europe </w:t>
      </w:r>
      <w:r w:rsidRPr="00CC4783">
        <w:t xml:space="preserve">à partir des </w:t>
      </w:r>
      <w:r w:rsidR="002D779B" w:rsidRPr="00CC4783">
        <w:t>sujets</w:t>
      </w:r>
      <w:r w:rsidRPr="00CC4783">
        <w:t xml:space="preserve"> engagés dans le cadre du dialogue social</w:t>
      </w:r>
      <w:r w:rsidR="002D779B" w:rsidRPr="00CC4783">
        <w:t>,</w:t>
      </w:r>
      <w:r w:rsidRPr="00CC4783">
        <w:t xml:space="preserve"> </w:t>
      </w:r>
      <w:r w:rsidR="009070C9" w:rsidRPr="00CC4783">
        <w:t xml:space="preserve">comme les </w:t>
      </w:r>
      <w:r w:rsidR="002D779B" w:rsidRPr="00CC4783">
        <w:t>acquis sociaux</w:t>
      </w:r>
      <w:r w:rsidR="00317173" w:rsidRPr="00CC4783">
        <w:t xml:space="preserve"> et les politiques de l</w:t>
      </w:r>
      <w:r w:rsidR="00960861" w:rsidRPr="00CC4783">
        <w:t>’</w:t>
      </w:r>
      <w:r w:rsidR="00317173" w:rsidRPr="00CC4783">
        <w:t xml:space="preserve">Union </w:t>
      </w:r>
      <w:r w:rsidR="002E37D8" w:rsidRPr="00CC4783">
        <w:t>concernant</w:t>
      </w:r>
      <w:r w:rsidR="00317173" w:rsidRPr="00CC4783">
        <w:t xml:space="preserve"> les travailleurs</w:t>
      </w:r>
      <w:r w:rsidR="002D779B" w:rsidRPr="00CC4783">
        <w:t>.</w:t>
      </w:r>
    </w:p>
    <w:p w:rsidR="00317173" w:rsidRPr="00CC4783" w:rsidRDefault="002D779B" w:rsidP="005A5A02">
      <w:pPr>
        <w:spacing w:after="200"/>
      </w:pPr>
      <w:r w:rsidRPr="00CC4783">
        <w:t>De leur côté, l</w:t>
      </w:r>
      <w:r w:rsidR="0070555A" w:rsidRPr="00CC4783">
        <w:t>es employeurs proposent d</w:t>
      </w:r>
      <w:r w:rsidR="00960861" w:rsidRPr="00CC4783">
        <w:t>’</w:t>
      </w:r>
      <w:r w:rsidR="0070555A" w:rsidRPr="00CC4783">
        <w:t>engager les débats à partir d</w:t>
      </w:r>
      <w:r w:rsidRPr="00CC4783">
        <w:t>e</w:t>
      </w:r>
      <w:r w:rsidR="0070555A" w:rsidRPr="00CC4783">
        <w:t xml:space="preserve"> </w:t>
      </w:r>
      <w:r w:rsidRPr="00CC4783">
        <w:t xml:space="preserve">sujets </w:t>
      </w:r>
      <w:r w:rsidR="009070C9" w:rsidRPr="00CC4783">
        <w:t>d</w:t>
      </w:r>
      <w:r w:rsidR="00960861" w:rsidRPr="00CC4783">
        <w:t>’</w:t>
      </w:r>
      <w:r w:rsidR="009070C9" w:rsidRPr="00CC4783">
        <w:t xml:space="preserve">intérêt quotidien, </w:t>
      </w:r>
      <w:r w:rsidR="0070555A" w:rsidRPr="00CC4783">
        <w:t>tels que le</w:t>
      </w:r>
      <w:r w:rsidR="006766CD" w:rsidRPr="00CC4783">
        <w:t xml:space="preserve">s opportunités du numérique, ou </w:t>
      </w:r>
      <w:r w:rsidRPr="00CC4783">
        <w:t>l</w:t>
      </w:r>
      <w:r w:rsidR="006766CD" w:rsidRPr="00CC4783">
        <w:t>es acquis de l</w:t>
      </w:r>
      <w:r w:rsidRPr="00CC4783">
        <w:t>a politique agricole commune.</w:t>
      </w:r>
    </w:p>
    <w:p w:rsidR="00E248FB" w:rsidRPr="00CC4783" w:rsidRDefault="002D779B" w:rsidP="005A5A02">
      <w:pPr>
        <w:spacing w:after="200"/>
      </w:pPr>
      <w:r w:rsidRPr="00CC4783">
        <w:t>Pour les représentants du groupe des activités diverses, la mobilisation du vivier d</w:t>
      </w:r>
      <w:r w:rsidR="00960861" w:rsidRPr="00CC4783">
        <w:t>’</w:t>
      </w:r>
      <w:r w:rsidRPr="00CC4783">
        <w:t xml:space="preserve">acteurs issu de la société civile est incontournable dans les débats sur </w:t>
      </w:r>
      <w:r w:rsidR="006A646A" w:rsidRPr="00CC4783">
        <w:t>«</w:t>
      </w:r>
      <w:r w:rsidRPr="00CC4783">
        <w:t>la voie à suivre</w:t>
      </w:r>
      <w:r w:rsidR="006A646A" w:rsidRPr="00CC4783">
        <w:t>»</w:t>
      </w:r>
      <w:r w:rsidRPr="00CC4783">
        <w:t xml:space="preserve"> et </w:t>
      </w:r>
      <w:r w:rsidR="006A646A" w:rsidRPr="00CC4783">
        <w:t>«</w:t>
      </w:r>
      <w:r w:rsidRPr="00CC4783">
        <w:t>l</w:t>
      </w:r>
      <w:r w:rsidR="00960861" w:rsidRPr="00CC4783">
        <w:t>’</w:t>
      </w:r>
      <w:r w:rsidRPr="00CC4783">
        <w:t>avenir de l</w:t>
      </w:r>
      <w:r w:rsidR="00960861" w:rsidRPr="00CC4783">
        <w:t>’</w:t>
      </w:r>
      <w:r w:rsidRPr="00CC4783">
        <w:t>Europe</w:t>
      </w:r>
      <w:r w:rsidR="006A646A" w:rsidRPr="00CC4783">
        <w:t>»</w:t>
      </w:r>
      <w:r w:rsidRPr="00CC4783">
        <w:t>.</w:t>
      </w:r>
    </w:p>
    <w:p w:rsidR="0070555A" w:rsidRPr="00CC4783" w:rsidRDefault="002D779B" w:rsidP="00CC4783">
      <w:pPr>
        <w:keepNext/>
        <w:spacing w:after="200"/>
        <w:rPr>
          <w:b/>
        </w:rPr>
      </w:pPr>
      <w:r w:rsidRPr="00CC4783">
        <w:rPr>
          <w:b/>
        </w:rPr>
        <w:t>Question</w:t>
      </w:r>
      <w:r w:rsidR="002F7923" w:rsidRPr="00CC4783">
        <w:rPr>
          <w:b/>
        </w:rPr>
        <w:t> </w:t>
      </w:r>
      <w:r w:rsidRPr="001121C6">
        <w:rPr>
          <w:b/>
        </w:rPr>
        <w:t>6</w:t>
      </w:r>
      <w:r w:rsidR="00DA25B9" w:rsidRPr="00DB3DD0">
        <w:rPr>
          <w:b/>
        </w:rPr>
        <w:t>: Quelles sont vos attentes particulières concernant l’issue de la consultation?</w:t>
      </w:r>
    </w:p>
    <w:p w:rsidR="00D01FDA" w:rsidRPr="00CC4783" w:rsidRDefault="00852135" w:rsidP="005A5A02">
      <w:pPr>
        <w:spacing w:after="200"/>
      </w:pPr>
      <w:r w:rsidRPr="00CC4783">
        <w:t>De façon générale, la société civile française attend de la consultation qu</w:t>
      </w:r>
      <w:r w:rsidR="00960861" w:rsidRPr="00CC4783">
        <w:t>’</w:t>
      </w:r>
      <w:r w:rsidRPr="00CC4783">
        <w:t>elle débouche</w:t>
      </w:r>
      <w:r w:rsidR="00D01FDA" w:rsidRPr="00CC4783">
        <w:t xml:space="preserve"> sur</w:t>
      </w:r>
      <w:r w:rsidRPr="00CC4783">
        <w:t xml:space="preserve"> </w:t>
      </w:r>
      <w:r w:rsidR="00D01FDA" w:rsidRPr="00CC4783">
        <w:t xml:space="preserve">des </w:t>
      </w:r>
      <w:r w:rsidR="00751001" w:rsidRPr="00CC4783">
        <w:t>décisions concrètes</w:t>
      </w:r>
      <w:r w:rsidR="00337639" w:rsidRPr="00CC4783">
        <w:t xml:space="preserve"> reprenant l</w:t>
      </w:r>
      <w:r w:rsidR="00751001" w:rsidRPr="00CC4783">
        <w:t xml:space="preserve">es recommandations </w:t>
      </w:r>
      <w:r w:rsidR="00317173" w:rsidRPr="00CC4783">
        <w:t>formulé</w:t>
      </w:r>
      <w:r w:rsidR="00751001" w:rsidRPr="00CC4783">
        <w:t>es</w:t>
      </w:r>
      <w:r w:rsidR="00317173" w:rsidRPr="00CC4783">
        <w:t xml:space="preserve"> par l</w:t>
      </w:r>
      <w:r w:rsidR="00337639" w:rsidRPr="00CC4783">
        <w:t>a société civile organisée</w:t>
      </w:r>
      <w:r w:rsidR="00D01FDA" w:rsidRPr="00CC4783">
        <w:t>. Les propositions présentées par la Commission européenne au Parlement européen au mois de septembre (</w:t>
      </w:r>
      <w:r w:rsidR="006A646A" w:rsidRPr="00CC4783">
        <w:t>«</w:t>
      </w:r>
      <w:r w:rsidR="00D01FDA" w:rsidRPr="00CC4783">
        <w:t>discours de l</w:t>
      </w:r>
      <w:r w:rsidR="00960861" w:rsidRPr="00CC4783">
        <w:t>’</w:t>
      </w:r>
      <w:r w:rsidR="00D01FDA" w:rsidRPr="00CC4783">
        <w:t>Union</w:t>
      </w:r>
      <w:r w:rsidR="006A646A" w:rsidRPr="00CC4783">
        <w:t>»</w:t>
      </w:r>
      <w:r w:rsidR="00F23672" w:rsidRPr="00CC4783">
        <w:t>)</w:t>
      </w:r>
      <w:r w:rsidR="00D01FDA" w:rsidRPr="00CC4783">
        <w:t xml:space="preserve"> et les décisions du Conseil européen de </w:t>
      </w:r>
      <w:r w:rsidR="001121C6" w:rsidRPr="00CC4783">
        <w:t>décembre</w:t>
      </w:r>
      <w:r w:rsidR="001121C6">
        <w:t> </w:t>
      </w:r>
      <w:r w:rsidR="00D01FDA" w:rsidRPr="00CC4783">
        <w:t>2017 s</w:t>
      </w:r>
      <w:r w:rsidR="00317173" w:rsidRPr="00CC4783">
        <w:t>eront particulièrement scrutées</w:t>
      </w:r>
      <w:r w:rsidR="00D01FDA" w:rsidRPr="00CC4783">
        <w:t xml:space="preserve">. </w:t>
      </w:r>
    </w:p>
    <w:p w:rsidR="00317173" w:rsidRPr="00CC4783" w:rsidRDefault="00D01FDA" w:rsidP="005A5A02">
      <w:pPr>
        <w:spacing w:after="200"/>
      </w:pPr>
      <w:r w:rsidRPr="00CC4783">
        <w:lastRenderedPageBreak/>
        <w:t>Plus spécifiquement, s</w:t>
      </w:r>
      <w:r w:rsidR="00852135" w:rsidRPr="00CC4783">
        <w:t xml:space="preserve">yndicats et représentants des groupes divers expriment le besoin de revenir aux valeurs fondamentales </w:t>
      </w:r>
      <w:r w:rsidR="00337639" w:rsidRPr="00CC4783">
        <w:t xml:space="preserve">du </w:t>
      </w:r>
      <w:r w:rsidR="002F7923" w:rsidRPr="00CC4783">
        <w:t>p</w:t>
      </w:r>
      <w:r w:rsidR="00337639" w:rsidRPr="00CC4783">
        <w:t>rojet européen, un fonctionnement plus démocratique ainsi qu</w:t>
      </w:r>
      <w:r w:rsidR="00960861" w:rsidRPr="00CC4783">
        <w:t>’</w:t>
      </w:r>
      <w:r w:rsidR="00337639" w:rsidRPr="00CC4783">
        <w:t>un usage plus systématique des symboles de l</w:t>
      </w:r>
      <w:r w:rsidR="00960861" w:rsidRPr="00CC4783">
        <w:t>’</w:t>
      </w:r>
      <w:r w:rsidR="00337639" w:rsidRPr="00CC4783">
        <w:t>UE (</w:t>
      </w:r>
      <w:r w:rsidR="009070C9" w:rsidRPr="00CC4783">
        <w:t>par exemple</w:t>
      </w:r>
      <w:r w:rsidR="00317173" w:rsidRPr="00CC4783">
        <w:t>,</w:t>
      </w:r>
      <w:r w:rsidR="009070C9" w:rsidRPr="00CC4783">
        <w:t xml:space="preserve"> la </w:t>
      </w:r>
      <w:r w:rsidR="002E37D8" w:rsidRPr="00CC4783">
        <w:rPr>
          <w:i/>
        </w:rPr>
        <w:t>valeur ajoutée européenne</w:t>
      </w:r>
      <w:r w:rsidR="002E37D8" w:rsidRPr="00CC4783">
        <w:t xml:space="preserve">, la date du </w:t>
      </w:r>
      <w:r w:rsidR="00337639" w:rsidRPr="00CC4783">
        <w:t>9</w:t>
      </w:r>
      <w:r w:rsidR="002F7923" w:rsidRPr="00CC4783">
        <w:t> </w:t>
      </w:r>
      <w:r w:rsidR="00337639" w:rsidRPr="00CC4783">
        <w:t>mai</w:t>
      </w:r>
      <w:r w:rsidR="00317173" w:rsidRPr="00CC4783">
        <w:t>).</w:t>
      </w:r>
    </w:p>
    <w:p w:rsidR="00337639" w:rsidRPr="00CC4783" w:rsidRDefault="00317173" w:rsidP="005A5A02">
      <w:pPr>
        <w:spacing w:after="200"/>
      </w:pPr>
      <w:r w:rsidRPr="00CC4783">
        <w:t>De leur côté, les employeurs soulignent que les succès de l</w:t>
      </w:r>
      <w:r w:rsidR="00960861" w:rsidRPr="00CC4783">
        <w:t>’</w:t>
      </w:r>
      <w:r w:rsidRPr="00CC4783">
        <w:t>UE constituent aussi des symboles</w:t>
      </w:r>
      <w:r w:rsidR="00337639" w:rsidRPr="00CC4783">
        <w:t xml:space="preserve"> </w:t>
      </w:r>
      <w:r w:rsidRPr="00CC4783">
        <w:t xml:space="preserve">(par exemple, </w:t>
      </w:r>
      <w:r w:rsidR="009070C9" w:rsidRPr="00CC4783">
        <w:t>le programme GALILEO</w:t>
      </w:r>
      <w:r w:rsidR="00337639" w:rsidRPr="00CC4783">
        <w:t>).</w:t>
      </w:r>
    </w:p>
    <w:p w:rsidR="00312938" w:rsidRPr="00CC4783" w:rsidRDefault="00337639" w:rsidP="00CC4783">
      <w:pPr>
        <w:keepNext/>
        <w:spacing w:after="200"/>
        <w:rPr>
          <w:b/>
        </w:rPr>
      </w:pPr>
      <w:r w:rsidRPr="00CC4783">
        <w:rPr>
          <w:b/>
        </w:rPr>
        <w:t xml:space="preserve">Question </w:t>
      </w:r>
      <w:r w:rsidRPr="001121C6">
        <w:rPr>
          <w:b/>
        </w:rPr>
        <w:t>7</w:t>
      </w:r>
      <w:r w:rsidR="00DA25B9" w:rsidRPr="00DB3DD0">
        <w:rPr>
          <w:b/>
        </w:rPr>
        <w:t>: Comment les citoyens peuvent-ils être davantage impliqués dans le façonnage de l’avenir de l’Europe?</w:t>
      </w:r>
    </w:p>
    <w:p w:rsidR="00657737" w:rsidRPr="00CC4783" w:rsidRDefault="00C73867" w:rsidP="005A5A02">
      <w:pPr>
        <w:spacing w:after="200"/>
      </w:pPr>
      <w:r w:rsidRPr="00CC4783">
        <w:t xml:space="preserve">Il existe un consensus général </w:t>
      </w:r>
      <w:r w:rsidR="002E37D8" w:rsidRPr="00CC4783">
        <w:t>à propos de</w:t>
      </w:r>
      <w:r w:rsidRPr="00CC4783">
        <w:t xml:space="preserve"> l</w:t>
      </w:r>
      <w:r w:rsidR="00960861" w:rsidRPr="00CC4783">
        <w:t>’</w:t>
      </w:r>
      <w:r w:rsidRPr="00CC4783">
        <w:t xml:space="preserve">implication </w:t>
      </w:r>
      <w:r w:rsidR="00D501F8" w:rsidRPr="00CC4783">
        <w:t xml:space="preserve">nécessaire </w:t>
      </w:r>
      <w:r w:rsidRPr="00CC4783">
        <w:t xml:space="preserve">des citoyens dans le façonnage de </w:t>
      </w:r>
      <w:r w:rsidR="00657737" w:rsidRPr="00CC4783">
        <w:t>l</w:t>
      </w:r>
      <w:r w:rsidR="00960861" w:rsidRPr="00CC4783">
        <w:t>’</w:t>
      </w:r>
      <w:r w:rsidR="00657737" w:rsidRPr="00CC4783">
        <w:t>avenir de l</w:t>
      </w:r>
      <w:r w:rsidR="00960861" w:rsidRPr="00CC4783">
        <w:t>’</w:t>
      </w:r>
      <w:r w:rsidR="00657737" w:rsidRPr="00CC4783">
        <w:t xml:space="preserve">Europe. En France, le dialogue civil pourrait </w:t>
      </w:r>
      <w:r w:rsidR="006F30D7" w:rsidRPr="00CC4783">
        <w:t>s</w:t>
      </w:r>
      <w:r w:rsidR="00960861" w:rsidRPr="00CC4783">
        <w:t>’</w:t>
      </w:r>
      <w:r w:rsidR="00657737" w:rsidRPr="00CC4783">
        <w:t>opérer de façon décentralisée, par exemple par l</w:t>
      </w:r>
      <w:r w:rsidR="00960861" w:rsidRPr="00CC4783">
        <w:t>’</w:t>
      </w:r>
      <w:r w:rsidR="00657737" w:rsidRPr="00CC4783">
        <w:t xml:space="preserve">intermédiaire des Comités économiques, sociaux et environnementaux régionaux </w:t>
      </w:r>
      <w:r w:rsidR="00751001" w:rsidRPr="00CC4783">
        <w:t>(</w:t>
      </w:r>
      <w:r w:rsidR="00657737" w:rsidRPr="00CC4783">
        <w:t>CESER) présents dans les 13</w:t>
      </w:r>
      <w:r w:rsidR="002F7923" w:rsidRPr="00CC4783">
        <w:t> </w:t>
      </w:r>
      <w:r w:rsidR="00657737" w:rsidRPr="00CC4783">
        <w:t>régions métropolitaines et 5</w:t>
      </w:r>
      <w:r w:rsidR="002F7923" w:rsidRPr="00CC4783">
        <w:t> </w:t>
      </w:r>
      <w:r w:rsidR="00657737" w:rsidRPr="00CC4783">
        <w:t>régions ultramarines</w:t>
      </w:r>
      <w:r w:rsidR="006F30D7" w:rsidRPr="00CC4783">
        <w:t>. Les</w:t>
      </w:r>
      <w:r w:rsidR="00507DFA" w:rsidRPr="00CC4783">
        <w:t xml:space="preserve"> </w:t>
      </w:r>
      <w:r w:rsidR="00D501F8" w:rsidRPr="00CC4783">
        <w:t>«Maisons de l</w:t>
      </w:r>
      <w:r w:rsidR="00960861" w:rsidRPr="00CC4783">
        <w:t>’</w:t>
      </w:r>
      <w:r w:rsidR="00D501F8" w:rsidRPr="00CC4783">
        <w:t>Europe»</w:t>
      </w:r>
      <w:r w:rsidR="006F30D7" w:rsidRPr="00CC4783">
        <w:t xml:space="preserve"> ont </w:t>
      </w:r>
      <w:r w:rsidR="00B07EDE" w:rsidRPr="00CC4783">
        <w:t>également</w:t>
      </w:r>
      <w:r w:rsidR="006F30D7" w:rsidRPr="00CC4783">
        <w:t xml:space="preserve"> un rôle à jouer</w:t>
      </w:r>
      <w:r w:rsidR="00657737" w:rsidRPr="00CC4783">
        <w:t>.</w:t>
      </w:r>
    </w:p>
    <w:p w:rsidR="00317173" w:rsidRPr="00CC4783" w:rsidRDefault="00657737" w:rsidP="005A5A02">
      <w:pPr>
        <w:spacing w:after="200"/>
      </w:pPr>
      <w:r w:rsidRPr="00CC4783">
        <w:t>Les employeurs</w:t>
      </w:r>
      <w:r w:rsidR="00317173" w:rsidRPr="00CC4783">
        <w:t xml:space="preserve"> et représentant des activités diverses </w:t>
      </w:r>
      <w:r w:rsidRPr="00CC4783">
        <w:t>proposent d</w:t>
      </w:r>
      <w:r w:rsidR="00960861" w:rsidRPr="00CC4783">
        <w:t>’</w:t>
      </w:r>
      <w:r w:rsidRPr="00CC4783">
        <w:t xml:space="preserve">impliquer les citoyens à partir de débat sur des sujets concrets (politique agricole commune, </w:t>
      </w:r>
      <w:r w:rsidR="00D501F8" w:rsidRPr="00CC4783">
        <w:t>agenda numérique</w:t>
      </w:r>
      <w:r w:rsidRPr="00CC4783">
        <w:t xml:space="preserve">). </w:t>
      </w:r>
    </w:p>
    <w:p w:rsidR="007A70B3" w:rsidRPr="00CC4783" w:rsidRDefault="00657737" w:rsidP="005A5A02">
      <w:pPr>
        <w:spacing w:after="200"/>
      </w:pPr>
      <w:r w:rsidRPr="00CC4783">
        <w:t>De leur côté, les syndicats souligne</w:t>
      </w:r>
      <w:r w:rsidR="00317173" w:rsidRPr="00CC4783">
        <w:t>nt</w:t>
      </w:r>
      <w:r w:rsidRPr="00CC4783">
        <w:t xml:space="preserve"> que la </w:t>
      </w:r>
      <w:r w:rsidR="00317173" w:rsidRPr="00CC4783">
        <w:t xml:space="preserve">méthode </w:t>
      </w:r>
      <w:r w:rsidR="00751001" w:rsidRPr="00CC4783">
        <w:t>de consultation choisie</w:t>
      </w:r>
      <w:r w:rsidR="00317173" w:rsidRPr="00CC4783">
        <w:t xml:space="preserve"> par le CESE </w:t>
      </w:r>
      <w:r w:rsidRPr="00CC4783">
        <w:t>constitue un mode d</w:t>
      </w:r>
      <w:r w:rsidR="00960861" w:rsidRPr="00CC4783">
        <w:t>’</w:t>
      </w:r>
      <w:r w:rsidRPr="00CC4783">
        <w:t xml:space="preserve">implication </w:t>
      </w:r>
      <w:r w:rsidR="00317173" w:rsidRPr="00CC4783">
        <w:t>susceptible</w:t>
      </w:r>
      <w:r w:rsidRPr="00CC4783">
        <w:t xml:space="preserve"> d</w:t>
      </w:r>
      <w:r w:rsidR="00960861" w:rsidRPr="00CC4783">
        <w:t>’</w:t>
      </w:r>
      <w:r w:rsidRPr="00CC4783">
        <w:t xml:space="preserve">être poursuivi, en particulier </w:t>
      </w:r>
      <w:r w:rsidR="007A70B3" w:rsidRPr="00CC4783">
        <w:t>au sujet des 5</w:t>
      </w:r>
      <w:r w:rsidR="002F7923" w:rsidRPr="00CC4783">
        <w:t> </w:t>
      </w:r>
      <w:r w:rsidR="007A70B3" w:rsidRPr="00CC4783">
        <w:t>documents de réflexion en cours de publication (la dimension sociale de l</w:t>
      </w:r>
      <w:r w:rsidR="00960861" w:rsidRPr="00CC4783">
        <w:t>’</w:t>
      </w:r>
      <w:r w:rsidR="007A70B3" w:rsidRPr="00CC4783">
        <w:t xml:space="preserve">Europe, </w:t>
      </w:r>
      <w:r w:rsidR="002F7923" w:rsidRPr="00CC4783">
        <w:t>m</w:t>
      </w:r>
      <w:r w:rsidR="007A70B3" w:rsidRPr="00CC4783">
        <w:t>aitriser la mondialisation)</w:t>
      </w:r>
      <w:r w:rsidR="00751001" w:rsidRPr="00CC4783">
        <w:t xml:space="preserve"> encadrant la réflexion sur le Livre blanc</w:t>
      </w:r>
      <w:r w:rsidR="007A70B3" w:rsidRPr="00CC4783">
        <w:t>.</w:t>
      </w:r>
    </w:p>
    <w:p w:rsidR="007A70B3" w:rsidRPr="00CC4783" w:rsidRDefault="007A70B3" w:rsidP="00CC4783">
      <w:pPr>
        <w:keepNext/>
        <w:spacing w:after="200" w:line="240" w:lineRule="auto"/>
        <w:rPr>
          <w:b/>
        </w:rPr>
      </w:pPr>
      <w:r w:rsidRPr="00CC4783">
        <w:rPr>
          <w:b/>
        </w:rPr>
        <w:t>Recommandations</w:t>
      </w:r>
    </w:p>
    <w:p w:rsidR="006F30D7" w:rsidRPr="00CC4783" w:rsidRDefault="006F30D7" w:rsidP="00B1303E">
      <w:pPr>
        <w:pStyle w:val="ListParagraph"/>
        <w:numPr>
          <w:ilvl w:val="0"/>
          <w:numId w:val="2"/>
        </w:numPr>
        <w:spacing w:after="200"/>
        <w:ind w:left="567" w:hanging="567"/>
      </w:pPr>
      <w:r w:rsidRPr="00CC4783">
        <w:t>Se concentrer sur un petit nombre de domaines</w:t>
      </w:r>
      <w:r w:rsidR="002F7923" w:rsidRPr="00CC4783">
        <w:t xml:space="preserve"> </w:t>
      </w:r>
      <w:r w:rsidRPr="00CC4783">
        <w:t>clés pour répondre aux attentes les plus urgentes des citoyens: la sécurité (politique étrangère, de sécurité et de défense), l</w:t>
      </w:r>
      <w:r w:rsidR="00960861" w:rsidRPr="00CC4783">
        <w:t>’</w:t>
      </w:r>
      <w:r w:rsidRPr="00CC4783">
        <w:t xml:space="preserve">emploi (investissements, agenda numérique, </w:t>
      </w:r>
      <w:r w:rsidR="002F7923" w:rsidRPr="00CC4783">
        <w:t>r</w:t>
      </w:r>
      <w:r w:rsidRPr="00CC4783">
        <w:t>echerche et développement, politique industrielle) et l</w:t>
      </w:r>
      <w:r w:rsidR="00960861" w:rsidRPr="00CC4783">
        <w:t>’</w:t>
      </w:r>
      <w:r w:rsidR="002F7923" w:rsidRPr="00CC4783">
        <w:t xml:space="preserve">euro </w:t>
      </w:r>
      <w:r w:rsidRPr="00CC4783">
        <w:t>(nouvelle étape d</w:t>
      </w:r>
      <w:r w:rsidR="00960861" w:rsidRPr="00CC4783">
        <w:t>’</w:t>
      </w:r>
      <w:r w:rsidRPr="00CC4783">
        <w:t xml:space="preserve">intégration de la zone </w:t>
      </w:r>
      <w:r w:rsidR="002F7923" w:rsidRPr="00CC4783">
        <w:t>euro).</w:t>
      </w:r>
    </w:p>
    <w:p w:rsidR="006F30D7" w:rsidRPr="00CC4783" w:rsidRDefault="006F30D7" w:rsidP="00B1303E">
      <w:pPr>
        <w:pStyle w:val="ListParagraph"/>
        <w:numPr>
          <w:ilvl w:val="0"/>
          <w:numId w:val="2"/>
        </w:numPr>
        <w:spacing w:after="200"/>
        <w:ind w:left="567" w:hanging="567"/>
      </w:pPr>
      <w:r w:rsidRPr="00CC4783">
        <w:t>L</w:t>
      </w:r>
      <w:r w:rsidR="00960861" w:rsidRPr="00CC4783">
        <w:t>’</w:t>
      </w:r>
      <w:r w:rsidRPr="00CC4783">
        <w:t>ajout des domaines d</w:t>
      </w:r>
      <w:r w:rsidR="00960861" w:rsidRPr="00CC4783">
        <w:t>’</w:t>
      </w:r>
      <w:r w:rsidRPr="00CC4783">
        <w:t xml:space="preserve">action </w:t>
      </w:r>
      <w:r w:rsidR="006A646A" w:rsidRPr="00CC4783">
        <w:t>«</w:t>
      </w:r>
      <w:r w:rsidRPr="00CC4783">
        <w:t>Social</w:t>
      </w:r>
      <w:r w:rsidR="006A646A" w:rsidRPr="00CC4783">
        <w:t>»</w:t>
      </w:r>
      <w:r w:rsidRPr="00CC4783">
        <w:t xml:space="preserve"> et </w:t>
      </w:r>
      <w:r w:rsidR="006A646A" w:rsidRPr="00CC4783">
        <w:t>«</w:t>
      </w:r>
      <w:r w:rsidRPr="00CC4783">
        <w:t>Environnement</w:t>
      </w:r>
      <w:r w:rsidR="006A646A" w:rsidRPr="00CC4783">
        <w:t>»</w:t>
      </w:r>
      <w:r w:rsidRPr="00CC4783">
        <w:t xml:space="preserve"> au sc</w:t>
      </w:r>
      <w:r w:rsidR="00FE7083" w:rsidRPr="00CC4783">
        <w:t>é</w:t>
      </w:r>
      <w:r w:rsidRPr="00CC4783">
        <w:t xml:space="preserve">nario finalement choisi </w:t>
      </w:r>
      <w:r w:rsidR="00B07EDE" w:rsidRPr="00CC4783">
        <w:t>respectera</w:t>
      </w:r>
      <w:r w:rsidR="00FE7083" w:rsidRPr="00CC4783">
        <w:t xml:space="preserve"> l</w:t>
      </w:r>
      <w:r w:rsidR="00960861" w:rsidRPr="00CC4783">
        <w:t>’</w:t>
      </w:r>
      <w:r w:rsidR="00FE7083" w:rsidRPr="00CC4783">
        <w:t>article</w:t>
      </w:r>
      <w:r w:rsidR="002F7923" w:rsidRPr="00CC4783">
        <w:t> </w:t>
      </w:r>
      <w:r w:rsidR="00FE7083" w:rsidRPr="00CC4783">
        <w:t xml:space="preserve">3 du </w:t>
      </w:r>
      <w:r w:rsidR="002F7923" w:rsidRPr="00CC4783">
        <w:t>t</w:t>
      </w:r>
      <w:r w:rsidR="00FE7083" w:rsidRPr="00CC4783">
        <w:t>raité sur l</w:t>
      </w:r>
      <w:r w:rsidR="00960861" w:rsidRPr="00CC4783">
        <w:t>’</w:t>
      </w:r>
      <w:r w:rsidR="00FE7083" w:rsidRPr="00CC4783">
        <w:t>Union européenne promouvant un développement durable de l</w:t>
      </w:r>
      <w:r w:rsidR="00960861" w:rsidRPr="00CC4783">
        <w:t>’</w:t>
      </w:r>
      <w:r w:rsidR="00FE7083" w:rsidRPr="00CC4783">
        <w:t xml:space="preserve">Europe fondé sur une croissance équilibrée, une économie sociale de marché </w:t>
      </w:r>
      <w:r w:rsidR="00B07EDE" w:rsidRPr="00CC4783">
        <w:t>qui tend vers</w:t>
      </w:r>
      <w:r w:rsidR="00FE7083" w:rsidRPr="00CC4783">
        <w:t xml:space="preserve"> le plein emploi, le progrès social et un niveau élevé de protection et d</w:t>
      </w:r>
      <w:r w:rsidR="00960861" w:rsidRPr="00CC4783">
        <w:t>’</w:t>
      </w:r>
      <w:r w:rsidR="00FE7083" w:rsidRPr="00CC4783">
        <w:t>amélioration de la qualité de l</w:t>
      </w:r>
      <w:r w:rsidR="00960861" w:rsidRPr="00CC4783">
        <w:t>’</w:t>
      </w:r>
      <w:r w:rsidR="00FE7083" w:rsidRPr="00CC4783">
        <w:t>environnement.</w:t>
      </w:r>
    </w:p>
    <w:p w:rsidR="00972ECE" w:rsidRDefault="002F7923" w:rsidP="002F70B7">
      <w:pPr>
        <w:pStyle w:val="ListParagraph"/>
        <w:numPr>
          <w:ilvl w:val="0"/>
          <w:numId w:val="2"/>
        </w:numPr>
        <w:spacing w:after="200"/>
        <w:ind w:left="567" w:hanging="567"/>
      </w:pPr>
      <w:r w:rsidRPr="00CC4783">
        <w:t>É</w:t>
      </w:r>
      <w:r w:rsidR="002E37D8" w:rsidRPr="00CC4783">
        <w:t>quilibrer les dimensions économique</w:t>
      </w:r>
      <w:r w:rsidR="00A6237C">
        <w:t>s</w:t>
      </w:r>
      <w:r w:rsidR="002E37D8" w:rsidRPr="00CC4783">
        <w:t>, sociale et démocratique de la construction européenne pour répondre aux attentes des citoyens et reconnaître les acteurs de l</w:t>
      </w:r>
      <w:r w:rsidR="00960861" w:rsidRPr="00CC4783">
        <w:t>’</w:t>
      </w:r>
      <w:r w:rsidR="002E37D8" w:rsidRPr="00CC4783">
        <w:t>économie sociale et solidaire a</w:t>
      </w:r>
      <w:r w:rsidR="0023723F" w:rsidRPr="00CC4783">
        <w:t>u travers de statuts européens.</w:t>
      </w:r>
    </w:p>
    <w:p w:rsidR="002F70B7" w:rsidRDefault="002F70B7" w:rsidP="002F70B7">
      <w:pPr>
        <w:pStyle w:val="ListParagraph"/>
        <w:spacing w:after="200"/>
        <w:ind w:left="567"/>
      </w:pPr>
    </w:p>
    <w:p w:rsidR="002F70B7" w:rsidRDefault="002F70B7" w:rsidP="002F70B7">
      <w:pPr>
        <w:pStyle w:val="ListParagraph"/>
        <w:spacing w:after="200"/>
        <w:ind w:left="567"/>
        <w:rPr>
          <w:u w:val="single"/>
        </w:rPr>
      </w:pPr>
      <w:r>
        <w:rPr>
          <w:u w:val="single"/>
        </w:rPr>
        <w:t>Liste des participants</w:t>
      </w:r>
    </w:p>
    <w:tbl>
      <w:tblPr>
        <w:tblStyle w:val="TableGrid"/>
        <w:tblW w:w="7654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2F70B7" w:rsidRPr="002F70B7" w:rsidTr="00BA3517">
        <w:tc>
          <w:tcPr>
            <w:tcW w:w="2126" w:type="dxa"/>
          </w:tcPr>
          <w:p w:rsidR="002F70B7" w:rsidRPr="002F70B7" w:rsidRDefault="002F70B7" w:rsidP="00B379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Noms</w:t>
            </w:r>
            <w:r w:rsidR="0015106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Organisations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Albouy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Directeur des affaires européennes INRA</w:t>
            </w:r>
          </w:p>
          <w:p w:rsidR="002F70B7" w:rsidRPr="002F70B7" w:rsidRDefault="002F70B7" w:rsidP="0015106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t>Beall</w:t>
            </w:r>
          </w:p>
        </w:tc>
        <w:tc>
          <w:tcPr>
            <w:tcW w:w="5528" w:type="dxa"/>
          </w:tcPr>
          <w:p w:rsidR="002F70B7" w:rsidRDefault="002F70B7" w:rsidP="002F70B7">
            <w:pPr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t>Surfrider, Membre du Conseil économique, social et environnemental</w:t>
            </w:r>
            <w:r w:rsidR="00151062"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t xml:space="preserve"> / </w:t>
            </w:r>
          </w:p>
          <w:p w:rsidR="00151062" w:rsidRPr="002F70B7" w:rsidRDefault="00151062" w:rsidP="0015106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lastRenderedPageBreak/>
              <w:t>Member of the Economic , Social and Environmental Council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Berree</w:t>
            </w:r>
          </w:p>
        </w:tc>
        <w:tc>
          <w:tcPr>
            <w:tcW w:w="5528" w:type="dxa"/>
          </w:tcPr>
          <w:p w:rsid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Groupe 1</w:t>
            </w:r>
          </w:p>
          <w:p w:rsidR="00151062" w:rsidRPr="002F70B7" w:rsidRDefault="00151062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Bertholon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CFE-CGC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Bennahmias</w:t>
            </w:r>
          </w:p>
        </w:tc>
        <w:tc>
          <w:tcPr>
            <w:tcW w:w="5528" w:type="dxa"/>
          </w:tcPr>
          <w:p w:rsidR="00151062" w:rsidRPr="002F70B7" w:rsidRDefault="00AC5414" w:rsidP="00CB54A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13" w:tooltip="Union des démocrates et écologistes" w:history="1">
              <w:r w:rsidR="002F70B7" w:rsidRPr="002F70B7">
                <w:rPr>
                  <w:rFonts w:asciiTheme="minorHAnsi" w:hAnsiTheme="minorHAnsi"/>
                  <w:sz w:val="24"/>
                  <w:szCs w:val="24"/>
                  <w:lang w:val="en-US"/>
                </w:rPr>
                <w:t>Union des démocrates et écologistes</w:t>
              </w:r>
            </w:hyperlink>
            <w:r w:rsidR="002F70B7" w:rsidRPr="002F70B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="002F70B7" w:rsidRPr="002F70B7"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t>Membre du Conseil économique, social et environnemental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Besnard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MRJC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fr-BE" w:eastAsia="fr-BE"/>
              </w:rPr>
              <w:t>Blondelon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CFTC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Buffetaut</w:t>
            </w:r>
          </w:p>
        </w:tc>
        <w:tc>
          <w:tcPr>
            <w:tcW w:w="5528" w:type="dxa"/>
          </w:tcPr>
          <w:p w:rsidR="002F70B7" w:rsidRPr="002F70B7" w:rsidRDefault="002F70B7" w:rsidP="00CB54A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Membre CESE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1" w:name="OLE_LINK1"/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Butaud</w:t>
            </w:r>
            <w:bookmarkEnd w:id="1"/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-Stubbs</w:t>
            </w:r>
          </w:p>
        </w:tc>
        <w:tc>
          <w:tcPr>
            <w:tcW w:w="5528" w:type="dxa"/>
          </w:tcPr>
          <w:p w:rsidR="002F70B7" w:rsidRPr="002F70B7" w:rsidRDefault="002F70B7" w:rsidP="00CB54A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Membre du CESE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Brisson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CPME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 w:cs="Tahoma"/>
                <w:sz w:val="24"/>
                <w:szCs w:val="24"/>
                <w:lang w:val="en-US"/>
              </w:rPr>
              <w:t>Carriou Scheriber</w:t>
            </w:r>
          </w:p>
        </w:tc>
        <w:tc>
          <w:tcPr>
            <w:tcW w:w="5528" w:type="dxa"/>
          </w:tcPr>
          <w:p w:rsidR="00151062" w:rsidRDefault="00151062" w:rsidP="002F70B7">
            <w:pPr>
              <w:spacing w:line="240" w:lineRule="auto"/>
              <w:rPr>
                <w:rFonts w:asciiTheme="minorHAnsi" w:eastAsia="Calibri" w:hAnsiTheme="minorHAnsi"/>
                <w:bCs/>
                <w:sz w:val="24"/>
                <w:szCs w:val="24"/>
                <w:lang w:val="en-US" w:eastAsia="fr-BE"/>
              </w:rPr>
            </w:pPr>
            <w:r>
              <w:rPr>
                <w:rFonts w:asciiTheme="minorHAnsi" w:eastAsia="Calibri" w:hAnsiTheme="minorHAnsi"/>
                <w:bCs/>
                <w:sz w:val="24"/>
                <w:szCs w:val="24"/>
                <w:lang w:val="en-US" w:eastAsia="fr-BE"/>
              </w:rPr>
              <w:t>Chef du conseiller en affaires sociales – Ingénieur social</w:t>
            </w:r>
          </w:p>
          <w:p w:rsidR="002F70B7" w:rsidRDefault="00151062" w:rsidP="002F70B7">
            <w:pPr>
              <w:spacing w:line="240" w:lineRule="auto"/>
              <w:rPr>
                <w:rFonts w:asciiTheme="minorHAnsi" w:eastAsia="Calibri" w:hAnsiTheme="minorHAnsi"/>
                <w:bCs/>
                <w:sz w:val="24"/>
                <w:szCs w:val="24"/>
                <w:lang w:eastAsia="fr-BE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en-US" w:eastAsia="fr-BE"/>
              </w:rPr>
              <w:t>Direction générale des ressources humaines</w:t>
            </w:r>
            <w:r w:rsidR="002F70B7" w:rsidRPr="002F70B7">
              <w:rPr>
                <w:rFonts w:asciiTheme="minorHAnsi" w:eastAsia="Calibri" w:hAnsiTheme="minorHAnsi"/>
                <w:bCs/>
                <w:sz w:val="24"/>
                <w:szCs w:val="24"/>
                <w:lang w:eastAsia="fr-BE"/>
              </w:rPr>
              <w:t>, Société générale</w:t>
            </w:r>
          </w:p>
          <w:p w:rsidR="00151062" w:rsidRPr="002F70B7" w:rsidRDefault="00151062" w:rsidP="00151062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Cartiaux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>CRAJEP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Charles</w:t>
            </w:r>
          </w:p>
        </w:tc>
        <w:tc>
          <w:tcPr>
            <w:tcW w:w="5528" w:type="dxa"/>
          </w:tcPr>
          <w:p w:rsidR="002F70B7" w:rsidRDefault="002F70B7" w:rsidP="00151062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 xml:space="preserve">Président de l'I.R.C.E., 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Institut de recherche et de Communication sur l'Europe </w:t>
            </w:r>
          </w:p>
          <w:p w:rsidR="00151062" w:rsidRPr="002F70B7" w:rsidRDefault="00151062" w:rsidP="00151062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Cottin</w:t>
            </w:r>
          </w:p>
        </w:tc>
        <w:tc>
          <w:tcPr>
            <w:tcW w:w="5528" w:type="dxa"/>
          </w:tcPr>
          <w:p w:rsidR="002F70B7" w:rsidRPr="002F70B7" w:rsidRDefault="002F70B7" w:rsidP="0015106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Responsable</w:t>
            </w:r>
            <w:r w:rsidRPr="002F70B7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ger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 Affaires européennes/</w:t>
            </w:r>
            <w:r w:rsidRPr="002F70B7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 xml:space="preserve">EU Coordinator, 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Direction Générale Adjointe "Vie Institutionnelle &amp; Etudes" (VIE)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2F70B7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 xml:space="preserve">Deputy DG "Corporate Activities, Studies, Surveys &amp; Reports", 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Chambre de commerce et d'industrie Paris Ile-de-France 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Danjou</w:t>
            </w:r>
          </w:p>
        </w:tc>
        <w:tc>
          <w:tcPr>
            <w:tcW w:w="5528" w:type="dxa"/>
          </w:tcPr>
          <w:p w:rsidR="004A1C31" w:rsidRPr="002F70B7" w:rsidRDefault="002F70B7" w:rsidP="00CB54A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Délégué général du Cercle de l'Industrie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Debrauer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De Robert</w:t>
            </w:r>
          </w:p>
        </w:tc>
        <w:tc>
          <w:tcPr>
            <w:tcW w:w="5528" w:type="dxa"/>
          </w:tcPr>
          <w:p w:rsidR="004A1C31" w:rsidRPr="002F70B7" w:rsidRDefault="002F70B7" w:rsidP="00646D1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Membre du groupe Force-Ouvrière et de la section des Activités Economiques du CESE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Desiano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 xml:space="preserve">Secrétaire fédérale </w:t>
            </w:r>
            <w:r w:rsidR="00461DB9">
              <w:rPr>
                <w:rFonts w:asciiTheme="minorHAnsi" w:eastAsia="Calibri" w:hAnsiTheme="minorHAnsi"/>
                <w:sz w:val="24"/>
                <w:szCs w:val="24"/>
                <w:lang w:val="fr-BE"/>
              </w:rPr>
              <w:t xml:space="preserve">/ </w:t>
            </w:r>
            <w:r w:rsidR="00461DB9">
              <w:rPr>
                <w:rStyle w:val="shorttext"/>
                <w:rFonts w:ascii="Arial" w:hAnsi="Arial" w:cs="Arial"/>
                <w:color w:val="222222"/>
                <w:lang w:val="en"/>
              </w:rPr>
              <w:t>Federal Secretary</w:t>
            </w:r>
          </w:p>
          <w:p w:rsidR="002F70B7" w:rsidRPr="002F70B7" w:rsidRDefault="002F70B7" w:rsidP="00646D1A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>FGTA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Dubois-Monfort</w:t>
            </w:r>
          </w:p>
        </w:tc>
        <w:tc>
          <w:tcPr>
            <w:tcW w:w="5528" w:type="dxa"/>
          </w:tcPr>
          <w:p w:rsidR="002F70B7" w:rsidRPr="002F70B7" w:rsidRDefault="002F70B7" w:rsidP="00646D1A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>MEDEF, Analyste Affaires françaises et européennes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Dupuch</w:t>
            </w:r>
          </w:p>
        </w:tc>
        <w:tc>
          <w:tcPr>
            <w:tcW w:w="5528" w:type="dxa"/>
          </w:tcPr>
          <w:p w:rsidR="00461DB9" w:rsidRPr="002F70B7" w:rsidRDefault="00461DB9" w:rsidP="00646D1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2F70B7" w:rsidRPr="002F70B7">
              <w:rPr>
                <w:rFonts w:asciiTheme="minorHAnsi" w:hAnsiTheme="minorHAnsi"/>
                <w:sz w:val="24"/>
                <w:szCs w:val="24"/>
              </w:rPr>
              <w:t>ecteur Europe &amp; International de Force Ouvrière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 xml:space="preserve">Fandos </w:t>
            </w:r>
          </w:p>
        </w:tc>
        <w:tc>
          <w:tcPr>
            <w:tcW w:w="5528" w:type="dxa"/>
          </w:tcPr>
          <w:p w:rsidR="002F70B7" w:rsidRDefault="002F70B7" w:rsidP="002F70B7">
            <w:pPr>
              <w:rPr>
                <w:rFonts w:asciiTheme="minorHAnsi" w:hAnsiTheme="minorHAnsi"/>
                <w:sz w:val="24"/>
                <w:szCs w:val="24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Service International et Europe de la CFDT</w:t>
            </w:r>
          </w:p>
          <w:p w:rsidR="00461DB9" w:rsidRPr="002F70B7" w:rsidRDefault="00461DB9" w:rsidP="00CB54A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International Service and Europe of the CFDT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Fournier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CGT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Frugier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2F70B7">
              <w:rPr>
                <w:rFonts w:asciiTheme="minorHAnsi" w:eastAsia="Calibri" w:hAnsiTheme="minorHAnsi"/>
                <w:iCs/>
                <w:sz w:val="24"/>
                <w:szCs w:val="24"/>
                <w:lang w:eastAsia="fr-FR"/>
              </w:rPr>
              <w:t>Directeur Exécutif</w:t>
            </w:r>
          </w:p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2F70B7">
              <w:rPr>
                <w:rFonts w:asciiTheme="minorHAnsi" w:eastAsia="Calibri" w:hAnsiTheme="minorHAnsi"/>
                <w:iCs/>
                <w:sz w:val="24"/>
                <w:szCs w:val="24"/>
                <w:lang w:eastAsia="fr-FR"/>
              </w:rPr>
              <w:t>Direction du Développement des entreprises et des Projets</w:t>
            </w:r>
          </w:p>
          <w:p w:rsidR="002F70B7" w:rsidRPr="00461DB9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iCs/>
                <w:sz w:val="24"/>
                <w:szCs w:val="24"/>
                <w:lang w:eastAsia="fr-FR"/>
              </w:rPr>
            </w:pPr>
            <w:r w:rsidRPr="002F70B7">
              <w:rPr>
                <w:rFonts w:asciiTheme="minorHAnsi" w:eastAsia="Calibri" w:hAnsiTheme="minorHAnsi"/>
                <w:iCs/>
                <w:sz w:val="24"/>
                <w:szCs w:val="24"/>
                <w:lang w:eastAsia="fr-FR"/>
              </w:rPr>
              <w:lastRenderedPageBreak/>
              <w:t>Fédération des Industries Mécaniques</w:t>
            </w:r>
          </w:p>
          <w:p w:rsidR="00461DB9" w:rsidRPr="002F70B7" w:rsidRDefault="00461DB9" w:rsidP="002F70B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Genty</w:t>
            </w:r>
          </w:p>
        </w:tc>
        <w:tc>
          <w:tcPr>
            <w:tcW w:w="5528" w:type="dxa"/>
          </w:tcPr>
          <w:p w:rsidR="00461DB9" w:rsidRPr="002F70B7" w:rsidRDefault="002F70B7" w:rsidP="00646D1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Vice-président du CESE, France Nature et Environnement (FNE)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Hoffenberg</w:t>
            </w:r>
          </w:p>
        </w:tc>
        <w:tc>
          <w:tcPr>
            <w:tcW w:w="5528" w:type="dxa"/>
          </w:tcPr>
          <w:p w:rsidR="00461DB9" w:rsidRPr="002F70B7" w:rsidRDefault="002F70B7" w:rsidP="00646D1A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eastAsia="fr-FR"/>
              </w:rPr>
              <w:t>Présidente du Connecting Leaders Club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Houlmann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CFGC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Lanculescu</w:t>
            </w:r>
            <w:r w:rsidRPr="002F70B7">
              <w:rPr>
                <w:rFonts w:asciiTheme="minorHAnsi" w:hAnsiTheme="minorHAnsi" w:cs="Tahoma"/>
                <w:sz w:val="24"/>
                <w:szCs w:val="24"/>
                <w:lang w:val="en-US" w:eastAsia="fr-BE"/>
              </w:rPr>
              <w:t xml:space="preserve"> 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eastAsia="fr-FR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eastAsia="fr-FR"/>
              </w:rPr>
              <w:t>CCFA - Comité des Constructeurs Français d'Automobiles</w:t>
            </w:r>
          </w:p>
          <w:p w:rsidR="00461DB9" w:rsidRPr="002F70B7" w:rsidRDefault="002F70B7" w:rsidP="00646D1A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eastAsia="fr-FR"/>
              </w:rPr>
              <w:t>Direction des Affaires internationales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  <w:t>Quarez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FCE-CFDT, Membre du Comité économique et social européen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  <w:t>Lalumière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Maison de l'Europe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eastAsia="fr-BE"/>
              </w:rPr>
              <w:t>Landas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CFDT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LASSERRE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Secteur Europe &amp; International, Force Ouvrière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Lasry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bCs/>
                <w:sz w:val="24"/>
                <w:szCs w:val="24"/>
                <w:lang w:eastAsia="fr-BE"/>
              </w:rPr>
              <w:t>La ligue de l'enseignement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Lefranc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France bénévolat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Mader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CLCV, Membre du Comité éconimique et social européen 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Menard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UNAF, Membre du Conseil économique, social et environnemental français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Molinier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 xml:space="preserve">Directeur Europe au MEDEF 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>Morvan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 xml:space="preserve">Président de la Fédération Nationale de l’Habillement –(FNH)- 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 w:cs="Tahoma"/>
                <w:sz w:val="24"/>
                <w:szCs w:val="24"/>
                <w:lang w:val="en-US"/>
              </w:rPr>
              <w:t>Najmowicz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Représentante du Civic forum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Perrochon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</w:pPr>
            <w:r w:rsidRPr="002F70B7">
              <w:rPr>
                <w:rFonts w:asciiTheme="minorHAnsi" w:eastAsiaTheme="minorHAnsi" w:hAnsiTheme="minorHAnsi"/>
                <w:sz w:val="24"/>
                <w:szCs w:val="24"/>
                <w:lang w:val="en-US" w:eastAsia="fr-BE"/>
              </w:rPr>
              <w:t>Podevin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Analyste politique à la représentation française de la Commission Européenne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Renard</w:t>
            </w:r>
          </w:p>
        </w:tc>
        <w:tc>
          <w:tcPr>
            <w:tcW w:w="5528" w:type="dxa"/>
          </w:tcPr>
          <w:p w:rsidR="002F70B7" w:rsidRPr="002F70B7" w:rsidRDefault="002F70B7" w:rsidP="00646D1A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 xml:space="preserve">Institut de recherche et de Communication sur l'Europe 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Renard A.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>UNAF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 w:cs="Arial"/>
                <w:sz w:val="24"/>
                <w:szCs w:val="24"/>
                <w:lang w:val="en-US"/>
              </w:rPr>
              <w:t>Seateun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CPME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fr-BE" w:eastAsia="fr-BE"/>
              </w:rPr>
              <w:t>Sahed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>Personnalité qualifiée associée</w:t>
            </w:r>
          </w:p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>section des affaires européennes et internationales</w:t>
            </w:r>
          </w:p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 w:eastAsia="fr-BE"/>
              </w:rPr>
              <w:t>du Conseil économique, social et environnemental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</w:rPr>
              <w:t>Saint-Aubin</w:t>
            </w:r>
          </w:p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CFDT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Sueur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Air Liquide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Stubbs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La voie des Hommes</w:t>
            </w: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– Consultant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fr-BE" w:eastAsia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fr-BE" w:eastAsia="fr-BE"/>
              </w:rPr>
              <w:t>Tekaya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Service International et Europe de la CFDT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Terral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bCs/>
                <w:sz w:val="24"/>
                <w:szCs w:val="24"/>
                <w:lang w:val="fr-BE" w:eastAsia="fr-BE"/>
              </w:rPr>
              <w:t>La voie des Hommes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2" w:name="OLE_LINK2"/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Touron</w:t>
            </w:r>
            <w:bookmarkEnd w:id="2"/>
          </w:p>
        </w:tc>
        <w:tc>
          <w:tcPr>
            <w:tcW w:w="5528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Délégué général du Cercle de l'Industrie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  <w:sz w:val="24"/>
                <w:szCs w:val="24"/>
                <w:lang w:val="en-US"/>
              </w:rPr>
              <w:t>Vever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eastAsia="Calibri" w:hAnsiTheme="minorHAnsi"/>
                <w:sz w:val="24"/>
                <w:szCs w:val="24"/>
                <w:lang w:val="fr-BE"/>
              </w:rPr>
              <w:t>Ancien membre du CESE, délégué général de l'association Europe et Entreprises, SG de l'Association Jean Monnet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</w:rPr>
            </w:pPr>
            <w:r w:rsidRPr="002F70B7">
              <w:rPr>
                <w:rFonts w:asciiTheme="minorHAnsi" w:hAnsiTheme="minorHAnsi"/>
              </w:rPr>
              <w:t>Viard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UNAPL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</w:rPr>
            </w:pPr>
            <w:r w:rsidRPr="002F70B7">
              <w:rPr>
                <w:rFonts w:asciiTheme="minorHAnsi" w:hAnsiTheme="minorHAnsi"/>
              </w:rPr>
              <w:t>Yaiche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CRAJEP</w:t>
            </w:r>
          </w:p>
        </w:tc>
      </w:tr>
      <w:tr w:rsidR="002F70B7" w:rsidRPr="002F70B7" w:rsidTr="00BA3517">
        <w:tc>
          <w:tcPr>
            <w:tcW w:w="2126" w:type="dxa"/>
          </w:tcPr>
          <w:p w:rsidR="002F70B7" w:rsidRPr="002F70B7" w:rsidRDefault="002F70B7" w:rsidP="002F70B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70B7">
              <w:rPr>
                <w:rFonts w:asciiTheme="minorHAnsi" w:hAnsiTheme="minorHAnsi"/>
              </w:rPr>
              <w:t>Ysebaert</w:t>
            </w:r>
          </w:p>
        </w:tc>
        <w:tc>
          <w:tcPr>
            <w:tcW w:w="5528" w:type="dxa"/>
          </w:tcPr>
          <w:p w:rsidR="002F70B7" w:rsidRPr="002F70B7" w:rsidRDefault="002F70B7" w:rsidP="002F70B7">
            <w:pPr>
              <w:spacing w:line="240" w:lineRule="auto"/>
              <w:jc w:val="left"/>
              <w:rPr>
                <w:rFonts w:asciiTheme="minorHAnsi" w:eastAsia="Calibri" w:hAnsiTheme="minorHAnsi"/>
                <w:sz w:val="24"/>
                <w:szCs w:val="24"/>
                <w:lang w:val="fr-BE"/>
              </w:rPr>
            </w:pPr>
            <w:r w:rsidRPr="002F70B7">
              <w:rPr>
                <w:rFonts w:asciiTheme="minorHAnsi" w:hAnsiTheme="minorHAnsi"/>
                <w:sz w:val="24"/>
                <w:szCs w:val="24"/>
              </w:rPr>
              <w:t>fédération de Paris de la Ligue de l’Enseignement</w:t>
            </w:r>
          </w:p>
        </w:tc>
      </w:tr>
    </w:tbl>
    <w:p w:rsidR="002F70B7" w:rsidRPr="002F70B7" w:rsidRDefault="002F70B7" w:rsidP="002F70B7">
      <w:pPr>
        <w:shd w:val="clear" w:color="auto" w:fill="FFFFFF"/>
        <w:spacing w:line="240" w:lineRule="auto"/>
        <w:jc w:val="left"/>
        <w:rPr>
          <w:color w:val="000000" w:themeColor="text1"/>
          <w:sz w:val="24"/>
          <w:szCs w:val="24"/>
          <w:lang w:val="fr-BE" w:eastAsia="fr-BE"/>
        </w:rPr>
      </w:pPr>
    </w:p>
    <w:p w:rsidR="002F70B7" w:rsidRPr="002F70B7" w:rsidRDefault="002F70B7" w:rsidP="00CB54A6">
      <w:pPr>
        <w:pStyle w:val="ListParagraph"/>
        <w:spacing w:after="200"/>
        <w:ind w:left="567"/>
      </w:pPr>
    </w:p>
    <w:p w:rsidR="0023723F" w:rsidRPr="00E77527" w:rsidRDefault="002F7923" w:rsidP="00CC4783">
      <w:pPr>
        <w:overflowPunct w:val="0"/>
        <w:autoSpaceDE w:val="0"/>
        <w:autoSpaceDN w:val="0"/>
        <w:adjustRightInd w:val="0"/>
        <w:jc w:val="center"/>
        <w:textAlignment w:val="baseline"/>
      </w:pPr>
      <w:r w:rsidRPr="00E77527">
        <w:t>_____________</w:t>
      </w:r>
    </w:p>
    <w:sectPr w:rsidR="0023723F" w:rsidRPr="00E77527" w:rsidSect="00A95104">
      <w:footerReference w:type="defaul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EA" w:rsidRDefault="00993DEA" w:rsidP="001B7807">
      <w:pPr>
        <w:spacing w:line="240" w:lineRule="auto"/>
      </w:pPr>
      <w:r>
        <w:separator/>
      </w:r>
    </w:p>
  </w:endnote>
  <w:endnote w:type="continuationSeparator" w:id="0">
    <w:p w:rsidR="00993DEA" w:rsidRDefault="00993DEA" w:rsidP="001B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4" w:rsidRPr="00A95104" w:rsidRDefault="00A95104" w:rsidP="00A95104">
    <w:pPr>
      <w:pStyle w:val="Footer"/>
    </w:pPr>
    <w:r>
      <w:t>EESC-2017-02603-0</w:t>
    </w:r>
    <w:r w:rsidR="002F70B7">
      <w:t>1</w:t>
    </w:r>
    <w:r>
      <w:t xml:space="preserve">-00-TCD-TRA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AC541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C5414">
      <w:rPr>
        <w:noProof/>
      </w:rPr>
      <w:instrText>7</w:instrText>
    </w:r>
    <w:r>
      <w:fldChar w:fldCharType="end"/>
    </w:r>
    <w:r>
      <w:instrText xml:space="preserve"> </w:instrText>
    </w:r>
    <w:r>
      <w:fldChar w:fldCharType="separate"/>
    </w:r>
    <w:r w:rsidR="00AC541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EA" w:rsidRDefault="00993DEA" w:rsidP="001B7807">
      <w:pPr>
        <w:spacing w:line="240" w:lineRule="auto"/>
      </w:pPr>
      <w:r>
        <w:separator/>
      </w:r>
    </w:p>
  </w:footnote>
  <w:footnote w:type="continuationSeparator" w:id="0">
    <w:p w:rsidR="00993DEA" w:rsidRDefault="00993DEA" w:rsidP="001B7807">
      <w:pPr>
        <w:spacing w:line="240" w:lineRule="auto"/>
      </w:pPr>
      <w:r>
        <w:continuationSeparator/>
      </w:r>
    </w:p>
  </w:footnote>
  <w:footnote w:id="1">
    <w:p w:rsidR="001121C6" w:rsidRPr="00DB3DD0" w:rsidRDefault="001121C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ab/>
      </w:r>
      <w:r w:rsidRPr="005B0FB4">
        <w:t>Ainsi définies dans le Livre blanc.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F641C38"/>
    <w:multiLevelType w:val="hybridMultilevel"/>
    <w:tmpl w:val="535ED4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5F6F"/>
    <w:multiLevelType w:val="hybridMultilevel"/>
    <w:tmpl w:val="FFD40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0"/>
    <w:rsid w:val="000343BC"/>
    <w:rsid w:val="0004414C"/>
    <w:rsid w:val="000626D2"/>
    <w:rsid w:val="00084575"/>
    <w:rsid w:val="000A7633"/>
    <w:rsid w:val="001065F0"/>
    <w:rsid w:val="001121C6"/>
    <w:rsid w:val="00151062"/>
    <w:rsid w:val="00154704"/>
    <w:rsid w:val="0017309B"/>
    <w:rsid w:val="001B7807"/>
    <w:rsid w:val="001C7EB6"/>
    <w:rsid w:val="0023723F"/>
    <w:rsid w:val="00272535"/>
    <w:rsid w:val="002A08AE"/>
    <w:rsid w:val="002A39C6"/>
    <w:rsid w:val="002D779B"/>
    <w:rsid w:val="002E37D8"/>
    <w:rsid w:val="002F70B7"/>
    <w:rsid w:val="002F7923"/>
    <w:rsid w:val="0031069C"/>
    <w:rsid w:val="00312938"/>
    <w:rsid w:val="00317173"/>
    <w:rsid w:val="00337639"/>
    <w:rsid w:val="00343F51"/>
    <w:rsid w:val="003C09EE"/>
    <w:rsid w:val="003D3E8D"/>
    <w:rsid w:val="003D5528"/>
    <w:rsid w:val="003E6359"/>
    <w:rsid w:val="00404155"/>
    <w:rsid w:val="00440F18"/>
    <w:rsid w:val="00461DB9"/>
    <w:rsid w:val="00482EEE"/>
    <w:rsid w:val="004A1C31"/>
    <w:rsid w:val="004B3D71"/>
    <w:rsid w:val="004D2D09"/>
    <w:rsid w:val="004E2F33"/>
    <w:rsid w:val="00506431"/>
    <w:rsid w:val="00507DFA"/>
    <w:rsid w:val="00515971"/>
    <w:rsid w:val="00523947"/>
    <w:rsid w:val="005459F0"/>
    <w:rsid w:val="005A5A02"/>
    <w:rsid w:val="005A69F1"/>
    <w:rsid w:val="005B0FB4"/>
    <w:rsid w:val="005E70BD"/>
    <w:rsid w:val="00646D1A"/>
    <w:rsid w:val="00657737"/>
    <w:rsid w:val="00661A91"/>
    <w:rsid w:val="00666909"/>
    <w:rsid w:val="006748A3"/>
    <w:rsid w:val="006766CD"/>
    <w:rsid w:val="006772E7"/>
    <w:rsid w:val="006A646A"/>
    <w:rsid w:val="006D2693"/>
    <w:rsid w:val="006F30D7"/>
    <w:rsid w:val="0070555A"/>
    <w:rsid w:val="00705DF1"/>
    <w:rsid w:val="00726FB9"/>
    <w:rsid w:val="00751001"/>
    <w:rsid w:val="00780618"/>
    <w:rsid w:val="007A17AC"/>
    <w:rsid w:val="007A70B3"/>
    <w:rsid w:val="007C1D54"/>
    <w:rsid w:val="0082083A"/>
    <w:rsid w:val="00852135"/>
    <w:rsid w:val="008B1A7D"/>
    <w:rsid w:val="008F769F"/>
    <w:rsid w:val="009070C9"/>
    <w:rsid w:val="00960861"/>
    <w:rsid w:val="00972ECE"/>
    <w:rsid w:val="00980FA1"/>
    <w:rsid w:val="00992F40"/>
    <w:rsid w:val="00993DEA"/>
    <w:rsid w:val="009A1F01"/>
    <w:rsid w:val="009B29F5"/>
    <w:rsid w:val="009C714F"/>
    <w:rsid w:val="009E0257"/>
    <w:rsid w:val="009E6770"/>
    <w:rsid w:val="00A6237C"/>
    <w:rsid w:val="00A95104"/>
    <w:rsid w:val="00AC5414"/>
    <w:rsid w:val="00AD1DAE"/>
    <w:rsid w:val="00B011AE"/>
    <w:rsid w:val="00B07EDE"/>
    <w:rsid w:val="00B1303E"/>
    <w:rsid w:val="00B3799F"/>
    <w:rsid w:val="00B91700"/>
    <w:rsid w:val="00B932CE"/>
    <w:rsid w:val="00B96F42"/>
    <w:rsid w:val="00BB0E14"/>
    <w:rsid w:val="00BF429E"/>
    <w:rsid w:val="00C03BFC"/>
    <w:rsid w:val="00C1204B"/>
    <w:rsid w:val="00C73867"/>
    <w:rsid w:val="00C82058"/>
    <w:rsid w:val="00CB0389"/>
    <w:rsid w:val="00CB54A6"/>
    <w:rsid w:val="00CC4783"/>
    <w:rsid w:val="00D01FDA"/>
    <w:rsid w:val="00D501F8"/>
    <w:rsid w:val="00D67350"/>
    <w:rsid w:val="00D7076F"/>
    <w:rsid w:val="00DA25B9"/>
    <w:rsid w:val="00DB3DD0"/>
    <w:rsid w:val="00DC0DF5"/>
    <w:rsid w:val="00E248FB"/>
    <w:rsid w:val="00E36656"/>
    <w:rsid w:val="00E71EF8"/>
    <w:rsid w:val="00E77527"/>
    <w:rsid w:val="00F23672"/>
    <w:rsid w:val="00F40890"/>
    <w:rsid w:val="00F40DA8"/>
    <w:rsid w:val="00F6293D"/>
    <w:rsid w:val="00F831E9"/>
    <w:rsid w:val="00F940BF"/>
    <w:rsid w:val="00FE323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B4"/>
    <w:pPr>
      <w:spacing w:after="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5B0FB4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B0FB4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B0FB4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B0FB4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B0FB4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B0FB4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B0FB4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B0FB4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B0FB4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5B0FB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B7807"/>
    <w:rPr>
      <w:rFonts w:ascii="Times New Roman" w:eastAsia="Times New Roman" w:hAnsi="Times New Roman" w:cs="Times New Roman"/>
      <w:sz w:val="16"/>
      <w:lang w:val="en-US"/>
    </w:rPr>
  </w:style>
  <w:style w:type="character" w:styleId="FootnoteReference">
    <w:name w:val="footnote reference"/>
    <w:basedOn w:val="DefaultParagraphFont"/>
    <w:unhideWhenUsed/>
    <w:qFormat/>
    <w:rsid w:val="005B0FB4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7A7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F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07DF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5B0FB4"/>
  </w:style>
  <w:style w:type="character" w:customStyle="1" w:styleId="FooterChar">
    <w:name w:val="Footer Char"/>
    <w:basedOn w:val="DefaultParagraphFont"/>
    <w:link w:val="Footer"/>
    <w:rsid w:val="00507DFA"/>
    <w:rPr>
      <w:rFonts w:ascii="Times New Roman" w:eastAsia="Times New Roman" w:hAnsi="Times New Roman" w:cs="Times New Roman"/>
      <w:lang w:val="fr-FR"/>
    </w:rPr>
  </w:style>
  <w:style w:type="paragraph" w:styleId="Header">
    <w:name w:val="header"/>
    <w:basedOn w:val="Normal"/>
    <w:link w:val="HeaderChar"/>
    <w:qFormat/>
    <w:rsid w:val="005B0FB4"/>
  </w:style>
  <w:style w:type="character" w:customStyle="1" w:styleId="HeaderChar">
    <w:name w:val="Header Char"/>
    <w:basedOn w:val="DefaultParagraphFont"/>
    <w:link w:val="Header"/>
    <w:rsid w:val="00507DFA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5B0FB4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83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2F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5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B4"/>
    <w:pPr>
      <w:spacing w:after="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5B0FB4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B0FB4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B0FB4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B0FB4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B0FB4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B0FB4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B0FB4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B0FB4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B0FB4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5B0FB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B7807"/>
    <w:rPr>
      <w:rFonts w:ascii="Times New Roman" w:eastAsia="Times New Roman" w:hAnsi="Times New Roman" w:cs="Times New Roman"/>
      <w:sz w:val="16"/>
      <w:lang w:val="en-US"/>
    </w:rPr>
  </w:style>
  <w:style w:type="character" w:styleId="FootnoteReference">
    <w:name w:val="footnote reference"/>
    <w:basedOn w:val="DefaultParagraphFont"/>
    <w:unhideWhenUsed/>
    <w:qFormat/>
    <w:rsid w:val="005B0FB4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7A7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F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07DFA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07DF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5B0FB4"/>
  </w:style>
  <w:style w:type="character" w:customStyle="1" w:styleId="FooterChar">
    <w:name w:val="Footer Char"/>
    <w:basedOn w:val="DefaultParagraphFont"/>
    <w:link w:val="Footer"/>
    <w:rsid w:val="00507DFA"/>
    <w:rPr>
      <w:rFonts w:ascii="Times New Roman" w:eastAsia="Times New Roman" w:hAnsi="Times New Roman" w:cs="Times New Roman"/>
      <w:lang w:val="fr-FR"/>
    </w:rPr>
  </w:style>
  <w:style w:type="paragraph" w:styleId="Header">
    <w:name w:val="header"/>
    <w:basedOn w:val="Normal"/>
    <w:link w:val="HeaderChar"/>
    <w:qFormat/>
    <w:rsid w:val="005B0FB4"/>
  </w:style>
  <w:style w:type="character" w:customStyle="1" w:styleId="HeaderChar">
    <w:name w:val="Header Char"/>
    <w:basedOn w:val="DefaultParagraphFont"/>
    <w:link w:val="Header"/>
    <w:rsid w:val="00507DFA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5B0FB4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83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2F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5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2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271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31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2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10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85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3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1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07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91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16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2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fr.wikipedia.org/wiki/Union_des_d%C3%A9mocrates_et_%C3%A9cologist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WTPCSN73YJ26-5-2763</_dlc_DocId>
    <_dlc_DocIdUrl xmlns="8a3471f6-0f36-4ccf-b5ee-1ca67ea797ef">
      <Url>http://dm/EESC/2017/_layouts/DocIdRedir.aspx?ID=WTPCSN73YJ26-5-2763</Url>
      <Description>WTPCSN73YJ26-5-2763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2017-05-29T12:00:00+00:00</ProductionDate>
    <FicheYear xmlns="8a3471f6-0f36-4ccf-b5ee-1ca67ea797ef">2017</FicheYear>
    <DocumentNumber xmlns="d1332135-b17a-446f-a1ae-f2f9eb486b6d">2603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17</Value>
      <Value>8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6102</FicheNumber>
    <DocumentYear xmlns="8a3471f6-0f36-4ccf-b5ee-1ca67ea797ef">2017</DocumentYear>
    <DocumentPart xmlns="8a3471f6-0f36-4ccf-b5ee-1ca67ea797ef">1</DocumentPart>
    <AdoptionDate xmlns="8a3471f6-0f36-4ccf-b5ee-1ca67ea797ef" xsi:nil="true"/>
    <RequestingService xmlns="8a3471f6-0f36-4ccf-b5ee-1ca67ea797ef">Commission consultative des mutations industrielles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F970-0776-4C85-AB41-ED1DA4175F44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8a3471f6-0f36-4ccf-b5ee-1ca67ea797ef"/>
    <ds:schemaRef ds:uri="http://purl.org/dc/elements/1.1/"/>
    <ds:schemaRef ds:uri="http://schemas.openxmlformats.org/package/2006/metadata/core-properties"/>
    <ds:schemaRef ds:uri="d1332135-b17a-446f-a1ae-f2f9eb486b6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387DFFA-D2A1-4837-A0DA-E106D807CF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E2D08-DB7F-44D9-AB28-7EE4E51CE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D433F-AED7-4BEE-8563-6E68A9B8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1332135-b17a-446f-a1ae-f2f9eb48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F17706-48BF-456E-9AB9-B410BAF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7</Pages>
  <Words>2160</Words>
  <Characters>11881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livre blanc sur l'avenir de l'Europe  PARIS</vt:lpstr>
      <vt:lpstr/>
    </vt:vector>
  </TitlesOfParts>
  <Company>CESE-CDR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livre blanc sur l'avenir de l'Europe  PARIS</dc:title>
  <dc:subject>Travaux consultatifs, divers</dc:subject>
  <dc:creator>Cédric Cabanne</dc:creator>
  <cp:keywords>EESC-2017-02603-01-00-TCD-TRA-FR</cp:keywords>
  <dc:description>Rapporteur: -  Original language: - FR Date of document: - 29/05/2017 Date of meeting: -  External documents: -  Administrator responsible: - Mme Stassens Marie-Noëlle Raymonde</dc:description>
  <cp:lastModifiedBy>Helmi Soosaar</cp:lastModifiedBy>
  <cp:revision>2</cp:revision>
  <cp:lastPrinted>2017-06-14T13:03:00Z</cp:lastPrinted>
  <dcterms:created xsi:type="dcterms:W3CDTF">2017-07-18T10:16:00Z</dcterms:created>
  <dcterms:modified xsi:type="dcterms:W3CDTF">2017-07-18T10:16:00Z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29/05/2017, 24/05/2017</vt:lpwstr>
  </property>
  <property fmtid="{D5CDD505-2E9C-101B-9397-08002B2CF9AE}" pid="4" name="Pref_Time">
    <vt:lpwstr>11:30:55, 16:39:47</vt:lpwstr>
  </property>
  <property fmtid="{D5CDD505-2E9C-101B-9397-08002B2CF9AE}" pid="5" name="Pref_User">
    <vt:lpwstr>tvoc, tvoc</vt:lpwstr>
  </property>
  <property fmtid="{D5CDD505-2E9C-101B-9397-08002B2CF9AE}" pid="6" name="Pref_FileName">
    <vt:lpwstr>EESC-2017-02603-01-00-TCD-TRA-FR-CRR.docx, EESC-2017-02603-00-00-TCD-TRA-FR-CRR.docx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02e66636-016a-48fd-87c9-9faeb18de818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4;#EN|f2175f21-25d7-44a3-96da-d6a61b075e1b;#8;#FR|d2afafd3-4c81-4f60-8f52-ee33f2f54ff3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2603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Commission consultative des mutations industrielles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6;#Final|ea5e6674-7b27-4bac-b091-73adbb394efe;#8;#FR|d2afafd3-4c81-4f60-8f52-ee33f2f54ff3;#17;#TCD|cd9d6eb6-3f4f-424a-b2d1-57c9d450eaaf;#5;#Unrestricted|826e22d7-d029-4ec0-a450-0c28ff673572;#2;#TRA|150d2a88-1431-44e6-a8ca-0bb753ab8672;#1;#EESC|422833ec-8d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6102</vt:i4>
  </property>
  <property fmtid="{D5CDD505-2E9C-101B-9397-08002B2CF9AE}" pid="34" name="DocumentYear">
    <vt:i4>2017</vt:i4>
  </property>
  <property fmtid="{D5CDD505-2E9C-101B-9397-08002B2CF9AE}" pid="35" name="DocumentLanguage">
    <vt:lpwstr>8;#FR|d2afafd3-4c81-4f60-8f52-ee33f2f54ff3</vt:lpwstr>
  </property>
  <property fmtid="{D5CDD505-2E9C-101B-9397-08002B2CF9AE}" pid="36" name="DocumentLanguage_0">
    <vt:lpwstr>FR|d2afafd3-4c81-4f60-8f52-ee33f2f54ff3</vt:lpwstr>
  </property>
</Properties>
</file>