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70" w:rsidRPr="00DC327D" w:rsidRDefault="00581E70" w:rsidP="00581E70">
      <w:pPr>
        <w:ind w:left="-284"/>
        <w:rPr>
          <w:lang w:val="fr-BE"/>
        </w:rPr>
      </w:pPr>
      <w:r w:rsidRPr="00DC327D">
        <w:rPr>
          <w:noProof/>
          <w:lang w:val="fr-BE" w:eastAsia="fr-BE"/>
        </w:rPr>
        <w:drawing>
          <wp:inline distT="0" distB="0" distL="0" distR="0" wp14:anchorId="562898D3" wp14:editId="6E7BC10C">
            <wp:extent cx="6261100" cy="1511300"/>
            <wp:effectExtent l="0" t="0" r="6350" b="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0" cy="15113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581E70" w:rsidRPr="00DC327D" w:rsidTr="0039020D">
        <w:trPr>
          <w:cantSplit/>
        </w:trPr>
        <w:tc>
          <w:tcPr>
            <w:tcW w:w="5168" w:type="dxa"/>
          </w:tcPr>
          <w:p w:rsidR="00581E70" w:rsidRPr="00DC327D" w:rsidRDefault="00DA2FFD" w:rsidP="0039020D">
            <w:pPr>
              <w:spacing w:line="240" w:lineRule="auto"/>
              <w:rPr>
                <w:rFonts w:ascii="Verdana" w:hAnsi="Verdana"/>
                <w:b/>
                <w:bCs/>
                <w:sz w:val="20"/>
                <w:lang w:val="fr-BE"/>
              </w:rPr>
            </w:pPr>
            <w:r>
              <w:rPr>
                <w:rFonts w:ascii="Verdana" w:hAnsi="Verdana"/>
                <w:b/>
                <w:sz w:val="18"/>
                <w:lang w:val="fr-BE"/>
              </w:rPr>
              <w:t>N° 20</w:t>
            </w:r>
            <w:r w:rsidR="00581E70" w:rsidRPr="00DC327D">
              <w:rPr>
                <w:rFonts w:ascii="Verdana" w:hAnsi="Verdana"/>
                <w:b/>
                <w:sz w:val="18"/>
                <w:lang w:val="fr-BE"/>
              </w:rPr>
              <w:t>/2016</w:t>
            </w:r>
          </w:p>
        </w:tc>
        <w:tc>
          <w:tcPr>
            <w:tcW w:w="4119" w:type="dxa"/>
          </w:tcPr>
          <w:p w:rsidR="00581E70" w:rsidRPr="00DC327D" w:rsidRDefault="00581E70" w:rsidP="00A5637A">
            <w:pPr>
              <w:spacing w:line="240" w:lineRule="auto"/>
              <w:jc w:val="right"/>
              <w:rPr>
                <w:rFonts w:ascii="Verdana" w:hAnsi="Verdana"/>
                <w:b/>
                <w:bCs/>
                <w:sz w:val="20"/>
                <w:lang w:val="fr-BE"/>
              </w:rPr>
            </w:pPr>
            <w:r w:rsidRPr="00DC327D">
              <w:rPr>
                <w:rFonts w:ascii="Verdana" w:hAnsi="Verdana"/>
                <w:b/>
                <w:sz w:val="18"/>
                <w:lang w:val="fr-BE"/>
              </w:rPr>
              <w:t xml:space="preserve">Le </w:t>
            </w:r>
            <w:r w:rsidR="00A5637A">
              <w:rPr>
                <w:rFonts w:ascii="Verdana" w:hAnsi="Verdana"/>
                <w:b/>
                <w:sz w:val="18"/>
                <w:lang w:val="fr-BE"/>
              </w:rPr>
              <w:t>29</w:t>
            </w:r>
            <w:r w:rsidRPr="00DC327D">
              <w:rPr>
                <w:rFonts w:ascii="Verdana" w:hAnsi="Verdana"/>
                <w:b/>
                <w:sz w:val="18"/>
                <w:lang w:val="fr-BE"/>
              </w:rPr>
              <w:t> mars 2016</w:t>
            </w:r>
          </w:p>
        </w:tc>
      </w:tr>
    </w:tbl>
    <w:p w:rsidR="00581E70" w:rsidRPr="00DC327D" w:rsidRDefault="00581E70" w:rsidP="00581E70">
      <w:pPr>
        <w:spacing w:line="240" w:lineRule="auto"/>
        <w:rPr>
          <w:rFonts w:ascii="Verdana" w:hAnsi="Verdana"/>
          <w:sz w:val="20"/>
          <w:lang w:val="fr-BE"/>
        </w:rPr>
        <w:sectPr w:rsidR="00581E70" w:rsidRPr="00DC327D" w:rsidSect="00CF16AD">
          <w:footerReference w:type="default" r:id="rId9"/>
          <w:pgSz w:w="11907" w:h="16839" w:code="9"/>
          <w:pgMar w:top="709" w:right="1418" w:bottom="1418" w:left="1418" w:header="794" w:footer="454" w:gutter="0"/>
          <w:cols w:space="720"/>
          <w:docGrid w:linePitch="299"/>
        </w:sectPr>
      </w:pPr>
      <w:r w:rsidRPr="00DC327D">
        <w:rPr>
          <w:noProof/>
          <w:lang w:val="fr-BE" w:eastAsia="fr-BE"/>
        </w:rPr>
        <mc:AlternateContent>
          <mc:Choice Requires="wps">
            <w:drawing>
              <wp:anchor distT="0" distB="0" distL="114300" distR="114300" simplePos="0" relativeHeight="251659264" behindDoc="1" locked="0" layoutInCell="0" allowOverlap="1" wp14:anchorId="1CA9E6DE" wp14:editId="3D0A8FB7">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E70" w:rsidRPr="008C573E" w:rsidRDefault="00581E70" w:rsidP="00581E70">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581E70" w:rsidRPr="008C573E" w:rsidRDefault="00581E70" w:rsidP="00581E70">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00581E70" w:rsidRPr="00DC327D" w:rsidRDefault="00581E70" w:rsidP="00581E70">
      <w:pPr>
        <w:spacing w:line="240" w:lineRule="auto"/>
        <w:jc w:val="center"/>
        <w:rPr>
          <w:rFonts w:ascii="Verdana" w:hAnsi="Verdana"/>
          <w:b/>
          <w:bCs/>
          <w:sz w:val="28"/>
          <w:lang w:val="fr-BE"/>
        </w:rPr>
      </w:pPr>
    </w:p>
    <w:p w:rsidR="00581E70" w:rsidRPr="00DC327D" w:rsidRDefault="00581E70" w:rsidP="00581E70">
      <w:pPr>
        <w:spacing w:line="240" w:lineRule="auto"/>
        <w:jc w:val="center"/>
        <w:rPr>
          <w:rFonts w:ascii="Verdana" w:hAnsi="Verdana"/>
          <w:b/>
          <w:bCs/>
          <w:sz w:val="28"/>
          <w:lang w:val="fr-BE"/>
        </w:rPr>
      </w:pPr>
      <w:r w:rsidRPr="00DC327D">
        <w:rPr>
          <w:rFonts w:ascii="Verdana" w:hAnsi="Verdana"/>
          <w:b/>
          <w:sz w:val="28"/>
          <w:lang w:val="fr-BE"/>
        </w:rPr>
        <w:t xml:space="preserve">Label «Durable»: 56 % de vente en plus pour les produits </w:t>
      </w:r>
      <w:r w:rsidR="00F869BC">
        <w:rPr>
          <w:rFonts w:ascii="Verdana" w:hAnsi="Verdana"/>
          <w:b/>
          <w:sz w:val="28"/>
          <w:lang w:val="fr-BE"/>
        </w:rPr>
        <w:t>à</w:t>
      </w:r>
      <w:bookmarkStart w:id="0" w:name="_GoBack"/>
      <w:bookmarkEnd w:id="0"/>
      <w:r w:rsidRPr="00DC327D">
        <w:rPr>
          <w:rFonts w:ascii="Verdana" w:hAnsi="Verdana"/>
          <w:b/>
          <w:sz w:val="28"/>
          <w:lang w:val="fr-BE"/>
        </w:rPr>
        <w:t xml:space="preserve"> longue durée de vie</w:t>
      </w:r>
    </w:p>
    <w:p w:rsidR="00581E70" w:rsidRPr="00DC327D" w:rsidRDefault="00581E70" w:rsidP="00581E70">
      <w:pPr>
        <w:spacing w:line="240" w:lineRule="auto"/>
        <w:jc w:val="center"/>
        <w:rPr>
          <w:rFonts w:ascii="Verdana" w:hAnsi="Verdana"/>
          <w:b/>
          <w:bCs/>
          <w:sz w:val="28"/>
          <w:lang w:val="fr-BE"/>
        </w:rPr>
      </w:pPr>
    </w:p>
    <w:p w:rsidR="00581E70" w:rsidRPr="00DC327D" w:rsidRDefault="00581E70" w:rsidP="00581E70">
      <w:pPr>
        <w:spacing w:line="240" w:lineRule="auto"/>
        <w:jc w:val="center"/>
        <w:rPr>
          <w:rFonts w:ascii="Verdana" w:hAnsi="Verdana"/>
          <w:b/>
          <w:bCs/>
          <w:i/>
          <w:sz w:val="28"/>
          <w:lang w:val="fr-BE"/>
        </w:rPr>
      </w:pPr>
      <w:r w:rsidRPr="00DC327D">
        <w:rPr>
          <w:rFonts w:ascii="Verdana" w:hAnsi="Verdana"/>
          <w:b/>
          <w:i/>
          <w:sz w:val="28"/>
          <w:lang w:val="fr-BE"/>
        </w:rPr>
        <w:t>Le CESE publie une nouvelle étude sur l’obsolescence programmée</w:t>
      </w:r>
    </w:p>
    <w:p w:rsidR="00581E70" w:rsidRPr="00DC327D" w:rsidRDefault="00581E70" w:rsidP="00581E70">
      <w:pPr>
        <w:spacing w:line="240" w:lineRule="auto"/>
        <w:jc w:val="center"/>
        <w:rPr>
          <w:rFonts w:ascii="Verdana" w:hAnsi="Verdana"/>
          <w:b/>
          <w:bCs/>
          <w:i/>
          <w:sz w:val="28"/>
          <w:lang w:val="fr-BE"/>
        </w:rPr>
      </w:pPr>
    </w:p>
    <w:p w:rsidR="00581E70" w:rsidRPr="00DC327D" w:rsidRDefault="00581E70" w:rsidP="00581E70">
      <w:pPr>
        <w:spacing w:line="240" w:lineRule="auto"/>
        <w:rPr>
          <w:rFonts w:ascii="Verdana" w:hAnsi="Verdana"/>
          <w:b/>
          <w:sz w:val="18"/>
          <w:szCs w:val="18"/>
          <w:lang w:val="fr-BE"/>
        </w:rPr>
      </w:pPr>
      <w:r w:rsidRPr="00DC327D">
        <w:rPr>
          <w:rFonts w:ascii="Verdana" w:hAnsi="Verdana"/>
          <w:b/>
          <w:sz w:val="18"/>
          <w:lang w:val="fr-BE"/>
        </w:rPr>
        <w:t xml:space="preserve">Le CESE publie aujourd'hui une nouvelle étude intitulée </w:t>
      </w:r>
      <w:r w:rsidRPr="00DC327D">
        <w:rPr>
          <w:rFonts w:ascii="Verdana" w:hAnsi="Verdana"/>
          <w:b/>
          <w:i/>
          <w:sz w:val="18"/>
          <w:lang w:val="fr-BE"/>
        </w:rPr>
        <w:t>"les effets de l'affichage de la durée d'utilisation des produits sur les consommateurs"</w:t>
      </w:r>
      <w:r w:rsidRPr="00DC327D">
        <w:rPr>
          <w:rFonts w:ascii="Verdana" w:hAnsi="Verdana"/>
          <w:b/>
          <w:sz w:val="18"/>
          <w:lang w:val="fr-BE"/>
        </w:rPr>
        <w:t>, qui établit un lien manifeste entre l'affichage de la durée de vie des produits et le comportement des consommateurs. Ce phénomène est très net. La progression des ventes de produits labellisés durables est spectaculaire: 128 % pour les valises et 70 % pour les imprimantes par exemple. Les smartphones, avec une hausse de 41 %, sont moins concernés. Il est à noter que l’importance du caractère durable du produit aux yeux des consommateurs est proportionnelle au montant qu'ils sont prêts à débourser.</w:t>
      </w:r>
    </w:p>
    <w:p w:rsidR="00581E70" w:rsidRPr="00DC327D" w:rsidRDefault="00581E70" w:rsidP="00581E70">
      <w:pPr>
        <w:spacing w:line="240" w:lineRule="auto"/>
        <w:rPr>
          <w:rFonts w:ascii="Verdana" w:hAnsi="Verdana"/>
          <w:b/>
          <w:sz w:val="18"/>
          <w:szCs w:val="18"/>
          <w:lang w:val="fr-BE"/>
        </w:rPr>
      </w:pPr>
    </w:p>
    <w:p w:rsidR="00581E70" w:rsidRPr="00DC327D" w:rsidRDefault="00581E70" w:rsidP="00581E70">
      <w:pPr>
        <w:spacing w:line="240" w:lineRule="auto"/>
        <w:rPr>
          <w:rFonts w:ascii="Verdana" w:hAnsi="Verdana"/>
          <w:b/>
          <w:sz w:val="18"/>
          <w:lang w:val="fr-BE"/>
        </w:rPr>
      </w:pPr>
      <w:r w:rsidRPr="00DC327D">
        <w:rPr>
          <w:rFonts w:ascii="Verdana" w:hAnsi="Verdana"/>
          <w:sz w:val="18"/>
          <w:lang w:val="fr-BE"/>
        </w:rPr>
        <w:t xml:space="preserve">Les Européens condamnent vivement les pratiques d’obsolescence programmée. De manière générale, ils préconisent les produits garantis plus durables. L’étude intitulée </w:t>
      </w:r>
      <w:r w:rsidRPr="00DC327D">
        <w:rPr>
          <w:rFonts w:ascii="Verdana" w:hAnsi="Verdana"/>
          <w:i/>
          <w:sz w:val="18"/>
          <w:lang w:val="fr-BE"/>
        </w:rPr>
        <w:t>"les effets de l'affichage de la durée d'utilisation des produits sur les consommateurs"</w:t>
      </w:r>
      <w:r w:rsidRPr="00DC327D">
        <w:rPr>
          <w:rFonts w:ascii="Verdana" w:hAnsi="Verdana"/>
          <w:sz w:val="18"/>
          <w:lang w:val="fr-BE"/>
        </w:rPr>
        <w:t>,</w:t>
      </w:r>
      <w:r w:rsidRPr="00DC327D">
        <w:rPr>
          <w:rFonts w:ascii="Verdana" w:hAnsi="Verdana"/>
          <w:b/>
          <w:sz w:val="18"/>
          <w:lang w:val="fr-BE"/>
        </w:rPr>
        <w:t xml:space="preserve"> </w:t>
      </w:r>
      <w:r w:rsidRPr="00DC327D">
        <w:rPr>
          <w:rFonts w:ascii="Verdana" w:hAnsi="Verdana"/>
          <w:sz w:val="18"/>
          <w:lang w:val="fr-BE"/>
        </w:rPr>
        <w:t>réalisée en Belgique, en République tchèque, en France, en Espagne et aux Pays-Bas, est basée sur une enquête menée auprès de quelque 3 000 participants. Elle a analysé l'impact, sur les intentions d'achat des consommateurs, de l’affichage de la durée de vie des produits, ainsi que des différents modes d’affichage de ces informations.</w:t>
      </w:r>
    </w:p>
    <w:p w:rsidR="00581E70" w:rsidRPr="00DC327D" w:rsidRDefault="00581E70" w:rsidP="00581E70">
      <w:pPr>
        <w:spacing w:line="240" w:lineRule="auto"/>
        <w:rPr>
          <w:rFonts w:ascii="Verdana" w:hAnsi="Verdana"/>
          <w:b/>
          <w:i/>
          <w:sz w:val="18"/>
          <w:lang w:val="fr-BE"/>
        </w:rPr>
      </w:pPr>
    </w:p>
    <w:p w:rsidR="00581E70" w:rsidRPr="00DC327D" w:rsidRDefault="00581E70" w:rsidP="00581E70">
      <w:pPr>
        <w:pStyle w:val="ListParagraph"/>
        <w:numPr>
          <w:ilvl w:val="0"/>
          <w:numId w:val="3"/>
        </w:numPr>
        <w:rPr>
          <w:rFonts w:ascii="Verdana" w:hAnsi="Verdana"/>
          <w:b/>
          <w:sz w:val="18"/>
          <w:lang w:val="fr-BE"/>
        </w:rPr>
      </w:pPr>
      <w:r w:rsidRPr="00DC327D">
        <w:rPr>
          <w:rFonts w:ascii="Verdana" w:hAnsi="Verdana"/>
          <w:b/>
          <w:sz w:val="18"/>
          <w:lang w:val="fr-BE"/>
        </w:rPr>
        <w:t>Prêt à payer plus cher pour un produit plus résistant</w:t>
      </w:r>
    </w:p>
    <w:p w:rsidR="00581E70" w:rsidRPr="00DC327D" w:rsidRDefault="00581E70" w:rsidP="00581E70">
      <w:pPr>
        <w:spacing w:line="240" w:lineRule="auto"/>
        <w:rPr>
          <w:rFonts w:ascii="Verdana" w:hAnsi="Verdana"/>
          <w:sz w:val="18"/>
          <w:lang w:val="fr-BE"/>
        </w:rPr>
      </w:pPr>
      <w:r w:rsidRPr="00DC327D">
        <w:rPr>
          <w:rFonts w:ascii="Verdana" w:hAnsi="Verdana"/>
          <w:sz w:val="18"/>
          <w:lang w:val="fr-BE"/>
        </w:rPr>
        <w:t>90% des participants déclarent être disposés à payer plus cher pour avoir un lave-vaisselle avec une durée de vie supérieure de deux ans. En moyenne, ils déclarent être disposés à payer 102€ de plus pour cette garantie sur un lave-vaisselle dont le prix d’achat se situerait entre 300 et 500€. Les résultats montrent également que le montant que le consommateur est disposé à mettre pour avoir un produit plus durable évolue avec le PIB du pays dans lequel il réside.</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pStyle w:val="ListParagraph"/>
        <w:numPr>
          <w:ilvl w:val="0"/>
          <w:numId w:val="3"/>
        </w:numPr>
        <w:rPr>
          <w:rFonts w:ascii="Verdana" w:hAnsi="Verdana"/>
          <w:sz w:val="18"/>
          <w:lang w:val="fr-BE"/>
        </w:rPr>
      </w:pPr>
      <w:r w:rsidRPr="00DC327D">
        <w:rPr>
          <w:rFonts w:ascii="Verdana" w:hAnsi="Verdana"/>
          <w:b/>
          <w:sz w:val="18"/>
          <w:lang w:val="fr-BE"/>
        </w:rPr>
        <w:t>Variations européennes</w:t>
      </w:r>
    </w:p>
    <w:p w:rsidR="00581E70" w:rsidRPr="00DC327D" w:rsidRDefault="00581E70" w:rsidP="00581E70">
      <w:pPr>
        <w:spacing w:line="240" w:lineRule="auto"/>
        <w:rPr>
          <w:rFonts w:ascii="Verdana" w:hAnsi="Verdana"/>
          <w:sz w:val="18"/>
          <w:szCs w:val="18"/>
          <w:lang w:val="fr-BE"/>
        </w:rPr>
      </w:pPr>
      <w:r w:rsidRPr="00DC327D">
        <w:rPr>
          <w:rFonts w:ascii="Verdana" w:hAnsi="Verdana"/>
          <w:sz w:val="18"/>
          <w:lang w:val="fr-BE"/>
        </w:rPr>
        <w:t>Il apparaît que les «échantillons» français sont plus sensibles aux informations relatives à la durabilité des produits (augmentation de 118 % des chiffres de vente pour les produits fournissant ces données), que les échantillons belges et néerlandais (+ 45 %), tchèques (+ 39 %) et espagnols (+ 32 %).</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pStyle w:val="ListParagraph"/>
        <w:numPr>
          <w:ilvl w:val="0"/>
          <w:numId w:val="3"/>
        </w:numPr>
        <w:rPr>
          <w:rFonts w:ascii="Verdana" w:hAnsi="Verdana"/>
          <w:sz w:val="18"/>
          <w:lang w:val="fr-BE"/>
        </w:rPr>
      </w:pPr>
      <w:r w:rsidRPr="00DC327D">
        <w:rPr>
          <w:rFonts w:ascii="Verdana" w:hAnsi="Verdana"/>
          <w:b/>
          <w:sz w:val="18"/>
          <w:lang w:val="fr-BE"/>
        </w:rPr>
        <w:t>Conclusions pour l'industrie</w:t>
      </w:r>
    </w:p>
    <w:p w:rsidR="00581E70" w:rsidRPr="00DC327D" w:rsidRDefault="00581E70" w:rsidP="00581E70">
      <w:pPr>
        <w:spacing w:line="240" w:lineRule="auto"/>
        <w:rPr>
          <w:rFonts w:ascii="Verdana" w:hAnsi="Verdana"/>
          <w:sz w:val="18"/>
          <w:lang w:val="fr-BE"/>
        </w:rPr>
      </w:pPr>
      <w:r w:rsidRPr="00DC327D">
        <w:rPr>
          <w:rFonts w:ascii="Verdana" w:hAnsi="Verdana"/>
          <w:sz w:val="18"/>
          <w:lang w:val="fr-BE"/>
        </w:rPr>
        <w:t xml:space="preserve">L'étude nous renseigne sur les </w:t>
      </w:r>
      <w:r w:rsidRPr="00DC327D">
        <w:rPr>
          <w:rFonts w:ascii="Verdana" w:hAnsi="Verdana"/>
          <w:b/>
          <w:sz w:val="18"/>
          <w:lang w:val="fr-BE"/>
        </w:rPr>
        <w:t>types d'étiquetage</w:t>
      </w:r>
      <w:r w:rsidRPr="00DC327D">
        <w:rPr>
          <w:rFonts w:ascii="Verdana" w:hAnsi="Verdana"/>
          <w:sz w:val="18"/>
          <w:lang w:val="fr-BE"/>
        </w:rPr>
        <w:t xml:space="preserve"> qui marchent. Les étiquettes affichant la durée de vie sur le modèle du classement pour la consommation énergétique des appareils (A à G) s'avèrent les plus efficaces en termes d'accroissement des ventes (+84 %). </w:t>
      </w:r>
    </w:p>
    <w:p w:rsidR="00581E70" w:rsidRPr="00DC327D" w:rsidRDefault="00581E70" w:rsidP="00581E70">
      <w:pPr>
        <w:spacing w:line="240" w:lineRule="auto"/>
        <w:rPr>
          <w:rFonts w:ascii="Verdana" w:hAnsi="Verdana"/>
          <w:sz w:val="18"/>
          <w:lang w:val="fr-BE"/>
        </w:rPr>
      </w:pPr>
    </w:p>
    <w:p w:rsidR="00581E70" w:rsidRPr="00DC327D" w:rsidRDefault="00581E70" w:rsidP="00581E70">
      <w:pPr>
        <w:spacing w:line="240" w:lineRule="auto"/>
        <w:rPr>
          <w:rFonts w:ascii="Verdana" w:hAnsi="Verdana"/>
          <w:sz w:val="18"/>
          <w:szCs w:val="18"/>
          <w:lang w:val="fr-BE"/>
        </w:rPr>
      </w:pPr>
      <w:r w:rsidRPr="00DC327D">
        <w:rPr>
          <w:rFonts w:ascii="Verdana" w:hAnsi="Verdana"/>
          <w:sz w:val="18"/>
          <w:lang w:val="fr-BE"/>
        </w:rPr>
        <w:t xml:space="preserve">L’étude met également en évidence la </w:t>
      </w:r>
      <w:r w:rsidRPr="00DC327D">
        <w:rPr>
          <w:rFonts w:ascii="Verdana" w:hAnsi="Verdana"/>
          <w:b/>
          <w:sz w:val="18"/>
          <w:lang w:val="fr-BE"/>
        </w:rPr>
        <w:t>dimension sociale</w:t>
      </w:r>
      <w:r w:rsidRPr="00DC327D">
        <w:rPr>
          <w:rFonts w:ascii="Verdana" w:hAnsi="Verdana"/>
          <w:sz w:val="18"/>
          <w:lang w:val="fr-BE"/>
        </w:rPr>
        <w:t xml:space="preserve"> de l’obsolescence programmée, les personnes à </w:t>
      </w:r>
      <w:r w:rsidRPr="00DC327D">
        <w:rPr>
          <w:rFonts w:ascii="Verdana" w:hAnsi="Verdana"/>
          <w:sz w:val="18"/>
          <w:szCs w:val="18"/>
          <w:lang w:val="fr-BE"/>
        </w:rPr>
        <w:t xml:space="preserve">faibles revenus étant plus susceptibles d'en pâtir puisqu'elles achètent souvent des produits moins coûteux, qui sont moins fiables. </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spacing w:line="240" w:lineRule="auto"/>
        <w:rPr>
          <w:rFonts w:ascii="Verdana" w:hAnsi="Verdana"/>
          <w:sz w:val="18"/>
          <w:szCs w:val="18"/>
          <w:lang w:val="fr-BE"/>
        </w:rPr>
      </w:pPr>
      <w:r w:rsidRPr="00DC327D">
        <w:rPr>
          <w:rFonts w:ascii="Verdana" w:hAnsi="Verdana"/>
          <w:sz w:val="18"/>
          <w:szCs w:val="18"/>
          <w:lang w:val="fr-BE"/>
        </w:rPr>
        <w:t xml:space="preserve">Enfin, 80 % des participants estiment que les </w:t>
      </w:r>
      <w:r w:rsidRPr="00DC327D">
        <w:rPr>
          <w:rFonts w:ascii="Verdana" w:hAnsi="Verdana"/>
          <w:b/>
          <w:sz w:val="18"/>
          <w:szCs w:val="18"/>
          <w:lang w:val="fr-BE"/>
        </w:rPr>
        <w:t xml:space="preserve">producteurs </w:t>
      </w:r>
      <w:r w:rsidRPr="00DC327D">
        <w:rPr>
          <w:rFonts w:ascii="Verdana" w:hAnsi="Verdana"/>
          <w:sz w:val="18"/>
          <w:szCs w:val="18"/>
          <w:lang w:val="fr-BE"/>
        </w:rPr>
        <w:t xml:space="preserve">ont </w:t>
      </w:r>
      <w:r w:rsidRPr="00DC327D">
        <w:rPr>
          <w:rFonts w:ascii="Verdana" w:hAnsi="Verdana"/>
          <w:b/>
          <w:sz w:val="18"/>
          <w:szCs w:val="18"/>
          <w:lang w:val="fr-BE"/>
        </w:rPr>
        <w:t>une responsabilité majeure</w:t>
      </w:r>
      <w:r w:rsidRPr="00DC327D">
        <w:rPr>
          <w:rFonts w:ascii="Verdana" w:hAnsi="Verdana"/>
          <w:sz w:val="18"/>
          <w:szCs w:val="18"/>
          <w:lang w:val="fr-BE"/>
        </w:rPr>
        <w:t xml:space="preserve"> par rapport à la durée de vie des produits, soit respectivement 95 % et 91 % en République tchèque et en France, 81,8 % en Belgique et aux Pays-Bas, et 75,1 % en Espagne. </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spacing w:line="240" w:lineRule="auto"/>
        <w:rPr>
          <w:rFonts w:ascii="Verdana" w:hAnsi="Verdana"/>
          <w:sz w:val="18"/>
          <w:szCs w:val="18"/>
          <w:lang w:val="fr-BE"/>
        </w:rPr>
      </w:pPr>
      <w:r w:rsidRPr="00DC327D">
        <w:rPr>
          <w:rFonts w:ascii="Verdana" w:hAnsi="Verdana"/>
          <w:sz w:val="18"/>
          <w:szCs w:val="18"/>
          <w:lang w:val="fr-BE"/>
        </w:rPr>
        <w:lastRenderedPageBreak/>
        <w:t xml:space="preserve">Ces chiffres confortent la position prise par le CESE dans son avis, publié en 2003, sur le thème </w:t>
      </w:r>
      <w:hyperlink r:id="rId10">
        <w:r w:rsidRPr="00DC327D">
          <w:rPr>
            <w:rStyle w:val="Hyperlink"/>
            <w:rFonts w:ascii="Verdana" w:hAnsi="Verdana"/>
            <w:i/>
            <w:sz w:val="18"/>
            <w:szCs w:val="18"/>
            <w:lang w:val="fr-BE"/>
          </w:rPr>
          <w:t>«Pour une consommation plus durable: la durée de vie des produits de l'industrie et l'information du consommateur au service d'une confiance retrouvée»</w:t>
        </w:r>
      </w:hyperlink>
      <w:r w:rsidRPr="00DC327D">
        <w:rPr>
          <w:rFonts w:ascii="Verdana" w:hAnsi="Verdana"/>
          <w:sz w:val="18"/>
          <w:szCs w:val="18"/>
          <w:lang w:val="fr-BE"/>
        </w:rPr>
        <w:t>. En effet, la mention explicite de la durée de vie minimale garantie d'un produit contribue à renforcer la confiance des consommateurs vis-à-vis des entreprises et, à terme, à passer d’une société du gaspillage à une société durable. Le CESE préconise d’imposer aux fabricants la prise en charge des coûts de recyclage des produits dont la durée de vie est inférieure à cinq ans.</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spacing w:line="240" w:lineRule="auto"/>
        <w:rPr>
          <w:rFonts w:ascii="Verdana" w:hAnsi="Verdana"/>
          <w:sz w:val="18"/>
          <w:szCs w:val="18"/>
          <w:highlight w:val="yellow"/>
          <w:lang w:val="fr-BE"/>
        </w:rPr>
      </w:pPr>
      <w:r w:rsidRPr="00DC327D">
        <w:rPr>
          <w:rFonts w:ascii="Verdana" w:hAnsi="Verdana"/>
          <w:sz w:val="18"/>
          <w:lang w:val="fr-BE"/>
        </w:rPr>
        <w:t>«</w:t>
      </w:r>
      <w:r w:rsidRPr="00DC327D">
        <w:rPr>
          <w:rFonts w:ascii="Verdana" w:hAnsi="Verdana"/>
          <w:i/>
          <w:sz w:val="18"/>
          <w:lang w:val="fr-BE"/>
        </w:rPr>
        <w:t>Ce que montre de manière indiscutable cette première étude européenne, c'est que le problème de l'obsolescence programmée ne résulte pas tant d'une programmation calculée de l'obsolescence, mais plutôt d'un manque d'information du consommateur sur la durée de vie des produits. Replacer le consommateur au centre du dispositif en améliorant l'information sur les produits qu'il achète est une exigence économique, sociale et environnementale; c'est aussi un levier majeur pour une confiance retrouvée des entreprises</w:t>
      </w:r>
      <w:r w:rsidRPr="00DC327D">
        <w:rPr>
          <w:rFonts w:ascii="Verdana" w:hAnsi="Verdana"/>
          <w:sz w:val="18"/>
          <w:lang w:val="fr-BE"/>
        </w:rPr>
        <w:t xml:space="preserve">», déclare </w:t>
      </w:r>
      <w:r w:rsidRPr="00DC327D">
        <w:rPr>
          <w:rFonts w:ascii="Verdana" w:hAnsi="Verdana"/>
          <w:b/>
          <w:sz w:val="18"/>
          <w:lang w:val="fr-BE"/>
        </w:rPr>
        <w:t>Thierry Libaert</w:t>
      </w:r>
      <w:r w:rsidRPr="00DC327D">
        <w:rPr>
          <w:rFonts w:ascii="Verdana" w:hAnsi="Verdana"/>
          <w:sz w:val="18"/>
          <w:lang w:val="fr-BE"/>
        </w:rPr>
        <w:t xml:space="preserve">, rapporteur de l'avis du CESE. </w:t>
      </w:r>
    </w:p>
    <w:p w:rsidR="00581E70" w:rsidRPr="00DC327D" w:rsidRDefault="00581E70" w:rsidP="00581E70">
      <w:pPr>
        <w:spacing w:line="240" w:lineRule="auto"/>
        <w:rPr>
          <w:rFonts w:ascii="Verdana" w:hAnsi="Verdana"/>
          <w:sz w:val="18"/>
          <w:szCs w:val="18"/>
          <w:highlight w:val="yellow"/>
          <w:lang w:val="fr-BE"/>
        </w:rPr>
      </w:pPr>
    </w:p>
    <w:p w:rsidR="00581E70" w:rsidRPr="00DC327D" w:rsidRDefault="00581E70" w:rsidP="00581E70">
      <w:pPr>
        <w:spacing w:line="240" w:lineRule="auto"/>
        <w:rPr>
          <w:rFonts w:ascii="Verdana" w:hAnsi="Verdana"/>
          <w:i/>
          <w:sz w:val="18"/>
          <w:szCs w:val="18"/>
          <w:lang w:val="fr-BE"/>
        </w:rPr>
      </w:pPr>
      <w:r w:rsidRPr="00DC327D">
        <w:rPr>
          <w:rFonts w:ascii="Verdana" w:hAnsi="Verdana"/>
          <w:sz w:val="18"/>
          <w:lang w:val="fr-BE"/>
        </w:rPr>
        <w:t>«</w:t>
      </w:r>
      <w:r w:rsidRPr="00DC327D">
        <w:rPr>
          <w:rFonts w:ascii="Verdana" w:hAnsi="Verdana"/>
          <w:i/>
          <w:sz w:val="18"/>
          <w:lang w:val="fr-BE"/>
        </w:rPr>
        <w:t>Introduire des fragilités dans un produit et offrir des services non fiables relèvent d'une attitude passéiste, révolue et condamnable mais encore trop répandue.</w:t>
      </w:r>
    </w:p>
    <w:p w:rsidR="00581E70" w:rsidRPr="00DC327D" w:rsidRDefault="00581E70" w:rsidP="00581E70">
      <w:pPr>
        <w:spacing w:line="240" w:lineRule="auto"/>
        <w:rPr>
          <w:rFonts w:ascii="Verdana" w:hAnsi="Verdana"/>
          <w:sz w:val="18"/>
          <w:szCs w:val="18"/>
          <w:lang w:val="fr-BE"/>
        </w:rPr>
      </w:pPr>
      <w:r w:rsidRPr="00DC327D">
        <w:rPr>
          <w:rFonts w:ascii="Verdana" w:hAnsi="Verdana"/>
          <w:i/>
          <w:sz w:val="18"/>
          <w:lang w:val="fr-BE"/>
        </w:rPr>
        <w:t>L'heure est à l'interopérabilité entre tous les industriels et les acteurs numériques permettant de rechercher l'optimisation du rapport entre producteurs, distributeurs et consommateurs. Une stratégie économique de connaissance, de dialogue et d'action permettra de créer des emplois de proximité innovants en Europe</w:t>
      </w:r>
      <w:r w:rsidRPr="00DC327D">
        <w:rPr>
          <w:rFonts w:ascii="Verdana" w:hAnsi="Verdana"/>
          <w:sz w:val="18"/>
          <w:lang w:val="fr-BE"/>
        </w:rPr>
        <w:t xml:space="preserve">», note </w:t>
      </w:r>
      <w:r w:rsidRPr="00DC327D">
        <w:rPr>
          <w:rFonts w:ascii="Verdana" w:hAnsi="Verdana"/>
          <w:b/>
          <w:sz w:val="18"/>
          <w:lang w:val="fr-BE"/>
        </w:rPr>
        <w:t>Jean-Pierre Haber</w:t>
      </w:r>
      <w:r w:rsidRPr="00DC327D">
        <w:rPr>
          <w:rFonts w:ascii="Verdana" w:hAnsi="Verdana"/>
          <w:sz w:val="18"/>
          <w:lang w:val="fr-BE"/>
        </w:rPr>
        <w:t xml:space="preserve">, </w:t>
      </w:r>
      <w:proofErr w:type="spellStart"/>
      <w:r w:rsidRPr="00DC327D">
        <w:rPr>
          <w:rFonts w:ascii="Verdana" w:hAnsi="Verdana"/>
          <w:sz w:val="18"/>
          <w:lang w:val="fr-BE"/>
        </w:rPr>
        <w:t>co</w:t>
      </w:r>
      <w:proofErr w:type="spellEnd"/>
      <w:r w:rsidR="0043532E">
        <w:rPr>
          <w:rFonts w:ascii="Verdana" w:hAnsi="Verdana"/>
          <w:sz w:val="18"/>
          <w:lang w:val="fr-BE"/>
        </w:rPr>
        <w:t>-</w:t>
      </w:r>
      <w:r w:rsidRPr="00DC327D">
        <w:rPr>
          <w:rFonts w:ascii="Verdana" w:hAnsi="Verdana"/>
          <w:sz w:val="18"/>
          <w:lang w:val="fr-BE"/>
        </w:rPr>
        <w:t xml:space="preserve">rapporteur de l'avis du Comité. </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spacing w:line="240" w:lineRule="auto"/>
        <w:rPr>
          <w:rFonts w:ascii="Verdana" w:hAnsi="Verdana"/>
          <w:sz w:val="18"/>
          <w:szCs w:val="18"/>
          <w:lang w:val="fr-BE"/>
        </w:rPr>
      </w:pPr>
      <w:r w:rsidRPr="00DC327D">
        <w:rPr>
          <w:rFonts w:ascii="Verdana" w:hAnsi="Verdana"/>
          <w:sz w:val="18"/>
          <w:lang w:val="fr-BE"/>
        </w:rPr>
        <w:t>«</w:t>
      </w:r>
      <w:r w:rsidRPr="00DC327D">
        <w:rPr>
          <w:rFonts w:ascii="Verdana" w:hAnsi="Verdana"/>
          <w:i/>
          <w:sz w:val="18"/>
          <w:lang w:val="fr-BE"/>
        </w:rPr>
        <w:t>L'affichage d'informations sur la durée de vie des produits influence de manière notable les intentions d’achat des consommateurs. Certaines étiquettes sont plus efficaces que d'autres. L'option optimale consisterait à mentionner sur l'emballage du produit des informations détaillées sur sa durée de vie absolue, et à les illustrer, sans doute visuellement, de manière à ce qu'elles soient aisément compréhensibles</w:t>
      </w:r>
      <w:r w:rsidRPr="00DC327D">
        <w:rPr>
          <w:rFonts w:ascii="Verdana" w:hAnsi="Verdana"/>
          <w:sz w:val="18"/>
          <w:lang w:val="fr-BE"/>
        </w:rPr>
        <w:t xml:space="preserve">», déclare </w:t>
      </w:r>
      <w:r w:rsidRPr="00DC327D">
        <w:rPr>
          <w:rFonts w:ascii="Verdana" w:hAnsi="Verdana"/>
          <w:b/>
          <w:sz w:val="18"/>
          <w:lang w:val="fr-BE"/>
        </w:rPr>
        <w:t>Mathieu Jahnich</w:t>
      </w:r>
      <w:r w:rsidRPr="00DC327D">
        <w:rPr>
          <w:rFonts w:ascii="Verdana" w:hAnsi="Verdana"/>
          <w:sz w:val="18"/>
          <w:lang w:val="fr-BE"/>
        </w:rPr>
        <w:t xml:space="preserve">, PDG de </w:t>
      </w:r>
      <w:proofErr w:type="spellStart"/>
      <w:r w:rsidRPr="00DC327D">
        <w:rPr>
          <w:rFonts w:ascii="Verdana" w:hAnsi="Verdana"/>
          <w:sz w:val="18"/>
          <w:lang w:val="fr-BE"/>
        </w:rPr>
        <w:t>Sircome</w:t>
      </w:r>
      <w:proofErr w:type="spellEnd"/>
      <w:r w:rsidRPr="00DC327D">
        <w:rPr>
          <w:rFonts w:ascii="Verdana" w:hAnsi="Verdana"/>
          <w:sz w:val="18"/>
          <w:lang w:val="fr-BE"/>
        </w:rPr>
        <w:t xml:space="preserve"> et responsable de l’étude.</w:t>
      </w:r>
    </w:p>
    <w:p w:rsidR="00581E70" w:rsidRPr="00DC327D" w:rsidRDefault="00581E70" w:rsidP="00581E70">
      <w:pPr>
        <w:spacing w:line="240" w:lineRule="auto"/>
        <w:rPr>
          <w:rFonts w:ascii="Verdana" w:hAnsi="Verdana"/>
          <w:sz w:val="18"/>
          <w:szCs w:val="18"/>
          <w:lang w:val="fr-BE"/>
        </w:rPr>
      </w:pPr>
    </w:p>
    <w:p w:rsidR="00581E70" w:rsidRPr="00DC327D" w:rsidRDefault="00581E70" w:rsidP="00581E70">
      <w:pPr>
        <w:spacing w:line="240" w:lineRule="auto"/>
        <w:rPr>
          <w:rFonts w:ascii="Verdana" w:hAnsi="Verdana"/>
          <w:sz w:val="18"/>
          <w:szCs w:val="18"/>
          <w:lang w:val="fr-BE"/>
        </w:rPr>
      </w:pPr>
      <w:r w:rsidRPr="00DC327D">
        <w:rPr>
          <w:rFonts w:ascii="Verdana" w:hAnsi="Verdana"/>
          <w:sz w:val="18"/>
          <w:lang w:val="fr-BE"/>
        </w:rPr>
        <w:t>Le CESE appelle la Commission européenne à élaborer une législation européenne sur l’obsolescence programmée, propose que l'industrie instaure des dispositifs de certification volontaire et encourage les citoyens à se mobiliser et à agir pour amener un changement des mentalités.</w:t>
      </w:r>
    </w:p>
    <w:p w:rsidR="00581E70" w:rsidRPr="00DC327D" w:rsidRDefault="00581E70" w:rsidP="00581E70">
      <w:pPr>
        <w:spacing w:line="240" w:lineRule="auto"/>
        <w:rPr>
          <w:rFonts w:ascii="Verdana" w:hAnsi="Verdana"/>
          <w:sz w:val="18"/>
          <w:szCs w:val="18"/>
          <w:lang w:val="fr-BE"/>
        </w:rPr>
      </w:pPr>
    </w:p>
    <w:p w:rsidR="00DA2FFD" w:rsidRDefault="00581E70" w:rsidP="00DA2FFD">
      <w:pPr>
        <w:spacing w:line="240" w:lineRule="auto"/>
        <w:rPr>
          <w:rFonts w:ascii="Verdana" w:hAnsi="Verdana"/>
          <w:b/>
          <w:sz w:val="18"/>
          <w:u w:val="single"/>
          <w:lang w:val="fr-BE"/>
        </w:rPr>
      </w:pPr>
      <w:r w:rsidRPr="00DC327D">
        <w:rPr>
          <w:rFonts w:ascii="Verdana" w:hAnsi="Verdana"/>
          <w:b/>
          <w:sz w:val="18"/>
          <w:u w:val="single"/>
          <w:lang w:val="fr-BE"/>
        </w:rPr>
        <w:t>Contexte</w:t>
      </w:r>
    </w:p>
    <w:p w:rsidR="00DA2FFD" w:rsidRDefault="00DA2FFD" w:rsidP="00DA2FFD">
      <w:pPr>
        <w:spacing w:line="240" w:lineRule="auto"/>
        <w:rPr>
          <w:rFonts w:ascii="Verdana" w:hAnsi="Verdana"/>
          <w:b/>
          <w:sz w:val="18"/>
          <w:u w:val="single"/>
          <w:lang w:val="fr-BE"/>
        </w:rPr>
      </w:pPr>
    </w:p>
    <w:p w:rsidR="00581E70" w:rsidRPr="00DA2FFD" w:rsidRDefault="00DA2FFD" w:rsidP="00DA2FFD">
      <w:pPr>
        <w:pStyle w:val="ListParagraph"/>
        <w:numPr>
          <w:ilvl w:val="0"/>
          <w:numId w:val="3"/>
        </w:numPr>
        <w:spacing w:line="240" w:lineRule="auto"/>
        <w:rPr>
          <w:rFonts w:ascii="Verdana" w:hAnsi="Verdana"/>
          <w:b/>
          <w:sz w:val="18"/>
          <w:szCs w:val="18"/>
          <w:u w:val="single"/>
          <w:lang w:val="fr-BE"/>
        </w:rPr>
      </w:pPr>
      <w:hyperlink r:id="rId11" w:history="1">
        <w:r w:rsidR="00581E70" w:rsidRPr="00DA2FFD">
          <w:rPr>
            <w:rStyle w:val="Hyperlink"/>
            <w:rFonts w:ascii="Verdana" w:hAnsi="Verdana" w:cstheme="majorBidi"/>
            <w:sz w:val="18"/>
            <w:lang w:val="fr-BE"/>
          </w:rPr>
          <w:t>Étude du CESE</w:t>
        </w:r>
      </w:hyperlink>
      <w:r w:rsidR="00581E70" w:rsidRPr="00DA2FFD">
        <w:rPr>
          <w:rFonts w:ascii="Verdana" w:hAnsi="Verdana" w:cstheme="majorBidi"/>
          <w:sz w:val="18"/>
          <w:lang w:val="fr-BE"/>
        </w:rPr>
        <w:t xml:space="preserve">: </w:t>
      </w:r>
      <w:r w:rsidR="00581E70" w:rsidRPr="00DA2FFD">
        <w:rPr>
          <w:rFonts w:ascii="Verdana" w:hAnsi="Verdana"/>
          <w:sz w:val="18"/>
          <w:lang w:val="fr-BE"/>
        </w:rPr>
        <w:t>"</w:t>
      </w:r>
      <w:r w:rsidR="00581E70" w:rsidRPr="00DA2FFD">
        <w:rPr>
          <w:rFonts w:ascii="Verdana" w:hAnsi="Verdana"/>
          <w:i/>
          <w:sz w:val="18"/>
          <w:lang w:val="fr-BE"/>
        </w:rPr>
        <w:t>Les effets de l'affichage de la durée d'utilisation des produits sur les consommateurs</w:t>
      </w:r>
      <w:r w:rsidR="00581E70" w:rsidRPr="00DA2FFD">
        <w:rPr>
          <w:rFonts w:ascii="Verdana" w:hAnsi="Verdana"/>
          <w:sz w:val="18"/>
          <w:lang w:val="fr-BE"/>
        </w:rPr>
        <w:t>",</w:t>
      </w:r>
      <w:r w:rsidR="00581E70" w:rsidRPr="00DA2FFD">
        <w:rPr>
          <w:rFonts w:ascii="Verdana" w:hAnsi="Verdana"/>
          <w:b/>
          <w:i/>
          <w:sz w:val="18"/>
          <w:lang w:val="fr-BE"/>
        </w:rPr>
        <w:t xml:space="preserve"> </w:t>
      </w:r>
      <w:r w:rsidR="00581E70" w:rsidRPr="00DA2FFD">
        <w:rPr>
          <w:rFonts w:ascii="Verdana" w:hAnsi="Verdana"/>
          <w:sz w:val="18"/>
          <w:lang w:val="fr-BE"/>
        </w:rPr>
        <w:t xml:space="preserve">rédigée par un consortium de recherche composé de l'agence </w:t>
      </w:r>
      <w:proofErr w:type="spellStart"/>
      <w:r w:rsidR="00581E70" w:rsidRPr="00DA2FFD">
        <w:rPr>
          <w:rFonts w:ascii="Verdana" w:hAnsi="Verdana"/>
          <w:sz w:val="18"/>
          <w:lang w:val="fr-BE"/>
        </w:rPr>
        <w:t>Sircome</w:t>
      </w:r>
      <w:proofErr w:type="spellEnd"/>
      <w:r w:rsidR="00581E70" w:rsidRPr="00DA2FFD">
        <w:rPr>
          <w:rFonts w:ascii="Verdana" w:hAnsi="Verdana"/>
          <w:sz w:val="18"/>
          <w:lang w:val="fr-BE"/>
        </w:rPr>
        <w:t xml:space="preserve"> (France), l’université de Bretagne-Sud (France) et l’université de Bohême du Sud (République tchèque</w:t>
      </w:r>
      <w:r w:rsidRPr="00DA2FFD">
        <w:rPr>
          <w:rFonts w:ascii="Verdana" w:hAnsi="Verdana"/>
          <w:sz w:val="18"/>
          <w:lang w:val="fr-BE"/>
        </w:rPr>
        <w:t>)</w:t>
      </w:r>
    </w:p>
    <w:p w:rsidR="00581E70" w:rsidRPr="00DC327D" w:rsidRDefault="00581E70" w:rsidP="00581E70">
      <w:pPr>
        <w:pStyle w:val="ListParagraph"/>
        <w:numPr>
          <w:ilvl w:val="0"/>
          <w:numId w:val="2"/>
        </w:numPr>
        <w:overflowPunct/>
        <w:autoSpaceDE/>
        <w:autoSpaceDN/>
        <w:adjustRightInd/>
        <w:spacing w:after="200" w:line="276" w:lineRule="auto"/>
        <w:jc w:val="left"/>
        <w:textAlignment w:val="auto"/>
        <w:rPr>
          <w:rFonts w:ascii="Verdana" w:hAnsi="Verdana" w:cstheme="majorBidi"/>
          <w:b/>
          <w:bCs/>
          <w:sz w:val="18"/>
          <w:szCs w:val="18"/>
          <w:lang w:val="fr-BE"/>
        </w:rPr>
      </w:pPr>
      <w:r w:rsidRPr="00DC327D">
        <w:rPr>
          <w:rFonts w:ascii="Verdana" w:hAnsi="Verdana"/>
          <w:sz w:val="18"/>
          <w:szCs w:val="18"/>
          <w:lang w:val="fr-BE"/>
        </w:rPr>
        <w:t xml:space="preserve">Avis du CESE sur </w:t>
      </w:r>
      <w:hyperlink r:id="rId12">
        <w:r w:rsidRPr="00DC327D">
          <w:rPr>
            <w:rStyle w:val="Hyperlink"/>
            <w:rFonts w:ascii="Verdana" w:eastAsiaTheme="majorEastAsia" w:hAnsi="Verdana"/>
            <w:sz w:val="18"/>
            <w:szCs w:val="18"/>
            <w:lang w:val="fr-BE"/>
          </w:rPr>
          <w:t>l'obsolescence programmée</w:t>
        </w:r>
      </w:hyperlink>
    </w:p>
    <w:p w:rsidR="00581E70" w:rsidRPr="00DC327D" w:rsidRDefault="007F6F0F" w:rsidP="00581E70">
      <w:pPr>
        <w:pStyle w:val="ListParagraph"/>
        <w:numPr>
          <w:ilvl w:val="0"/>
          <w:numId w:val="2"/>
        </w:numPr>
        <w:overflowPunct/>
        <w:autoSpaceDE/>
        <w:autoSpaceDN/>
        <w:adjustRightInd/>
        <w:spacing w:after="200" w:line="276" w:lineRule="auto"/>
        <w:jc w:val="left"/>
        <w:textAlignment w:val="auto"/>
        <w:rPr>
          <w:rFonts w:ascii="Verdana" w:hAnsi="Verdana" w:cstheme="majorBidi"/>
          <w:b/>
          <w:bCs/>
          <w:sz w:val="18"/>
          <w:szCs w:val="18"/>
          <w:lang w:val="fr-BE"/>
        </w:rPr>
      </w:pPr>
      <w:hyperlink r:id="rId13">
        <w:r w:rsidR="00581E70" w:rsidRPr="00DC327D">
          <w:rPr>
            <w:rStyle w:val="Hyperlink"/>
            <w:rFonts w:ascii="Verdana" w:eastAsiaTheme="majorEastAsia" w:hAnsi="Verdana"/>
            <w:sz w:val="18"/>
            <w:szCs w:val="18"/>
            <w:lang w:val="fr-BE"/>
          </w:rPr>
          <w:t>Projet du CESE sur la consommation collaborative</w:t>
        </w:r>
      </w:hyperlink>
    </w:p>
    <w:p w:rsidR="00581E70" w:rsidRPr="00DC327D" w:rsidRDefault="00581E70" w:rsidP="00581E70">
      <w:pPr>
        <w:pStyle w:val="ListParagraph"/>
        <w:numPr>
          <w:ilvl w:val="0"/>
          <w:numId w:val="2"/>
        </w:numPr>
        <w:overflowPunct/>
        <w:autoSpaceDE/>
        <w:autoSpaceDN/>
        <w:adjustRightInd/>
        <w:spacing w:after="200" w:line="276" w:lineRule="auto"/>
        <w:jc w:val="left"/>
        <w:textAlignment w:val="auto"/>
        <w:rPr>
          <w:rFonts w:ascii="Verdana" w:hAnsi="Verdana" w:cstheme="majorBidi"/>
          <w:b/>
          <w:bCs/>
          <w:sz w:val="18"/>
          <w:szCs w:val="18"/>
          <w:lang w:val="fr-BE"/>
        </w:rPr>
      </w:pPr>
      <w:r w:rsidRPr="00DC327D">
        <w:rPr>
          <w:rFonts w:ascii="Verdana" w:hAnsi="Verdana"/>
          <w:sz w:val="18"/>
          <w:szCs w:val="18"/>
          <w:lang w:val="fr-BE"/>
        </w:rPr>
        <w:t xml:space="preserve">Position du CESE sur la </w:t>
      </w:r>
      <w:hyperlink r:id="rId14">
        <w:r w:rsidRPr="00DC327D">
          <w:rPr>
            <w:rStyle w:val="Hyperlink"/>
            <w:rFonts w:ascii="Verdana" w:eastAsiaTheme="majorEastAsia" w:hAnsi="Verdana"/>
            <w:sz w:val="18"/>
            <w:szCs w:val="18"/>
            <w:lang w:val="fr-BE"/>
          </w:rPr>
          <w:t>consommation collaborative</w:t>
        </w:r>
      </w:hyperlink>
    </w:p>
    <w:p w:rsidR="00581E70" w:rsidRPr="00DC327D" w:rsidRDefault="007F6F0F" w:rsidP="00581E70">
      <w:pPr>
        <w:pStyle w:val="ListParagraph"/>
        <w:numPr>
          <w:ilvl w:val="0"/>
          <w:numId w:val="2"/>
        </w:numPr>
        <w:overflowPunct/>
        <w:autoSpaceDE/>
        <w:autoSpaceDN/>
        <w:adjustRightInd/>
        <w:spacing w:after="200" w:line="276" w:lineRule="auto"/>
        <w:jc w:val="left"/>
        <w:textAlignment w:val="auto"/>
        <w:rPr>
          <w:rStyle w:val="Hyperlink"/>
          <w:rFonts w:ascii="Verdana" w:hAnsi="Verdana" w:cstheme="majorBidi"/>
          <w:b/>
          <w:bCs/>
          <w:color w:val="auto"/>
          <w:sz w:val="18"/>
          <w:szCs w:val="18"/>
          <w:u w:val="none"/>
          <w:lang w:val="fr-BE"/>
        </w:rPr>
      </w:pPr>
      <w:hyperlink r:id="rId15">
        <w:r w:rsidR="00581E70" w:rsidRPr="00DC327D">
          <w:rPr>
            <w:rStyle w:val="Hyperlink"/>
            <w:rFonts w:ascii="Verdana" w:eastAsiaTheme="majorEastAsia" w:hAnsi="Verdana"/>
            <w:sz w:val="18"/>
            <w:szCs w:val="18"/>
            <w:lang w:val="fr-BE"/>
          </w:rPr>
          <w:t>Stratégie européenne pour une économie circulaire</w:t>
        </w:r>
      </w:hyperlink>
    </w:p>
    <w:p w:rsidR="00581E70" w:rsidRPr="00DC327D" w:rsidRDefault="00581E70" w:rsidP="00581E70">
      <w:pPr>
        <w:pStyle w:val="ListParagraph"/>
        <w:numPr>
          <w:ilvl w:val="0"/>
          <w:numId w:val="2"/>
        </w:numPr>
        <w:overflowPunct/>
        <w:autoSpaceDE/>
        <w:autoSpaceDN/>
        <w:adjustRightInd/>
        <w:spacing w:after="200" w:line="276" w:lineRule="auto"/>
        <w:jc w:val="left"/>
        <w:textAlignment w:val="auto"/>
        <w:rPr>
          <w:rFonts w:ascii="Verdana" w:hAnsi="Verdana" w:cstheme="majorBidi"/>
          <w:b/>
          <w:bCs/>
          <w:sz w:val="18"/>
          <w:szCs w:val="18"/>
          <w:lang w:val="fr-BE"/>
        </w:rPr>
      </w:pPr>
      <w:r w:rsidRPr="00DC327D">
        <w:rPr>
          <w:rStyle w:val="Hyperlink"/>
          <w:rFonts w:ascii="Verdana" w:eastAsiaTheme="majorEastAsia" w:hAnsi="Verdana"/>
          <w:color w:val="auto"/>
          <w:sz w:val="18"/>
          <w:szCs w:val="18"/>
          <w:u w:val="none"/>
          <w:lang w:val="fr-BE"/>
        </w:rPr>
        <w:t xml:space="preserve">Plus d'informations sur </w:t>
      </w:r>
      <w:hyperlink r:id="rId16">
        <w:proofErr w:type="spellStart"/>
        <w:r w:rsidRPr="00DC327D">
          <w:rPr>
            <w:rStyle w:val="Hyperlink"/>
            <w:rFonts w:ascii="Verdana" w:eastAsiaTheme="majorEastAsia" w:hAnsi="Verdana"/>
            <w:sz w:val="18"/>
            <w:szCs w:val="18"/>
            <w:lang w:val="fr-BE"/>
          </w:rPr>
          <w:t>iClinique</w:t>
        </w:r>
        <w:proofErr w:type="spellEnd"/>
      </w:hyperlink>
      <w:r w:rsidRPr="00DC327D">
        <w:rPr>
          <w:rFonts w:ascii="Verdana" w:eastAsiaTheme="majorEastAsia" w:hAnsi="Verdana"/>
          <w:color w:val="000000" w:themeColor="text1"/>
          <w:sz w:val="18"/>
          <w:szCs w:val="18"/>
          <w:lang w:val="fr-BE"/>
        </w:rPr>
        <w:t xml:space="preserve">, </w:t>
      </w:r>
      <w:r w:rsidRPr="00DC327D">
        <w:rPr>
          <w:rStyle w:val="Hyperlink"/>
          <w:rFonts w:ascii="Verdana" w:eastAsiaTheme="majorEastAsia" w:hAnsi="Verdana"/>
          <w:color w:val="auto"/>
          <w:sz w:val="18"/>
          <w:szCs w:val="18"/>
          <w:u w:val="none"/>
          <w:lang w:val="fr-BE"/>
        </w:rPr>
        <w:t>une société belge proposant des services de réparation</w:t>
      </w:r>
    </w:p>
    <w:p w:rsidR="00581E70" w:rsidRPr="00DC327D" w:rsidRDefault="00581E70" w:rsidP="00581E70">
      <w:pPr>
        <w:pStyle w:val="ListParagraph"/>
        <w:spacing w:line="240" w:lineRule="auto"/>
        <w:rPr>
          <w:rFonts w:ascii="Verdana" w:hAnsi="Verdana"/>
          <w:sz w:val="18"/>
          <w:szCs w:val="18"/>
          <w:lang w:val="fr-BE"/>
        </w:rPr>
      </w:pPr>
    </w:p>
    <w:p w:rsidR="00581E70" w:rsidRPr="00DC327D" w:rsidRDefault="00581E70" w:rsidP="00581E70">
      <w:pPr>
        <w:pStyle w:val="ListParagraph"/>
        <w:spacing w:line="240" w:lineRule="auto"/>
        <w:rPr>
          <w:rFonts w:ascii="Verdana" w:hAnsi="Verdana"/>
          <w:sz w:val="18"/>
          <w:szCs w:val="18"/>
          <w:lang w:val="fr-BE"/>
        </w:rPr>
      </w:pPr>
    </w:p>
    <w:p w:rsidR="00581E70" w:rsidRPr="00DC327D" w:rsidRDefault="00581E70" w:rsidP="00581E70">
      <w:pPr>
        <w:keepNext/>
        <w:spacing w:line="240" w:lineRule="auto"/>
        <w:jc w:val="center"/>
        <w:rPr>
          <w:rFonts w:ascii="Verdana" w:hAnsi="Verdana"/>
          <w:b/>
          <w:sz w:val="18"/>
          <w:szCs w:val="18"/>
          <w:lang w:val="fr-BE"/>
        </w:rPr>
      </w:pPr>
      <w:r w:rsidRPr="00DC327D">
        <w:rPr>
          <w:rFonts w:ascii="Verdana" w:hAnsi="Verdana"/>
          <w:b/>
          <w:sz w:val="18"/>
          <w:lang w:val="fr-BE"/>
        </w:rPr>
        <w:t>Pour de plus amples informations, veuillez contacter:</w:t>
      </w:r>
    </w:p>
    <w:p w:rsidR="00581E70" w:rsidRPr="00DC327D" w:rsidRDefault="00581E70" w:rsidP="00581E70">
      <w:pPr>
        <w:keepNext/>
        <w:spacing w:line="240" w:lineRule="auto"/>
        <w:jc w:val="center"/>
        <w:rPr>
          <w:rFonts w:ascii="Verdana" w:eastAsia="PMingLiU" w:hAnsi="Verdana"/>
          <w:sz w:val="18"/>
          <w:szCs w:val="18"/>
          <w:lang w:val="fr-BE"/>
        </w:rPr>
      </w:pPr>
      <w:r w:rsidRPr="00DC327D">
        <w:rPr>
          <w:rFonts w:ascii="Verdana" w:hAnsi="Verdana"/>
          <w:sz w:val="18"/>
          <w:lang w:val="fr-BE"/>
        </w:rPr>
        <w:t>Caroline </w:t>
      </w:r>
      <w:proofErr w:type="spellStart"/>
      <w:r w:rsidRPr="00DC327D">
        <w:rPr>
          <w:rFonts w:ascii="Verdana" w:hAnsi="Verdana"/>
          <w:sz w:val="18"/>
          <w:lang w:val="fr-BE"/>
        </w:rPr>
        <w:t>Alibert-Deprez</w:t>
      </w:r>
      <w:proofErr w:type="spellEnd"/>
      <w:r w:rsidRPr="00DC327D">
        <w:rPr>
          <w:rFonts w:ascii="Verdana" w:hAnsi="Verdana"/>
          <w:sz w:val="18"/>
          <w:lang w:val="fr-BE"/>
        </w:rPr>
        <w:t>, service de presse du CESE</w:t>
      </w:r>
    </w:p>
    <w:p w:rsidR="00581E70" w:rsidRPr="00DC327D" w:rsidRDefault="00581E70" w:rsidP="00581E70">
      <w:pPr>
        <w:keepNext/>
        <w:spacing w:line="240" w:lineRule="auto"/>
        <w:jc w:val="center"/>
        <w:rPr>
          <w:rFonts w:ascii="Verdana" w:eastAsia="PMingLiU" w:hAnsi="Verdana"/>
          <w:sz w:val="18"/>
          <w:szCs w:val="18"/>
          <w:lang w:val="fr-BE"/>
        </w:rPr>
      </w:pPr>
      <w:r w:rsidRPr="00DC327D">
        <w:rPr>
          <w:rFonts w:ascii="Verdana" w:hAnsi="Verdana"/>
          <w:sz w:val="18"/>
          <w:lang w:val="fr-BE"/>
        </w:rPr>
        <w:t xml:space="preserve">Courriel: </w:t>
      </w:r>
      <w:hyperlink r:id="rId17">
        <w:r w:rsidRPr="00DC327D">
          <w:rPr>
            <w:rStyle w:val="Hyperlink"/>
            <w:rFonts w:ascii="Verdana" w:eastAsiaTheme="majorEastAsia" w:hAnsi="Verdana"/>
            <w:sz w:val="18"/>
            <w:lang w:val="fr-BE"/>
          </w:rPr>
          <w:t>press@eesc.europa.eu</w:t>
        </w:r>
      </w:hyperlink>
    </w:p>
    <w:p w:rsidR="00581E70" w:rsidRPr="00DC327D" w:rsidRDefault="00581E70" w:rsidP="00581E70">
      <w:pPr>
        <w:keepNext/>
        <w:spacing w:line="240" w:lineRule="auto"/>
        <w:jc w:val="center"/>
        <w:rPr>
          <w:rFonts w:ascii="Verdana" w:eastAsia="PMingLiU" w:hAnsi="Verdana"/>
          <w:sz w:val="18"/>
          <w:szCs w:val="18"/>
          <w:lang w:val="fr-BE"/>
        </w:rPr>
      </w:pPr>
      <w:r w:rsidRPr="00DC327D">
        <w:rPr>
          <w:rFonts w:ascii="Verdana" w:hAnsi="Verdana"/>
          <w:sz w:val="18"/>
          <w:lang w:val="fr-BE"/>
        </w:rPr>
        <w:t>Tél. +32 2 546 9406 / portable: +32 475 753202</w:t>
      </w:r>
    </w:p>
    <w:p w:rsidR="00581E70" w:rsidRPr="00DC327D" w:rsidRDefault="00581E70" w:rsidP="00581E70">
      <w:pPr>
        <w:keepNext/>
        <w:spacing w:line="240" w:lineRule="auto"/>
        <w:rPr>
          <w:rFonts w:ascii="Verdana" w:hAnsi="Verdana"/>
          <w:sz w:val="18"/>
          <w:lang w:val="fr-BE"/>
        </w:rPr>
      </w:pPr>
    </w:p>
    <w:p w:rsidR="00581E70" w:rsidRPr="00DC327D" w:rsidRDefault="00581E70" w:rsidP="00581E70">
      <w:pPr>
        <w:keepNext/>
        <w:rPr>
          <w:rFonts w:ascii="Verdana" w:hAnsi="Verdana"/>
          <w:b/>
          <w:bCs/>
          <w:i/>
          <w:sz w:val="16"/>
          <w:szCs w:val="18"/>
          <w:lang w:val="fr-BE"/>
        </w:rPr>
      </w:pPr>
      <w:r w:rsidRPr="00DC327D">
        <w:rPr>
          <w:rFonts w:ascii="Verdana" w:hAnsi="Verdana"/>
          <w:i/>
          <w:sz w:val="16"/>
          <w:lang w:val="fr-BE"/>
        </w:rPr>
        <w:t>__</w:t>
      </w:r>
      <w:r w:rsidRPr="00DC327D">
        <w:rPr>
          <w:rFonts w:ascii="Verdana" w:hAnsi="Verdana"/>
          <w:b/>
          <w:i/>
          <w:sz w:val="16"/>
          <w:lang w:val="fr-BE"/>
        </w:rPr>
        <w:t>_____________________________________________________________________________</w:t>
      </w:r>
    </w:p>
    <w:p w:rsidR="00581E70" w:rsidRPr="00DC327D" w:rsidRDefault="00581E70" w:rsidP="00581E70">
      <w:pPr>
        <w:keepNext/>
        <w:rPr>
          <w:rFonts w:ascii="Verdana" w:hAnsi="Verdana"/>
          <w:i/>
          <w:sz w:val="16"/>
          <w:szCs w:val="18"/>
          <w:lang w:val="fr-BE"/>
        </w:rPr>
      </w:pPr>
      <w:r w:rsidRPr="00DC327D">
        <w:rPr>
          <w:rFonts w:ascii="Verdana" w:hAnsi="Verdana"/>
          <w:i/>
          <w:sz w:val="16"/>
          <w:lang w:val="fr-BE"/>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581E70" w:rsidRPr="00DC327D" w:rsidRDefault="00581E70" w:rsidP="00581E70">
      <w:pPr>
        <w:rPr>
          <w:rFonts w:ascii="Verdana" w:hAnsi="Verdana"/>
          <w:b/>
          <w:i/>
          <w:sz w:val="16"/>
          <w:lang w:val="fr-BE"/>
        </w:rPr>
      </w:pPr>
      <w:r w:rsidRPr="00DC327D">
        <w:rPr>
          <w:rFonts w:ascii="Verdana" w:hAnsi="Verdana"/>
          <w:i/>
          <w:sz w:val="16"/>
          <w:lang w:val="fr-BE"/>
        </w:rPr>
        <w:t>__</w:t>
      </w:r>
      <w:r w:rsidRPr="00DC327D">
        <w:rPr>
          <w:rFonts w:ascii="Verdana" w:hAnsi="Verdana"/>
          <w:b/>
          <w:i/>
          <w:sz w:val="16"/>
          <w:lang w:val="fr-BE"/>
        </w:rPr>
        <w:t>_____________________________________________________________________________</w:t>
      </w:r>
    </w:p>
    <w:p w:rsidR="00581E70" w:rsidRPr="00DC327D" w:rsidRDefault="00581E70" w:rsidP="00581E70">
      <w:pPr>
        <w:spacing w:line="240" w:lineRule="auto"/>
        <w:rPr>
          <w:rFonts w:ascii="Verdana" w:hAnsi="Verdana"/>
          <w:sz w:val="18"/>
          <w:lang w:val="fr-BE"/>
        </w:rPr>
      </w:pPr>
    </w:p>
    <w:p w:rsidR="00811293" w:rsidRPr="00DC327D" w:rsidRDefault="00811293">
      <w:pPr>
        <w:rPr>
          <w:lang w:val="fr-BE"/>
        </w:rPr>
      </w:pPr>
    </w:p>
    <w:sectPr w:rsidR="00811293" w:rsidRPr="00DC327D" w:rsidSect="001C5867">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0F" w:rsidRDefault="007F6F0F">
      <w:pPr>
        <w:spacing w:line="240" w:lineRule="auto"/>
      </w:pPr>
      <w:r>
        <w:separator/>
      </w:r>
    </w:p>
  </w:endnote>
  <w:endnote w:type="continuationSeparator" w:id="0">
    <w:p w:rsidR="007F6F0F" w:rsidRDefault="007F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DC327D"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 99 — 1040 Bruxelles— BELGIQUE</w:t>
    </w:r>
  </w:p>
  <w:p w:rsidR="00F83179" w:rsidRPr="0004715C" w:rsidRDefault="00DC327D" w:rsidP="0004715C">
    <w:pPr>
      <w:spacing w:line="240" w:lineRule="auto"/>
      <w:jc w:val="center"/>
      <w:rPr>
        <w:rFonts w:ascii="Verdana" w:hAnsi="Verdana"/>
        <w:sz w:val="16"/>
        <w:szCs w:val="16"/>
      </w:rPr>
    </w:pPr>
    <w:proofErr w:type="spellStart"/>
    <w:r>
      <w:rPr>
        <w:rFonts w:ascii="Verdana" w:hAnsi="Verdana"/>
        <w:sz w:val="16"/>
      </w:rPr>
      <w:t>Tél</w:t>
    </w:r>
    <w:proofErr w:type="spellEnd"/>
    <w:r>
      <w:rPr>
        <w:rFonts w:ascii="Verdana" w:hAnsi="Verdana"/>
        <w:sz w:val="16"/>
      </w:rPr>
      <w:t>. +32 25469406 – Fax +32 25469764</w:t>
    </w:r>
  </w:p>
  <w:p w:rsidR="00F83179" w:rsidRDefault="00DC327D" w:rsidP="0004715C">
    <w:pPr>
      <w:spacing w:line="240" w:lineRule="auto"/>
      <w:jc w:val="center"/>
      <w:rPr>
        <w:rFonts w:ascii="Verdana" w:hAnsi="Verdana"/>
        <w:sz w:val="16"/>
        <w:szCs w:val="16"/>
      </w:rPr>
    </w:pPr>
    <w:proofErr w:type="spellStart"/>
    <w:r>
      <w:rPr>
        <w:rFonts w:ascii="Verdana" w:hAnsi="Verdana"/>
        <w:sz w:val="16"/>
      </w:rPr>
      <w:t>Courriel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DC327D" w:rsidP="00F61167">
    <w:pPr>
      <w:spacing w:line="240" w:lineRule="auto"/>
      <w:jc w:val="center"/>
      <w:rPr>
        <w:rFonts w:ascii="Verdana" w:hAnsi="Verdana"/>
        <w:sz w:val="16"/>
        <w:szCs w:val="16"/>
      </w:rPr>
    </w:pPr>
    <w:proofErr w:type="spellStart"/>
    <w:r>
      <w:rPr>
        <w:rFonts w:ascii="Verdana" w:hAnsi="Verdana"/>
        <w:sz w:val="16"/>
      </w:rPr>
      <w:t>Suivez</w:t>
    </w:r>
    <w:proofErr w:type="spellEnd"/>
    <w:r>
      <w:rPr>
        <w:rFonts w:ascii="Verdana" w:hAnsi="Verdana"/>
        <w:sz w:val="16"/>
      </w:rPr>
      <w:t xml:space="preserve"> le CESE sur </w:t>
    </w:r>
    <w:r>
      <w:rPr>
        <w:noProof/>
        <w:lang w:val="fr-BE" w:eastAsia="fr-BE"/>
      </w:rPr>
      <w:drawing>
        <wp:inline distT="0" distB="0" distL="0" distR="0" wp14:anchorId="67D71502" wp14:editId="414DEE14">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rPr>
      <w:drawing>
        <wp:inline distT="0" distB="0" distL="0" distR="0" wp14:anchorId="65B354DF" wp14:editId="2BCBE686">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rPr>
      <w:drawing>
        <wp:inline distT="0" distB="0" distL="0" distR="0" wp14:anchorId="485771A7" wp14:editId="5DAFFEBD">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0F" w:rsidRDefault="007F6F0F">
      <w:pPr>
        <w:spacing w:line="240" w:lineRule="auto"/>
      </w:pPr>
      <w:r>
        <w:separator/>
      </w:r>
    </w:p>
  </w:footnote>
  <w:footnote w:type="continuationSeparator" w:id="0">
    <w:p w:rsidR="007F6F0F" w:rsidRDefault="007F6F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171AB0"/>
    <w:multiLevelType w:val="hybridMultilevel"/>
    <w:tmpl w:val="65168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715B54"/>
    <w:multiLevelType w:val="hybridMultilevel"/>
    <w:tmpl w:val="F5C05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0"/>
    <w:rsid w:val="0034465B"/>
    <w:rsid w:val="0043532E"/>
    <w:rsid w:val="00581E70"/>
    <w:rsid w:val="007F6F0F"/>
    <w:rsid w:val="00811293"/>
    <w:rsid w:val="00A5637A"/>
    <w:rsid w:val="00DA2FFD"/>
    <w:rsid w:val="00DC327D"/>
    <w:rsid w:val="00DF0A25"/>
    <w:rsid w:val="00F86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70"/>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81E70"/>
    <w:pPr>
      <w:numPr>
        <w:numId w:val="1"/>
      </w:numPr>
      <w:ind w:left="720" w:hanging="720"/>
      <w:outlineLvl w:val="0"/>
    </w:pPr>
    <w:rPr>
      <w:kern w:val="28"/>
    </w:rPr>
  </w:style>
  <w:style w:type="paragraph" w:styleId="Heading2">
    <w:name w:val="heading 2"/>
    <w:basedOn w:val="Normal"/>
    <w:next w:val="Normal"/>
    <w:link w:val="Heading2Char"/>
    <w:qFormat/>
    <w:rsid w:val="00581E70"/>
    <w:pPr>
      <w:numPr>
        <w:ilvl w:val="1"/>
        <w:numId w:val="1"/>
      </w:numPr>
      <w:ind w:left="720" w:hanging="720"/>
      <w:outlineLvl w:val="1"/>
    </w:pPr>
  </w:style>
  <w:style w:type="paragraph" w:styleId="Heading3">
    <w:name w:val="heading 3"/>
    <w:basedOn w:val="Normal"/>
    <w:next w:val="Normal"/>
    <w:link w:val="Heading3Char"/>
    <w:qFormat/>
    <w:rsid w:val="00581E70"/>
    <w:pPr>
      <w:numPr>
        <w:ilvl w:val="2"/>
        <w:numId w:val="1"/>
      </w:numPr>
      <w:ind w:left="720" w:hanging="720"/>
      <w:outlineLvl w:val="2"/>
    </w:pPr>
  </w:style>
  <w:style w:type="paragraph" w:styleId="Heading4">
    <w:name w:val="heading 4"/>
    <w:basedOn w:val="Normal"/>
    <w:next w:val="Normal"/>
    <w:link w:val="Heading4Char"/>
    <w:qFormat/>
    <w:rsid w:val="00581E70"/>
    <w:pPr>
      <w:numPr>
        <w:ilvl w:val="3"/>
        <w:numId w:val="1"/>
      </w:numPr>
      <w:ind w:left="720" w:hanging="720"/>
      <w:outlineLvl w:val="3"/>
    </w:pPr>
  </w:style>
  <w:style w:type="paragraph" w:styleId="Heading5">
    <w:name w:val="heading 5"/>
    <w:basedOn w:val="Normal"/>
    <w:next w:val="Normal"/>
    <w:link w:val="Heading5Char"/>
    <w:qFormat/>
    <w:rsid w:val="00581E70"/>
    <w:pPr>
      <w:numPr>
        <w:ilvl w:val="4"/>
        <w:numId w:val="1"/>
      </w:numPr>
      <w:ind w:left="720" w:hanging="720"/>
      <w:outlineLvl w:val="4"/>
    </w:pPr>
  </w:style>
  <w:style w:type="paragraph" w:styleId="Heading6">
    <w:name w:val="heading 6"/>
    <w:basedOn w:val="Normal"/>
    <w:next w:val="Normal"/>
    <w:link w:val="Heading6Char"/>
    <w:qFormat/>
    <w:rsid w:val="00581E70"/>
    <w:pPr>
      <w:numPr>
        <w:ilvl w:val="5"/>
        <w:numId w:val="1"/>
      </w:numPr>
      <w:ind w:left="720" w:hanging="720"/>
      <w:outlineLvl w:val="5"/>
    </w:pPr>
  </w:style>
  <w:style w:type="paragraph" w:styleId="Heading7">
    <w:name w:val="heading 7"/>
    <w:basedOn w:val="Normal"/>
    <w:next w:val="Normal"/>
    <w:link w:val="Heading7Char"/>
    <w:qFormat/>
    <w:rsid w:val="00581E70"/>
    <w:pPr>
      <w:numPr>
        <w:ilvl w:val="6"/>
        <w:numId w:val="1"/>
      </w:numPr>
      <w:ind w:left="720" w:hanging="720"/>
      <w:outlineLvl w:val="6"/>
    </w:pPr>
  </w:style>
  <w:style w:type="paragraph" w:styleId="Heading8">
    <w:name w:val="heading 8"/>
    <w:basedOn w:val="Normal"/>
    <w:next w:val="Normal"/>
    <w:link w:val="Heading8Char"/>
    <w:qFormat/>
    <w:rsid w:val="00581E70"/>
    <w:pPr>
      <w:numPr>
        <w:ilvl w:val="7"/>
        <w:numId w:val="1"/>
      </w:numPr>
      <w:ind w:left="720" w:hanging="720"/>
      <w:outlineLvl w:val="7"/>
    </w:pPr>
  </w:style>
  <w:style w:type="paragraph" w:styleId="Heading9">
    <w:name w:val="heading 9"/>
    <w:basedOn w:val="Normal"/>
    <w:next w:val="Normal"/>
    <w:link w:val="Heading9Char"/>
    <w:qFormat/>
    <w:rsid w:val="00581E7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E7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81E70"/>
    <w:rPr>
      <w:rFonts w:ascii="Times New Roman" w:eastAsia="Times New Roman" w:hAnsi="Times New Roman" w:cs="Times New Roman"/>
      <w:lang w:val="en-US"/>
    </w:rPr>
  </w:style>
  <w:style w:type="character" w:customStyle="1" w:styleId="Heading3Char">
    <w:name w:val="Heading 3 Char"/>
    <w:basedOn w:val="DefaultParagraphFont"/>
    <w:link w:val="Heading3"/>
    <w:rsid w:val="00581E70"/>
    <w:rPr>
      <w:rFonts w:ascii="Times New Roman" w:eastAsia="Times New Roman" w:hAnsi="Times New Roman" w:cs="Times New Roman"/>
      <w:lang w:val="en-US"/>
    </w:rPr>
  </w:style>
  <w:style w:type="character" w:customStyle="1" w:styleId="Heading4Char">
    <w:name w:val="Heading 4 Char"/>
    <w:basedOn w:val="DefaultParagraphFont"/>
    <w:link w:val="Heading4"/>
    <w:rsid w:val="00581E70"/>
    <w:rPr>
      <w:rFonts w:ascii="Times New Roman" w:eastAsia="Times New Roman" w:hAnsi="Times New Roman" w:cs="Times New Roman"/>
      <w:lang w:val="en-US"/>
    </w:rPr>
  </w:style>
  <w:style w:type="character" w:customStyle="1" w:styleId="Heading5Char">
    <w:name w:val="Heading 5 Char"/>
    <w:basedOn w:val="DefaultParagraphFont"/>
    <w:link w:val="Heading5"/>
    <w:rsid w:val="00581E70"/>
    <w:rPr>
      <w:rFonts w:ascii="Times New Roman" w:eastAsia="Times New Roman" w:hAnsi="Times New Roman" w:cs="Times New Roman"/>
      <w:lang w:val="en-US"/>
    </w:rPr>
  </w:style>
  <w:style w:type="character" w:customStyle="1" w:styleId="Heading6Char">
    <w:name w:val="Heading 6 Char"/>
    <w:basedOn w:val="DefaultParagraphFont"/>
    <w:link w:val="Heading6"/>
    <w:rsid w:val="00581E70"/>
    <w:rPr>
      <w:rFonts w:ascii="Times New Roman" w:eastAsia="Times New Roman" w:hAnsi="Times New Roman" w:cs="Times New Roman"/>
      <w:lang w:val="en-US"/>
    </w:rPr>
  </w:style>
  <w:style w:type="character" w:customStyle="1" w:styleId="Heading7Char">
    <w:name w:val="Heading 7 Char"/>
    <w:basedOn w:val="DefaultParagraphFont"/>
    <w:link w:val="Heading7"/>
    <w:rsid w:val="00581E70"/>
    <w:rPr>
      <w:rFonts w:ascii="Times New Roman" w:eastAsia="Times New Roman" w:hAnsi="Times New Roman" w:cs="Times New Roman"/>
      <w:lang w:val="en-US"/>
    </w:rPr>
  </w:style>
  <w:style w:type="character" w:customStyle="1" w:styleId="Heading8Char">
    <w:name w:val="Heading 8 Char"/>
    <w:basedOn w:val="DefaultParagraphFont"/>
    <w:link w:val="Heading8"/>
    <w:rsid w:val="00581E70"/>
    <w:rPr>
      <w:rFonts w:ascii="Times New Roman" w:eastAsia="Times New Roman" w:hAnsi="Times New Roman" w:cs="Times New Roman"/>
      <w:lang w:val="en-US"/>
    </w:rPr>
  </w:style>
  <w:style w:type="character" w:customStyle="1" w:styleId="Heading9Char">
    <w:name w:val="Heading 9 Char"/>
    <w:basedOn w:val="DefaultParagraphFont"/>
    <w:link w:val="Heading9"/>
    <w:rsid w:val="00581E70"/>
    <w:rPr>
      <w:rFonts w:ascii="Times New Roman" w:eastAsia="Times New Roman" w:hAnsi="Times New Roman" w:cs="Times New Roman"/>
      <w:lang w:val="en-US"/>
    </w:rPr>
  </w:style>
  <w:style w:type="paragraph" w:styleId="Footer">
    <w:name w:val="footer"/>
    <w:basedOn w:val="Normal"/>
    <w:link w:val="FooterChar"/>
    <w:qFormat/>
    <w:rsid w:val="00581E70"/>
  </w:style>
  <w:style w:type="character" w:customStyle="1" w:styleId="FooterChar">
    <w:name w:val="Footer Char"/>
    <w:basedOn w:val="DefaultParagraphFont"/>
    <w:link w:val="Footer"/>
    <w:rsid w:val="00581E70"/>
    <w:rPr>
      <w:rFonts w:ascii="Times New Roman" w:eastAsia="Times New Roman" w:hAnsi="Times New Roman" w:cs="Times New Roman"/>
      <w:lang w:val="en-US"/>
    </w:rPr>
  </w:style>
  <w:style w:type="paragraph" w:styleId="FootnoteText">
    <w:name w:val="footnote text"/>
    <w:basedOn w:val="Normal"/>
    <w:link w:val="FootnoteTextChar"/>
    <w:qFormat/>
    <w:rsid w:val="00581E70"/>
    <w:pPr>
      <w:keepLines/>
      <w:spacing w:after="60" w:line="240" w:lineRule="auto"/>
      <w:ind w:left="720" w:hanging="720"/>
    </w:pPr>
    <w:rPr>
      <w:sz w:val="16"/>
    </w:rPr>
  </w:style>
  <w:style w:type="character" w:customStyle="1" w:styleId="FootnoteTextChar">
    <w:name w:val="Footnote Text Char"/>
    <w:basedOn w:val="DefaultParagraphFont"/>
    <w:link w:val="FootnoteText"/>
    <w:rsid w:val="00581E70"/>
    <w:rPr>
      <w:rFonts w:ascii="Times New Roman" w:eastAsia="Times New Roman" w:hAnsi="Times New Roman" w:cs="Times New Roman"/>
      <w:sz w:val="16"/>
      <w:lang w:val="en-US"/>
    </w:rPr>
  </w:style>
  <w:style w:type="paragraph" w:styleId="Header">
    <w:name w:val="header"/>
    <w:basedOn w:val="Normal"/>
    <w:link w:val="HeaderChar"/>
    <w:qFormat/>
    <w:rsid w:val="00581E70"/>
  </w:style>
  <w:style w:type="character" w:customStyle="1" w:styleId="HeaderChar">
    <w:name w:val="Header Char"/>
    <w:basedOn w:val="DefaultParagraphFont"/>
    <w:link w:val="Header"/>
    <w:rsid w:val="00581E70"/>
    <w:rPr>
      <w:rFonts w:ascii="Times New Roman" w:eastAsia="Times New Roman" w:hAnsi="Times New Roman" w:cs="Times New Roman"/>
      <w:lang w:val="en-US"/>
    </w:rPr>
  </w:style>
  <w:style w:type="paragraph" w:customStyle="1" w:styleId="quotes">
    <w:name w:val="quotes"/>
    <w:basedOn w:val="Normal"/>
    <w:next w:val="Normal"/>
    <w:rsid w:val="00581E70"/>
    <w:pPr>
      <w:ind w:left="720"/>
    </w:pPr>
    <w:rPr>
      <w:i/>
    </w:rPr>
  </w:style>
  <w:style w:type="character" w:styleId="FootnoteReference">
    <w:name w:val="footnote reference"/>
    <w:basedOn w:val="DefaultParagraphFont"/>
    <w:unhideWhenUsed/>
    <w:qFormat/>
    <w:rsid w:val="00581E70"/>
    <w:rPr>
      <w:sz w:val="24"/>
      <w:vertAlign w:val="superscript"/>
    </w:rPr>
  </w:style>
  <w:style w:type="character" w:styleId="Hyperlink">
    <w:name w:val="Hyperlink"/>
    <w:basedOn w:val="DefaultParagraphFont"/>
    <w:uiPriority w:val="99"/>
    <w:rsid w:val="00581E70"/>
    <w:rPr>
      <w:color w:val="0000FF"/>
      <w:u w:val="single"/>
    </w:rPr>
  </w:style>
  <w:style w:type="paragraph" w:styleId="ListParagraph">
    <w:name w:val="List Paragraph"/>
    <w:basedOn w:val="Normal"/>
    <w:uiPriority w:val="34"/>
    <w:qFormat/>
    <w:rsid w:val="00581E70"/>
    <w:pPr>
      <w:overflowPunct w:val="0"/>
      <w:autoSpaceDE w:val="0"/>
      <w:autoSpaceDN w:val="0"/>
      <w:adjustRightInd w:val="0"/>
      <w:ind w:left="720"/>
      <w:contextualSpacing/>
      <w:textAlignment w:val="baseline"/>
    </w:pPr>
    <w:rPr>
      <w:szCs w:val="20"/>
      <w:lang w:val="fr-FR" w:eastAsia="fr-FR" w:bidi="fr-FR"/>
    </w:rPr>
  </w:style>
  <w:style w:type="paragraph" w:styleId="BalloonText">
    <w:name w:val="Balloon Text"/>
    <w:basedOn w:val="Normal"/>
    <w:link w:val="BalloonTextChar"/>
    <w:uiPriority w:val="99"/>
    <w:semiHidden/>
    <w:unhideWhenUsed/>
    <w:rsid w:val="00581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70"/>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81E70"/>
    <w:pPr>
      <w:numPr>
        <w:numId w:val="1"/>
      </w:numPr>
      <w:ind w:left="720" w:hanging="720"/>
      <w:outlineLvl w:val="0"/>
    </w:pPr>
    <w:rPr>
      <w:kern w:val="28"/>
    </w:rPr>
  </w:style>
  <w:style w:type="paragraph" w:styleId="Heading2">
    <w:name w:val="heading 2"/>
    <w:basedOn w:val="Normal"/>
    <w:next w:val="Normal"/>
    <w:link w:val="Heading2Char"/>
    <w:qFormat/>
    <w:rsid w:val="00581E70"/>
    <w:pPr>
      <w:numPr>
        <w:ilvl w:val="1"/>
        <w:numId w:val="1"/>
      </w:numPr>
      <w:ind w:left="720" w:hanging="720"/>
      <w:outlineLvl w:val="1"/>
    </w:pPr>
  </w:style>
  <w:style w:type="paragraph" w:styleId="Heading3">
    <w:name w:val="heading 3"/>
    <w:basedOn w:val="Normal"/>
    <w:next w:val="Normal"/>
    <w:link w:val="Heading3Char"/>
    <w:qFormat/>
    <w:rsid w:val="00581E70"/>
    <w:pPr>
      <w:numPr>
        <w:ilvl w:val="2"/>
        <w:numId w:val="1"/>
      </w:numPr>
      <w:ind w:left="720" w:hanging="720"/>
      <w:outlineLvl w:val="2"/>
    </w:pPr>
  </w:style>
  <w:style w:type="paragraph" w:styleId="Heading4">
    <w:name w:val="heading 4"/>
    <w:basedOn w:val="Normal"/>
    <w:next w:val="Normal"/>
    <w:link w:val="Heading4Char"/>
    <w:qFormat/>
    <w:rsid w:val="00581E70"/>
    <w:pPr>
      <w:numPr>
        <w:ilvl w:val="3"/>
        <w:numId w:val="1"/>
      </w:numPr>
      <w:ind w:left="720" w:hanging="720"/>
      <w:outlineLvl w:val="3"/>
    </w:pPr>
  </w:style>
  <w:style w:type="paragraph" w:styleId="Heading5">
    <w:name w:val="heading 5"/>
    <w:basedOn w:val="Normal"/>
    <w:next w:val="Normal"/>
    <w:link w:val="Heading5Char"/>
    <w:qFormat/>
    <w:rsid w:val="00581E70"/>
    <w:pPr>
      <w:numPr>
        <w:ilvl w:val="4"/>
        <w:numId w:val="1"/>
      </w:numPr>
      <w:ind w:left="720" w:hanging="720"/>
      <w:outlineLvl w:val="4"/>
    </w:pPr>
  </w:style>
  <w:style w:type="paragraph" w:styleId="Heading6">
    <w:name w:val="heading 6"/>
    <w:basedOn w:val="Normal"/>
    <w:next w:val="Normal"/>
    <w:link w:val="Heading6Char"/>
    <w:qFormat/>
    <w:rsid w:val="00581E70"/>
    <w:pPr>
      <w:numPr>
        <w:ilvl w:val="5"/>
        <w:numId w:val="1"/>
      </w:numPr>
      <w:ind w:left="720" w:hanging="720"/>
      <w:outlineLvl w:val="5"/>
    </w:pPr>
  </w:style>
  <w:style w:type="paragraph" w:styleId="Heading7">
    <w:name w:val="heading 7"/>
    <w:basedOn w:val="Normal"/>
    <w:next w:val="Normal"/>
    <w:link w:val="Heading7Char"/>
    <w:qFormat/>
    <w:rsid w:val="00581E70"/>
    <w:pPr>
      <w:numPr>
        <w:ilvl w:val="6"/>
        <w:numId w:val="1"/>
      </w:numPr>
      <w:ind w:left="720" w:hanging="720"/>
      <w:outlineLvl w:val="6"/>
    </w:pPr>
  </w:style>
  <w:style w:type="paragraph" w:styleId="Heading8">
    <w:name w:val="heading 8"/>
    <w:basedOn w:val="Normal"/>
    <w:next w:val="Normal"/>
    <w:link w:val="Heading8Char"/>
    <w:qFormat/>
    <w:rsid w:val="00581E70"/>
    <w:pPr>
      <w:numPr>
        <w:ilvl w:val="7"/>
        <w:numId w:val="1"/>
      </w:numPr>
      <w:ind w:left="720" w:hanging="720"/>
      <w:outlineLvl w:val="7"/>
    </w:pPr>
  </w:style>
  <w:style w:type="paragraph" w:styleId="Heading9">
    <w:name w:val="heading 9"/>
    <w:basedOn w:val="Normal"/>
    <w:next w:val="Normal"/>
    <w:link w:val="Heading9Char"/>
    <w:qFormat/>
    <w:rsid w:val="00581E7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E7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81E70"/>
    <w:rPr>
      <w:rFonts w:ascii="Times New Roman" w:eastAsia="Times New Roman" w:hAnsi="Times New Roman" w:cs="Times New Roman"/>
      <w:lang w:val="en-US"/>
    </w:rPr>
  </w:style>
  <w:style w:type="character" w:customStyle="1" w:styleId="Heading3Char">
    <w:name w:val="Heading 3 Char"/>
    <w:basedOn w:val="DefaultParagraphFont"/>
    <w:link w:val="Heading3"/>
    <w:rsid w:val="00581E70"/>
    <w:rPr>
      <w:rFonts w:ascii="Times New Roman" w:eastAsia="Times New Roman" w:hAnsi="Times New Roman" w:cs="Times New Roman"/>
      <w:lang w:val="en-US"/>
    </w:rPr>
  </w:style>
  <w:style w:type="character" w:customStyle="1" w:styleId="Heading4Char">
    <w:name w:val="Heading 4 Char"/>
    <w:basedOn w:val="DefaultParagraphFont"/>
    <w:link w:val="Heading4"/>
    <w:rsid w:val="00581E70"/>
    <w:rPr>
      <w:rFonts w:ascii="Times New Roman" w:eastAsia="Times New Roman" w:hAnsi="Times New Roman" w:cs="Times New Roman"/>
      <w:lang w:val="en-US"/>
    </w:rPr>
  </w:style>
  <w:style w:type="character" w:customStyle="1" w:styleId="Heading5Char">
    <w:name w:val="Heading 5 Char"/>
    <w:basedOn w:val="DefaultParagraphFont"/>
    <w:link w:val="Heading5"/>
    <w:rsid w:val="00581E70"/>
    <w:rPr>
      <w:rFonts w:ascii="Times New Roman" w:eastAsia="Times New Roman" w:hAnsi="Times New Roman" w:cs="Times New Roman"/>
      <w:lang w:val="en-US"/>
    </w:rPr>
  </w:style>
  <w:style w:type="character" w:customStyle="1" w:styleId="Heading6Char">
    <w:name w:val="Heading 6 Char"/>
    <w:basedOn w:val="DefaultParagraphFont"/>
    <w:link w:val="Heading6"/>
    <w:rsid w:val="00581E70"/>
    <w:rPr>
      <w:rFonts w:ascii="Times New Roman" w:eastAsia="Times New Roman" w:hAnsi="Times New Roman" w:cs="Times New Roman"/>
      <w:lang w:val="en-US"/>
    </w:rPr>
  </w:style>
  <w:style w:type="character" w:customStyle="1" w:styleId="Heading7Char">
    <w:name w:val="Heading 7 Char"/>
    <w:basedOn w:val="DefaultParagraphFont"/>
    <w:link w:val="Heading7"/>
    <w:rsid w:val="00581E70"/>
    <w:rPr>
      <w:rFonts w:ascii="Times New Roman" w:eastAsia="Times New Roman" w:hAnsi="Times New Roman" w:cs="Times New Roman"/>
      <w:lang w:val="en-US"/>
    </w:rPr>
  </w:style>
  <w:style w:type="character" w:customStyle="1" w:styleId="Heading8Char">
    <w:name w:val="Heading 8 Char"/>
    <w:basedOn w:val="DefaultParagraphFont"/>
    <w:link w:val="Heading8"/>
    <w:rsid w:val="00581E70"/>
    <w:rPr>
      <w:rFonts w:ascii="Times New Roman" w:eastAsia="Times New Roman" w:hAnsi="Times New Roman" w:cs="Times New Roman"/>
      <w:lang w:val="en-US"/>
    </w:rPr>
  </w:style>
  <w:style w:type="character" w:customStyle="1" w:styleId="Heading9Char">
    <w:name w:val="Heading 9 Char"/>
    <w:basedOn w:val="DefaultParagraphFont"/>
    <w:link w:val="Heading9"/>
    <w:rsid w:val="00581E70"/>
    <w:rPr>
      <w:rFonts w:ascii="Times New Roman" w:eastAsia="Times New Roman" w:hAnsi="Times New Roman" w:cs="Times New Roman"/>
      <w:lang w:val="en-US"/>
    </w:rPr>
  </w:style>
  <w:style w:type="paragraph" w:styleId="Footer">
    <w:name w:val="footer"/>
    <w:basedOn w:val="Normal"/>
    <w:link w:val="FooterChar"/>
    <w:qFormat/>
    <w:rsid w:val="00581E70"/>
  </w:style>
  <w:style w:type="character" w:customStyle="1" w:styleId="FooterChar">
    <w:name w:val="Footer Char"/>
    <w:basedOn w:val="DefaultParagraphFont"/>
    <w:link w:val="Footer"/>
    <w:rsid w:val="00581E70"/>
    <w:rPr>
      <w:rFonts w:ascii="Times New Roman" w:eastAsia="Times New Roman" w:hAnsi="Times New Roman" w:cs="Times New Roman"/>
      <w:lang w:val="en-US"/>
    </w:rPr>
  </w:style>
  <w:style w:type="paragraph" w:styleId="FootnoteText">
    <w:name w:val="footnote text"/>
    <w:basedOn w:val="Normal"/>
    <w:link w:val="FootnoteTextChar"/>
    <w:qFormat/>
    <w:rsid w:val="00581E70"/>
    <w:pPr>
      <w:keepLines/>
      <w:spacing w:after="60" w:line="240" w:lineRule="auto"/>
      <w:ind w:left="720" w:hanging="720"/>
    </w:pPr>
    <w:rPr>
      <w:sz w:val="16"/>
    </w:rPr>
  </w:style>
  <w:style w:type="character" w:customStyle="1" w:styleId="FootnoteTextChar">
    <w:name w:val="Footnote Text Char"/>
    <w:basedOn w:val="DefaultParagraphFont"/>
    <w:link w:val="FootnoteText"/>
    <w:rsid w:val="00581E70"/>
    <w:rPr>
      <w:rFonts w:ascii="Times New Roman" w:eastAsia="Times New Roman" w:hAnsi="Times New Roman" w:cs="Times New Roman"/>
      <w:sz w:val="16"/>
      <w:lang w:val="en-US"/>
    </w:rPr>
  </w:style>
  <w:style w:type="paragraph" w:styleId="Header">
    <w:name w:val="header"/>
    <w:basedOn w:val="Normal"/>
    <w:link w:val="HeaderChar"/>
    <w:qFormat/>
    <w:rsid w:val="00581E70"/>
  </w:style>
  <w:style w:type="character" w:customStyle="1" w:styleId="HeaderChar">
    <w:name w:val="Header Char"/>
    <w:basedOn w:val="DefaultParagraphFont"/>
    <w:link w:val="Header"/>
    <w:rsid w:val="00581E70"/>
    <w:rPr>
      <w:rFonts w:ascii="Times New Roman" w:eastAsia="Times New Roman" w:hAnsi="Times New Roman" w:cs="Times New Roman"/>
      <w:lang w:val="en-US"/>
    </w:rPr>
  </w:style>
  <w:style w:type="paragraph" w:customStyle="1" w:styleId="quotes">
    <w:name w:val="quotes"/>
    <w:basedOn w:val="Normal"/>
    <w:next w:val="Normal"/>
    <w:rsid w:val="00581E70"/>
    <w:pPr>
      <w:ind w:left="720"/>
    </w:pPr>
    <w:rPr>
      <w:i/>
    </w:rPr>
  </w:style>
  <w:style w:type="character" w:styleId="FootnoteReference">
    <w:name w:val="footnote reference"/>
    <w:basedOn w:val="DefaultParagraphFont"/>
    <w:unhideWhenUsed/>
    <w:qFormat/>
    <w:rsid w:val="00581E70"/>
    <w:rPr>
      <w:sz w:val="24"/>
      <w:vertAlign w:val="superscript"/>
    </w:rPr>
  </w:style>
  <w:style w:type="character" w:styleId="Hyperlink">
    <w:name w:val="Hyperlink"/>
    <w:basedOn w:val="DefaultParagraphFont"/>
    <w:uiPriority w:val="99"/>
    <w:rsid w:val="00581E70"/>
    <w:rPr>
      <w:color w:val="0000FF"/>
      <w:u w:val="single"/>
    </w:rPr>
  </w:style>
  <w:style w:type="paragraph" w:styleId="ListParagraph">
    <w:name w:val="List Paragraph"/>
    <w:basedOn w:val="Normal"/>
    <w:uiPriority w:val="34"/>
    <w:qFormat/>
    <w:rsid w:val="00581E70"/>
    <w:pPr>
      <w:overflowPunct w:val="0"/>
      <w:autoSpaceDE w:val="0"/>
      <w:autoSpaceDN w:val="0"/>
      <w:adjustRightInd w:val="0"/>
      <w:ind w:left="720"/>
      <w:contextualSpacing/>
      <w:textAlignment w:val="baseline"/>
    </w:pPr>
    <w:rPr>
      <w:szCs w:val="20"/>
      <w:lang w:val="fr-FR" w:eastAsia="fr-FR" w:bidi="fr-FR"/>
    </w:rPr>
  </w:style>
  <w:style w:type="paragraph" w:styleId="BalloonText">
    <w:name w:val="Balloon Text"/>
    <w:basedOn w:val="Normal"/>
    <w:link w:val="BalloonTextChar"/>
    <w:uiPriority w:val="99"/>
    <w:semiHidden/>
    <w:unhideWhenUsed/>
    <w:rsid w:val="00581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esc.europa.eu/?i=portal.fr.obsolescence-projec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sc.europa.eu/?i=portal.fr.ccmi-opinions&amp;itemCode=26788" TargetMode="External"/><Relationship Id="rId17" Type="http://schemas.openxmlformats.org/officeDocument/2006/relationships/hyperlink" Target="mailto:press@eesc.europa.eu?subject=Je%20d%C3%A9sire%20obtenir%20des%20informations." TargetMode="External"/><Relationship Id="rId2" Type="http://schemas.openxmlformats.org/officeDocument/2006/relationships/styles" Target="styles.xml"/><Relationship Id="rId16" Type="http://schemas.openxmlformats.org/officeDocument/2006/relationships/hyperlink" Target="http://www.iclinique.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sc.europa.eu/?i=portal.en.obsolescence-studies-articles" TargetMode="External"/><Relationship Id="rId5" Type="http://schemas.openxmlformats.org/officeDocument/2006/relationships/webSettings" Target="webSettings.xml"/><Relationship Id="rId15" Type="http://schemas.openxmlformats.org/officeDocument/2006/relationships/hyperlink" Target="http://ec.europa.eu/environment/circular-economy/index_en.htm" TargetMode="External"/><Relationship Id="rId10" Type="http://schemas.openxmlformats.org/officeDocument/2006/relationships/hyperlink" Target="http://www.eesc.europa.eu/?i=portal.fr.ccmi-opinions&amp;itemCode=26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esc.europa.eu/?i=portal.fr.press-releases&amp;itemCode=30595"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22</TotalTime>
  <Pages>2</Pages>
  <Words>1176</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Alibert</dc:creator>
  <cp:lastModifiedBy>Caroline Alibert</cp:lastModifiedBy>
  <cp:revision>5</cp:revision>
  <dcterms:created xsi:type="dcterms:W3CDTF">2016-03-21T17:10:00Z</dcterms:created>
  <dcterms:modified xsi:type="dcterms:W3CDTF">2016-03-29T08:38:00Z</dcterms:modified>
</cp:coreProperties>
</file>