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C9F0" w14:textId="2C611D57" w:rsidR="008C2993" w:rsidRPr="003818C4" w:rsidRDefault="001F5C79" w:rsidP="001164F1">
      <w:pPr>
        <w:pStyle w:val="NoSpacing"/>
        <w:tabs>
          <w:tab w:val="left" w:pos="0"/>
        </w:tabs>
        <w:spacing w:before="120" w:after="120"/>
        <w:jc w:val="center"/>
        <w:rPr>
          <w:rStyle w:val="BookTitle"/>
          <w:rFonts w:ascii="Arial" w:eastAsia="Calibri" w:hAnsi="Arial" w:cs="Arial"/>
          <w:b/>
          <w:i w:val="0"/>
          <w:color w:val="073763" w:themeColor="accent1" w:themeShade="80"/>
          <w:sz w:val="52"/>
          <w:szCs w:val="52"/>
          <w:lang w:val="en-GB"/>
        </w:rPr>
      </w:pPr>
      <w:r>
        <w:rPr>
          <w:rFonts w:ascii="Arial" w:hAnsi="Arial" w:cs="Arial"/>
          <w:noProof/>
          <w:color w:val="1F4F69"/>
          <w:sz w:val="52"/>
          <w:szCs w:val="52"/>
          <w:u w:color="1F4F69"/>
        </w:rPr>
        <w:drawing>
          <wp:anchor distT="0" distB="0" distL="114300" distR="114300" simplePos="0" relativeHeight="251651071" behindDoc="0" locked="0" layoutInCell="1" allowOverlap="1" wp14:anchorId="62C6B104" wp14:editId="2C497A78">
            <wp:simplePos x="0" y="0"/>
            <wp:positionH relativeFrom="column">
              <wp:posOffset>-807085</wp:posOffset>
            </wp:positionH>
            <wp:positionV relativeFrom="paragraph">
              <wp:posOffset>-86995</wp:posOffset>
            </wp:positionV>
            <wp:extent cx="2860675" cy="1410335"/>
            <wp:effectExtent l="0" t="0" r="9525" b="12065"/>
            <wp:wrapTight wrapText="bothSides">
              <wp:wrapPolygon edited="0">
                <wp:start x="0" y="0"/>
                <wp:lineTo x="0" y="21396"/>
                <wp:lineTo x="21480" y="21396"/>
                <wp:lineTo x="214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ul-pentru-politici-si-reforme-europene-ipre.jpg"/>
                    <pic:cNvPicPr/>
                  </pic:nvPicPr>
                  <pic:blipFill>
                    <a:blip r:embed="rId9">
                      <a:extLst>
                        <a:ext uri="{28A0092B-C50C-407E-A947-70E740481C1C}">
                          <a14:useLocalDpi xmlns:a14="http://schemas.microsoft.com/office/drawing/2010/main" val="0"/>
                        </a:ext>
                      </a:extLst>
                    </a:blip>
                    <a:stretch>
                      <a:fillRect/>
                    </a:stretch>
                  </pic:blipFill>
                  <pic:spPr>
                    <a:xfrm>
                      <a:off x="0" y="0"/>
                      <a:ext cx="2860675" cy="1410335"/>
                    </a:xfrm>
                    <a:prstGeom prst="rect">
                      <a:avLst/>
                    </a:prstGeom>
                  </pic:spPr>
                </pic:pic>
              </a:graphicData>
            </a:graphic>
            <wp14:sizeRelH relativeFrom="page">
              <wp14:pctWidth>0</wp14:pctWidth>
            </wp14:sizeRelH>
            <wp14:sizeRelV relativeFrom="page">
              <wp14:pctHeight>0</wp14:pctHeight>
            </wp14:sizeRelV>
          </wp:anchor>
        </w:drawing>
      </w:r>
      <w:r w:rsidR="000B3633" w:rsidRPr="003818C4">
        <w:rPr>
          <w:rFonts w:ascii="Arial" w:hAnsi="Arial" w:cs="Arial"/>
          <w:noProof/>
          <w:color w:val="1F4F69"/>
          <w:sz w:val="52"/>
          <w:szCs w:val="52"/>
          <w:u w:color="1F4F69"/>
        </w:rPr>
        <mc:AlternateContent>
          <mc:Choice Requires="wps">
            <w:drawing>
              <wp:anchor distT="0" distB="0" distL="114300" distR="114300" simplePos="0" relativeHeight="251652096" behindDoc="1" locked="0" layoutInCell="1" allowOverlap="1" wp14:anchorId="5E05AE14" wp14:editId="63117771">
                <wp:simplePos x="0" y="0"/>
                <wp:positionH relativeFrom="column">
                  <wp:posOffset>-990600</wp:posOffset>
                </wp:positionH>
                <wp:positionV relativeFrom="paragraph">
                  <wp:posOffset>-286385</wp:posOffset>
                </wp:positionV>
                <wp:extent cx="7557135" cy="3764280"/>
                <wp:effectExtent l="0" t="0" r="37465" b="20320"/>
                <wp:wrapThrough wrapText="bothSides">
                  <wp:wrapPolygon edited="0">
                    <wp:start x="0" y="0"/>
                    <wp:lineTo x="0" y="21571"/>
                    <wp:lineTo x="21634" y="21571"/>
                    <wp:lineTo x="21634" y="0"/>
                    <wp:lineTo x="0" y="0"/>
                  </wp:wrapPolygon>
                </wp:wrapThrough>
                <wp:docPr id="15" name="Snip and Round Single Corner Rectangle 15"/>
                <wp:cNvGraphicFramePr/>
                <a:graphic xmlns:a="http://schemas.openxmlformats.org/drawingml/2006/main">
                  <a:graphicData uri="http://schemas.microsoft.com/office/word/2010/wordprocessingShape">
                    <wps:wsp>
                      <wps:cNvSpPr/>
                      <wps:spPr>
                        <a:xfrm>
                          <a:off x="0" y="0"/>
                          <a:ext cx="7557135" cy="3764280"/>
                        </a:xfrm>
                        <a:prstGeom prst="snipRoundRect">
                          <a:avLst>
                            <a:gd name="adj1" fmla="val 0"/>
                            <a:gd name="adj2" fmla="val 0"/>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E01BE" w14:textId="77777777" w:rsidR="00897B83" w:rsidRDefault="00897B83" w:rsidP="0076745D">
                            <w:pPr>
                              <w:spacing w:after="0" w:line="240" w:lineRule="auto"/>
                              <w:ind w:left="567"/>
                              <w:jc w:val="left"/>
                              <w:rPr>
                                <w:rStyle w:val="BookTitle"/>
                                <w:rFonts w:ascii="Arial" w:eastAsia="Calibri" w:hAnsi="Arial" w:cs="Arial"/>
                                <w:b/>
                                <w:i w:val="0"/>
                                <w:color w:val="073763" w:themeColor="accent1" w:themeShade="80"/>
                                <w:sz w:val="52"/>
                                <w:szCs w:val="52"/>
                                <w:lang w:val="ro-RO"/>
                              </w:rPr>
                            </w:pPr>
                            <w:bookmarkStart w:id="0" w:name="_GoBack"/>
                          </w:p>
                          <w:p w14:paraId="077065E1" w14:textId="04DD24E4" w:rsidR="00897B83" w:rsidRPr="00897B83" w:rsidRDefault="00897B83" w:rsidP="0076745D">
                            <w:pPr>
                              <w:spacing w:after="0" w:line="240" w:lineRule="auto"/>
                              <w:ind w:left="567"/>
                              <w:jc w:val="left"/>
                              <w:rPr>
                                <w:rStyle w:val="BookTitle"/>
                                <w:rFonts w:ascii="Arial" w:eastAsia="Calibri" w:hAnsi="Arial" w:cs="Arial"/>
                                <w:b/>
                                <w:i w:val="0"/>
                                <w:color w:val="073763" w:themeColor="accent1" w:themeShade="80"/>
                                <w:sz w:val="10"/>
                                <w:szCs w:val="10"/>
                                <w:lang w:val="ro-RO"/>
                              </w:rPr>
                            </w:pPr>
                            <w:r>
                              <w:rPr>
                                <w:rStyle w:val="BookTitle"/>
                                <w:rFonts w:ascii="Arial" w:eastAsia="Calibri" w:hAnsi="Arial" w:cs="Arial"/>
                                <w:b/>
                                <w:i w:val="0"/>
                                <w:color w:val="073763" w:themeColor="accent1" w:themeShade="80"/>
                                <w:sz w:val="52"/>
                                <w:szCs w:val="52"/>
                                <w:lang w:val="ro-RO"/>
                              </w:rPr>
                              <w:t xml:space="preserve"> </w:t>
                            </w:r>
                          </w:p>
                          <w:p w14:paraId="7E011BE9" w14:textId="77777777" w:rsidR="00897B83" w:rsidRDefault="00897B83" w:rsidP="0076745D">
                            <w:pPr>
                              <w:spacing w:after="0" w:line="240" w:lineRule="auto"/>
                              <w:ind w:left="567"/>
                              <w:jc w:val="left"/>
                              <w:rPr>
                                <w:rStyle w:val="BookTitle"/>
                                <w:rFonts w:ascii="Arial" w:eastAsia="Calibri" w:hAnsi="Arial" w:cs="Arial"/>
                                <w:b/>
                                <w:i w:val="0"/>
                                <w:color w:val="073763" w:themeColor="accent1" w:themeShade="80"/>
                                <w:sz w:val="52"/>
                                <w:szCs w:val="52"/>
                                <w:lang w:val="ro-RO"/>
                              </w:rPr>
                            </w:pPr>
                          </w:p>
                          <w:p w14:paraId="0B98BC2C" w14:textId="77777777" w:rsidR="00897B83" w:rsidRDefault="00897B83" w:rsidP="008C2885">
                            <w:pPr>
                              <w:spacing w:after="0" w:line="240" w:lineRule="auto"/>
                              <w:jc w:val="left"/>
                              <w:rPr>
                                <w:rStyle w:val="BookTitle"/>
                                <w:rFonts w:ascii="Arial" w:eastAsia="Calibri" w:hAnsi="Arial" w:cs="Arial"/>
                                <w:b/>
                                <w:i w:val="0"/>
                                <w:color w:val="073763" w:themeColor="accent1" w:themeShade="80"/>
                                <w:sz w:val="52"/>
                                <w:szCs w:val="52"/>
                                <w:lang w:val="ro-RO"/>
                              </w:rPr>
                            </w:pPr>
                          </w:p>
                          <w:p w14:paraId="7D77A7A4" w14:textId="77777777" w:rsidR="00897B83" w:rsidRDefault="00897B83" w:rsidP="007620E4">
                            <w:pPr>
                              <w:spacing w:after="0" w:line="240" w:lineRule="auto"/>
                              <w:jc w:val="center"/>
                              <w:rPr>
                                <w:rStyle w:val="BookTitle"/>
                                <w:rFonts w:ascii="Arial" w:eastAsia="Calibri" w:hAnsi="Arial" w:cs="Arial"/>
                                <w:b/>
                                <w:i w:val="0"/>
                                <w:color w:val="073763" w:themeColor="accent1" w:themeShade="80"/>
                                <w:sz w:val="52"/>
                                <w:szCs w:val="52"/>
                                <w:lang w:val="ro-RO"/>
                              </w:rPr>
                            </w:pPr>
                          </w:p>
                          <w:p w14:paraId="72673F9A" w14:textId="77777777" w:rsidR="00897B83" w:rsidRDefault="00897B83" w:rsidP="007620E4">
                            <w:pPr>
                              <w:spacing w:after="0" w:line="240" w:lineRule="auto"/>
                              <w:jc w:val="center"/>
                              <w:rPr>
                                <w:rStyle w:val="BookTitle"/>
                                <w:rFonts w:ascii="Arial" w:eastAsia="Calibri" w:hAnsi="Arial" w:cs="Arial"/>
                                <w:b/>
                                <w:i w:val="0"/>
                                <w:color w:val="073763" w:themeColor="accent1" w:themeShade="80"/>
                                <w:sz w:val="52"/>
                                <w:szCs w:val="52"/>
                                <w:lang w:val="ro-RO"/>
                              </w:rPr>
                            </w:pPr>
                            <w:r>
                              <w:rPr>
                                <w:rStyle w:val="BookTitle"/>
                                <w:rFonts w:ascii="Arial" w:eastAsia="Calibri" w:hAnsi="Arial" w:cs="Arial"/>
                                <w:b/>
                                <w:i w:val="0"/>
                                <w:color w:val="073763" w:themeColor="accent1" w:themeShade="80"/>
                                <w:sz w:val="52"/>
                                <w:szCs w:val="52"/>
                                <w:lang w:val="ro-RO"/>
                              </w:rPr>
                              <w:t>SHADOW PROGRESS REPORT</w:t>
                            </w:r>
                          </w:p>
                          <w:p w14:paraId="7DFFEF0D" w14:textId="77777777" w:rsidR="00897B83" w:rsidRDefault="00897B83" w:rsidP="007620E4">
                            <w:pPr>
                              <w:spacing w:after="0" w:line="240" w:lineRule="auto"/>
                              <w:jc w:val="center"/>
                              <w:rPr>
                                <w:rStyle w:val="BookTitle"/>
                                <w:rFonts w:ascii="Arial" w:hAnsi="Arial" w:cs="Arial"/>
                                <w:b/>
                                <w:i w:val="0"/>
                                <w:color w:val="073763" w:themeColor="accent1" w:themeShade="80"/>
                                <w:sz w:val="52"/>
                                <w:szCs w:val="52"/>
                                <w:lang w:val="ro-RO"/>
                              </w:rPr>
                            </w:pPr>
                            <w:r>
                              <w:rPr>
                                <w:rStyle w:val="BookTitle"/>
                                <w:rFonts w:ascii="Arial" w:hAnsi="Arial" w:cs="Arial"/>
                                <w:b/>
                                <w:i w:val="0"/>
                                <w:color w:val="073763" w:themeColor="accent1" w:themeShade="80"/>
                                <w:sz w:val="52"/>
                                <w:szCs w:val="52"/>
                                <w:lang w:val="ro-RO"/>
                              </w:rPr>
                              <w:t>2014-2016</w:t>
                            </w:r>
                          </w:p>
                          <w:p w14:paraId="5E82CC84" w14:textId="77777777" w:rsidR="00897B83" w:rsidRPr="0059170E" w:rsidRDefault="00897B83" w:rsidP="007620E4">
                            <w:pPr>
                              <w:spacing w:after="0" w:line="240" w:lineRule="auto"/>
                              <w:jc w:val="center"/>
                              <w:rPr>
                                <w:rStyle w:val="BookTitle"/>
                                <w:rFonts w:ascii="Arial" w:hAnsi="Arial" w:cs="Arial"/>
                                <w:b/>
                                <w:i w:val="0"/>
                                <w:color w:val="073763" w:themeColor="accent1" w:themeShade="80"/>
                                <w:lang w:val="ro-RO"/>
                              </w:rPr>
                            </w:pPr>
                          </w:p>
                          <w:p w14:paraId="5AECDB76" w14:textId="77777777" w:rsidR="00897B83" w:rsidRPr="00E30B6F" w:rsidRDefault="00897B83" w:rsidP="000B3633">
                            <w:pPr>
                              <w:spacing w:after="0" w:line="240" w:lineRule="auto"/>
                              <w:jc w:val="center"/>
                              <w:rPr>
                                <w:rStyle w:val="BookTitle"/>
                                <w:rFonts w:ascii="Arial" w:eastAsia="Calibri" w:hAnsi="Arial" w:cs="Arial"/>
                                <w:b/>
                                <w:i w:val="0"/>
                                <w:smallCaps/>
                                <w:color w:val="073763" w:themeColor="accent1" w:themeShade="80"/>
                                <w:sz w:val="40"/>
                                <w:szCs w:val="40"/>
                                <w:lang w:val="en-GB"/>
                              </w:rPr>
                            </w:pPr>
                            <w:r w:rsidRPr="00E30B6F">
                              <w:rPr>
                                <w:rStyle w:val="BookTitle"/>
                                <w:rFonts w:ascii="Arial" w:eastAsia="Calibri" w:hAnsi="Arial" w:cs="Arial"/>
                                <w:b/>
                                <w:i w:val="0"/>
                                <w:smallCaps/>
                                <w:color w:val="073763" w:themeColor="accent1" w:themeShade="80"/>
                                <w:sz w:val="40"/>
                                <w:szCs w:val="40"/>
                                <w:lang w:val="en-GB"/>
                              </w:rPr>
                              <w:t xml:space="preserve">Synthesis and Recommendations </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5" o:spid="_x0000_s1026" style="position:absolute;left:0;text-align:left;margin-left:-77.95pt;margin-top:-22.5pt;width:595.05pt;height:29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57135,376428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33ssCAAAyBgAADgAAAGRycy9lMm9Eb2MueG1srFRNTxsxEL1X6n+wfC+bhIRAxAZFQakqIUCE&#10;irPjtZOtvLZrO1/99X32fpAW1ANqDo5nZ+bNzJvxXN8cKkV2wvnS6Jz2z3qUCM1NUep1Tr8/L75c&#10;UuID0wVTRoucHoWnN9PPn673diIGZmNUIRwBiPaTvc3pJgQ7yTLPN6Ji/sxYoaGUxlUsQHTrrHBs&#10;D/RKZYNe7yLbG1dYZ7jwHl9vayWdJnwpBQ8PUnoRiMopcgvpdOlcxTObXrPJ2jG7KXmTBvtAFhUr&#10;NYJ2ULcsMLJ15RuoquTOeCPDGTdVZqQsuUg1oJp+769qlhtmRaoF5Hjb0eT/Hyy/3z06Uhbo3YgS&#10;zSr0aKlLS9Ay8mS2OJfgVQkyN06jVU+glKUPcAB7e+snAFnaR9dIHtdIxUG6Kv6jSHJIjB87xsUh&#10;EI6P49Fo3D9HZA7d+fhiOLhMPcle3a3z4aswFYmXnHokl/KKiSTK2e7Oh8R90RTAih99SmSl0Mod&#10;U6Rt84l+8EaPkA0Sbm3QCOuNKotFqVQS3Ho1V44ANqcL/Hptvn+YKf0xT4SOrllkteYx3cJRiQio&#10;9JOQ6BaYG6Ta0zsRXUKMc6FDv1ZtWCHqPEc9/GKzAN95JCkBRmSJ+jrsBiC+wbfYNUxjH11Femad&#10;c+9fidXOnUeKbHTonKtSG/cegEJVTeTaviWppiayFA6rQz3J7VyuTHHEdDtTP3tv+aLEEN0xHx6Z&#10;w3BgI2B3hQccUpl9Tk1zo2Rj3K/3vkd7PD9oKdljb2Aif26ZE5SobxoP86o/HMZFk4ThaDyA4E41&#10;q1ON3lZzg0nCuCK7dI32QbVX6Uz1ghU3i1GhYpojdk55cK0wD/U+w5LkYjZLZlguloU7vbQ8gkee&#10;40g/H16Ys81LCniE96bdMc301xy/2kZPbWbbYGQZojIyXfPaCFhMaZSaJRo336mcrF5X/fQ3AAAA&#10;//8DAFBLAwQUAAYACAAAACEA4L6P8uMAAAANAQAADwAAAGRycy9kb3ducmV2LnhtbEyPQU7DMBBF&#10;90jcwRokNqh1WhwIIU6FSpEqwQIKB3DjIbaIx1HspoHT465gN6N5+vN+tZpcx0YcgvUkYTHPgCE1&#10;XltqJXy8P80KYCEq0qrzhBK+McCqPj+rVKn9kd5w3MWWpRAKpZJgYuxLzkNj0Kkw9z1Sun36wamY&#10;1qHlelDHFO46vsyyG+6UpfTBqB7XBpuv3cFJaO2Peb7avGzHDV+Pr48kjC2ElJcX08M9sIhT/IPh&#10;pJ/UoU5Oe38gHVgnYbbI87vEpknkqdUJya7FEtheQi5uC+B1xf+3qH8BAAD//wMAUEsBAi0AFAAG&#10;AAgAAAAhAOSZw8D7AAAA4QEAABMAAAAAAAAAAAAAAAAAAAAAAFtDb250ZW50X1R5cGVzXS54bWxQ&#10;SwECLQAUAAYACAAAACEAI7Jq4dcAAACUAQAACwAAAAAAAAAAAAAAAAAsAQAAX3JlbHMvLnJlbHNQ&#10;SwECLQAUAAYACAAAACEAS7/33ssCAAAyBgAADgAAAAAAAAAAAAAAAAAsAgAAZHJzL2Uyb0RvYy54&#10;bWxQSwECLQAUAAYACAAAACEA4L6P8uMAAAANAQAADwAAAAAAAAAAAAAAAAAjBQAAZHJzL2Rvd25y&#10;ZXYueG1sUEsFBgAAAAAEAAQA8wAAADMGAAAAAA==&#10;" adj="-11796480,,5400" path="m0,0l7557135,,7557135,,7557135,3764280,,3764280,,,,0xe" fillcolor="yellow" strokecolor="yellow" strokeweight="1pt">
                <v:stroke joinstyle="miter"/>
                <v:formulas/>
                <v:path arrowok="t" o:connecttype="custom" o:connectlocs="0,0;7557135,0;7557135,0;7557135,3764280;0,3764280;0,0;0,0" o:connectangles="0,0,0,0,0,0,0" textboxrect="0,0,7557135,3764280"/>
                <v:textbox>
                  <w:txbxContent>
                    <w:p w14:paraId="0B6E01BE" w14:textId="77777777" w:rsidR="00897B83" w:rsidRDefault="00897B83" w:rsidP="0076745D">
                      <w:pPr>
                        <w:spacing w:after="0" w:line="240" w:lineRule="auto"/>
                        <w:ind w:left="567"/>
                        <w:jc w:val="left"/>
                        <w:rPr>
                          <w:rStyle w:val="BookTitle"/>
                          <w:rFonts w:ascii="Arial" w:eastAsia="Calibri" w:hAnsi="Arial" w:cs="Arial"/>
                          <w:b/>
                          <w:i w:val="0"/>
                          <w:color w:val="073763" w:themeColor="accent1" w:themeShade="80"/>
                          <w:sz w:val="52"/>
                          <w:szCs w:val="52"/>
                          <w:lang w:val="ro-RO"/>
                        </w:rPr>
                      </w:pPr>
                      <w:bookmarkStart w:id="1" w:name="_GoBack"/>
                    </w:p>
                    <w:p w14:paraId="077065E1" w14:textId="04DD24E4" w:rsidR="00897B83" w:rsidRPr="00897B83" w:rsidRDefault="00897B83" w:rsidP="0076745D">
                      <w:pPr>
                        <w:spacing w:after="0" w:line="240" w:lineRule="auto"/>
                        <w:ind w:left="567"/>
                        <w:jc w:val="left"/>
                        <w:rPr>
                          <w:rStyle w:val="BookTitle"/>
                          <w:rFonts w:ascii="Arial" w:eastAsia="Calibri" w:hAnsi="Arial" w:cs="Arial"/>
                          <w:b/>
                          <w:i w:val="0"/>
                          <w:color w:val="073763" w:themeColor="accent1" w:themeShade="80"/>
                          <w:sz w:val="10"/>
                          <w:szCs w:val="10"/>
                          <w:lang w:val="ro-RO"/>
                        </w:rPr>
                      </w:pPr>
                      <w:r>
                        <w:rPr>
                          <w:rStyle w:val="BookTitle"/>
                          <w:rFonts w:ascii="Arial" w:eastAsia="Calibri" w:hAnsi="Arial" w:cs="Arial"/>
                          <w:b/>
                          <w:i w:val="0"/>
                          <w:color w:val="073763" w:themeColor="accent1" w:themeShade="80"/>
                          <w:sz w:val="52"/>
                          <w:szCs w:val="52"/>
                          <w:lang w:val="ro-RO"/>
                        </w:rPr>
                        <w:t xml:space="preserve"> </w:t>
                      </w:r>
                    </w:p>
                    <w:p w14:paraId="7E011BE9" w14:textId="77777777" w:rsidR="00897B83" w:rsidRDefault="00897B83" w:rsidP="0076745D">
                      <w:pPr>
                        <w:spacing w:after="0" w:line="240" w:lineRule="auto"/>
                        <w:ind w:left="567"/>
                        <w:jc w:val="left"/>
                        <w:rPr>
                          <w:rStyle w:val="BookTitle"/>
                          <w:rFonts w:ascii="Arial" w:eastAsia="Calibri" w:hAnsi="Arial" w:cs="Arial"/>
                          <w:b/>
                          <w:i w:val="0"/>
                          <w:color w:val="073763" w:themeColor="accent1" w:themeShade="80"/>
                          <w:sz w:val="52"/>
                          <w:szCs w:val="52"/>
                          <w:lang w:val="ro-RO"/>
                        </w:rPr>
                      </w:pPr>
                    </w:p>
                    <w:p w14:paraId="0B98BC2C" w14:textId="77777777" w:rsidR="00897B83" w:rsidRDefault="00897B83" w:rsidP="008C2885">
                      <w:pPr>
                        <w:spacing w:after="0" w:line="240" w:lineRule="auto"/>
                        <w:jc w:val="left"/>
                        <w:rPr>
                          <w:rStyle w:val="BookTitle"/>
                          <w:rFonts w:ascii="Arial" w:eastAsia="Calibri" w:hAnsi="Arial" w:cs="Arial"/>
                          <w:b/>
                          <w:i w:val="0"/>
                          <w:color w:val="073763" w:themeColor="accent1" w:themeShade="80"/>
                          <w:sz w:val="52"/>
                          <w:szCs w:val="52"/>
                          <w:lang w:val="ro-RO"/>
                        </w:rPr>
                      </w:pPr>
                    </w:p>
                    <w:p w14:paraId="7D77A7A4" w14:textId="77777777" w:rsidR="00897B83" w:rsidRDefault="00897B83" w:rsidP="007620E4">
                      <w:pPr>
                        <w:spacing w:after="0" w:line="240" w:lineRule="auto"/>
                        <w:jc w:val="center"/>
                        <w:rPr>
                          <w:rStyle w:val="BookTitle"/>
                          <w:rFonts w:ascii="Arial" w:eastAsia="Calibri" w:hAnsi="Arial" w:cs="Arial"/>
                          <w:b/>
                          <w:i w:val="0"/>
                          <w:color w:val="073763" w:themeColor="accent1" w:themeShade="80"/>
                          <w:sz w:val="52"/>
                          <w:szCs w:val="52"/>
                          <w:lang w:val="ro-RO"/>
                        </w:rPr>
                      </w:pPr>
                    </w:p>
                    <w:p w14:paraId="72673F9A" w14:textId="77777777" w:rsidR="00897B83" w:rsidRDefault="00897B83" w:rsidP="007620E4">
                      <w:pPr>
                        <w:spacing w:after="0" w:line="240" w:lineRule="auto"/>
                        <w:jc w:val="center"/>
                        <w:rPr>
                          <w:rStyle w:val="BookTitle"/>
                          <w:rFonts w:ascii="Arial" w:eastAsia="Calibri" w:hAnsi="Arial" w:cs="Arial"/>
                          <w:b/>
                          <w:i w:val="0"/>
                          <w:color w:val="073763" w:themeColor="accent1" w:themeShade="80"/>
                          <w:sz w:val="52"/>
                          <w:szCs w:val="52"/>
                          <w:lang w:val="ro-RO"/>
                        </w:rPr>
                      </w:pPr>
                      <w:r>
                        <w:rPr>
                          <w:rStyle w:val="BookTitle"/>
                          <w:rFonts w:ascii="Arial" w:eastAsia="Calibri" w:hAnsi="Arial" w:cs="Arial"/>
                          <w:b/>
                          <w:i w:val="0"/>
                          <w:color w:val="073763" w:themeColor="accent1" w:themeShade="80"/>
                          <w:sz w:val="52"/>
                          <w:szCs w:val="52"/>
                          <w:lang w:val="ro-RO"/>
                        </w:rPr>
                        <w:t>SHADOW PROGRESS REPORT</w:t>
                      </w:r>
                    </w:p>
                    <w:p w14:paraId="7DFFEF0D" w14:textId="77777777" w:rsidR="00897B83" w:rsidRDefault="00897B83" w:rsidP="007620E4">
                      <w:pPr>
                        <w:spacing w:after="0" w:line="240" w:lineRule="auto"/>
                        <w:jc w:val="center"/>
                        <w:rPr>
                          <w:rStyle w:val="BookTitle"/>
                          <w:rFonts w:ascii="Arial" w:hAnsi="Arial" w:cs="Arial"/>
                          <w:b/>
                          <w:i w:val="0"/>
                          <w:color w:val="073763" w:themeColor="accent1" w:themeShade="80"/>
                          <w:sz w:val="52"/>
                          <w:szCs w:val="52"/>
                          <w:lang w:val="ro-RO"/>
                        </w:rPr>
                      </w:pPr>
                      <w:r>
                        <w:rPr>
                          <w:rStyle w:val="BookTitle"/>
                          <w:rFonts w:ascii="Arial" w:hAnsi="Arial" w:cs="Arial"/>
                          <w:b/>
                          <w:i w:val="0"/>
                          <w:color w:val="073763" w:themeColor="accent1" w:themeShade="80"/>
                          <w:sz w:val="52"/>
                          <w:szCs w:val="52"/>
                          <w:lang w:val="ro-RO"/>
                        </w:rPr>
                        <w:t>2014-2016</w:t>
                      </w:r>
                    </w:p>
                    <w:p w14:paraId="5E82CC84" w14:textId="77777777" w:rsidR="00897B83" w:rsidRPr="0059170E" w:rsidRDefault="00897B83" w:rsidP="007620E4">
                      <w:pPr>
                        <w:spacing w:after="0" w:line="240" w:lineRule="auto"/>
                        <w:jc w:val="center"/>
                        <w:rPr>
                          <w:rStyle w:val="BookTitle"/>
                          <w:rFonts w:ascii="Arial" w:hAnsi="Arial" w:cs="Arial"/>
                          <w:b/>
                          <w:i w:val="0"/>
                          <w:color w:val="073763" w:themeColor="accent1" w:themeShade="80"/>
                          <w:lang w:val="ro-RO"/>
                        </w:rPr>
                      </w:pPr>
                    </w:p>
                    <w:p w14:paraId="5AECDB76" w14:textId="77777777" w:rsidR="00897B83" w:rsidRPr="00E30B6F" w:rsidRDefault="00897B83" w:rsidP="000B3633">
                      <w:pPr>
                        <w:spacing w:after="0" w:line="240" w:lineRule="auto"/>
                        <w:jc w:val="center"/>
                        <w:rPr>
                          <w:rStyle w:val="BookTitle"/>
                          <w:rFonts w:ascii="Arial" w:eastAsia="Calibri" w:hAnsi="Arial" w:cs="Arial"/>
                          <w:b/>
                          <w:i w:val="0"/>
                          <w:smallCaps/>
                          <w:color w:val="073763" w:themeColor="accent1" w:themeShade="80"/>
                          <w:sz w:val="40"/>
                          <w:szCs w:val="40"/>
                          <w:lang w:val="en-GB"/>
                        </w:rPr>
                      </w:pPr>
                      <w:r w:rsidRPr="00E30B6F">
                        <w:rPr>
                          <w:rStyle w:val="BookTitle"/>
                          <w:rFonts w:ascii="Arial" w:eastAsia="Calibri" w:hAnsi="Arial" w:cs="Arial"/>
                          <w:b/>
                          <w:i w:val="0"/>
                          <w:smallCaps/>
                          <w:color w:val="073763" w:themeColor="accent1" w:themeShade="80"/>
                          <w:sz w:val="40"/>
                          <w:szCs w:val="40"/>
                          <w:lang w:val="en-GB"/>
                        </w:rPr>
                        <w:t xml:space="preserve">Synthesis and Recommendations </w:t>
                      </w:r>
                    </w:p>
                    <w:bookmarkEnd w:id="1"/>
                  </w:txbxContent>
                </v:textbox>
                <w10:wrap type="through"/>
              </v:shape>
            </w:pict>
          </mc:Fallback>
        </mc:AlternateContent>
      </w:r>
      <w:r w:rsidR="00E30B6F" w:rsidRPr="003818C4">
        <w:rPr>
          <w:rStyle w:val="BookTitle"/>
          <w:rFonts w:ascii="Arial" w:hAnsi="Arial" w:cs="Arial"/>
          <w:b/>
          <w:i w:val="0"/>
          <w:color w:val="073763" w:themeColor="accent1" w:themeShade="80"/>
          <w:sz w:val="52"/>
          <w:szCs w:val="52"/>
          <w:lang w:val="en-GB"/>
        </w:rPr>
        <w:t xml:space="preserve">Implementation of the EU-Moldova </w:t>
      </w:r>
    </w:p>
    <w:p w14:paraId="08FDF6B3" w14:textId="77777777" w:rsidR="007620E4" w:rsidRPr="003818C4" w:rsidRDefault="005C4DA1" w:rsidP="001164F1">
      <w:pPr>
        <w:spacing w:before="120" w:after="120" w:line="240" w:lineRule="auto"/>
        <w:ind w:left="-567" w:right="-709"/>
        <w:jc w:val="center"/>
        <w:rPr>
          <w:rStyle w:val="NoneA"/>
          <w:rFonts w:ascii="Arial" w:eastAsiaTheme="majorEastAsia" w:hAnsi="Arial" w:cs="Arial"/>
          <w:b/>
          <w:iCs/>
          <w:color w:val="073763" w:themeColor="accent1" w:themeShade="80"/>
          <w:sz w:val="52"/>
          <w:szCs w:val="52"/>
          <w:lang w:val="en-GB"/>
        </w:rPr>
      </w:pPr>
      <w:r w:rsidRPr="003818C4">
        <w:rPr>
          <w:rStyle w:val="BookTitle"/>
          <w:rFonts w:ascii="Arial" w:hAnsi="Arial" w:cs="Arial"/>
          <w:b/>
          <w:i w:val="0"/>
          <w:color w:val="073763" w:themeColor="accent1" w:themeShade="80"/>
          <w:sz w:val="52"/>
          <w:szCs w:val="52"/>
          <w:lang w:val="en-GB"/>
        </w:rPr>
        <w:t>Assoc</w:t>
      </w:r>
      <w:r w:rsidR="00E30B6F" w:rsidRPr="003818C4">
        <w:rPr>
          <w:rStyle w:val="BookTitle"/>
          <w:rFonts w:ascii="Arial" w:hAnsi="Arial" w:cs="Arial"/>
          <w:b/>
          <w:i w:val="0"/>
          <w:color w:val="073763" w:themeColor="accent1" w:themeShade="80"/>
          <w:sz w:val="52"/>
          <w:szCs w:val="52"/>
          <w:lang w:val="en-GB"/>
        </w:rPr>
        <w:t xml:space="preserve">iation Agreement </w:t>
      </w:r>
    </w:p>
    <w:p w14:paraId="11EDE3E8" w14:textId="77777777" w:rsidR="008C2993" w:rsidRPr="003818C4" w:rsidRDefault="00957B2D" w:rsidP="001164F1">
      <w:pPr>
        <w:spacing w:before="120" w:after="120" w:line="240" w:lineRule="auto"/>
        <w:jc w:val="left"/>
        <w:rPr>
          <w:rStyle w:val="NoneA"/>
          <w:rFonts w:ascii="Arial" w:hAnsi="Arial" w:cs="Arial"/>
          <w:i/>
          <w:iCs/>
          <w:sz w:val="18"/>
          <w:szCs w:val="18"/>
          <w:lang w:val="en-GB"/>
        </w:rPr>
      </w:pPr>
      <w:r w:rsidRPr="003818C4">
        <w:rPr>
          <w:rFonts w:ascii="Arial" w:hAnsi="Arial" w:cs="Arial"/>
          <w:noProof/>
          <w:color w:val="0B5294" w:themeColor="accent1" w:themeShade="BF"/>
          <w:sz w:val="18"/>
          <w:szCs w:val="18"/>
          <w:u w:color="2841BB"/>
        </w:rPr>
        <mc:AlternateContent>
          <mc:Choice Requires="wps">
            <w:drawing>
              <wp:anchor distT="0" distB="0" distL="114300" distR="114300" simplePos="0" relativeHeight="251654144" behindDoc="0" locked="0" layoutInCell="1" allowOverlap="1" wp14:anchorId="6C3AAFF4" wp14:editId="29CC3091">
                <wp:simplePos x="0" y="0"/>
                <wp:positionH relativeFrom="column">
                  <wp:posOffset>-990600</wp:posOffset>
                </wp:positionH>
                <wp:positionV relativeFrom="paragraph">
                  <wp:posOffset>243840</wp:posOffset>
                </wp:positionV>
                <wp:extent cx="7550150" cy="3434715"/>
                <wp:effectExtent l="0" t="0" r="19050" b="19685"/>
                <wp:wrapThrough wrapText="bothSides">
                  <wp:wrapPolygon edited="0">
                    <wp:start x="0" y="0"/>
                    <wp:lineTo x="0" y="21564"/>
                    <wp:lineTo x="21582" y="21564"/>
                    <wp:lineTo x="21582"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7550150" cy="3434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A5148E" w14:textId="77777777" w:rsidR="00897B83" w:rsidRPr="005C4DA1" w:rsidRDefault="00897B83"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jc w:val="right"/>
                              <w:rPr>
                                <w:rStyle w:val="NoneA"/>
                                <w:rFonts w:ascii="Arial" w:hAnsi="Arial" w:cs="Arial"/>
                                <w:color w:val="0B5294" w:themeColor="accent1" w:themeShade="BF"/>
                                <w:u w:color="2841BB"/>
                                <w:lang w:val="en-GB"/>
                              </w:rPr>
                            </w:pPr>
                          </w:p>
                          <w:p w14:paraId="6F123CE3" w14:textId="77777777" w:rsidR="00897B83" w:rsidRPr="005C4DA1" w:rsidRDefault="00897B83"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797" w:right="54"/>
                              <w:jc w:val="left"/>
                              <w:rPr>
                                <w:rStyle w:val="NoneA"/>
                                <w:rFonts w:ascii="Arial" w:hAnsi="Arial" w:cs="Arial"/>
                                <w:b/>
                                <w:color w:val="FFFFFF" w:themeColor="background1"/>
                                <w:sz w:val="24"/>
                                <w:szCs w:val="24"/>
                                <w:u w:color="2841BB"/>
                                <w:lang w:val="en-GB"/>
                              </w:rPr>
                            </w:pPr>
                          </w:p>
                          <w:p w14:paraId="29B6BE3D" w14:textId="77777777" w:rsidR="00897B83" w:rsidRPr="005C4DA1" w:rsidRDefault="00897B83"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797" w:right="54"/>
                              <w:jc w:val="left"/>
                              <w:rPr>
                                <w:rStyle w:val="NoneA"/>
                                <w:rFonts w:ascii="Arial" w:hAnsi="Arial" w:cs="Arial"/>
                                <w:b/>
                                <w:color w:val="FFFFFF" w:themeColor="background1"/>
                                <w:sz w:val="24"/>
                                <w:szCs w:val="24"/>
                                <w:u w:color="2841BB"/>
                                <w:lang w:val="en-GB"/>
                              </w:rPr>
                            </w:pPr>
                          </w:p>
                          <w:p w14:paraId="62ACE1AE" w14:textId="77777777" w:rsidR="00897B83" w:rsidRPr="005C4DA1" w:rsidRDefault="00897B83"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797" w:right="54"/>
                              <w:jc w:val="left"/>
                              <w:rPr>
                                <w:rStyle w:val="NoneA"/>
                                <w:rFonts w:ascii="Arial" w:hAnsi="Arial" w:cs="Arial"/>
                                <w:b/>
                                <w:color w:val="FFFFFF" w:themeColor="background1"/>
                                <w:sz w:val="24"/>
                                <w:szCs w:val="24"/>
                                <w:u w:color="2841BB"/>
                                <w:lang w:val="en-GB"/>
                              </w:rPr>
                            </w:pPr>
                          </w:p>
                          <w:p w14:paraId="1D5AC0E8" w14:textId="77777777" w:rsidR="00897B83" w:rsidRPr="005C4DA1" w:rsidRDefault="00897B83"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797" w:right="54"/>
                              <w:jc w:val="left"/>
                              <w:rPr>
                                <w:rStyle w:val="NoneA"/>
                                <w:rFonts w:ascii="Arial" w:hAnsi="Arial" w:cs="Arial"/>
                                <w:b/>
                                <w:color w:val="FFFFFF" w:themeColor="background1"/>
                                <w:sz w:val="24"/>
                                <w:szCs w:val="24"/>
                                <w:u w:color="2841BB"/>
                                <w:lang w:val="en-GB"/>
                              </w:rPr>
                            </w:pPr>
                          </w:p>
                          <w:p w14:paraId="3DA73EF3" w14:textId="77777777" w:rsidR="00897B83" w:rsidRPr="005C4DA1" w:rsidRDefault="00897B83" w:rsidP="00E30B6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right="54"/>
                              <w:jc w:val="left"/>
                              <w:rPr>
                                <w:rStyle w:val="NoneA"/>
                                <w:rFonts w:ascii="Arial" w:hAnsi="Arial" w:cs="Arial"/>
                                <w:b/>
                                <w:color w:val="FFFFFF" w:themeColor="background1"/>
                                <w:sz w:val="24"/>
                                <w:szCs w:val="24"/>
                                <w:u w:color="2841BB"/>
                                <w:lang w:val="en-GB"/>
                              </w:rPr>
                            </w:pP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t>Authors:</w:t>
                            </w:r>
                            <w:r w:rsidRPr="005C4DA1">
                              <w:rPr>
                                <w:rStyle w:val="NoneA"/>
                                <w:rFonts w:ascii="Arial" w:hAnsi="Arial" w:cs="Arial"/>
                                <w:b/>
                                <w:color w:val="FFFFFF" w:themeColor="background1"/>
                                <w:u w:color="2841BB"/>
                                <w:lang w:val="en-GB"/>
                              </w:rPr>
                              <w:t xml:space="preserve"> </w:t>
                            </w:r>
                            <w:r w:rsidRPr="005C4DA1">
                              <w:rPr>
                                <w:rStyle w:val="NoneA"/>
                                <w:rFonts w:ascii="Arial" w:hAnsi="Arial" w:cs="Arial"/>
                                <w:b/>
                                <w:color w:val="FFFFFF" w:themeColor="background1"/>
                                <w:u w:color="2841BB"/>
                                <w:lang w:val="en-GB"/>
                              </w:rPr>
                              <w:tab/>
                            </w:r>
                            <w:r w:rsidRPr="005C4DA1">
                              <w:rPr>
                                <w:rStyle w:val="NoneA"/>
                                <w:rFonts w:ascii="Arial" w:hAnsi="Arial" w:cs="Arial"/>
                                <w:b/>
                                <w:color w:val="FFFFFF" w:themeColor="background1"/>
                                <w:sz w:val="24"/>
                                <w:szCs w:val="24"/>
                                <w:u w:color="2841BB"/>
                                <w:lang w:val="en-GB"/>
                              </w:rPr>
                              <w:t>Iulian Groza</w:t>
                            </w:r>
                          </w:p>
                          <w:p w14:paraId="5426D2BB" w14:textId="77777777" w:rsidR="00897B83" w:rsidRPr="005C4DA1" w:rsidRDefault="00897B83"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371" w:right="54"/>
                              <w:jc w:val="left"/>
                              <w:rPr>
                                <w:rStyle w:val="NoneA"/>
                                <w:rFonts w:ascii="Arial" w:hAnsi="Arial" w:cs="Arial"/>
                                <w:b/>
                                <w:color w:val="FFFFFF" w:themeColor="background1"/>
                                <w:sz w:val="24"/>
                                <w:szCs w:val="24"/>
                                <w:u w:color="2841BB"/>
                                <w:lang w:val="en-GB"/>
                              </w:rPr>
                            </w:pP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t>Iulian Rusu</w:t>
                            </w:r>
                          </w:p>
                          <w:p w14:paraId="706F43B2" w14:textId="77777777" w:rsidR="00897B83" w:rsidRPr="005C4DA1" w:rsidRDefault="00897B83"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371" w:right="54"/>
                              <w:jc w:val="left"/>
                              <w:rPr>
                                <w:rStyle w:val="NoneA"/>
                                <w:rFonts w:ascii="Arial" w:hAnsi="Arial" w:cs="Arial"/>
                                <w:b/>
                                <w:color w:val="FFFFFF" w:themeColor="background1"/>
                                <w:sz w:val="24"/>
                                <w:szCs w:val="24"/>
                                <w:u w:color="2841BB"/>
                                <w:lang w:val="en-GB"/>
                              </w:rPr>
                            </w:pP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t xml:space="preserve">Mariana </w:t>
                            </w:r>
                            <w:proofErr w:type="spellStart"/>
                            <w:r w:rsidRPr="005C4DA1">
                              <w:rPr>
                                <w:rStyle w:val="NoneA"/>
                                <w:rFonts w:ascii="Arial" w:hAnsi="Arial" w:cs="Arial"/>
                                <w:b/>
                                <w:color w:val="FFFFFF" w:themeColor="background1"/>
                                <w:sz w:val="24"/>
                                <w:szCs w:val="24"/>
                                <w:u w:color="2841BB"/>
                                <w:lang w:val="en-GB"/>
                              </w:rPr>
                              <w:t>Platon</w:t>
                            </w:r>
                            <w:proofErr w:type="spellEnd"/>
                          </w:p>
                          <w:p w14:paraId="7784F5DA" w14:textId="77777777" w:rsidR="00897B83" w:rsidRDefault="00897B83"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371" w:right="54"/>
                              <w:jc w:val="left"/>
                              <w:rPr>
                                <w:rStyle w:val="NoneA"/>
                                <w:rFonts w:ascii="Arial" w:hAnsi="Arial" w:cs="Arial"/>
                                <w:b/>
                                <w:color w:val="FFFFFF" w:themeColor="background1"/>
                                <w:sz w:val="24"/>
                                <w:szCs w:val="24"/>
                                <w:u w:color="2841BB"/>
                                <w:lang w:val="en-GB"/>
                              </w:rPr>
                            </w:pP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t xml:space="preserve">Adrian </w:t>
                            </w:r>
                            <w:proofErr w:type="spellStart"/>
                            <w:r w:rsidRPr="005C4DA1">
                              <w:rPr>
                                <w:rStyle w:val="NoneA"/>
                                <w:rFonts w:ascii="Arial" w:hAnsi="Arial" w:cs="Arial"/>
                                <w:b/>
                                <w:color w:val="FFFFFF" w:themeColor="background1"/>
                                <w:sz w:val="24"/>
                                <w:szCs w:val="24"/>
                                <w:u w:color="2841BB"/>
                                <w:lang w:val="en-GB"/>
                              </w:rPr>
                              <w:t>Ermurachi</w:t>
                            </w:r>
                            <w:proofErr w:type="spellEnd"/>
                          </w:p>
                          <w:p w14:paraId="42D8A581" w14:textId="77777777" w:rsidR="00897B83" w:rsidRPr="00B1155C" w:rsidRDefault="00897B83" w:rsidP="00B1155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right="54"/>
                              <w:jc w:val="center"/>
                              <w:rPr>
                                <w:rStyle w:val="NoneA"/>
                                <w:rFonts w:ascii="Arial" w:hAnsi="Arial" w:cs="Arial"/>
                                <w:b/>
                                <w:smallCaps/>
                                <w:color w:val="FFFFFF" w:themeColor="background1"/>
                                <w:sz w:val="24"/>
                                <w:szCs w:val="24"/>
                                <w:u w:color="2841BB"/>
                                <w:lang w:val="en-GB"/>
                              </w:rPr>
                            </w:pPr>
                            <w:r w:rsidRPr="00B1155C">
                              <w:rPr>
                                <w:rStyle w:val="NoneA"/>
                                <w:rFonts w:ascii="Arial" w:hAnsi="Arial" w:cs="Arial"/>
                                <w:b/>
                                <w:smallCaps/>
                                <w:color w:val="FFFFFF" w:themeColor="background1"/>
                                <w:sz w:val="24"/>
                                <w:szCs w:val="24"/>
                                <w:u w:color="2841BB"/>
                                <w:lang w:val="en-GB"/>
                              </w:rPr>
                              <w:t xml:space="preserve">24 March 2017, </w:t>
                            </w:r>
                            <w:proofErr w:type="spellStart"/>
                            <w:r w:rsidRPr="00B1155C">
                              <w:rPr>
                                <w:rStyle w:val="NoneA"/>
                                <w:rFonts w:ascii="Arial" w:hAnsi="Arial" w:cs="Arial"/>
                                <w:b/>
                                <w:smallCaps/>
                                <w:color w:val="FFFFFF" w:themeColor="background1"/>
                                <w:sz w:val="24"/>
                                <w:szCs w:val="24"/>
                                <w:u w:color="2841BB"/>
                                <w:lang w:val="en-GB"/>
                              </w:rPr>
                              <w:t>Chișinău</w:t>
                            </w:r>
                            <w:proofErr w:type="spellEnd"/>
                          </w:p>
                          <w:p w14:paraId="0C5222B4" w14:textId="77777777" w:rsidR="00897B83" w:rsidRPr="005C4DA1" w:rsidRDefault="00897B83" w:rsidP="008C2993">
                            <w:pPr>
                              <w:jc w:val="left"/>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3AAFF4" id="Rectangle 16" o:spid="_x0000_s1028" style="position:absolute;margin-left:-78pt;margin-top:19.2pt;width:594.5pt;height:27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yPeX8CAABOBQAADgAAAGRycy9lMm9Eb2MueG1srFTBbtswDL0P2D8Iuq+206TdgjhFkKLDgKIN&#10;2g49K7IUG5BETVJiZ18/Snbcoi12GOaDLInkI/lIanHVaUUOwvkGTEmLs5wSYThUjdmV9OfTzZev&#10;lPjATMUUGFHSo/D0avn506K1czGBGlQlHEEQ4+etLWkdgp1nmee10MyfgRUGhRKcZgGPbpdVjrWI&#10;rlU2yfOLrAVXWQdceI+3172QLhO+lIKHeym9CESVFGMLaXVp3cY1Wy7YfOeYrRs+hMH+IQrNGoNO&#10;R6hrFhjZu+YdlG64Aw8ynHHQGUjZcJFywGyK/E02jzWzIuWC5Hg70uT/Hyy/O2wcaSqs3QUlhmms&#10;0QOyxsxOCYJ3SFBr/Rz1Hu3GDSeP25htJ52Of8yDdInU40iq6ALheHk5m+XFDLnnKDufnk8vi1lE&#10;zV7MrfPhuwBN4qakDv0nMtnh1ode9aSCdjGcPoC0C0clYgzKPAiJmaDLSbJOPSTWypEDw+ozzoUJ&#10;RS+qWSX661mO3xDPaJGiS4ARWTZKjdgDQOzP99h9rIN+NBWpBUfj/G+B9cajRfIMJozGujHgPgJQ&#10;mNXgudc/kdRTE1kK3bZLVZ5EzXizheqIlXfQj4S3/KZB9m+ZDxvmcAawYjjX4R4XqaAtKQw7Smpw&#10;vz+6j/rYmiilpMWZKqn/tWdOUKJ+GGzab8V0GocwHaazywke3GvJ9rXE7PUasHAFviCWp23UD+q0&#10;lQ70M47/KnpFETMcfZeUB3c6rEM/6/iAcLFaJTUcPMvCrXm0PIJHnmN3PXXPzNmhBQN27x2c5o/N&#10;33RirxstDaz2AWST2vSF16ECOLSplYYHJr4Kr89J6+UZXP4BAAD//wMAUEsDBBQABgAIAAAAIQDB&#10;c54V4AAAAAwBAAAPAAAAZHJzL2Rvd25yZXYueG1sTI/NTsMwEITvSLyDtUjcWieE/hDiVKgSFyQO&#10;bXmAbbwkofY6ip0meXvcExx3djTzTbGbrBFX6n3rWEG6TEAQV063XCv4Or0vtiB8QNZoHJOCmTzs&#10;yvu7AnPtRj7Q9RhqEUPY56igCaHLpfRVQxb90nXE8ffteoshnn0tdY9jDLdGPiXJWlpsOTY02NG+&#10;oepyHGwsQTrM6WbcXz6b6aMlM//QMCv1+DC9vYIINIU/M9zwIzqUkensBtZeGAWLdLWOY4KCbPsM&#10;4uZIsiwqZwWrzUsGsizk/xHlLwAAAP//AwBQSwECLQAUAAYACAAAACEA5JnDwPsAAADhAQAAEwAA&#10;AAAAAAAAAAAAAAAAAAAAW0NvbnRlbnRfVHlwZXNdLnhtbFBLAQItABQABgAIAAAAIQAjsmrh1wAA&#10;AJQBAAALAAAAAAAAAAAAAAAAACwBAABfcmVscy8ucmVsc1BLAQItABQABgAIAAAAIQCQ/I95fwIA&#10;AE4FAAAOAAAAAAAAAAAAAAAAACwCAABkcnMvZTJvRG9jLnhtbFBLAQItABQABgAIAAAAIQDBc54V&#10;4AAAAAwBAAAPAAAAAAAAAAAAAAAAANcEAABkcnMvZG93bnJldi54bWxQSwUGAAAAAAQABADzAAAA&#10;5AUAAAAA&#10;" fillcolor="#0f6fc6 [3204]" strokecolor="#073662 [1604]" strokeweight="1pt">
                <v:textbox>
                  <w:txbxContent>
                    <w:p w14:paraId="03A5148E" w14:textId="77777777" w:rsidR="003818C4" w:rsidRPr="005C4DA1" w:rsidRDefault="003818C4"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jc w:val="right"/>
                        <w:rPr>
                          <w:rStyle w:val="NoneA"/>
                          <w:rFonts w:ascii="Arial" w:hAnsi="Arial" w:cs="Arial"/>
                          <w:color w:val="0B5294" w:themeColor="accent1" w:themeShade="BF"/>
                          <w:u w:color="2841BB"/>
                          <w:lang w:val="en-GB"/>
                        </w:rPr>
                      </w:pPr>
                    </w:p>
                    <w:p w14:paraId="6F123CE3" w14:textId="77777777" w:rsidR="003818C4" w:rsidRPr="005C4DA1" w:rsidRDefault="003818C4"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797" w:right="54"/>
                        <w:jc w:val="left"/>
                        <w:rPr>
                          <w:rStyle w:val="NoneA"/>
                          <w:rFonts w:ascii="Arial" w:hAnsi="Arial" w:cs="Arial"/>
                          <w:b/>
                          <w:color w:val="FFFFFF" w:themeColor="background1"/>
                          <w:sz w:val="24"/>
                          <w:szCs w:val="24"/>
                          <w:u w:color="2841BB"/>
                          <w:lang w:val="en-GB"/>
                        </w:rPr>
                      </w:pPr>
                    </w:p>
                    <w:p w14:paraId="29B6BE3D" w14:textId="77777777" w:rsidR="003818C4" w:rsidRPr="005C4DA1" w:rsidRDefault="003818C4"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797" w:right="54"/>
                        <w:jc w:val="left"/>
                        <w:rPr>
                          <w:rStyle w:val="NoneA"/>
                          <w:rFonts w:ascii="Arial" w:hAnsi="Arial" w:cs="Arial"/>
                          <w:b/>
                          <w:color w:val="FFFFFF" w:themeColor="background1"/>
                          <w:sz w:val="24"/>
                          <w:szCs w:val="24"/>
                          <w:u w:color="2841BB"/>
                          <w:lang w:val="en-GB"/>
                        </w:rPr>
                      </w:pPr>
                    </w:p>
                    <w:p w14:paraId="62ACE1AE" w14:textId="77777777" w:rsidR="003818C4" w:rsidRPr="005C4DA1" w:rsidRDefault="003818C4"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797" w:right="54"/>
                        <w:jc w:val="left"/>
                        <w:rPr>
                          <w:rStyle w:val="NoneA"/>
                          <w:rFonts w:ascii="Arial" w:hAnsi="Arial" w:cs="Arial"/>
                          <w:b/>
                          <w:color w:val="FFFFFF" w:themeColor="background1"/>
                          <w:sz w:val="24"/>
                          <w:szCs w:val="24"/>
                          <w:u w:color="2841BB"/>
                          <w:lang w:val="en-GB"/>
                        </w:rPr>
                      </w:pPr>
                    </w:p>
                    <w:p w14:paraId="1D5AC0E8" w14:textId="77777777" w:rsidR="003818C4" w:rsidRPr="005C4DA1" w:rsidRDefault="003818C4"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797" w:right="54"/>
                        <w:jc w:val="left"/>
                        <w:rPr>
                          <w:rStyle w:val="NoneA"/>
                          <w:rFonts w:ascii="Arial" w:hAnsi="Arial" w:cs="Arial"/>
                          <w:b/>
                          <w:color w:val="FFFFFF" w:themeColor="background1"/>
                          <w:sz w:val="24"/>
                          <w:szCs w:val="24"/>
                          <w:u w:color="2841BB"/>
                          <w:lang w:val="en-GB"/>
                        </w:rPr>
                      </w:pPr>
                    </w:p>
                    <w:p w14:paraId="3DA73EF3" w14:textId="77777777" w:rsidR="003818C4" w:rsidRPr="005C4DA1" w:rsidRDefault="003818C4" w:rsidP="00E30B6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right="54"/>
                        <w:jc w:val="left"/>
                        <w:rPr>
                          <w:rStyle w:val="NoneA"/>
                          <w:rFonts w:ascii="Arial" w:hAnsi="Arial" w:cs="Arial"/>
                          <w:b/>
                          <w:color w:val="FFFFFF" w:themeColor="background1"/>
                          <w:sz w:val="24"/>
                          <w:szCs w:val="24"/>
                          <w:u w:color="2841BB"/>
                          <w:lang w:val="en-GB"/>
                        </w:rPr>
                      </w:pP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t>Authors:</w:t>
                      </w:r>
                      <w:r w:rsidRPr="005C4DA1">
                        <w:rPr>
                          <w:rStyle w:val="NoneA"/>
                          <w:rFonts w:ascii="Arial" w:hAnsi="Arial" w:cs="Arial"/>
                          <w:b/>
                          <w:color w:val="FFFFFF" w:themeColor="background1"/>
                          <w:u w:color="2841BB"/>
                          <w:lang w:val="en-GB"/>
                        </w:rPr>
                        <w:t xml:space="preserve"> </w:t>
                      </w:r>
                      <w:r w:rsidRPr="005C4DA1">
                        <w:rPr>
                          <w:rStyle w:val="NoneA"/>
                          <w:rFonts w:ascii="Arial" w:hAnsi="Arial" w:cs="Arial"/>
                          <w:b/>
                          <w:color w:val="FFFFFF" w:themeColor="background1"/>
                          <w:u w:color="2841BB"/>
                          <w:lang w:val="en-GB"/>
                        </w:rPr>
                        <w:tab/>
                      </w:r>
                      <w:r w:rsidRPr="005C4DA1">
                        <w:rPr>
                          <w:rStyle w:val="NoneA"/>
                          <w:rFonts w:ascii="Arial" w:hAnsi="Arial" w:cs="Arial"/>
                          <w:b/>
                          <w:color w:val="FFFFFF" w:themeColor="background1"/>
                          <w:sz w:val="24"/>
                          <w:szCs w:val="24"/>
                          <w:u w:color="2841BB"/>
                          <w:lang w:val="en-GB"/>
                        </w:rPr>
                        <w:t>Iulian Groza</w:t>
                      </w:r>
                    </w:p>
                    <w:p w14:paraId="5426D2BB" w14:textId="77777777" w:rsidR="003818C4" w:rsidRPr="005C4DA1" w:rsidRDefault="003818C4"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371" w:right="54"/>
                        <w:jc w:val="left"/>
                        <w:rPr>
                          <w:rStyle w:val="NoneA"/>
                          <w:rFonts w:ascii="Arial" w:hAnsi="Arial" w:cs="Arial"/>
                          <w:b/>
                          <w:color w:val="FFFFFF" w:themeColor="background1"/>
                          <w:sz w:val="24"/>
                          <w:szCs w:val="24"/>
                          <w:u w:color="2841BB"/>
                          <w:lang w:val="en-GB"/>
                        </w:rPr>
                      </w:pP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t>Iulian Rusu</w:t>
                      </w:r>
                    </w:p>
                    <w:p w14:paraId="706F43B2" w14:textId="77777777" w:rsidR="003818C4" w:rsidRPr="005C4DA1" w:rsidRDefault="003818C4"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371" w:right="54"/>
                        <w:jc w:val="left"/>
                        <w:rPr>
                          <w:rStyle w:val="NoneA"/>
                          <w:rFonts w:ascii="Arial" w:hAnsi="Arial" w:cs="Arial"/>
                          <w:b/>
                          <w:color w:val="FFFFFF" w:themeColor="background1"/>
                          <w:sz w:val="24"/>
                          <w:szCs w:val="24"/>
                          <w:u w:color="2841BB"/>
                          <w:lang w:val="en-GB"/>
                        </w:rPr>
                      </w:pP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t xml:space="preserve">Mariana </w:t>
                      </w:r>
                      <w:proofErr w:type="spellStart"/>
                      <w:r w:rsidRPr="005C4DA1">
                        <w:rPr>
                          <w:rStyle w:val="NoneA"/>
                          <w:rFonts w:ascii="Arial" w:hAnsi="Arial" w:cs="Arial"/>
                          <w:b/>
                          <w:color w:val="FFFFFF" w:themeColor="background1"/>
                          <w:sz w:val="24"/>
                          <w:szCs w:val="24"/>
                          <w:u w:color="2841BB"/>
                          <w:lang w:val="en-GB"/>
                        </w:rPr>
                        <w:t>Platon</w:t>
                      </w:r>
                      <w:proofErr w:type="spellEnd"/>
                    </w:p>
                    <w:p w14:paraId="7784F5DA" w14:textId="77777777" w:rsidR="003818C4" w:rsidRDefault="003818C4" w:rsidP="008C299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left="7371" w:right="54"/>
                        <w:jc w:val="left"/>
                        <w:rPr>
                          <w:rStyle w:val="NoneA"/>
                          <w:rFonts w:ascii="Arial" w:hAnsi="Arial" w:cs="Arial"/>
                          <w:b/>
                          <w:color w:val="FFFFFF" w:themeColor="background1"/>
                          <w:sz w:val="24"/>
                          <w:szCs w:val="24"/>
                          <w:u w:color="2841BB"/>
                          <w:lang w:val="en-GB"/>
                        </w:rPr>
                      </w:pPr>
                      <w:r w:rsidRPr="005C4DA1">
                        <w:rPr>
                          <w:rStyle w:val="NoneA"/>
                          <w:rFonts w:ascii="Arial" w:hAnsi="Arial" w:cs="Arial"/>
                          <w:b/>
                          <w:color w:val="FFFFFF" w:themeColor="background1"/>
                          <w:sz w:val="24"/>
                          <w:szCs w:val="24"/>
                          <w:u w:color="2841BB"/>
                          <w:lang w:val="en-GB"/>
                        </w:rPr>
                        <w:tab/>
                      </w:r>
                      <w:r w:rsidRPr="005C4DA1">
                        <w:rPr>
                          <w:rStyle w:val="NoneA"/>
                          <w:rFonts w:ascii="Arial" w:hAnsi="Arial" w:cs="Arial"/>
                          <w:b/>
                          <w:color w:val="FFFFFF" w:themeColor="background1"/>
                          <w:sz w:val="24"/>
                          <w:szCs w:val="24"/>
                          <w:u w:color="2841BB"/>
                          <w:lang w:val="en-GB"/>
                        </w:rPr>
                        <w:tab/>
                        <w:t xml:space="preserve">Adrian </w:t>
                      </w:r>
                      <w:proofErr w:type="spellStart"/>
                      <w:r w:rsidRPr="005C4DA1">
                        <w:rPr>
                          <w:rStyle w:val="NoneA"/>
                          <w:rFonts w:ascii="Arial" w:hAnsi="Arial" w:cs="Arial"/>
                          <w:b/>
                          <w:color w:val="FFFFFF" w:themeColor="background1"/>
                          <w:sz w:val="24"/>
                          <w:szCs w:val="24"/>
                          <w:u w:color="2841BB"/>
                          <w:lang w:val="en-GB"/>
                        </w:rPr>
                        <w:t>Ermurachi</w:t>
                      </w:r>
                      <w:proofErr w:type="spellEnd"/>
                    </w:p>
                    <w:p w14:paraId="42D8A581" w14:textId="77777777" w:rsidR="003818C4" w:rsidRPr="00B1155C" w:rsidRDefault="003818C4" w:rsidP="00B1155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auto"/>
                        <w:ind w:right="54"/>
                        <w:jc w:val="center"/>
                        <w:rPr>
                          <w:rStyle w:val="NoneA"/>
                          <w:rFonts w:ascii="Arial" w:hAnsi="Arial" w:cs="Arial"/>
                          <w:b/>
                          <w:smallCaps/>
                          <w:color w:val="FFFFFF" w:themeColor="background1"/>
                          <w:sz w:val="24"/>
                          <w:szCs w:val="24"/>
                          <w:u w:color="2841BB"/>
                          <w:lang w:val="en-GB"/>
                        </w:rPr>
                      </w:pPr>
                      <w:r w:rsidRPr="00B1155C">
                        <w:rPr>
                          <w:rStyle w:val="NoneA"/>
                          <w:rFonts w:ascii="Arial" w:hAnsi="Arial" w:cs="Arial"/>
                          <w:b/>
                          <w:smallCaps/>
                          <w:color w:val="FFFFFF" w:themeColor="background1"/>
                          <w:sz w:val="24"/>
                          <w:szCs w:val="24"/>
                          <w:u w:color="2841BB"/>
                          <w:lang w:val="en-GB"/>
                        </w:rPr>
                        <w:t xml:space="preserve">24 March 2017, </w:t>
                      </w:r>
                      <w:proofErr w:type="spellStart"/>
                      <w:r w:rsidRPr="00B1155C">
                        <w:rPr>
                          <w:rStyle w:val="NoneA"/>
                          <w:rFonts w:ascii="Arial" w:hAnsi="Arial" w:cs="Arial"/>
                          <w:b/>
                          <w:smallCaps/>
                          <w:color w:val="FFFFFF" w:themeColor="background1"/>
                          <w:sz w:val="24"/>
                          <w:szCs w:val="24"/>
                          <w:u w:color="2841BB"/>
                          <w:lang w:val="en-GB"/>
                        </w:rPr>
                        <w:t>Chișinău</w:t>
                      </w:r>
                      <w:proofErr w:type="spellEnd"/>
                    </w:p>
                    <w:p w14:paraId="0C5222B4" w14:textId="77777777" w:rsidR="003818C4" w:rsidRPr="005C4DA1" w:rsidRDefault="003818C4" w:rsidP="008C2993">
                      <w:pPr>
                        <w:jc w:val="left"/>
                        <w:rPr>
                          <w:lang w:val="en-GB"/>
                        </w:rPr>
                      </w:pPr>
                    </w:p>
                  </w:txbxContent>
                </v:textbox>
                <w10:wrap type="through"/>
              </v:rect>
            </w:pict>
          </mc:Fallback>
        </mc:AlternateContent>
      </w:r>
    </w:p>
    <w:p w14:paraId="2E17E7EF" w14:textId="77777777" w:rsidR="00B1155C" w:rsidRPr="003818C4" w:rsidRDefault="00B1155C" w:rsidP="001164F1">
      <w:pPr>
        <w:pStyle w:val="Default"/>
        <w:tabs>
          <w:tab w:val="left" w:pos="560"/>
          <w:tab w:val="left" w:pos="1120"/>
          <w:tab w:val="left" w:pos="1680"/>
          <w:tab w:val="left" w:pos="2240"/>
          <w:tab w:val="left" w:pos="2493"/>
          <w:tab w:val="left" w:pos="2800"/>
          <w:tab w:val="left" w:pos="3360"/>
          <w:tab w:val="left" w:pos="3920"/>
          <w:tab w:val="center" w:pos="4459"/>
          <w:tab w:val="left" w:pos="5040"/>
          <w:tab w:val="left" w:pos="5600"/>
          <w:tab w:val="left" w:pos="6160"/>
          <w:tab w:val="left" w:pos="6720"/>
        </w:tabs>
        <w:spacing w:before="120" w:after="120" w:line="240" w:lineRule="auto"/>
        <w:rPr>
          <w:rFonts w:ascii="Arial" w:hAnsi="Arial" w:cs="Arial"/>
          <w:b/>
          <w:bCs/>
          <w:color w:val="0B5294" w:themeColor="accent1" w:themeShade="BF"/>
          <w:sz w:val="18"/>
          <w:szCs w:val="18"/>
          <w:u w:color="2841BB"/>
          <w:lang w:val="en-GB"/>
        </w:rPr>
      </w:pPr>
      <w:bookmarkStart w:id="2" w:name="_Toc477645722"/>
      <w:bookmarkStart w:id="3" w:name="_Toc477762687"/>
    </w:p>
    <w:tbl>
      <w:tblPr>
        <w:tblStyle w:val="TableGrid"/>
        <w:tblpPr w:leftFromText="180" w:rightFromText="180" w:vertAnchor="text" w:horzAnchor="page" w:tblpX="1630" w:tblpY="259"/>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6945"/>
      </w:tblGrid>
      <w:tr w:rsidR="00E30B6F" w:rsidRPr="003818C4" w14:paraId="02CC6615" w14:textId="77777777" w:rsidTr="00E30B6F">
        <w:trPr>
          <w:trHeight w:val="586"/>
        </w:trPr>
        <w:tc>
          <w:tcPr>
            <w:tcW w:w="2366" w:type="dxa"/>
          </w:tcPr>
          <w:p w14:paraId="66298F11" w14:textId="77777777" w:rsidR="00E30B6F" w:rsidRPr="003818C4" w:rsidRDefault="00E30B6F" w:rsidP="001164F1">
            <w:pPr>
              <w:spacing w:before="120" w:after="120"/>
              <w:ind w:right="2150"/>
              <w:jc w:val="left"/>
              <w:rPr>
                <w:rStyle w:val="NoneA"/>
                <w:rFonts w:ascii="Arial" w:hAnsi="Arial" w:cs="Arial"/>
                <w:i/>
                <w:iCs/>
                <w:sz w:val="18"/>
                <w:szCs w:val="18"/>
                <w:lang w:val="en-GB"/>
              </w:rPr>
            </w:pPr>
          </w:p>
          <w:p w14:paraId="636277CF" w14:textId="77777777" w:rsidR="00E30B6F" w:rsidRPr="003818C4" w:rsidRDefault="00E30B6F" w:rsidP="001164F1">
            <w:pPr>
              <w:spacing w:before="120" w:after="120"/>
              <w:ind w:right="2150"/>
              <w:jc w:val="left"/>
              <w:rPr>
                <w:rStyle w:val="NoneA"/>
                <w:rFonts w:ascii="Arial" w:hAnsi="Arial" w:cs="Arial"/>
                <w:i/>
                <w:iCs/>
                <w:sz w:val="18"/>
                <w:szCs w:val="18"/>
                <w:lang w:val="en-GB"/>
              </w:rPr>
            </w:pPr>
            <w:r w:rsidRPr="003818C4">
              <w:rPr>
                <w:rFonts w:ascii="Arial" w:hAnsi="Arial" w:cs="Arial"/>
                <w:i/>
                <w:noProof/>
                <w:sz w:val="18"/>
                <w:szCs w:val="18"/>
              </w:rPr>
              <w:drawing>
                <wp:anchor distT="0" distB="0" distL="114300" distR="114300" simplePos="0" relativeHeight="251672576" behindDoc="1" locked="1" layoutInCell="1" allowOverlap="1" wp14:anchorId="51BD9FF5" wp14:editId="72AE545D">
                  <wp:simplePos x="0" y="0"/>
                  <wp:positionH relativeFrom="page">
                    <wp:posOffset>151765</wp:posOffset>
                  </wp:positionH>
                  <wp:positionV relativeFrom="paragraph">
                    <wp:posOffset>-112395</wp:posOffset>
                  </wp:positionV>
                  <wp:extent cx="970280" cy="405130"/>
                  <wp:effectExtent l="0" t="0" r="0" b="1270"/>
                  <wp:wrapThrough wrapText="bothSides">
                    <wp:wrapPolygon edited="0">
                      <wp:start x="0" y="0"/>
                      <wp:lineTo x="0" y="20313"/>
                      <wp:lineTo x="20921" y="20313"/>
                      <wp:lineTo x="20921" y="0"/>
                      <wp:lineTo x="0" y="0"/>
                    </wp:wrapPolygon>
                  </wp:wrapThrough>
                  <wp:docPr id="32" name="Picture 32" descr="KAS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_Logo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80" cy="405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5" w:type="dxa"/>
          </w:tcPr>
          <w:p w14:paraId="539B2AF9" w14:textId="77777777" w:rsidR="00E30B6F" w:rsidRPr="003818C4" w:rsidRDefault="00E30B6F" w:rsidP="001164F1">
            <w:pPr>
              <w:spacing w:before="120" w:after="120"/>
              <w:jc w:val="left"/>
              <w:rPr>
                <w:rStyle w:val="NoneA"/>
                <w:rFonts w:ascii="Arial" w:hAnsi="Arial" w:cs="Arial"/>
                <w:iCs/>
                <w:sz w:val="18"/>
                <w:szCs w:val="18"/>
                <w:lang w:val="en-GB"/>
              </w:rPr>
            </w:pPr>
            <w:r w:rsidRPr="003818C4">
              <w:rPr>
                <w:rStyle w:val="NoneA"/>
                <w:rFonts w:ascii="Arial" w:hAnsi="Arial" w:cs="Arial"/>
                <w:i/>
                <w:iCs/>
                <w:sz w:val="18"/>
                <w:szCs w:val="18"/>
                <w:lang w:val="en-GB"/>
              </w:rPr>
              <w:t>This Report was prepared within the IPRE Project „Monitoring the implementation of the EU-Moldova Association Agreement”, implemented with the kind support of the Konrad Adenauer Foundation. The views expressed in the Report are the views of the authors alone.</w:t>
            </w:r>
          </w:p>
        </w:tc>
      </w:tr>
    </w:tbl>
    <w:p w14:paraId="7674DC03" w14:textId="77777777" w:rsidR="00E30B6F" w:rsidRPr="003818C4" w:rsidRDefault="00E30B6F" w:rsidP="001164F1">
      <w:pPr>
        <w:pStyle w:val="Default"/>
        <w:tabs>
          <w:tab w:val="left" w:pos="560"/>
          <w:tab w:val="left" w:pos="1120"/>
          <w:tab w:val="left" w:pos="1680"/>
          <w:tab w:val="left" w:pos="2240"/>
          <w:tab w:val="left" w:pos="2493"/>
          <w:tab w:val="left" w:pos="2800"/>
          <w:tab w:val="left" w:pos="3360"/>
          <w:tab w:val="left" w:pos="3920"/>
          <w:tab w:val="center" w:pos="4459"/>
          <w:tab w:val="left" w:pos="5040"/>
          <w:tab w:val="left" w:pos="5600"/>
          <w:tab w:val="left" w:pos="6160"/>
          <w:tab w:val="left" w:pos="6720"/>
        </w:tabs>
        <w:spacing w:before="120" w:after="120" w:line="240" w:lineRule="auto"/>
        <w:jc w:val="left"/>
        <w:rPr>
          <w:rStyle w:val="NoneA"/>
          <w:rFonts w:ascii="Arial" w:hAnsi="Arial" w:cs="Arial"/>
          <w:color w:val="0B5294" w:themeColor="accent1" w:themeShade="BF"/>
          <w:sz w:val="18"/>
          <w:szCs w:val="18"/>
          <w:lang w:val="en-GB"/>
        </w:rPr>
      </w:pPr>
    </w:p>
    <w:p w14:paraId="7C295B9F" w14:textId="77777777" w:rsidR="000B3633" w:rsidRPr="003818C4" w:rsidRDefault="000B3633" w:rsidP="001164F1">
      <w:pPr>
        <w:pStyle w:val="Default"/>
        <w:tabs>
          <w:tab w:val="left" w:pos="560"/>
          <w:tab w:val="left" w:pos="1120"/>
          <w:tab w:val="left" w:pos="1680"/>
          <w:tab w:val="left" w:pos="2240"/>
          <w:tab w:val="left" w:pos="2493"/>
          <w:tab w:val="left" w:pos="2800"/>
          <w:tab w:val="left" w:pos="3360"/>
          <w:tab w:val="left" w:pos="3920"/>
          <w:tab w:val="center" w:pos="4459"/>
          <w:tab w:val="left" w:pos="5040"/>
          <w:tab w:val="left" w:pos="5600"/>
          <w:tab w:val="left" w:pos="6160"/>
          <w:tab w:val="left" w:pos="6720"/>
        </w:tabs>
        <w:spacing w:before="120" w:after="120" w:line="240" w:lineRule="auto"/>
        <w:jc w:val="left"/>
        <w:rPr>
          <w:rStyle w:val="NoneA"/>
          <w:rFonts w:ascii="Arial" w:hAnsi="Arial" w:cs="Arial"/>
          <w:color w:val="0B5294" w:themeColor="accent1" w:themeShade="BF"/>
          <w:sz w:val="18"/>
          <w:szCs w:val="18"/>
          <w:lang w:val="en-GB"/>
        </w:rPr>
      </w:pPr>
    </w:p>
    <w:p w14:paraId="59ACCF55" w14:textId="77777777" w:rsidR="000B3633" w:rsidRPr="003818C4" w:rsidRDefault="000B3633" w:rsidP="001164F1">
      <w:pPr>
        <w:pStyle w:val="Default"/>
        <w:tabs>
          <w:tab w:val="left" w:pos="560"/>
          <w:tab w:val="left" w:pos="1120"/>
          <w:tab w:val="left" w:pos="1680"/>
          <w:tab w:val="left" w:pos="2240"/>
          <w:tab w:val="left" w:pos="2493"/>
          <w:tab w:val="left" w:pos="2800"/>
          <w:tab w:val="left" w:pos="3360"/>
          <w:tab w:val="left" w:pos="3920"/>
          <w:tab w:val="center" w:pos="4459"/>
          <w:tab w:val="left" w:pos="5040"/>
          <w:tab w:val="left" w:pos="5600"/>
          <w:tab w:val="left" w:pos="6160"/>
          <w:tab w:val="left" w:pos="6720"/>
        </w:tabs>
        <w:spacing w:before="120" w:after="120" w:line="240" w:lineRule="auto"/>
        <w:jc w:val="left"/>
        <w:rPr>
          <w:rStyle w:val="NoneA"/>
          <w:rFonts w:ascii="Arial" w:hAnsi="Arial" w:cs="Arial"/>
          <w:color w:val="0B5294" w:themeColor="accent1" w:themeShade="BF"/>
          <w:sz w:val="18"/>
          <w:szCs w:val="18"/>
          <w:lang w:val="en-GB"/>
        </w:rPr>
      </w:pPr>
    </w:p>
    <w:sdt>
      <w:sdtPr>
        <w:rPr>
          <w:rFonts w:asciiTheme="minorHAnsi" w:hAnsiTheme="minorHAnsi" w:cstheme="minorBidi"/>
          <w:smallCaps w:val="0"/>
          <w:color w:val="auto"/>
          <w:spacing w:val="0"/>
          <w:sz w:val="18"/>
          <w:szCs w:val="18"/>
          <w:lang w:val="en-GB"/>
        </w:rPr>
        <w:id w:val="-1308155906"/>
        <w:docPartObj>
          <w:docPartGallery w:val="Table of Contents"/>
          <w:docPartUnique/>
        </w:docPartObj>
      </w:sdtPr>
      <w:sdtEndPr>
        <w:rPr>
          <w:rFonts w:ascii="Arial" w:hAnsi="Arial" w:cs="Arial"/>
          <w:b/>
          <w:bCs/>
          <w:noProof/>
        </w:rPr>
      </w:sdtEndPr>
      <w:sdtContent>
        <w:p w14:paraId="559AD15C" w14:textId="77777777" w:rsidR="000B3633" w:rsidRPr="003818C4" w:rsidRDefault="000B3633" w:rsidP="001164F1">
          <w:pPr>
            <w:pStyle w:val="TOCHeading"/>
            <w:spacing w:before="120" w:after="120"/>
            <w:jc w:val="center"/>
            <w:rPr>
              <w:sz w:val="18"/>
              <w:szCs w:val="18"/>
              <w:lang w:val="en-GB"/>
            </w:rPr>
          </w:pPr>
          <w:r w:rsidRPr="003818C4">
            <w:rPr>
              <w:sz w:val="18"/>
              <w:szCs w:val="18"/>
              <w:lang w:val="en-GB"/>
            </w:rPr>
            <w:t>Table of Contents</w:t>
          </w:r>
          <w:r w:rsidR="00B1155C" w:rsidRPr="003818C4">
            <w:rPr>
              <w:sz w:val="18"/>
              <w:szCs w:val="18"/>
              <w:lang w:val="en-GB"/>
            </w:rPr>
            <w:t>:</w:t>
          </w:r>
        </w:p>
        <w:p w14:paraId="2F5E9C53" w14:textId="77777777" w:rsidR="000B3633" w:rsidRPr="003818C4" w:rsidRDefault="000B3633" w:rsidP="001164F1">
          <w:pPr>
            <w:spacing w:before="120" w:after="120"/>
            <w:rPr>
              <w:sz w:val="18"/>
              <w:szCs w:val="18"/>
              <w:lang w:val="en-GB"/>
            </w:rPr>
          </w:pPr>
        </w:p>
        <w:p w14:paraId="5B9FF730" w14:textId="77777777" w:rsidR="000B3633" w:rsidRPr="003818C4" w:rsidRDefault="000B3633" w:rsidP="001164F1">
          <w:pPr>
            <w:pStyle w:val="TOC3"/>
            <w:tabs>
              <w:tab w:val="right" w:pos="8779"/>
            </w:tabs>
            <w:spacing w:before="120" w:after="120"/>
            <w:rPr>
              <w:rFonts w:ascii="Arial" w:hAnsi="Arial" w:cs="Arial"/>
              <w:smallCaps w:val="0"/>
              <w:noProof/>
              <w:sz w:val="18"/>
              <w:szCs w:val="18"/>
              <w:lang w:val="en-GB"/>
            </w:rPr>
          </w:pPr>
          <w:r w:rsidRPr="003818C4">
            <w:rPr>
              <w:rFonts w:ascii="Arial" w:hAnsi="Arial" w:cs="Arial"/>
              <w:sz w:val="18"/>
              <w:szCs w:val="18"/>
              <w:lang w:val="en-GB"/>
            </w:rPr>
            <w:fldChar w:fldCharType="begin"/>
          </w:r>
          <w:r w:rsidRPr="003818C4">
            <w:rPr>
              <w:rFonts w:ascii="Arial" w:hAnsi="Arial" w:cs="Arial"/>
              <w:sz w:val="18"/>
              <w:szCs w:val="18"/>
              <w:lang w:val="en-GB"/>
            </w:rPr>
            <w:instrText xml:space="preserve"> TOC \o "1-3" \h \z \u </w:instrText>
          </w:r>
          <w:r w:rsidRPr="003818C4">
            <w:rPr>
              <w:rFonts w:ascii="Arial" w:hAnsi="Arial" w:cs="Arial"/>
              <w:sz w:val="18"/>
              <w:szCs w:val="18"/>
              <w:lang w:val="en-GB"/>
            </w:rPr>
            <w:fldChar w:fldCharType="separate"/>
          </w:r>
          <w:hyperlink w:anchor="_Toc478028654" w:history="1">
            <w:r w:rsidRPr="003818C4">
              <w:rPr>
                <w:rStyle w:val="Hyperlink"/>
                <w:rFonts w:ascii="Arial" w:hAnsi="Arial" w:cs="Arial"/>
                <w:noProof/>
                <w:sz w:val="18"/>
                <w:szCs w:val="18"/>
                <w:lang w:val="en-GB"/>
              </w:rPr>
              <w:t>Developments in the dialogue with the European Union</w:t>
            </w:r>
            <w:r w:rsidRPr="003818C4">
              <w:rPr>
                <w:rFonts w:ascii="Arial" w:hAnsi="Arial" w:cs="Arial"/>
                <w:noProof/>
                <w:webHidden/>
                <w:sz w:val="18"/>
                <w:szCs w:val="18"/>
                <w:lang w:val="en-GB"/>
              </w:rPr>
              <w:tab/>
            </w:r>
            <w:r w:rsidRPr="003818C4">
              <w:rPr>
                <w:rFonts w:ascii="Arial" w:hAnsi="Arial" w:cs="Arial"/>
                <w:noProof/>
                <w:webHidden/>
                <w:sz w:val="18"/>
                <w:szCs w:val="18"/>
                <w:lang w:val="en-GB"/>
              </w:rPr>
              <w:fldChar w:fldCharType="begin"/>
            </w:r>
            <w:r w:rsidRPr="003818C4">
              <w:rPr>
                <w:rFonts w:ascii="Arial" w:hAnsi="Arial" w:cs="Arial"/>
                <w:noProof/>
                <w:webHidden/>
                <w:sz w:val="18"/>
                <w:szCs w:val="18"/>
                <w:lang w:val="en-GB"/>
              </w:rPr>
              <w:instrText xml:space="preserve"> PAGEREF _Toc478028654 \h </w:instrText>
            </w:r>
            <w:r w:rsidRPr="003818C4">
              <w:rPr>
                <w:rFonts w:ascii="Arial" w:hAnsi="Arial" w:cs="Arial"/>
                <w:noProof/>
                <w:webHidden/>
                <w:sz w:val="18"/>
                <w:szCs w:val="18"/>
                <w:lang w:val="en-GB"/>
              </w:rPr>
            </w:r>
            <w:r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3</w:t>
            </w:r>
            <w:r w:rsidRPr="003818C4">
              <w:rPr>
                <w:rFonts w:ascii="Arial" w:hAnsi="Arial" w:cs="Arial"/>
                <w:noProof/>
                <w:webHidden/>
                <w:sz w:val="18"/>
                <w:szCs w:val="18"/>
                <w:lang w:val="en-GB"/>
              </w:rPr>
              <w:fldChar w:fldCharType="end"/>
            </w:r>
          </w:hyperlink>
        </w:p>
        <w:p w14:paraId="22DAE0E1"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55" w:history="1">
            <w:r w:rsidR="000B3633" w:rsidRPr="003818C4">
              <w:rPr>
                <w:rStyle w:val="Hyperlink"/>
                <w:rFonts w:ascii="Arial" w:hAnsi="Arial" w:cs="Arial"/>
                <w:noProof/>
                <w:sz w:val="18"/>
                <w:szCs w:val="18"/>
                <w:lang w:val="en-GB"/>
              </w:rPr>
              <w:t>The general rate of the Association Agreement implementation – 63.1%</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_Toc478028655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4</w:t>
            </w:r>
            <w:r w:rsidR="000B3633" w:rsidRPr="003818C4">
              <w:rPr>
                <w:rFonts w:ascii="Arial" w:hAnsi="Arial" w:cs="Arial"/>
                <w:noProof/>
                <w:webHidden/>
                <w:sz w:val="18"/>
                <w:szCs w:val="18"/>
                <w:lang w:val="en-GB"/>
              </w:rPr>
              <w:fldChar w:fldCharType="end"/>
            </w:r>
          </w:hyperlink>
        </w:p>
        <w:p w14:paraId="41F1D58E"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56" w:history="1">
            <w:r w:rsidR="000B3633" w:rsidRPr="003818C4">
              <w:rPr>
                <w:rStyle w:val="Hyperlink"/>
                <w:rFonts w:ascii="Arial" w:hAnsi="Arial" w:cs="Arial"/>
                <w:noProof/>
                <w:sz w:val="18"/>
                <w:szCs w:val="18"/>
                <w:lang w:val="en-GB"/>
              </w:rPr>
              <w:t>Overview of the overall assessment</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_Toc478028656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4</w:t>
            </w:r>
            <w:r w:rsidR="000B3633" w:rsidRPr="003818C4">
              <w:rPr>
                <w:rFonts w:ascii="Arial" w:hAnsi="Arial" w:cs="Arial"/>
                <w:noProof/>
                <w:webHidden/>
                <w:sz w:val="18"/>
                <w:szCs w:val="18"/>
                <w:lang w:val="en-GB"/>
              </w:rPr>
              <w:fldChar w:fldCharType="end"/>
            </w:r>
          </w:hyperlink>
        </w:p>
        <w:p w14:paraId="759A7CCD" w14:textId="77777777" w:rsidR="000B3633" w:rsidRPr="003818C4" w:rsidRDefault="00897B83" w:rsidP="001164F1">
          <w:pPr>
            <w:pStyle w:val="TOC2"/>
            <w:tabs>
              <w:tab w:val="left" w:pos="607"/>
              <w:tab w:val="right" w:pos="8779"/>
            </w:tabs>
            <w:spacing w:before="120" w:after="120"/>
            <w:rPr>
              <w:rFonts w:ascii="Arial" w:hAnsi="Arial" w:cs="Arial"/>
              <w:b w:val="0"/>
              <w:bCs w:val="0"/>
              <w:smallCaps w:val="0"/>
              <w:noProof/>
              <w:sz w:val="18"/>
              <w:szCs w:val="18"/>
              <w:lang w:val="en-GB"/>
            </w:rPr>
          </w:pPr>
          <w:hyperlink w:anchor="_Toc478028657" w:history="1">
            <w:r w:rsidR="000B3633" w:rsidRPr="003818C4">
              <w:rPr>
                <w:rStyle w:val="Hyperlink"/>
                <w:rFonts w:ascii="Arial" w:hAnsi="Arial" w:cs="Arial"/>
                <w:noProof/>
                <w:sz w:val="18"/>
                <w:szCs w:val="18"/>
                <w:lang w:val="en-GB"/>
              </w:rPr>
              <w:t>1.1.</w:t>
            </w:r>
            <w:r w:rsidR="000B3633" w:rsidRPr="003818C4">
              <w:rPr>
                <w:rFonts w:ascii="Arial" w:hAnsi="Arial" w:cs="Arial"/>
                <w:b w:val="0"/>
                <w:bCs w:val="0"/>
                <w:smallCaps w:val="0"/>
                <w:noProof/>
                <w:sz w:val="18"/>
                <w:szCs w:val="18"/>
                <w:lang w:val="en-GB"/>
              </w:rPr>
              <w:tab/>
            </w:r>
            <w:r w:rsidR="000B3633" w:rsidRPr="003818C4">
              <w:rPr>
                <w:rStyle w:val="Hyperlink"/>
                <w:rFonts w:ascii="Arial" w:hAnsi="Arial" w:cs="Arial"/>
                <w:noProof/>
                <w:sz w:val="18"/>
                <w:szCs w:val="18"/>
                <w:lang w:val="en-GB"/>
              </w:rPr>
              <w:t>Political dialogue and reforms, Cooperation in the area of foreign policy and security (Title II)</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_Toc478028657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6</w:t>
            </w:r>
            <w:r w:rsidR="000B3633" w:rsidRPr="003818C4">
              <w:rPr>
                <w:rFonts w:ascii="Arial" w:hAnsi="Arial" w:cs="Arial"/>
                <w:noProof/>
                <w:webHidden/>
                <w:sz w:val="18"/>
                <w:szCs w:val="18"/>
                <w:lang w:val="en-GB"/>
              </w:rPr>
              <w:fldChar w:fldCharType="end"/>
            </w:r>
          </w:hyperlink>
        </w:p>
        <w:p w14:paraId="42B2CAF8"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58" w:history="1">
            <w:r w:rsidR="000B3633" w:rsidRPr="003818C4">
              <w:rPr>
                <w:rStyle w:val="Hyperlink"/>
                <w:rFonts w:ascii="Arial" w:hAnsi="Arial" w:cs="Arial"/>
                <w:bCs/>
                <w:noProof/>
                <w:sz w:val="18"/>
                <w:szCs w:val="18"/>
                <w:lang w:val="en-GB"/>
              </w:rPr>
              <w:t>Quantitative progress evaluation</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_Toc478028658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6</w:t>
            </w:r>
            <w:r w:rsidR="000B3633" w:rsidRPr="003818C4">
              <w:rPr>
                <w:rFonts w:ascii="Arial" w:hAnsi="Arial" w:cs="Arial"/>
                <w:noProof/>
                <w:webHidden/>
                <w:sz w:val="18"/>
                <w:szCs w:val="18"/>
                <w:lang w:val="en-GB"/>
              </w:rPr>
              <w:fldChar w:fldCharType="end"/>
            </w:r>
          </w:hyperlink>
        </w:p>
        <w:p w14:paraId="602167BB"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59" w:history="1">
            <w:r w:rsidR="000B3633" w:rsidRPr="003818C4">
              <w:rPr>
                <w:rStyle w:val="Hyperlink"/>
                <w:rFonts w:ascii="Arial" w:hAnsi="Arial" w:cs="Arial"/>
                <w:b/>
                <w:noProof/>
                <w:sz w:val="18"/>
                <w:szCs w:val="18"/>
                <w:lang w:val="en-GB"/>
              </w:rPr>
              <w:t>Conclusions (Title II)</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_Toc478028659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6</w:t>
            </w:r>
            <w:r w:rsidR="000B3633" w:rsidRPr="003818C4">
              <w:rPr>
                <w:rFonts w:ascii="Arial" w:hAnsi="Arial" w:cs="Arial"/>
                <w:noProof/>
                <w:webHidden/>
                <w:sz w:val="18"/>
                <w:szCs w:val="18"/>
                <w:lang w:val="en-GB"/>
              </w:rPr>
              <w:fldChar w:fldCharType="end"/>
            </w:r>
          </w:hyperlink>
        </w:p>
        <w:p w14:paraId="7C955064"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60" w:history="1">
            <w:r w:rsidR="000B3633" w:rsidRPr="003818C4">
              <w:rPr>
                <w:rStyle w:val="Hyperlink"/>
                <w:rFonts w:ascii="Arial" w:hAnsi="Arial" w:cs="Arial"/>
                <w:b/>
                <w:noProof/>
                <w:sz w:val="18"/>
                <w:szCs w:val="18"/>
                <w:lang w:val="en-GB"/>
              </w:rPr>
              <w:t>Recommendations (Title II)</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_Toc478028660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7</w:t>
            </w:r>
            <w:r w:rsidR="000B3633" w:rsidRPr="003818C4">
              <w:rPr>
                <w:rFonts w:ascii="Arial" w:hAnsi="Arial" w:cs="Arial"/>
                <w:noProof/>
                <w:webHidden/>
                <w:sz w:val="18"/>
                <w:szCs w:val="18"/>
                <w:lang w:val="en-GB"/>
              </w:rPr>
              <w:fldChar w:fldCharType="end"/>
            </w:r>
          </w:hyperlink>
        </w:p>
        <w:p w14:paraId="0739F5E8" w14:textId="77777777" w:rsidR="000B3633" w:rsidRPr="003818C4" w:rsidRDefault="00897B83" w:rsidP="001164F1">
          <w:pPr>
            <w:pStyle w:val="TOC2"/>
            <w:tabs>
              <w:tab w:val="left" w:pos="607"/>
              <w:tab w:val="right" w:pos="8779"/>
            </w:tabs>
            <w:spacing w:before="120" w:after="120"/>
            <w:rPr>
              <w:rFonts w:ascii="Arial" w:hAnsi="Arial" w:cs="Arial"/>
              <w:b w:val="0"/>
              <w:bCs w:val="0"/>
              <w:smallCaps w:val="0"/>
              <w:noProof/>
              <w:sz w:val="18"/>
              <w:szCs w:val="18"/>
              <w:lang w:val="en-GB"/>
            </w:rPr>
          </w:pPr>
          <w:hyperlink w:anchor="_Toc478028661" w:history="1">
            <w:r w:rsidR="000B3633" w:rsidRPr="003818C4">
              <w:rPr>
                <w:rStyle w:val="Hyperlink"/>
                <w:rFonts w:ascii="Arial" w:hAnsi="Arial" w:cs="Arial"/>
                <w:noProof/>
                <w:sz w:val="18"/>
                <w:szCs w:val="18"/>
                <w:lang w:val="en-GB"/>
              </w:rPr>
              <w:t>1.2.</w:t>
            </w:r>
            <w:r w:rsidR="000B3633" w:rsidRPr="003818C4">
              <w:rPr>
                <w:rFonts w:ascii="Arial" w:hAnsi="Arial" w:cs="Arial"/>
                <w:b w:val="0"/>
                <w:bCs w:val="0"/>
                <w:smallCaps w:val="0"/>
                <w:noProof/>
                <w:sz w:val="18"/>
                <w:szCs w:val="18"/>
                <w:lang w:val="en-GB"/>
              </w:rPr>
              <w:tab/>
            </w:r>
            <w:r w:rsidR="000B3633" w:rsidRPr="003818C4">
              <w:rPr>
                <w:rStyle w:val="Hyperlink"/>
                <w:rFonts w:ascii="Arial" w:hAnsi="Arial" w:cs="Arial"/>
                <w:noProof/>
                <w:sz w:val="18"/>
                <w:szCs w:val="18"/>
                <w:lang w:val="en-GB"/>
              </w:rPr>
              <w:t>Freedom, Security and Justice (Title III)</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_Toc478028661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9</w:t>
            </w:r>
            <w:r w:rsidR="000B3633" w:rsidRPr="003818C4">
              <w:rPr>
                <w:rFonts w:ascii="Arial" w:hAnsi="Arial" w:cs="Arial"/>
                <w:noProof/>
                <w:webHidden/>
                <w:sz w:val="18"/>
                <w:szCs w:val="18"/>
                <w:lang w:val="en-GB"/>
              </w:rPr>
              <w:fldChar w:fldCharType="end"/>
            </w:r>
          </w:hyperlink>
        </w:p>
        <w:p w14:paraId="559B7635"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62" w:history="1">
            <w:r w:rsidR="000B3633" w:rsidRPr="003818C4">
              <w:rPr>
                <w:rStyle w:val="Hyperlink"/>
                <w:rFonts w:ascii="Arial" w:hAnsi="Arial" w:cs="Arial"/>
                <w:bCs/>
                <w:noProof/>
                <w:sz w:val="18"/>
                <w:szCs w:val="18"/>
                <w:lang w:val="en-GB"/>
              </w:rPr>
              <w:t>Quantitative progress evaluation</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_Toc478028662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9</w:t>
            </w:r>
            <w:r w:rsidR="000B3633" w:rsidRPr="003818C4">
              <w:rPr>
                <w:rFonts w:ascii="Arial" w:hAnsi="Arial" w:cs="Arial"/>
                <w:noProof/>
                <w:webHidden/>
                <w:sz w:val="18"/>
                <w:szCs w:val="18"/>
                <w:lang w:val="en-GB"/>
              </w:rPr>
              <w:fldChar w:fldCharType="end"/>
            </w:r>
          </w:hyperlink>
        </w:p>
        <w:p w14:paraId="4812C08C"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63" w:history="1">
            <w:r w:rsidR="000B3633" w:rsidRPr="003818C4">
              <w:rPr>
                <w:rStyle w:val="Hyperlink"/>
                <w:rFonts w:ascii="Arial" w:hAnsi="Arial" w:cs="Arial"/>
                <w:b/>
                <w:noProof/>
                <w:sz w:val="18"/>
                <w:szCs w:val="18"/>
                <w:lang w:val="en-GB"/>
              </w:rPr>
              <w:t>Conclusions (Title III)</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_Toc478028663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9</w:t>
            </w:r>
            <w:r w:rsidR="000B3633" w:rsidRPr="003818C4">
              <w:rPr>
                <w:rFonts w:ascii="Arial" w:hAnsi="Arial" w:cs="Arial"/>
                <w:noProof/>
                <w:webHidden/>
                <w:sz w:val="18"/>
                <w:szCs w:val="18"/>
                <w:lang w:val="en-GB"/>
              </w:rPr>
              <w:fldChar w:fldCharType="end"/>
            </w:r>
          </w:hyperlink>
        </w:p>
        <w:p w14:paraId="127186EA"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64" w:history="1">
            <w:r w:rsidR="000B3633" w:rsidRPr="003818C4">
              <w:rPr>
                <w:rStyle w:val="Hyperlink"/>
                <w:rFonts w:ascii="Arial" w:hAnsi="Arial" w:cs="Arial"/>
                <w:b/>
                <w:noProof/>
                <w:sz w:val="18"/>
                <w:szCs w:val="18"/>
                <w:lang w:val="en-GB"/>
              </w:rPr>
              <w:t>Recommendations (Title III)</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_Toc478028664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9</w:t>
            </w:r>
            <w:r w:rsidR="000B3633" w:rsidRPr="003818C4">
              <w:rPr>
                <w:rFonts w:ascii="Arial" w:hAnsi="Arial" w:cs="Arial"/>
                <w:noProof/>
                <w:webHidden/>
                <w:sz w:val="18"/>
                <w:szCs w:val="18"/>
                <w:lang w:val="en-GB"/>
              </w:rPr>
              <w:fldChar w:fldCharType="end"/>
            </w:r>
          </w:hyperlink>
        </w:p>
        <w:p w14:paraId="2851807F" w14:textId="77777777" w:rsidR="000B3633" w:rsidRPr="003818C4" w:rsidRDefault="00897B83" w:rsidP="001164F1">
          <w:pPr>
            <w:pStyle w:val="TOC2"/>
            <w:tabs>
              <w:tab w:val="left" w:pos="607"/>
              <w:tab w:val="right" w:pos="8779"/>
            </w:tabs>
            <w:spacing w:before="120" w:after="120"/>
            <w:rPr>
              <w:rFonts w:ascii="Arial" w:hAnsi="Arial" w:cs="Arial"/>
              <w:b w:val="0"/>
              <w:bCs w:val="0"/>
              <w:smallCaps w:val="0"/>
              <w:noProof/>
              <w:sz w:val="18"/>
              <w:szCs w:val="18"/>
              <w:lang w:val="en-GB"/>
            </w:rPr>
          </w:pPr>
          <w:hyperlink w:anchor="_Toc478028665" w:history="1">
            <w:r w:rsidR="000B3633" w:rsidRPr="003818C4">
              <w:rPr>
                <w:rStyle w:val="Hyperlink"/>
                <w:rFonts w:ascii="Arial" w:hAnsi="Arial" w:cs="Arial"/>
                <w:noProof/>
                <w:sz w:val="18"/>
                <w:szCs w:val="18"/>
                <w:lang w:val="en-GB"/>
              </w:rPr>
              <w:t>1.3.</w:t>
            </w:r>
            <w:r w:rsidR="000B3633" w:rsidRPr="003818C4">
              <w:rPr>
                <w:rFonts w:ascii="Arial" w:hAnsi="Arial" w:cs="Arial"/>
                <w:b w:val="0"/>
                <w:bCs w:val="0"/>
                <w:smallCaps w:val="0"/>
                <w:noProof/>
                <w:sz w:val="18"/>
                <w:szCs w:val="18"/>
                <w:lang w:val="en-GB"/>
              </w:rPr>
              <w:tab/>
            </w:r>
            <w:r w:rsidR="000B3633" w:rsidRPr="003818C4">
              <w:rPr>
                <w:rStyle w:val="Hyperlink"/>
                <w:rFonts w:ascii="Arial" w:hAnsi="Arial" w:cs="Arial"/>
                <w:noProof/>
                <w:sz w:val="18"/>
                <w:szCs w:val="18"/>
                <w:lang w:val="en-GB"/>
              </w:rPr>
              <w:t>Economic cooperation and sectoral cooperation (Title IV)</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_Toc478028665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11</w:t>
            </w:r>
            <w:r w:rsidR="000B3633" w:rsidRPr="003818C4">
              <w:rPr>
                <w:rFonts w:ascii="Arial" w:hAnsi="Arial" w:cs="Arial"/>
                <w:noProof/>
                <w:webHidden/>
                <w:sz w:val="18"/>
                <w:szCs w:val="18"/>
                <w:lang w:val="en-GB"/>
              </w:rPr>
              <w:fldChar w:fldCharType="end"/>
            </w:r>
          </w:hyperlink>
        </w:p>
        <w:p w14:paraId="59BB5889"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66" w:history="1">
            <w:r w:rsidR="000B3633" w:rsidRPr="003818C4">
              <w:rPr>
                <w:rStyle w:val="Hyperlink"/>
                <w:rFonts w:ascii="Arial" w:hAnsi="Arial" w:cs="Arial"/>
                <w:noProof/>
                <w:sz w:val="18"/>
                <w:szCs w:val="18"/>
                <w:lang w:val="en-GB"/>
              </w:rPr>
              <w:t>Quantitative progress assessment</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_Toc478028666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11</w:t>
            </w:r>
            <w:r w:rsidR="000B3633" w:rsidRPr="003818C4">
              <w:rPr>
                <w:rFonts w:ascii="Arial" w:hAnsi="Arial" w:cs="Arial"/>
                <w:noProof/>
                <w:webHidden/>
                <w:sz w:val="18"/>
                <w:szCs w:val="18"/>
                <w:lang w:val="en-GB"/>
              </w:rPr>
              <w:fldChar w:fldCharType="end"/>
            </w:r>
          </w:hyperlink>
        </w:p>
        <w:p w14:paraId="034055CB"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67" w:history="1">
            <w:r w:rsidR="000B3633" w:rsidRPr="003818C4">
              <w:rPr>
                <w:rStyle w:val="Hyperlink"/>
                <w:rFonts w:ascii="Arial" w:hAnsi="Arial" w:cs="Arial"/>
                <w:b/>
                <w:noProof/>
                <w:sz w:val="18"/>
                <w:szCs w:val="18"/>
                <w:lang w:val="en-GB"/>
              </w:rPr>
              <w:t>Conclusions (Title IV)</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_Toc478028667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11</w:t>
            </w:r>
            <w:r w:rsidR="000B3633" w:rsidRPr="003818C4">
              <w:rPr>
                <w:rFonts w:ascii="Arial" w:hAnsi="Arial" w:cs="Arial"/>
                <w:noProof/>
                <w:webHidden/>
                <w:sz w:val="18"/>
                <w:szCs w:val="18"/>
                <w:lang w:val="en-GB"/>
              </w:rPr>
              <w:fldChar w:fldCharType="end"/>
            </w:r>
          </w:hyperlink>
        </w:p>
        <w:p w14:paraId="5627EDF0"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68" w:history="1">
            <w:r w:rsidR="000B3633" w:rsidRPr="003818C4">
              <w:rPr>
                <w:rStyle w:val="Hyperlink"/>
                <w:rFonts w:ascii="Arial" w:hAnsi="Arial" w:cs="Arial"/>
                <w:b/>
                <w:noProof/>
                <w:sz w:val="18"/>
                <w:szCs w:val="18"/>
                <w:lang w:val="en-GB"/>
              </w:rPr>
              <w:t>Recommendations (Title IV)</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_Toc478028668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12</w:t>
            </w:r>
            <w:r w:rsidR="000B3633" w:rsidRPr="003818C4">
              <w:rPr>
                <w:rFonts w:ascii="Arial" w:hAnsi="Arial" w:cs="Arial"/>
                <w:noProof/>
                <w:webHidden/>
                <w:sz w:val="18"/>
                <w:szCs w:val="18"/>
                <w:lang w:val="en-GB"/>
              </w:rPr>
              <w:fldChar w:fldCharType="end"/>
            </w:r>
          </w:hyperlink>
        </w:p>
        <w:p w14:paraId="54DFFBF0" w14:textId="77777777" w:rsidR="000B3633" w:rsidRPr="003818C4" w:rsidRDefault="00897B83" w:rsidP="001164F1">
          <w:pPr>
            <w:pStyle w:val="TOC2"/>
            <w:tabs>
              <w:tab w:val="left" w:pos="607"/>
              <w:tab w:val="right" w:pos="8779"/>
            </w:tabs>
            <w:spacing w:before="120" w:after="120"/>
            <w:rPr>
              <w:rFonts w:ascii="Arial" w:hAnsi="Arial" w:cs="Arial"/>
              <w:b w:val="0"/>
              <w:bCs w:val="0"/>
              <w:smallCaps w:val="0"/>
              <w:noProof/>
              <w:sz w:val="18"/>
              <w:szCs w:val="18"/>
              <w:lang w:val="en-GB"/>
            </w:rPr>
          </w:pPr>
          <w:hyperlink w:anchor="_Toc478028669" w:history="1">
            <w:r w:rsidR="000B3633" w:rsidRPr="003818C4">
              <w:rPr>
                <w:rStyle w:val="Hyperlink"/>
                <w:rFonts w:ascii="Arial" w:hAnsi="Arial" w:cs="Arial"/>
                <w:noProof/>
                <w:sz w:val="18"/>
                <w:szCs w:val="18"/>
                <w:lang w:val="en-GB"/>
              </w:rPr>
              <w:t>1.4.</w:t>
            </w:r>
            <w:r w:rsidR="000B3633" w:rsidRPr="003818C4">
              <w:rPr>
                <w:rFonts w:ascii="Arial" w:hAnsi="Arial" w:cs="Arial"/>
                <w:b w:val="0"/>
                <w:bCs w:val="0"/>
                <w:smallCaps w:val="0"/>
                <w:noProof/>
                <w:sz w:val="18"/>
                <w:szCs w:val="18"/>
                <w:lang w:val="en-GB"/>
              </w:rPr>
              <w:tab/>
            </w:r>
            <w:r w:rsidR="000B3633" w:rsidRPr="003818C4">
              <w:rPr>
                <w:rStyle w:val="Hyperlink"/>
                <w:rFonts w:ascii="Arial" w:hAnsi="Arial" w:cs="Arial"/>
                <w:noProof/>
                <w:sz w:val="18"/>
                <w:szCs w:val="18"/>
                <w:lang w:val="en-GB"/>
              </w:rPr>
              <w:t>Trade and trade-related aspects - DCFTA (Title V)</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_Toc478028669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13</w:t>
            </w:r>
            <w:r w:rsidR="000B3633" w:rsidRPr="003818C4">
              <w:rPr>
                <w:rFonts w:ascii="Arial" w:hAnsi="Arial" w:cs="Arial"/>
                <w:noProof/>
                <w:webHidden/>
                <w:sz w:val="18"/>
                <w:szCs w:val="18"/>
                <w:lang w:val="en-GB"/>
              </w:rPr>
              <w:fldChar w:fldCharType="end"/>
            </w:r>
          </w:hyperlink>
        </w:p>
        <w:p w14:paraId="2FD0F84F"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70" w:history="1">
            <w:r w:rsidR="000B3633" w:rsidRPr="003818C4">
              <w:rPr>
                <w:rStyle w:val="Hyperlink"/>
                <w:rFonts w:ascii="Arial" w:hAnsi="Arial" w:cs="Arial"/>
                <w:noProof/>
                <w:sz w:val="18"/>
                <w:szCs w:val="18"/>
                <w:lang w:val="en-GB"/>
              </w:rPr>
              <w:t>Quantitative progress assessment</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_Toc478028670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13</w:t>
            </w:r>
            <w:r w:rsidR="000B3633" w:rsidRPr="003818C4">
              <w:rPr>
                <w:rFonts w:ascii="Arial" w:hAnsi="Arial" w:cs="Arial"/>
                <w:noProof/>
                <w:webHidden/>
                <w:sz w:val="18"/>
                <w:szCs w:val="18"/>
                <w:lang w:val="en-GB"/>
              </w:rPr>
              <w:fldChar w:fldCharType="end"/>
            </w:r>
          </w:hyperlink>
        </w:p>
        <w:p w14:paraId="7ED2CB88"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71" w:history="1">
            <w:r w:rsidR="000B3633" w:rsidRPr="003818C4">
              <w:rPr>
                <w:rStyle w:val="Hyperlink"/>
                <w:rFonts w:ascii="Arial" w:hAnsi="Arial" w:cs="Arial"/>
                <w:b/>
                <w:noProof/>
                <w:sz w:val="18"/>
                <w:szCs w:val="18"/>
                <w:lang w:val="en-GB"/>
              </w:rPr>
              <w:t>Conclusions (Title V)</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_Toc478028671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13</w:t>
            </w:r>
            <w:r w:rsidR="000B3633" w:rsidRPr="003818C4">
              <w:rPr>
                <w:rFonts w:ascii="Arial" w:hAnsi="Arial" w:cs="Arial"/>
                <w:noProof/>
                <w:webHidden/>
                <w:sz w:val="18"/>
                <w:szCs w:val="18"/>
                <w:lang w:val="en-GB"/>
              </w:rPr>
              <w:fldChar w:fldCharType="end"/>
            </w:r>
          </w:hyperlink>
        </w:p>
        <w:p w14:paraId="77D722A1"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72" w:history="1">
            <w:r w:rsidR="000B3633" w:rsidRPr="003818C4">
              <w:rPr>
                <w:rStyle w:val="Hyperlink"/>
                <w:rFonts w:ascii="Arial" w:hAnsi="Arial" w:cs="Arial"/>
                <w:b/>
                <w:noProof/>
                <w:sz w:val="18"/>
                <w:szCs w:val="18"/>
                <w:lang w:val="en-GB"/>
              </w:rPr>
              <w:t>Recommendations (Title V)</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_Toc478028672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13</w:t>
            </w:r>
            <w:r w:rsidR="000B3633" w:rsidRPr="003818C4">
              <w:rPr>
                <w:rFonts w:ascii="Arial" w:hAnsi="Arial" w:cs="Arial"/>
                <w:noProof/>
                <w:webHidden/>
                <w:sz w:val="18"/>
                <w:szCs w:val="18"/>
                <w:lang w:val="en-GB"/>
              </w:rPr>
              <w:fldChar w:fldCharType="end"/>
            </w:r>
          </w:hyperlink>
        </w:p>
        <w:p w14:paraId="13586F01" w14:textId="77777777" w:rsidR="000B3633" w:rsidRPr="003818C4" w:rsidRDefault="00897B83" w:rsidP="001164F1">
          <w:pPr>
            <w:pStyle w:val="TOC2"/>
            <w:tabs>
              <w:tab w:val="left" w:pos="607"/>
              <w:tab w:val="right" w:pos="8779"/>
            </w:tabs>
            <w:spacing w:before="120" w:after="120"/>
            <w:rPr>
              <w:rFonts w:ascii="Arial" w:hAnsi="Arial" w:cs="Arial"/>
              <w:b w:val="0"/>
              <w:bCs w:val="0"/>
              <w:smallCaps w:val="0"/>
              <w:noProof/>
              <w:sz w:val="18"/>
              <w:szCs w:val="18"/>
              <w:lang w:val="en-GB"/>
            </w:rPr>
          </w:pPr>
          <w:hyperlink w:anchor="_Toc478028673" w:history="1">
            <w:r w:rsidR="000B3633" w:rsidRPr="003818C4">
              <w:rPr>
                <w:rStyle w:val="Hyperlink"/>
                <w:rFonts w:ascii="Arial" w:hAnsi="Arial" w:cs="Arial"/>
                <w:noProof/>
                <w:sz w:val="18"/>
                <w:szCs w:val="18"/>
                <w:lang w:val="en-GB"/>
              </w:rPr>
              <w:t>1.5.</w:t>
            </w:r>
            <w:r w:rsidR="000B3633" w:rsidRPr="003818C4">
              <w:rPr>
                <w:rFonts w:ascii="Arial" w:hAnsi="Arial" w:cs="Arial"/>
                <w:b w:val="0"/>
                <w:bCs w:val="0"/>
                <w:smallCaps w:val="0"/>
                <w:noProof/>
                <w:sz w:val="18"/>
                <w:szCs w:val="18"/>
                <w:lang w:val="en-GB"/>
              </w:rPr>
              <w:tab/>
            </w:r>
            <w:r w:rsidR="000B3633" w:rsidRPr="003818C4">
              <w:rPr>
                <w:rStyle w:val="Hyperlink"/>
                <w:rFonts w:ascii="Arial" w:hAnsi="Arial" w:cs="Arial"/>
                <w:noProof/>
                <w:sz w:val="18"/>
                <w:szCs w:val="18"/>
                <w:lang w:val="en-GB"/>
              </w:rPr>
              <w:t>Financial assistance and antifraud and control provisions (Title VI)</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_Toc478028673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15</w:t>
            </w:r>
            <w:r w:rsidR="000B3633" w:rsidRPr="003818C4">
              <w:rPr>
                <w:rFonts w:ascii="Arial" w:hAnsi="Arial" w:cs="Arial"/>
                <w:noProof/>
                <w:webHidden/>
                <w:sz w:val="18"/>
                <w:szCs w:val="18"/>
                <w:lang w:val="en-GB"/>
              </w:rPr>
              <w:fldChar w:fldCharType="end"/>
            </w:r>
          </w:hyperlink>
        </w:p>
        <w:p w14:paraId="42A73E39"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74" w:history="1">
            <w:r w:rsidR="000B3633" w:rsidRPr="003818C4">
              <w:rPr>
                <w:rStyle w:val="Hyperlink"/>
                <w:rFonts w:ascii="Arial" w:hAnsi="Arial" w:cs="Arial"/>
                <w:bCs/>
                <w:noProof/>
                <w:sz w:val="18"/>
                <w:szCs w:val="18"/>
                <w:lang w:val="en-GB"/>
              </w:rPr>
              <w:t>Quantitative progress assessment</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_Toc478028674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15</w:t>
            </w:r>
            <w:r w:rsidR="000B3633" w:rsidRPr="003818C4">
              <w:rPr>
                <w:rFonts w:ascii="Arial" w:hAnsi="Arial" w:cs="Arial"/>
                <w:noProof/>
                <w:webHidden/>
                <w:sz w:val="18"/>
                <w:szCs w:val="18"/>
                <w:lang w:val="en-GB"/>
              </w:rPr>
              <w:fldChar w:fldCharType="end"/>
            </w:r>
          </w:hyperlink>
        </w:p>
        <w:p w14:paraId="250AE7C7"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75" w:history="1">
            <w:r w:rsidR="000B3633" w:rsidRPr="003818C4">
              <w:rPr>
                <w:rStyle w:val="Hyperlink"/>
                <w:rFonts w:ascii="Arial" w:hAnsi="Arial" w:cs="Arial"/>
                <w:b/>
                <w:noProof/>
                <w:sz w:val="18"/>
                <w:szCs w:val="18"/>
                <w:lang w:val="en-GB"/>
              </w:rPr>
              <w:t>Conclusions (Title VI)</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_Toc478028675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15</w:t>
            </w:r>
            <w:r w:rsidR="000B3633" w:rsidRPr="003818C4">
              <w:rPr>
                <w:rFonts w:ascii="Arial" w:hAnsi="Arial" w:cs="Arial"/>
                <w:noProof/>
                <w:webHidden/>
                <w:sz w:val="18"/>
                <w:szCs w:val="18"/>
                <w:lang w:val="en-GB"/>
              </w:rPr>
              <w:fldChar w:fldCharType="end"/>
            </w:r>
          </w:hyperlink>
        </w:p>
        <w:p w14:paraId="2E6A7351" w14:textId="77777777" w:rsidR="000B3633" w:rsidRPr="003818C4" w:rsidRDefault="00897B83" w:rsidP="001164F1">
          <w:pPr>
            <w:pStyle w:val="TOC3"/>
            <w:tabs>
              <w:tab w:val="right" w:pos="8779"/>
            </w:tabs>
            <w:spacing w:before="120" w:after="120"/>
            <w:rPr>
              <w:rFonts w:ascii="Arial" w:hAnsi="Arial" w:cs="Arial"/>
              <w:smallCaps w:val="0"/>
              <w:noProof/>
              <w:sz w:val="18"/>
              <w:szCs w:val="18"/>
              <w:lang w:val="en-GB"/>
            </w:rPr>
          </w:pPr>
          <w:hyperlink w:anchor="_Toc478028676" w:history="1">
            <w:r w:rsidR="000B3633" w:rsidRPr="003818C4">
              <w:rPr>
                <w:rStyle w:val="Hyperlink"/>
                <w:rFonts w:ascii="Arial" w:hAnsi="Arial" w:cs="Arial"/>
                <w:b/>
                <w:noProof/>
                <w:sz w:val="18"/>
                <w:szCs w:val="18"/>
                <w:lang w:val="en-GB"/>
              </w:rPr>
              <w:t>Recommendations (Title VI)</w:t>
            </w:r>
            <w:r w:rsidR="000B3633" w:rsidRPr="003818C4">
              <w:rPr>
                <w:rFonts w:ascii="Arial" w:hAnsi="Arial" w:cs="Arial"/>
                <w:noProof/>
                <w:webHidden/>
                <w:sz w:val="18"/>
                <w:szCs w:val="18"/>
                <w:lang w:val="en-GB"/>
              </w:rPr>
              <w:tab/>
            </w:r>
            <w:r w:rsidR="000B3633" w:rsidRPr="003818C4">
              <w:rPr>
                <w:rFonts w:ascii="Arial" w:hAnsi="Arial" w:cs="Arial"/>
                <w:noProof/>
                <w:webHidden/>
                <w:sz w:val="18"/>
                <w:szCs w:val="18"/>
                <w:lang w:val="en-GB"/>
              </w:rPr>
              <w:fldChar w:fldCharType="begin"/>
            </w:r>
            <w:r w:rsidR="000B3633" w:rsidRPr="003818C4">
              <w:rPr>
                <w:rFonts w:ascii="Arial" w:hAnsi="Arial" w:cs="Arial"/>
                <w:noProof/>
                <w:webHidden/>
                <w:sz w:val="18"/>
                <w:szCs w:val="18"/>
                <w:lang w:val="en-GB"/>
              </w:rPr>
              <w:instrText xml:space="preserve"> PAGEREF _Toc478028676 \h </w:instrText>
            </w:r>
            <w:r w:rsidR="000B3633" w:rsidRPr="003818C4">
              <w:rPr>
                <w:rFonts w:ascii="Arial" w:hAnsi="Arial" w:cs="Arial"/>
                <w:noProof/>
                <w:webHidden/>
                <w:sz w:val="18"/>
                <w:szCs w:val="18"/>
                <w:lang w:val="en-GB"/>
              </w:rPr>
            </w:r>
            <w:r w:rsidR="000B3633" w:rsidRPr="003818C4">
              <w:rPr>
                <w:rFonts w:ascii="Arial" w:hAnsi="Arial" w:cs="Arial"/>
                <w:noProof/>
                <w:webHidden/>
                <w:sz w:val="18"/>
                <w:szCs w:val="18"/>
                <w:lang w:val="en-GB"/>
              </w:rPr>
              <w:fldChar w:fldCharType="separate"/>
            </w:r>
            <w:r w:rsidR="00D04808">
              <w:rPr>
                <w:rFonts w:ascii="Arial" w:hAnsi="Arial" w:cs="Arial"/>
                <w:noProof/>
                <w:webHidden/>
                <w:sz w:val="18"/>
                <w:szCs w:val="18"/>
                <w:lang w:val="en-GB"/>
              </w:rPr>
              <w:t>15</w:t>
            </w:r>
            <w:r w:rsidR="000B3633" w:rsidRPr="003818C4">
              <w:rPr>
                <w:rFonts w:ascii="Arial" w:hAnsi="Arial" w:cs="Arial"/>
                <w:noProof/>
                <w:webHidden/>
                <w:sz w:val="18"/>
                <w:szCs w:val="18"/>
                <w:lang w:val="en-GB"/>
              </w:rPr>
              <w:fldChar w:fldCharType="end"/>
            </w:r>
          </w:hyperlink>
        </w:p>
        <w:p w14:paraId="44D6C2D7" w14:textId="77777777" w:rsidR="000B3633" w:rsidRPr="003818C4" w:rsidRDefault="000B3633" w:rsidP="001164F1">
          <w:pPr>
            <w:spacing w:before="120" w:after="120"/>
            <w:rPr>
              <w:rFonts w:ascii="Arial" w:hAnsi="Arial" w:cs="Arial"/>
              <w:sz w:val="18"/>
              <w:szCs w:val="18"/>
              <w:lang w:val="en-GB"/>
            </w:rPr>
          </w:pPr>
          <w:r w:rsidRPr="003818C4">
            <w:rPr>
              <w:rFonts w:ascii="Arial" w:hAnsi="Arial" w:cs="Arial"/>
              <w:b/>
              <w:bCs/>
              <w:noProof/>
              <w:sz w:val="18"/>
              <w:szCs w:val="18"/>
              <w:lang w:val="en-GB"/>
            </w:rPr>
            <w:fldChar w:fldCharType="end"/>
          </w:r>
        </w:p>
      </w:sdtContent>
    </w:sdt>
    <w:p w14:paraId="7DFD98D4" w14:textId="77777777" w:rsidR="00E30B6F" w:rsidRPr="003818C4" w:rsidRDefault="00E30B6F" w:rsidP="001164F1">
      <w:pPr>
        <w:pStyle w:val="Default"/>
        <w:tabs>
          <w:tab w:val="left" w:pos="560"/>
          <w:tab w:val="left" w:pos="1120"/>
          <w:tab w:val="left" w:pos="1680"/>
          <w:tab w:val="left" w:pos="2240"/>
          <w:tab w:val="left" w:pos="2493"/>
          <w:tab w:val="left" w:pos="2800"/>
          <w:tab w:val="left" w:pos="3360"/>
          <w:tab w:val="left" w:pos="3920"/>
          <w:tab w:val="center" w:pos="4459"/>
          <w:tab w:val="left" w:pos="5040"/>
          <w:tab w:val="left" w:pos="5600"/>
          <w:tab w:val="left" w:pos="6160"/>
          <w:tab w:val="left" w:pos="6720"/>
        </w:tabs>
        <w:spacing w:before="120" w:after="120" w:line="240" w:lineRule="auto"/>
        <w:jc w:val="left"/>
        <w:rPr>
          <w:rStyle w:val="NoneA"/>
          <w:rFonts w:ascii="Arial" w:hAnsi="Arial" w:cs="Arial"/>
          <w:color w:val="0B5294" w:themeColor="accent1" w:themeShade="BF"/>
          <w:sz w:val="18"/>
          <w:szCs w:val="18"/>
          <w:lang w:val="en-GB"/>
        </w:rPr>
      </w:pPr>
    </w:p>
    <w:p w14:paraId="04DCFE59" w14:textId="77777777" w:rsidR="00E30B6F" w:rsidRPr="003818C4" w:rsidRDefault="00E30B6F" w:rsidP="001164F1">
      <w:pPr>
        <w:pStyle w:val="Default"/>
        <w:tabs>
          <w:tab w:val="left" w:pos="560"/>
          <w:tab w:val="left" w:pos="1120"/>
          <w:tab w:val="left" w:pos="1680"/>
          <w:tab w:val="left" w:pos="2240"/>
          <w:tab w:val="left" w:pos="2493"/>
          <w:tab w:val="left" w:pos="2800"/>
          <w:tab w:val="left" w:pos="3360"/>
          <w:tab w:val="left" w:pos="3920"/>
          <w:tab w:val="center" w:pos="4459"/>
          <w:tab w:val="left" w:pos="5040"/>
          <w:tab w:val="left" w:pos="5600"/>
          <w:tab w:val="left" w:pos="6160"/>
          <w:tab w:val="left" w:pos="6720"/>
        </w:tabs>
        <w:spacing w:before="120" w:after="120" w:line="240" w:lineRule="auto"/>
        <w:jc w:val="left"/>
        <w:rPr>
          <w:rStyle w:val="NoneA"/>
          <w:rFonts w:ascii="Arial" w:hAnsi="Arial" w:cs="Arial"/>
          <w:color w:val="0B5294" w:themeColor="accent1" w:themeShade="BF"/>
          <w:sz w:val="18"/>
          <w:szCs w:val="18"/>
          <w:lang w:val="en-GB"/>
        </w:rPr>
      </w:pPr>
    </w:p>
    <w:p w14:paraId="2D163D3A" w14:textId="77777777" w:rsidR="00E30B6F" w:rsidRPr="003818C4" w:rsidRDefault="00E30B6F" w:rsidP="001164F1">
      <w:pPr>
        <w:spacing w:before="120" w:after="120"/>
        <w:rPr>
          <w:rStyle w:val="NoneA"/>
          <w:rFonts w:ascii="Arial" w:hAnsi="Arial" w:cs="Arial"/>
          <w:color w:val="0B5294" w:themeColor="accent1" w:themeShade="BF"/>
          <w:sz w:val="18"/>
          <w:szCs w:val="18"/>
          <w:u w:color="000000"/>
          <w:lang w:val="en-GB"/>
        </w:rPr>
      </w:pPr>
      <w:r w:rsidRPr="003818C4">
        <w:rPr>
          <w:rStyle w:val="NoneA"/>
          <w:rFonts w:ascii="Arial" w:hAnsi="Arial" w:cs="Arial"/>
          <w:color w:val="0B5294" w:themeColor="accent1" w:themeShade="BF"/>
          <w:sz w:val="18"/>
          <w:szCs w:val="18"/>
          <w:lang w:val="en-GB"/>
        </w:rPr>
        <w:br w:type="page"/>
      </w:r>
    </w:p>
    <w:p w14:paraId="4937A9F2" w14:textId="77777777" w:rsidR="00E30B6F" w:rsidRPr="003818C4" w:rsidRDefault="00E30B6F" w:rsidP="001164F1">
      <w:pPr>
        <w:pStyle w:val="Default"/>
        <w:tabs>
          <w:tab w:val="left" w:pos="560"/>
          <w:tab w:val="left" w:pos="1120"/>
          <w:tab w:val="left" w:pos="1680"/>
          <w:tab w:val="left" w:pos="2240"/>
          <w:tab w:val="left" w:pos="2493"/>
          <w:tab w:val="left" w:pos="2800"/>
          <w:tab w:val="left" w:pos="3360"/>
          <w:tab w:val="left" w:pos="3920"/>
          <w:tab w:val="center" w:pos="4459"/>
          <w:tab w:val="left" w:pos="5040"/>
          <w:tab w:val="left" w:pos="5600"/>
          <w:tab w:val="left" w:pos="6160"/>
          <w:tab w:val="left" w:pos="6720"/>
        </w:tabs>
        <w:spacing w:before="120" w:after="120" w:line="240" w:lineRule="auto"/>
        <w:jc w:val="left"/>
        <w:rPr>
          <w:rStyle w:val="NoneA"/>
          <w:rFonts w:ascii="Arial" w:hAnsi="Arial" w:cs="Arial"/>
          <w:b/>
          <w:bCs/>
          <w:color w:val="0B5294" w:themeColor="accent1" w:themeShade="BF"/>
          <w:sz w:val="18"/>
          <w:szCs w:val="18"/>
          <w:u w:color="2841BB"/>
          <w:lang w:val="en-GB"/>
        </w:rPr>
      </w:pPr>
      <w:r w:rsidRPr="003818C4">
        <w:rPr>
          <w:rStyle w:val="NoneA"/>
          <w:rFonts w:ascii="Arial" w:hAnsi="Arial" w:cs="Arial"/>
          <w:color w:val="0B5294" w:themeColor="accent1" w:themeShade="BF"/>
          <w:sz w:val="18"/>
          <w:szCs w:val="18"/>
          <w:lang w:val="en-GB"/>
        </w:rPr>
        <w:lastRenderedPageBreak/>
        <w:t>EXECUTIVE SUMMARY</w:t>
      </w:r>
    </w:p>
    <w:p w14:paraId="777F7483" w14:textId="77777777" w:rsidR="00E30B6F" w:rsidRPr="003818C4" w:rsidRDefault="00E30B6F" w:rsidP="001164F1">
      <w:pPr>
        <w:spacing w:before="120" w:after="120" w:line="240" w:lineRule="auto"/>
        <w:rPr>
          <w:rFonts w:ascii="Arial" w:hAnsi="Arial" w:cs="Arial"/>
          <w:sz w:val="18"/>
          <w:szCs w:val="18"/>
          <w:lang w:val="en-GB"/>
        </w:rPr>
      </w:pPr>
      <w:r w:rsidRPr="003818C4">
        <w:rPr>
          <w:rFonts w:ascii="Arial" w:hAnsi="Arial" w:cs="Arial"/>
          <w:sz w:val="18"/>
          <w:szCs w:val="18"/>
          <w:lang w:val="en-GB"/>
        </w:rPr>
        <w:t xml:space="preserve">The Association Agreement sets the fundamental legal framework that regulates the relationship between the Republic of Moldova (hereinafter Moldova) and the European Union. The EU-Moldova Association Agenda (2014-2016) was adopted in summer 2014. At the national level, the Government of Moldova developed and implemented in the period </w:t>
      </w:r>
      <w:r w:rsidR="00113B4E" w:rsidRPr="003818C4">
        <w:rPr>
          <w:rFonts w:ascii="Arial" w:hAnsi="Arial" w:cs="Arial"/>
          <w:sz w:val="18"/>
          <w:szCs w:val="18"/>
          <w:lang w:val="en-GB"/>
        </w:rPr>
        <w:t xml:space="preserve">of </w:t>
      </w:r>
      <w:r w:rsidRPr="003818C4">
        <w:rPr>
          <w:rFonts w:ascii="Arial" w:hAnsi="Arial" w:cs="Arial"/>
          <w:sz w:val="18"/>
          <w:szCs w:val="18"/>
          <w:lang w:val="en-GB"/>
        </w:rPr>
        <w:t>2014-2016 the National Action Plan for the Implementation of the Association Agreement (hereinafter referred to as NAPIAA). According to the Gove</w:t>
      </w:r>
      <w:r w:rsidR="00113B4E" w:rsidRPr="003818C4">
        <w:rPr>
          <w:rFonts w:ascii="Arial" w:hAnsi="Arial" w:cs="Arial"/>
          <w:sz w:val="18"/>
          <w:szCs w:val="18"/>
          <w:lang w:val="en-GB"/>
        </w:rPr>
        <w:t>rnment Progress Report on</w:t>
      </w:r>
      <w:r w:rsidRPr="003818C4">
        <w:rPr>
          <w:rFonts w:ascii="Arial" w:hAnsi="Arial" w:cs="Arial"/>
          <w:sz w:val="18"/>
          <w:szCs w:val="18"/>
          <w:lang w:val="en-GB"/>
        </w:rPr>
        <w:t xml:space="preserve"> the NAPIAA implementation, presented on January 25th, 2017, 73.73% of the planned activities were implemented. The Report of the Government also shows that the harmonization of the national legislation to the </w:t>
      </w:r>
      <w:r w:rsidRPr="003818C4">
        <w:rPr>
          <w:rFonts w:ascii="Arial" w:hAnsi="Arial" w:cs="Arial"/>
          <w:i/>
          <w:sz w:val="18"/>
          <w:szCs w:val="18"/>
          <w:lang w:val="en-GB"/>
        </w:rPr>
        <w:t xml:space="preserve">acquis communautaire </w:t>
      </w:r>
      <w:r w:rsidRPr="003818C4">
        <w:rPr>
          <w:rFonts w:ascii="Arial" w:hAnsi="Arial" w:cs="Arial"/>
          <w:sz w:val="18"/>
          <w:szCs w:val="18"/>
          <w:lang w:val="en-GB"/>
        </w:rPr>
        <w:t>was accomplished at a rate of 34%. On March 10, 2017 the European Commission published its first Report on the Implementation of the Association with Moldova, which states that a series of reforms were adopted in Moldova. However, additional efforts are needed</w:t>
      </w:r>
      <w:r w:rsidR="00113B4E" w:rsidRPr="003818C4">
        <w:rPr>
          <w:rFonts w:ascii="Arial" w:hAnsi="Arial" w:cs="Arial"/>
          <w:sz w:val="18"/>
          <w:szCs w:val="18"/>
          <w:lang w:val="en-GB"/>
        </w:rPr>
        <w:t>, especially to</w:t>
      </w:r>
      <w:r w:rsidRPr="003818C4">
        <w:rPr>
          <w:rFonts w:ascii="Arial" w:hAnsi="Arial" w:cs="Arial"/>
          <w:sz w:val="18"/>
          <w:szCs w:val="18"/>
          <w:lang w:val="en-GB"/>
        </w:rPr>
        <w:t xml:space="preserve"> </w:t>
      </w:r>
      <w:r w:rsidR="00113B4E" w:rsidRPr="003818C4">
        <w:rPr>
          <w:rFonts w:ascii="Arial" w:hAnsi="Arial" w:cs="Arial"/>
          <w:sz w:val="18"/>
          <w:szCs w:val="18"/>
          <w:lang w:val="en-GB"/>
        </w:rPr>
        <w:t>consolidate</w:t>
      </w:r>
      <w:r w:rsidRPr="003818C4">
        <w:rPr>
          <w:rFonts w:ascii="Arial" w:hAnsi="Arial" w:cs="Arial"/>
          <w:sz w:val="18"/>
          <w:szCs w:val="18"/>
          <w:lang w:val="en-GB"/>
        </w:rPr>
        <w:t xml:space="preserve"> the rule of law and improvement of the business environment. </w:t>
      </w:r>
    </w:p>
    <w:p w14:paraId="6FA5D05B" w14:textId="77777777" w:rsidR="00E30B6F" w:rsidRPr="003818C4" w:rsidRDefault="00E30B6F" w:rsidP="001164F1">
      <w:pPr>
        <w:spacing w:before="120" w:after="120" w:line="240" w:lineRule="auto"/>
        <w:rPr>
          <w:rFonts w:ascii="Arial" w:hAnsi="Arial" w:cs="Arial"/>
          <w:sz w:val="18"/>
          <w:szCs w:val="18"/>
          <w:lang w:val="en-GB"/>
        </w:rPr>
      </w:pPr>
      <w:r w:rsidRPr="003818C4">
        <w:rPr>
          <w:rFonts w:ascii="Arial" w:hAnsi="Arial" w:cs="Arial"/>
          <w:sz w:val="18"/>
          <w:szCs w:val="18"/>
          <w:lang w:val="en-GB"/>
        </w:rPr>
        <w:t>In this context, this „Shadow” Progress Report on the EU – Moldova Association Agreement implementation was prepared. The report is a contribution to the effort of the Moldovan civil society to monitor the implementation of the Association Agreement. Thus, the report will provide an assessment of the m</w:t>
      </w:r>
      <w:r w:rsidR="00113B4E" w:rsidRPr="003818C4">
        <w:rPr>
          <w:rFonts w:ascii="Arial" w:hAnsi="Arial" w:cs="Arial"/>
          <w:sz w:val="18"/>
          <w:szCs w:val="18"/>
          <w:lang w:val="en-GB"/>
        </w:rPr>
        <w:t>easures</w:t>
      </w:r>
      <w:r w:rsidRPr="003818C4">
        <w:rPr>
          <w:rFonts w:ascii="Arial" w:hAnsi="Arial" w:cs="Arial"/>
          <w:sz w:val="18"/>
          <w:szCs w:val="18"/>
          <w:lang w:val="en-GB"/>
        </w:rPr>
        <w:t xml:space="preserve"> undertaken by the Moldovan authorities </w:t>
      </w:r>
      <w:r w:rsidR="00113B4E" w:rsidRPr="003818C4">
        <w:rPr>
          <w:rFonts w:ascii="Arial" w:hAnsi="Arial" w:cs="Arial"/>
          <w:sz w:val="18"/>
          <w:szCs w:val="18"/>
          <w:lang w:val="en-GB"/>
        </w:rPr>
        <w:t>to implement the Association A</w:t>
      </w:r>
      <w:r w:rsidRPr="003818C4">
        <w:rPr>
          <w:rFonts w:ascii="Arial" w:hAnsi="Arial" w:cs="Arial"/>
          <w:sz w:val="18"/>
          <w:szCs w:val="18"/>
          <w:lang w:val="en-GB"/>
        </w:rPr>
        <w:t xml:space="preserve">greement during the 2014-2016, touching upon the benchmark elements. Subsequently, the authors present a quantitative and qualitative analysis of the registered results in the implementation of the </w:t>
      </w:r>
      <w:r w:rsidRPr="003818C4">
        <w:rPr>
          <w:rFonts w:ascii="Arial" w:hAnsi="Arial" w:cs="Arial"/>
          <w:b/>
          <w:sz w:val="18"/>
          <w:szCs w:val="18"/>
          <w:lang w:val="en-GB"/>
        </w:rPr>
        <w:t>1784 measures</w:t>
      </w:r>
      <w:r w:rsidRPr="003818C4">
        <w:rPr>
          <w:rFonts w:ascii="Arial" w:hAnsi="Arial" w:cs="Arial"/>
          <w:sz w:val="18"/>
          <w:szCs w:val="18"/>
          <w:lang w:val="en-GB"/>
        </w:rPr>
        <w:t xml:space="preserve"> provided by the NAPIAA (pursuant to Titles II-VI of the Association Agreement). </w:t>
      </w:r>
    </w:p>
    <w:p w14:paraId="47371C2F" w14:textId="77777777" w:rsidR="00E30B6F" w:rsidRPr="003818C4" w:rsidRDefault="00E30B6F" w:rsidP="001164F1">
      <w:pPr>
        <w:pStyle w:val="Heading3"/>
        <w:spacing w:before="120" w:after="120" w:line="240" w:lineRule="auto"/>
        <w:rPr>
          <w:rFonts w:ascii="Arial" w:hAnsi="Arial" w:cs="Arial"/>
          <w:bCs/>
          <w:noProof/>
          <w:color w:val="0B5294" w:themeColor="accent1" w:themeShade="BF"/>
          <w:sz w:val="18"/>
          <w:szCs w:val="18"/>
          <w:lang w:val="en-GB"/>
        </w:rPr>
      </w:pPr>
      <w:bookmarkStart w:id="4" w:name="_Toc478028654"/>
      <w:r w:rsidRPr="003818C4">
        <w:rPr>
          <w:rFonts w:ascii="Arial" w:hAnsi="Arial" w:cs="Arial"/>
          <w:bCs/>
          <w:noProof/>
          <w:color w:val="0B5294" w:themeColor="accent1" w:themeShade="BF"/>
          <w:sz w:val="18"/>
          <w:szCs w:val="18"/>
          <w:lang w:val="en-GB"/>
        </w:rPr>
        <w:t>Developments in the dialogue with the European Union</w:t>
      </w:r>
      <w:bookmarkEnd w:id="4"/>
      <w:r w:rsidRPr="003818C4">
        <w:rPr>
          <w:rFonts w:ascii="Arial" w:hAnsi="Arial" w:cs="Arial"/>
          <w:bCs/>
          <w:noProof/>
          <w:color w:val="0B5294" w:themeColor="accent1" w:themeShade="BF"/>
          <w:sz w:val="18"/>
          <w:szCs w:val="18"/>
          <w:lang w:val="en-GB"/>
        </w:rPr>
        <w:t xml:space="preserve"> </w:t>
      </w:r>
    </w:p>
    <w:p w14:paraId="28410AEC" w14:textId="77777777" w:rsidR="00E30B6F" w:rsidRPr="003818C4" w:rsidRDefault="00113B4E" w:rsidP="001164F1">
      <w:pPr>
        <w:pStyle w:val="BodyA"/>
        <w:spacing w:before="120" w:after="120" w:line="240" w:lineRule="auto"/>
        <w:rPr>
          <w:rFonts w:ascii="Arial" w:hAnsi="Arial" w:cs="Arial"/>
          <w:sz w:val="18"/>
          <w:szCs w:val="18"/>
          <w:lang w:val="en-GB"/>
        </w:rPr>
      </w:pPr>
      <w:r w:rsidRPr="003818C4">
        <w:rPr>
          <w:rFonts w:ascii="Arial" w:hAnsi="Arial" w:cs="Arial"/>
          <w:sz w:val="18"/>
          <w:szCs w:val="18"/>
          <w:lang w:val="en-GB"/>
        </w:rPr>
        <w:t>During 2014-2016, t</w:t>
      </w:r>
      <w:r w:rsidR="00E30B6F" w:rsidRPr="003818C4">
        <w:rPr>
          <w:rFonts w:ascii="Arial" w:hAnsi="Arial" w:cs="Arial"/>
          <w:sz w:val="18"/>
          <w:szCs w:val="18"/>
          <w:lang w:val="en-GB"/>
        </w:rPr>
        <w:t>he relationship between Moldova and the European Union went through different stages of intensity</w:t>
      </w:r>
      <w:r w:rsidRPr="003818C4">
        <w:rPr>
          <w:rFonts w:ascii="Arial" w:hAnsi="Arial" w:cs="Arial"/>
          <w:sz w:val="18"/>
          <w:szCs w:val="18"/>
          <w:lang w:val="en-GB"/>
        </w:rPr>
        <w:t>. Y</w:t>
      </w:r>
      <w:r w:rsidR="00E30B6F" w:rsidRPr="003818C4">
        <w:rPr>
          <w:rFonts w:ascii="Arial" w:hAnsi="Arial" w:cs="Arial"/>
          <w:sz w:val="18"/>
          <w:szCs w:val="18"/>
          <w:lang w:val="en-GB"/>
        </w:rPr>
        <w:t xml:space="preserve">ear 2014 was probably the most successful one, our country being acknowledged at the European level as the „success story” of the Eastern Partnership. In 2015, a slow-down was registered in the process of the EU-Moldova Association Agreement implementation, due to permanent political crises. In summer of 2015, the European Commission suspended the direct budget support for Moldova due to lack of progress in the investigation of the banking fraud. Moreover, by the end of 2015, Moldova started being labelled both internally and abroad with the qualifier „captured state”, attaining a high level of political and economic instability. </w:t>
      </w:r>
    </w:p>
    <w:p w14:paraId="624CBD06" w14:textId="77777777" w:rsidR="00E30B6F" w:rsidRPr="003818C4" w:rsidRDefault="00E30B6F" w:rsidP="001164F1">
      <w:pPr>
        <w:pStyle w:val="BodyA"/>
        <w:spacing w:before="120" w:after="120" w:line="240" w:lineRule="auto"/>
        <w:rPr>
          <w:rFonts w:ascii="Arial" w:hAnsi="Arial" w:cs="Arial"/>
          <w:sz w:val="18"/>
          <w:szCs w:val="18"/>
          <w:lang w:val="en-GB"/>
        </w:rPr>
      </w:pPr>
      <w:r w:rsidRPr="003818C4">
        <w:rPr>
          <w:rFonts w:ascii="Arial" w:hAnsi="Arial" w:cs="Arial"/>
          <w:sz w:val="18"/>
          <w:szCs w:val="18"/>
          <w:lang w:val="en-GB"/>
        </w:rPr>
        <w:t>Despite of all this, at the beginning of 2016</w:t>
      </w:r>
      <w:r w:rsidRPr="003818C4">
        <w:rPr>
          <w:rFonts w:ascii="Arial" w:hAnsi="Arial" w:cs="Arial"/>
          <w:i/>
          <w:sz w:val="18"/>
          <w:szCs w:val="18"/>
          <w:lang w:val="en-GB"/>
        </w:rPr>
        <w:t>,</w:t>
      </w:r>
      <w:r w:rsidRPr="003818C4">
        <w:rPr>
          <w:rFonts w:ascii="Arial" w:hAnsi="Arial" w:cs="Arial"/>
          <w:sz w:val="18"/>
          <w:szCs w:val="18"/>
          <w:lang w:val="en-GB"/>
        </w:rPr>
        <w:t xml:space="preserve"> against the background of street protests </w:t>
      </w:r>
      <w:r w:rsidR="00113B4E" w:rsidRPr="003818C4">
        <w:rPr>
          <w:rFonts w:ascii="Arial" w:hAnsi="Arial" w:cs="Arial"/>
          <w:sz w:val="18"/>
          <w:szCs w:val="18"/>
          <w:lang w:val="en-GB"/>
        </w:rPr>
        <w:t>to</w:t>
      </w:r>
      <w:r w:rsidRPr="003818C4">
        <w:rPr>
          <w:rFonts w:ascii="Arial" w:hAnsi="Arial" w:cs="Arial"/>
          <w:sz w:val="18"/>
          <w:szCs w:val="18"/>
          <w:lang w:val="en-GB"/>
        </w:rPr>
        <w:t xml:space="preserve"> the manner in which the new Parliamentary majority was established, the new Government re-acknowledged its commitment towards the European integration and declared the implementation of the EU-Moldova Association Agreement as a key priority. At this point, regardless of a certain precaution on behalf of the EU</w:t>
      </w:r>
      <w:r w:rsidR="00113B4E" w:rsidRPr="003818C4">
        <w:rPr>
          <w:rFonts w:ascii="Arial" w:hAnsi="Arial" w:cs="Arial"/>
          <w:sz w:val="18"/>
          <w:szCs w:val="18"/>
          <w:lang w:val="en-GB"/>
        </w:rPr>
        <w:t>,</w:t>
      </w:r>
      <w:r w:rsidRPr="003818C4">
        <w:rPr>
          <w:rFonts w:ascii="Arial" w:hAnsi="Arial" w:cs="Arial"/>
          <w:sz w:val="18"/>
          <w:szCs w:val="18"/>
          <w:lang w:val="en-GB"/>
        </w:rPr>
        <w:t xml:space="preserve"> due to the reduced level of trust towards the political will in Chisinau, the dialogue with Moldova was reinvigorated through a pragmatic approach and a relative growth in the interaction intensity was registered. Thus, in the first half of 2016, the EU-Moldova relations were mainly guided by the accomplishment of the so-called </w:t>
      </w:r>
      <w:r w:rsidR="00113B4E" w:rsidRPr="003818C4">
        <w:rPr>
          <w:rFonts w:ascii="Arial" w:hAnsi="Arial" w:cs="Arial"/>
          <w:sz w:val="18"/>
          <w:szCs w:val="18"/>
          <w:lang w:val="en-GB"/>
        </w:rPr>
        <w:t>P</w:t>
      </w:r>
      <w:r w:rsidRPr="003818C4">
        <w:rPr>
          <w:rFonts w:ascii="Arial" w:hAnsi="Arial" w:cs="Arial"/>
          <w:sz w:val="18"/>
          <w:szCs w:val="18"/>
          <w:lang w:val="en-GB"/>
        </w:rPr>
        <w:t xml:space="preserve">riority </w:t>
      </w:r>
      <w:r w:rsidR="00113B4E" w:rsidRPr="003818C4">
        <w:rPr>
          <w:rFonts w:ascii="Arial" w:hAnsi="Arial" w:cs="Arial"/>
          <w:sz w:val="18"/>
          <w:szCs w:val="18"/>
          <w:lang w:val="en-GB"/>
        </w:rPr>
        <w:t>actions reforms A</w:t>
      </w:r>
      <w:r w:rsidRPr="003818C4">
        <w:rPr>
          <w:rFonts w:ascii="Arial" w:hAnsi="Arial" w:cs="Arial"/>
          <w:sz w:val="18"/>
          <w:szCs w:val="18"/>
          <w:lang w:val="en-GB"/>
        </w:rPr>
        <w:t xml:space="preserve">genda. Another process in which the Moldovan authorities were involved </w:t>
      </w:r>
      <w:r w:rsidR="00113B4E" w:rsidRPr="003818C4">
        <w:rPr>
          <w:rFonts w:ascii="Arial" w:hAnsi="Arial" w:cs="Arial"/>
          <w:sz w:val="18"/>
          <w:szCs w:val="18"/>
          <w:lang w:val="en-GB"/>
        </w:rPr>
        <w:t>until</w:t>
      </w:r>
      <w:r w:rsidRPr="003818C4">
        <w:rPr>
          <w:rFonts w:ascii="Arial" w:hAnsi="Arial" w:cs="Arial"/>
          <w:sz w:val="18"/>
          <w:szCs w:val="18"/>
          <w:lang w:val="en-GB"/>
        </w:rPr>
        <w:t xml:space="preserve"> the end of 2016 was the development of a new NAPIAA (2017-2019), which was approved by the Government on the 28th of December 2016. </w:t>
      </w:r>
      <w:r w:rsidR="00113B4E" w:rsidRPr="003818C4">
        <w:rPr>
          <w:rFonts w:ascii="Arial" w:hAnsi="Arial" w:cs="Arial"/>
          <w:sz w:val="18"/>
          <w:szCs w:val="18"/>
          <w:lang w:val="en-GB"/>
        </w:rPr>
        <w:t>Meanwhile</w:t>
      </w:r>
      <w:r w:rsidRPr="003818C4">
        <w:rPr>
          <w:rFonts w:ascii="Arial" w:hAnsi="Arial" w:cs="Arial"/>
          <w:sz w:val="18"/>
          <w:szCs w:val="18"/>
          <w:lang w:val="en-GB"/>
        </w:rPr>
        <w:t>, starting with the summer of 2016, the European External Action</w:t>
      </w:r>
      <w:r w:rsidR="00113B4E" w:rsidRPr="003818C4">
        <w:rPr>
          <w:rFonts w:ascii="Arial" w:hAnsi="Arial" w:cs="Arial"/>
          <w:sz w:val="18"/>
          <w:szCs w:val="18"/>
          <w:lang w:val="en-GB"/>
        </w:rPr>
        <w:t xml:space="preserve"> Service</w:t>
      </w:r>
      <w:r w:rsidRPr="003818C4">
        <w:rPr>
          <w:rFonts w:ascii="Arial" w:hAnsi="Arial" w:cs="Arial"/>
          <w:sz w:val="18"/>
          <w:szCs w:val="18"/>
          <w:lang w:val="en-GB"/>
        </w:rPr>
        <w:t xml:space="preserve"> of the EU and the Moldovan MFAEI launched the process of</w:t>
      </w:r>
      <w:r w:rsidR="00113B4E" w:rsidRPr="003818C4">
        <w:rPr>
          <w:rFonts w:ascii="Arial" w:hAnsi="Arial" w:cs="Arial"/>
          <w:sz w:val="18"/>
          <w:szCs w:val="18"/>
          <w:lang w:val="en-GB"/>
        </w:rPr>
        <w:t xml:space="preserve"> development of</w:t>
      </w:r>
      <w:r w:rsidRPr="003818C4">
        <w:rPr>
          <w:rFonts w:ascii="Arial" w:hAnsi="Arial" w:cs="Arial"/>
          <w:sz w:val="18"/>
          <w:szCs w:val="18"/>
          <w:lang w:val="en-GB"/>
        </w:rPr>
        <w:t xml:space="preserve"> a ne</w:t>
      </w:r>
      <w:r w:rsidR="00113B4E" w:rsidRPr="003818C4">
        <w:rPr>
          <w:rFonts w:ascii="Arial" w:hAnsi="Arial" w:cs="Arial"/>
          <w:sz w:val="18"/>
          <w:szCs w:val="18"/>
          <w:lang w:val="en-GB"/>
        </w:rPr>
        <w:t>w Association Agenda</w:t>
      </w:r>
      <w:r w:rsidRPr="003818C4">
        <w:rPr>
          <w:rFonts w:ascii="Arial" w:hAnsi="Arial" w:cs="Arial"/>
          <w:sz w:val="18"/>
          <w:szCs w:val="18"/>
          <w:lang w:val="en-GB"/>
        </w:rPr>
        <w:t xml:space="preserve">. </w:t>
      </w:r>
    </w:p>
    <w:p w14:paraId="34FC7F59" w14:textId="77777777" w:rsidR="00E30B6F" w:rsidRPr="003818C4" w:rsidRDefault="00E30B6F" w:rsidP="001164F1">
      <w:pPr>
        <w:spacing w:before="120" w:after="120" w:line="240" w:lineRule="auto"/>
        <w:rPr>
          <w:rFonts w:ascii="Arial" w:hAnsi="Arial" w:cs="Arial"/>
          <w:sz w:val="18"/>
          <w:szCs w:val="18"/>
          <w:lang w:val="en-GB"/>
        </w:rPr>
      </w:pPr>
      <w:r w:rsidRPr="003818C4">
        <w:rPr>
          <w:rFonts w:ascii="Arial" w:hAnsi="Arial" w:cs="Arial"/>
          <w:sz w:val="18"/>
          <w:szCs w:val="18"/>
          <w:lang w:val="en-GB"/>
        </w:rPr>
        <w:t>At the same time, at the end of 2016, the IMF Board of Directors’ decision was adopted to approve the USD 178 million worth macro-financial support program</w:t>
      </w:r>
      <w:r w:rsidR="00113B4E" w:rsidRPr="003818C4">
        <w:rPr>
          <w:rFonts w:ascii="Arial" w:hAnsi="Arial" w:cs="Arial"/>
          <w:sz w:val="18"/>
          <w:szCs w:val="18"/>
          <w:lang w:val="en-GB"/>
        </w:rPr>
        <w:t>me</w:t>
      </w:r>
      <w:r w:rsidRPr="003818C4">
        <w:rPr>
          <w:rFonts w:ascii="Arial" w:hAnsi="Arial" w:cs="Arial"/>
          <w:sz w:val="18"/>
          <w:szCs w:val="18"/>
          <w:lang w:val="en-GB"/>
        </w:rPr>
        <w:t xml:space="preserve"> to Moldova. On one hand, this development created certain</w:t>
      </w:r>
      <w:r w:rsidR="00113B4E" w:rsidRPr="003818C4">
        <w:rPr>
          <w:rFonts w:ascii="Arial" w:hAnsi="Arial" w:cs="Arial"/>
          <w:sz w:val="18"/>
          <w:szCs w:val="18"/>
          <w:lang w:val="en-GB"/>
        </w:rPr>
        <w:t xml:space="preserve"> preconditions for the stabilis</w:t>
      </w:r>
      <w:r w:rsidRPr="003818C4">
        <w:rPr>
          <w:rFonts w:ascii="Arial" w:hAnsi="Arial" w:cs="Arial"/>
          <w:sz w:val="18"/>
          <w:szCs w:val="18"/>
          <w:lang w:val="en-GB"/>
        </w:rPr>
        <w:t>ation of the internal situation compared to 2015, and on the other hand</w:t>
      </w:r>
      <w:r w:rsidR="00113B4E" w:rsidRPr="003818C4">
        <w:rPr>
          <w:rFonts w:ascii="Arial" w:hAnsi="Arial" w:cs="Arial"/>
          <w:sz w:val="18"/>
          <w:szCs w:val="18"/>
          <w:lang w:val="en-GB"/>
        </w:rPr>
        <w:t>,</w:t>
      </w:r>
      <w:r w:rsidRPr="003818C4">
        <w:rPr>
          <w:rFonts w:ascii="Arial" w:hAnsi="Arial" w:cs="Arial"/>
          <w:sz w:val="18"/>
          <w:szCs w:val="18"/>
          <w:lang w:val="en-GB"/>
        </w:rPr>
        <w:t xml:space="preserve"> this consolidated the leverage of the development partners over the Moldovan Government in providing an internal agenda focused on the enforcement of the structural reforms, including those related to the Association Agreement. Consequently, on December 21 2016, the European Union resumed the direct budget support</w:t>
      </w:r>
      <w:r w:rsidR="00113B4E" w:rsidRPr="003818C4">
        <w:rPr>
          <w:rFonts w:ascii="Arial" w:hAnsi="Arial" w:cs="Arial"/>
          <w:sz w:val="18"/>
          <w:szCs w:val="18"/>
          <w:lang w:val="en-GB"/>
        </w:rPr>
        <w:t xml:space="preserve"> to</w:t>
      </w:r>
      <w:r w:rsidRPr="003818C4">
        <w:rPr>
          <w:rFonts w:ascii="Arial" w:hAnsi="Arial" w:cs="Arial"/>
          <w:sz w:val="18"/>
          <w:szCs w:val="18"/>
          <w:lang w:val="en-GB"/>
        </w:rPr>
        <w:t xml:space="preserve"> Moldova, transferring a tranche of EUR 45.3 million to the Government of Moldova for the implementation of 4 direct budget support program</w:t>
      </w:r>
      <w:r w:rsidR="00113B4E" w:rsidRPr="003818C4">
        <w:rPr>
          <w:rFonts w:ascii="Arial" w:hAnsi="Arial" w:cs="Arial"/>
          <w:sz w:val="18"/>
          <w:szCs w:val="18"/>
          <w:lang w:val="en-GB"/>
        </w:rPr>
        <w:t>me</w:t>
      </w:r>
      <w:r w:rsidRPr="003818C4">
        <w:rPr>
          <w:rFonts w:ascii="Arial" w:hAnsi="Arial" w:cs="Arial"/>
          <w:sz w:val="18"/>
          <w:szCs w:val="18"/>
          <w:lang w:val="en-GB"/>
        </w:rPr>
        <w:t xml:space="preserve">s, namely: economic support in the rural areas (ESRA), European neighbourhood program for agriculture and rural development (ENPARD), public finance policies’ reform and the reform in the area of vocational education and training. At the beginning of 2017, the European Commission announced the </w:t>
      </w:r>
      <w:r w:rsidR="00113B4E" w:rsidRPr="003818C4">
        <w:rPr>
          <w:rFonts w:ascii="Arial" w:hAnsi="Arial" w:cs="Arial"/>
          <w:sz w:val="18"/>
          <w:szCs w:val="18"/>
          <w:lang w:val="en-GB"/>
        </w:rPr>
        <w:t>launch</w:t>
      </w:r>
      <w:r w:rsidRPr="003818C4">
        <w:rPr>
          <w:rFonts w:ascii="Arial" w:hAnsi="Arial" w:cs="Arial"/>
          <w:sz w:val="18"/>
          <w:szCs w:val="18"/>
          <w:lang w:val="en-GB"/>
        </w:rPr>
        <w:t xml:space="preserve"> of a EUR 100 million macro-financial support program</w:t>
      </w:r>
      <w:r w:rsidR="00113B4E" w:rsidRPr="003818C4">
        <w:rPr>
          <w:rFonts w:ascii="Arial" w:hAnsi="Arial" w:cs="Arial"/>
          <w:sz w:val="18"/>
          <w:szCs w:val="18"/>
          <w:lang w:val="en-GB"/>
        </w:rPr>
        <w:t>me</w:t>
      </w:r>
      <w:r w:rsidRPr="003818C4">
        <w:rPr>
          <w:rFonts w:ascii="Arial" w:hAnsi="Arial" w:cs="Arial"/>
          <w:sz w:val="18"/>
          <w:szCs w:val="18"/>
          <w:lang w:val="en-GB"/>
        </w:rPr>
        <w:t xml:space="preserve"> to Moldova during 2017-2018, out of which EUR 40 million are offered as a grant.</w:t>
      </w:r>
    </w:p>
    <w:p w14:paraId="55AE4FF3" w14:textId="77777777" w:rsidR="00E30B6F" w:rsidRPr="003818C4" w:rsidRDefault="00E30B6F" w:rsidP="001164F1">
      <w:pPr>
        <w:spacing w:before="120" w:after="120" w:line="240" w:lineRule="auto"/>
        <w:rPr>
          <w:rFonts w:ascii="Arial" w:hAnsi="Arial" w:cs="Arial"/>
          <w:sz w:val="18"/>
          <w:szCs w:val="18"/>
          <w:lang w:val="en-GB"/>
        </w:rPr>
      </w:pPr>
      <w:r w:rsidRPr="003818C4">
        <w:rPr>
          <w:rFonts w:ascii="Arial" w:hAnsi="Arial" w:cs="Arial"/>
          <w:sz w:val="18"/>
          <w:szCs w:val="18"/>
          <w:lang w:val="en-GB"/>
        </w:rPr>
        <w:t>At the same time, we should refer to the anti-European rhetoric of the new President of Moldova, who has been promoting</w:t>
      </w:r>
      <w:r w:rsidR="00113B4E" w:rsidRPr="003818C4">
        <w:rPr>
          <w:rFonts w:ascii="Arial" w:hAnsi="Arial" w:cs="Arial"/>
          <w:sz w:val="18"/>
          <w:szCs w:val="18"/>
          <w:lang w:val="en-GB"/>
        </w:rPr>
        <w:t xml:space="preserve"> since his election</w:t>
      </w:r>
      <w:r w:rsidRPr="003818C4">
        <w:rPr>
          <w:rFonts w:ascii="Arial" w:hAnsi="Arial" w:cs="Arial"/>
          <w:sz w:val="18"/>
          <w:szCs w:val="18"/>
          <w:lang w:val="en-GB"/>
        </w:rPr>
        <w:t xml:space="preserve"> the idea of denunciation of the EU-Moldova Association Agreement. The promotion of such political statements by the President both inside and outside the country contra</w:t>
      </w:r>
      <w:r w:rsidR="00113B4E" w:rsidRPr="003818C4">
        <w:rPr>
          <w:rFonts w:ascii="Arial" w:hAnsi="Arial" w:cs="Arial"/>
          <w:sz w:val="18"/>
          <w:szCs w:val="18"/>
          <w:lang w:val="en-GB"/>
        </w:rPr>
        <w:t>dicts the national interests of</w:t>
      </w:r>
      <w:r w:rsidRPr="003818C4">
        <w:rPr>
          <w:rFonts w:ascii="Arial" w:hAnsi="Arial" w:cs="Arial"/>
          <w:sz w:val="18"/>
          <w:szCs w:val="18"/>
          <w:lang w:val="en-GB"/>
        </w:rPr>
        <w:t xml:space="preserve"> Moldova, contributes to the deepening of the division within the Moldovan society and promotes a false agenda. Moreover, such statements divert the public attention from the real systemic problems of </w:t>
      </w:r>
      <w:r w:rsidR="00113B4E" w:rsidRPr="003818C4">
        <w:rPr>
          <w:rFonts w:ascii="Arial" w:hAnsi="Arial" w:cs="Arial"/>
          <w:sz w:val="18"/>
          <w:szCs w:val="18"/>
          <w:lang w:val="en-GB"/>
        </w:rPr>
        <w:t>country, such as the politicis</w:t>
      </w:r>
      <w:r w:rsidRPr="003818C4">
        <w:rPr>
          <w:rFonts w:ascii="Arial" w:hAnsi="Arial" w:cs="Arial"/>
          <w:sz w:val="18"/>
          <w:szCs w:val="18"/>
          <w:lang w:val="en-GB"/>
        </w:rPr>
        <w:t>ing of the public institutions, systemic corruption, „rent-seeking” economy etc. It is thus worth mentioning that both the European Commi</w:t>
      </w:r>
      <w:r w:rsidR="00113B4E" w:rsidRPr="003818C4">
        <w:rPr>
          <w:rFonts w:ascii="Arial" w:hAnsi="Arial" w:cs="Arial"/>
          <w:sz w:val="18"/>
          <w:szCs w:val="18"/>
          <w:lang w:val="en-GB"/>
        </w:rPr>
        <w:t>ssion and the Government of</w:t>
      </w:r>
      <w:r w:rsidRPr="003818C4">
        <w:rPr>
          <w:rFonts w:ascii="Arial" w:hAnsi="Arial" w:cs="Arial"/>
          <w:sz w:val="18"/>
          <w:szCs w:val="18"/>
          <w:lang w:val="en-GB"/>
        </w:rPr>
        <w:t xml:space="preserve"> Moldova have repeatedly acknowledged that the implementation of the Association Agreement remains to be the prior concern of both the EU and of Moldova.</w:t>
      </w:r>
    </w:p>
    <w:p w14:paraId="27D12B48" w14:textId="77777777" w:rsidR="003818C4" w:rsidRPr="003818C4" w:rsidRDefault="003818C4" w:rsidP="001164F1">
      <w:pPr>
        <w:pStyle w:val="Heading3"/>
        <w:spacing w:before="120" w:after="120" w:line="240" w:lineRule="auto"/>
        <w:rPr>
          <w:rFonts w:ascii="Arial" w:hAnsi="Arial" w:cs="Arial"/>
          <w:bCs/>
          <w:noProof/>
          <w:color w:val="0B5294" w:themeColor="accent1" w:themeShade="BF"/>
          <w:sz w:val="18"/>
          <w:szCs w:val="18"/>
          <w:lang w:val="en-GB"/>
        </w:rPr>
      </w:pPr>
      <w:bookmarkStart w:id="5" w:name="_Toc478028655"/>
    </w:p>
    <w:p w14:paraId="1E763FDA" w14:textId="77777777" w:rsidR="003818C4" w:rsidRPr="003818C4" w:rsidRDefault="003818C4" w:rsidP="001164F1">
      <w:pPr>
        <w:pStyle w:val="Heading3"/>
        <w:spacing w:before="120" w:after="120" w:line="240" w:lineRule="auto"/>
        <w:rPr>
          <w:rFonts w:ascii="Arial" w:hAnsi="Arial" w:cs="Arial"/>
          <w:bCs/>
          <w:noProof/>
          <w:color w:val="0B5294" w:themeColor="accent1" w:themeShade="BF"/>
          <w:sz w:val="18"/>
          <w:szCs w:val="18"/>
          <w:lang w:val="en-GB"/>
        </w:rPr>
      </w:pPr>
    </w:p>
    <w:p w14:paraId="1B3DF638" w14:textId="77777777" w:rsidR="00E30B6F" w:rsidRPr="003818C4" w:rsidRDefault="00E30B6F" w:rsidP="001164F1">
      <w:pPr>
        <w:pStyle w:val="Heading3"/>
        <w:spacing w:before="120" w:after="120" w:line="240" w:lineRule="auto"/>
        <w:rPr>
          <w:rFonts w:ascii="Arial" w:hAnsi="Arial" w:cs="Arial"/>
          <w:bCs/>
          <w:noProof/>
          <w:color w:val="0B5294" w:themeColor="accent1" w:themeShade="BF"/>
          <w:sz w:val="18"/>
          <w:szCs w:val="18"/>
          <w:lang w:val="en-GB"/>
        </w:rPr>
      </w:pPr>
      <w:r w:rsidRPr="003818C4">
        <w:rPr>
          <w:rFonts w:ascii="Arial" w:hAnsi="Arial" w:cs="Arial"/>
          <w:bCs/>
          <w:noProof/>
          <w:color w:val="0B5294" w:themeColor="accent1" w:themeShade="BF"/>
          <w:sz w:val="18"/>
          <w:szCs w:val="18"/>
          <w:lang w:val="en-GB"/>
        </w:rPr>
        <w:lastRenderedPageBreak/>
        <w:t>The general rate of the Association Agreement implementation – 63.1%</w:t>
      </w:r>
      <w:bookmarkEnd w:id="2"/>
      <w:bookmarkEnd w:id="3"/>
      <w:bookmarkEnd w:id="5"/>
    </w:p>
    <w:p w14:paraId="331B8D20" w14:textId="77777777" w:rsidR="00E30B6F" w:rsidRPr="003818C4" w:rsidRDefault="00E30B6F" w:rsidP="001164F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Style w:val="NoneA"/>
          <w:rFonts w:ascii="Arial" w:hAnsi="Arial" w:cs="Arial"/>
          <w:sz w:val="18"/>
          <w:szCs w:val="18"/>
          <w:lang w:val="en-GB"/>
        </w:rPr>
      </w:pPr>
      <w:r w:rsidRPr="003818C4">
        <w:rPr>
          <w:rFonts w:ascii="Arial" w:hAnsi="Arial" w:cs="Arial"/>
          <w:bCs/>
          <w:noProof/>
          <w:sz w:val="18"/>
          <w:szCs w:val="18"/>
        </w:rPr>
        <w:drawing>
          <wp:anchor distT="0" distB="0" distL="114300" distR="114300" simplePos="0" relativeHeight="251668480" behindDoc="0" locked="0" layoutInCell="1" allowOverlap="1" wp14:anchorId="0505663C" wp14:editId="3B2FC904">
            <wp:simplePos x="0" y="0"/>
            <wp:positionH relativeFrom="column">
              <wp:posOffset>3133090</wp:posOffset>
            </wp:positionH>
            <wp:positionV relativeFrom="paragraph">
              <wp:posOffset>106045</wp:posOffset>
            </wp:positionV>
            <wp:extent cx="2350135" cy="2070100"/>
            <wp:effectExtent l="19050" t="0" r="12065" b="6350"/>
            <wp:wrapThrough wrapText="bothSides">
              <wp:wrapPolygon edited="0">
                <wp:start x="-175" y="0"/>
                <wp:lineTo x="-175" y="21666"/>
                <wp:lineTo x="21711" y="21666"/>
                <wp:lineTo x="21711" y="0"/>
                <wp:lineTo x="-175" y="0"/>
              </wp:wrapPolygon>
            </wp:wrapThrough>
            <wp:docPr id="4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Pr="003818C4">
        <w:rPr>
          <w:rFonts w:ascii="Arial" w:hAnsi="Arial" w:cs="Arial"/>
          <w:bCs/>
          <w:noProof/>
          <w:sz w:val="18"/>
          <w:szCs w:val="18"/>
          <w:lang w:val="en-GB"/>
        </w:rPr>
        <w:t>Out of</w:t>
      </w:r>
      <w:r w:rsidRPr="003818C4">
        <w:rPr>
          <w:rFonts w:ascii="Arial" w:hAnsi="Arial" w:cs="Arial"/>
          <w:sz w:val="18"/>
          <w:szCs w:val="18"/>
          <w:lang w:val="en-GB"/>
        </w:rPr>
        <w:t xml:space="preserve"> </w:t>
      </w:r>
      <w:r w:rsidR="00113B4E" w:rsidRPr="003818C4">
        <w:rPr>
          <w:rFonts w:ascii="Arial" w:hAnsi="Arial" w:cs="Arial"/>
          <w:sz w:val="18"/>
          <w:szCs w:val="18"/>
          <w:lang w:val="en-GB"/>
        </w:rPr>
        <w:t xml:space="preserve">evaluated </w:t>
      </w:r>
      <w:r w:rsidRPr="003818C4">
        <w:rPr>
          <w:rFonts w:ascii="Arial" w:hAnsi="Arial" w:cs="Arial"/>
          <w:sz w:val="18"/>
          <w:szCs w:val="18"/>
          <w:lang w:val="en-GB"/>
        </w:rPr>
        <w:t xml:space="preserve">1784 measures from the NAPIAA (2014-2016), the authors of the Report concluded that </w:t>
      </w:r>
      <w:r w:rsidRPr="003818C4">
        <w:rPr>
          <w:rStyle w:val="NoneA"/>
          <w:rFonts w:ascii="Arial" w:hAnsi="Arial" w:cs="Arial"/>
          <w:b/>
          <w:bCs/>
          <w:sz w:val="18"/>
          <w:szCs w:val="18"/>
          <w:lang w:val="en-GB"/>
        </w:rPr>
        <w:t>1126 measures were accomplished</w:t>
      </w:r>
      <w:r w:rsidRPr="003818C4">
        <w:rPr>
          <w:rFonts w:ascii="Arial" w:hAnsi="Arial" w:cs="Arial"/>
          <w:sz w:val="18"/>
          <w:szCs w:val="18"/>
          <w:lang w:val="en-GB"/>
        </w:rPr>
        <w:t xml:space="preserve">. At the same time, </w:t>
      </w:r>
      <w:r w:rsidRPr="003818C4">
        <w:rPr>
          <w:rStyle w:val="NoneA"/>
          <w:rFonts w:ascii="Arial" w:hAnsi="Arial" w:cs="Arial"/>
          <w:bCs/>
          <w:sz w:val="18"/>
          <w:szCs w:val="18"/>
          <w:lang w:val="en-GB"/>
        </w:rPr>
        <w:t xml:space="preserve">353 measures were partly accomplished </w:t>
      </w:r>
      <w:r w:rsidRPr="003818C4">
        <w:rPr>
          <w:rFonts w:ascii="Arial" w:hAnsi="Arial" w:cs="Arial"/>
          <w:sz w:val="18"/>
          <w:szCs w:val="18"/>
          <w:lang w:val="en-GB"/>
        </w:rPr>
        <w:t xml:space="preserve">and </w:t>
      </w:r>
      <w:r w:rsidRPr="003818C4">
        <w:rPr>
          <w:rStyle w:val="NoneA"/>
          <w:rFonts w:ascii="Arial" w:hAnsi="Arial" w:cs="Arial"/>
          <w:bCs/>
          <w:sz w:val="18"/>
          <w:szCs w:val="18"/>
          <w:lang w:val="en-GB"/>
        </w:rPr>
        <w:t>305 were not accomplished during the reference period</w:t>
      </w:r>
      <w:r w:rsidRPr="003818C4">
        <w:rPr>
          <w:rStyle w:val="NoneA"/>
          <w:rFonts w:ascii="Arial" w:hAnsi="Arial" w:cs="Arial"/>
          <w:sz w:val="18"/>
          <w:szCs w:val="18"/>
          <w:lang w:val="en-GB"/>
        </w:rPr>
        <w:t>.</w:t>
      </w:r>
      <w:r w:rsidRPr="003818C4">
        <w:rPr>
          <w:rFonts w:ascii="Arial" w:hAnsi="Arial" w:cs="Arial"/>
          <w:sz w:val="18"/>
          <w:szCs w:val="18"/>
          <w:lang w:val="en-GB"/>
        </w:rPr>
        <w:t xml:space="preserve"> Thus, </w:t>
      </w:r>
      <w:r w:rsidRPr="003818C4">
        <w:rPr>
          <w:rStyle w:val="NoneA"/>
          <w:rFonts w:ascii="Arial" w:hAnsi="Arial" w:cs="Arial"/>
          <w:b/>
          <w:bCs/>
          <w:sz w:val="18"/>
          <w:szCs w:val="18"/>
          <w:lang w:val="en-GB"/>
        </w:rPr>
        <w:t>the general rate of accomplishment of the NAPIAA at the date of 31 December 2016 represents 63.1%.</w:t>
      </w:r>
      <w:r w:rsidRPr="003818C4">
        <w:rPr>
          <w:rStyle w:val="NoneA"/>
          <w:rFonts w:ascii="Arial" w:hAnsi="Arial" w:cs="Arial"/>
          <w:bCs/>
          <w:sz w:val="18"/>
          <w:szCs w:val="18"/>
          <w:lang w:val="en-GB"/>
        </w:rPr>
        <w:t xml:space="preserve"> Comparing this rate with the data from the last monitoring report by IPRE, which recorded a general rate of the NAPIAA accomplishment of 29.1% on June 30 2016, we conclude that in the 2-nd semester of 2016 the Government succeeded in almost doubling the implementation performance. </w:t>
      </w:r>
    </w:p>
    <w:p w14:paraId="4301C2BE" w14:textId="77777777" w:rsidR="00E30B6F" w:rsidRPr="003818C4" w:rsidRDefault="00E30B6F" w:rsidP="001164F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Style w:val="NoneA"/>
          <w:rFonts w:ascii="Arial" w:eastAsia="Verdana" w:hAnsi="Arial" w:cs="Arial"/>
          <w:sz w:val="18"/>
          <w:szCs w:val="18"/>
          <w:lang w:val="en-GB"/>
        </w:rPr>
      </w:pPr>
      <w:bookmarkStart w:id="6" w:name="_Toc477637249"/>
      <w:r w:rsidRPr="003818C4">
        <w:rPr>
          <w:rFonts w:ascii="Arial" w:hAnsi="Arial" w:cs="Arial"/>
          <w:bCs/>
          <w:noProof/>
          <w:sz w:val="18"/>
          <w:szCs w:val="18"/>
        </w:rPr>
        <w:drawing>
          <wp:anchor distT="0" distB="0" distL="114300" distR="114300" simplePos="0" relativeHeight="251670528" behindDoc="0" locked="0" layoutInCell="1" allowOverlap="1" wp14:anchorId="333F614A" wp14:editId="44D24489">
            <wp:simplePos x="0" y="0"/>
            <wp:positionH relativeFrom="column">
              <wp:posOffset>29723</wp:posOffset>
            </wp:positionH>
            <wp:positionV relativeFrom="paragraph">
              <wp:posOffset>1028403</wp:posOffset>
            </wp:positionV>
            <wp:extent cx="5507355" cy="2199640"/>
            <wp:effectExtent l="19050" t="0" r="17145" b="0"/>
            <wp:wrapThrough wrapText="bothSides">
              <wp:wrapPolygon edited="0">
                <wp:start x="-75" y="0"/>
                <wp:lineTo x="-75" y="21513"/>
                <wp:lineTo x="21667" y="21513"/>
                <wp:lineTo x="21667" y="0"/>
                <wp:lineTo x="-75" y="0"/>
              </wp:wrapPolygon>
            </wp:wrapThrough>
            <wp:docPr id="4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bookmarkEnd w:id="6"/>
      <w:r w:rsidRPr="003818C4">
        <w:rPr>
          <w:rFonts w:ascii="Arial" w:eastAsia="Verdana" w:hAnsi="Arial" w:cs="Arial"/>
          <w:sz w:val="18"/>
          <w:szCs w:val="18"/>
          <w:lang w:val="en-GB"/>
        </w:rPr>
        <w:t>At the same time, the highest rate of accomplishment was recorded for Title III (Justice, Freedom and Security) and Title II (Political Dialogue and Reforms), 83.22% and 74.26%</w:t>
      </w:r>
      <w:r w:rsidR="00E45197" w:rsidRPr="003818C4">
        <w:rPr>
          <w:rFonts w:ascii="Arial" w:eastAsia="Verdana" w:hAnsi="Arial" w:cs="Arial"/>
          <w:sz w:val="18"/>
          <w:szCs w:val="18"/>
          <w:lang w:val="en-GB"/>
        </w:rPr>
        <w:t xml:space="preserve"> respectively</w:t>
      </w:r>
      <w:r w:rsidRPr="003818C4">
        <w:rPr>
          <w:rFonts w:ascii="Arial" w:eastAsia="Verdana" w:hAnsi="Arial" w:cs="Arial"/>
          <w:sz w:val="18"/>
          <w:szCs w:val="18"/>
          <w:lang w:val="en-GB"/>
        </w:rPr>
        <w:t>. The implementation rate of the other Titles (IV-VI) varies between 60% and 64%, the lowest rate of accompl</w:t>
      </w:r>
      <w:r w:rsidR="00E45197" w:rsidRPr="003818C4">
        <w:rPr>
          <w:rFonts w:ascii="Arial" w:eastAsia="Verdana" w:hAnsi="Arial" w:cs="Arial"/>
          <w:sz w:val="18"/>
          <w:szCs w:val="18"/>
          <w:lang w:val="en-GB"/>
        </w:rPr>
        <w:t>ishment being registered for</w:t>
      </w:r>
      <w:r w:rsidRPr="003818C4">
        <w:rPr>
          <w:rFonts w:ascii="Arial" w:eastAsia="Verdana" w:hAnsi="Arial" w:cs="Arial"/>
          <w:sz w:val="18"/>
          <w:szCs w:val="18"/>
          <w:lang w:val="en-GB"/>
        </w:rPr>
        <w:t xml:space="preserve"> Title V (Trade aspects), which is mainly due to the delays related to the implementation of the relevant normative framework.</w:t>
      </w:r>
    </w:p>
    <w:p w14:paraId="3598BCC1" w14:textId="77777777" w:rsidR="00E30B6F" w:rsidRPr="003818C4" w:rsidRDefault="00E30B6F" w:rsidP="001164F1">
      <w:pPr>
        <w:pStyle w:val="Heading3"/>
        <w:spacing w:before="120" w:after="120" w:line="240" w:lineRule="auto"/>
        <w:rPr>
          <w:rFonts w:ascii="Arial" w:hAnsi="Arial" w:cs="Arial"/>
          <w:bCs/>
          <w:noProof/>
          <w:color w:val="0B5294" w:themeColor="accent1" w:themeShade="BF"/>
          <w:sz w:val="18"/>
          <w:szCs w:val="18"/>
          <w:lang w:val="en-GB"/>
        </w:rPr>
      </w:pPr>
      <w:bookmarkStart w:id="7" w:name="_Toc478028656"/>
      <w:r w:rsidRPr="003818C4">
        <w:rPr>
          <w:rFonts w:ascii="Arial" w:hAnsi="Arial" w:cs="Arial"/>
          <w:bCs/>
          <w:noProof/>
          <w:color w:val="0B5294" w:themeColor="accent1" w:themeShade="BF"/>
          <w:sz w:val="18"/>
          <w:szCs w:val="18"/>
          <w:lang w:val="en-GB"/>
        </w:rPr>
        <w:t>Overview of the overall assessment</w:t>
      </w:r>
      <w:bookmarkEnd w:id="7"/>
      <w:r w:rsidRPr="003818C4">
        <w:rPr>
          <w:rFonts w:ascii="Arial" w:hAnsi="Arial" w:cs="Arial"/>
          <w:bCs/>
          <w:noProof/>
          <w:color w:val="0B5294" w:themeColor="accent1" w:themeShade="BF"/>
          <w:sz w:val="18"/>
          <w:szCs w:val="18"/>
          <w:lang w:val="en-GB"/>
        </w:rPr>
        <w:t xml:space="preserve">  </w:t>
      </w:r>
    </w:p>
    <w:p w14:paraId="3F8E07C3" w14:textId="77777777" w:rsidR="00E30B6F" w:rsidRPr="003818C4" w:rsidRDefault="00E30B6F" w:rsidP="001164F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Style w:val="NoneA"/>
          <w:rFonts w:ascii="Arial" w:hAnsi="Arial" w:cs="Arial"/>
          <w:bCs/>
          <w:sz w:val="18"/>
          <w:szCs w:val="18"/>
          <w:lang w:val="en-GB"/>
        </w:rPr>
      </w:pPr>
      <w:r w:rsidRPr="003818C4">
        <w:rPr>
          <w:rStyle w:val="NoneA"/>
          <w:rFonts w:ascii="Arial" w:hAnsi="Arial" w:cs="Arial"/>
          <w:bCs/>
          <w:sz w:val="18"/>
          <w:szCs w:val="18"/>
          <w:lang w:val="en-GB"/>
        </w:rPr>
        <w:t xml:space="preserve">The majority </w:t>
      </w:r>
      <w:r w:rsidR="00E45197" w:rsidRPr="003818C4">
        <w:rPr>
          <w:rStyle w:val="NoneA"/>
          <w:rFonts w:ascii="Arial" w:hAnsi="Arial" w:cs="Arial"/>
          <w:bCs/>
          <w:sz w:val="18"/>
          <w:szCs w:val="18"/>
          <w:lang w:val="en-GB"/>
        </w:rPr>
        <w:t>of activities accomplished during</w:t>
      </w:r>
      <w:r w:rsidRPr="003818C4">
        <w:rPr>
          <w:rStyle w:val="NoneA"/>
          <w:rFonts w:ascii="Arial" w:hAnsi="Arial" w:cs="Arial"/>
          <w:bCs/>
          <w:sz w:val="18"/>
          <w:szCs w:val="18"/>
          <w:lang w:val="en-GB"/>
        </w:rPr>
        <w:t xml:space="preserve"> 2014-2016 were of </w:t>
      </w:r>
      <w:r w:rsidR="00E45197" w:rsidRPr="003818C4">
        <w:rPr>
          <w:rStyle w:val="NoneA"/>
          <w:rFonts w:ascii="Arial" w:hAnsi="Arial" w:cs="Arial"/>
          <w:bCs/>
          <w:sz w:val="18"/>
          <w:szCs w:val="18"/>
          <w:lang w:val="en-GB"/>
        </w:rPr>
        <w:t xml:space="preserve">a </w:t>
      </w:r>
      <w:r w:rsidRPr="003818C4">
        <w:rPr>
          <w:rStyle w:val="NoneA"/>
          <w:rFonts w:ascii="Arial" w:hAnsi="Arial" w:cs="Arial"/>
          <w:bCs/>
          <w:sz w:val="18"/>
          <w:szCs w:val="18"/>
          <w:lang w:val="en-GB"/>
        </w:rPr>
        <w:t xml:space="preserve">legislative nature. A series of reforms adopted during the reference period were implemented either with delays or </w:t>
      </w:r>
      <w:r w:rsidR="00E45197" w:rsidRPr="003818C4">
        <w:rPr>
          <w:rStyle w:val="NoneA"/>
          <w:rFonts w:ascii="Arial" w:hAnsi="Arial" w:cs="Arial"/>
          <w:bCs/>
          <w:sz w:val="18"/>
          <w:szCs w:val="18"/>
          <w:lang w:val="en-GB"/>
        </w:rPr>
        <w:t>partially</w:t>
      </w:r>
      <w:r w:rsidRPr="003818C4">
        <w:rPr>
          <w:rStyle w:val="NoneA"/>
          <w:rFonts w:ascii="Arial" w:hAnsi="Arial" w:cs="Arial"/>
          <w:bCs/>
          <w:sz w:val="18"/>
          <w:szCs w:val="18"/>
          <w:lang w:val="en-GB"/>
        </w:rPr>
        <w:t xml:space="preserve">. Moreover, certain enforcement activities accomplished by the authorities, especially at the end 2016 (new amendments or </w:t>
      </w:r>
      <w:r w:rsidR="00E45197" w:rsidRPr="003818C4">
        <w:rPr>
          <w:rStyle w:val="NoneA"/>
          <w:rFonts w:ascii="Arial" w:hAnsi="Arial" w:cs="Arial"/>
          <w:bCs/>
          <w:sz w:val="18"/>
          <w:szCs w:val="18"/>
          <w:lang w:val="en-GB"/>
        </w:rPr>
        <w:t>vicious</w:t>
      </w:r>
      <w:r w:rsidRPr="003818C4">
        <w:rPr>
          <w:rStyle w:val="NoneA"/>
          <w:rFonts w:ascii="Arial" w:hAnsi="Arial" w:cs="Arial"/>
          <w:bCs/>
          <w:sz w:val="18"/>
          <w:szCs w:val="18"/>
          <w:lang w:val="en-GB"/>
        </w:rPr>
        <w:t xml:space="preserve"> implementation), were against the spirit of the new</w:t>
      </w:r>
      <w:r w:rsidR="00E45197" w:rsidRPr="003818C4">
        <w:rPr>
          <w:rStyle w:val="NoneA"/>
          <w:rFonts w:ascii="Arial" w:hAnsi="Arial" w:cs="Arial"/>
          <w:bCs/>
          <w:sz w:val="18"/>
          <w:szCs w:val="18"/>
          <w:lang w:val="en-GB"/>
        </w:rPr>
        <w:t>ly</w:t>
      </w:r>
      <w:r w:rsidRPr="003818C4">
        <w:rPr>
          <w:rStyle w:val="NoneA"/>
          <w:rFonts w:ascii="Arial" w:hAnsi="Arial" w:cs="Arial"/>
          <w:bCs/>
          <w:sz w:val="18"/>
          <w:szCs w:val="18"/>
          <w:lang w:val="en-GB"/>
        </w:rPr>
        <w:t xml:space="preserve"> </w:t>
      </w:r>
      <w:r w:rsidR="00E45197" w:rsidRPr="003818C4">
        <w:rPr>
          <w:rStyle w:val="NoneA"/>
          <w:rFonts w:ascii="Arial" w:hAnsi="Arial" w:cs="Arial"/>
          <w:bCs/>
          <w:sz w:val="18"/>
          <w:szCs w:val="18"/>
          <w:lang w:val="en-GB"/>
        </w:rPr>
        <w:t xml:space="preserve">adopted </w:t>
      </w:r>
      <w:r w:rsidRPr="003818C4">
        <w:rPr>
          <w:rStyle w:val="NoneA"/>
          <w:rFonts w:ascii="Arial" w:hAnsi="Arial" w:cs="Arial"/>
          <w:bCs/>
          <w:sz w:val="18"/>
          <w:szCs w:val="18"/>
          <w:lang w:val="en-GB"/>
        </w:rPr>
        <w:t>legislative framework. At the end of 2016, a quantitative progress of legislative nature in the area of political reforms, human rights, justice and anti-corruption</w:t>
      </w:r>
      <w:r w:rsidR="00E45197" w:rsidRPr="003818C4">
        <w:rPr>
          <w:rStyle w:val="NoneA"/>
          <w:rFonts w:ascii="Arial" w:hAnsi="Arial" w:cs="Arial"/>
          <w:bCs/>
          <w:sz w:val="18"/>
          <w:szCs w:val="18"/>
          <w:lang w:val="en-GB"/>
        </w:rPr>
        <w:t xml:space="preserve"> was registered</w:t>
      </w:r>
      <w:r w:rsidRPr="003818C4">
        <w:rPr>
          <w:rStyle w:val="NoneA"/>
          <w:rFonts w:ascii="Arial" w:hAnsi="Arial" w:cs="Arial"/>
          <w:bCs/>
          <w:sz w:val="18"/>
          <w:szCs w:val="18"/>
          <w:lang w:val="en-GB"/>
        </w:rPr>
        <w:t xml:space="preserve"> (Titles II and III).</w:t>
      </w:r>
      <w:r w:rsidR="00E45197" w:rsidRPr="003818C4">
        <w:rPr>
          <w:rStyle w:val="NoneA"/>
          <w:rFonts w:ascii="Arial" w:hAnsi="Arial" w:cs="Arial"/>
          <w:bCs/>
          <w:sz w:val="18"/>
          <w:szCs w:val="18"/>
          <w:lang w:val="en-GB"/>
        </w:rPr>
        <w:t xml:space="preserve"> In the course of analysis of the</w:t>
      </w:r>
      <w:r w:rsidRPr="003818C4">
        <w:rPr>
          <w:rStyle w:val="NoneA"/>
          <w:rFonts w:ascii="Arial" w:hAnsi="Arial" w:cs="Arial"/>
          <w:bCs/>
          <w:sz w:val="18"/>
          <w:szCs w:val="18"/>
          <w:lang w:val="en-GB"/>
        </w:rPr>
        <w:t xml:space="preserve"> enforcement activities</w:t>
      </w:r>
      <w:r w:rsidR="00E45197" w:rsidRPr="003818C4">
        <w:rPr>
          <w:rStyle w:val="NoneA"/>
          <w:rFonts w:ascii="Arial" w:hAnsi="Arial" w:cs="Arial"/>
          <w:bCs/>
          <w:sz w:val="18"/>
          <w:szCs w:val="18"/>
          <w:lang w:val="en-GB"/>
        </w:rPr>
        <w:t xml:space="preserve"> framework</w:t>
      </w:r>
      <w:r w:rsidRPr="003818C4">
        <w:rPr>
          <w:rStyle w:val="NoneA"/>
          <w:rFonts w:ascii="Arial" w:hAnsi="Arial" w:cs="Arial"/>
          <w:bCs/>
          <w:sz w:val="18"/>
          <w:szCs w:val="18"/>
          <w:lang w:val="en-GB"/>
        </w:rPr>
        <w:t xml:space="preserve"> in these sectors, a series of deficiencies were noticed. </w:t>
      </w:r>
    </w:p>
    <w:p w14:paraId="33458853" w14:textId="397C47BE" w:rsidR="005F571F" w:rsidRPr="003818C4" w:rsidRDefault="00E30B6F" w:rsidP="001164F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Style w:val="NoneA"/>
          <w:rFonts w:ascii="Arial" w:hAnsi="Arial" w:cs="Arial"/>
          <w:bCs/>
          <w:sz w:val="18"/>
          <w:szCs w:val="18"/>
          <w:lang w:val="en-GB"/>
        </w:rPr>
      </w:pPr>
      <w:r w:rsidRPr="003818C4">
        <w:rPr>
          <w:rStyle w:val="NoneA"/>
          <w:rFonts w:ascii="Arial" w:hAnsi="Arial" w:cs="Arial"/>
          <w:bCs/>
          <w:sz w:val="18"/>
          <w:szCs w:val="18"/>
          <w:lang w:val="en-GB"/>
        </w:rPr>
        <w:t>In the context of the presidential elections held in autumn 2016, cases of political parties’ and campaigns’ financing through intermediaries, without tracing the final sources of financing</w:t>
      </w:r>
      <w:r w:rsidR="00E45197" w:rsidRPr="003818C4">
        <w:rPr>
          <w:rStyle w:val="NoneA"/>
          <w:rFonts w:ascii="Arial" w:hAnsi="Arial" w:cs="Arial"/>
          <w:bCs/>
          <w:sz w:val="18"/>
          <w:szCs w:val="18"/>
          <w:lang w:val="en-GB"/>
        </w:rPr>
        <w:t xml:space="preserve"> were registered</w:t>
      </w:r>
      <w:r w:rsidRPr="003818C4">
        <w:rPr>
          <w:rStyle w:val="NoneA"/>
          <w:rFonts w:ascii="Arial" w:hAnsi="Arial" w:cs="Arial"/>
          <w:bCs/>
          <w:sz w:val="18"/>
          <w:szCs w:val="18"/>
          <w:lang w:val="en-GB"/>
        </w:rPr>
        <w:t xml:space="preserve">, which </w:t>
      </w:r>
      <w:r w:rsidR="00E45197" w:rsidRPr="003818C4">
        <w:rPr>
          <w:rStyle w:val="NoneA"/>
          <w:rFonts w:ascii="Arial" w:hAnsi="Arial" w:cs="Arial"/>
          <w:bCs/>
          <w:sz w:val="18"/>
          <w:szCs w:val="18"/>
          <w:lang w:val="en-GB"/>
        </w:rPr>
        <w:t>run the risk of originating</w:t>
      </w:r>
      <w:r w:rsidRPr="003818C4">
        <w:rPr>
          <w:rStyle w:val="NoneA"/>
          <w:rFonts w:ascii="Arial" w:hAnsi="Arial" w:cs="Arial"/>
          <w:bCs/>
          <w:sz w:val="18"/>
          <w:szCs w:val="18"/>
          <w:lang w:val="en-GB"/>
        </w:rPr>
        <w:t xml:space="preserve"> from off-shore jurisdictions.</w:t>
      </w:r>
      <w:r w:rsidRPr="003818C4">
        <w:rPr>
          <w:rStyle w:val="NoneA"/>
          <w:rFonts w:ascii="Arial" w:eastAsia="Verdana" w:hAnsi="Arial" w:cs="Arial"/>
          <w:sz w:val="18"/>
          <w:szCs w:val="18"/>
          <w:lang w:val="en-GB"/>
        </w:rPr>
        <w:t xml:space="preserve"> </w:t>
      </w:r>
      <w:r w:rsidR="00E45197" w:rsidRPr="003818C4">
        <w:rPr>
          <w:rStyle w:val="NoneA"/>
          <w:rFonts w:ascii="Arial" w:hAnsi="Arial" w:cs="Arial"/>
          <w:bCs/>
          <w:sz w:val="18"/>
          <w:szCs w:val="18"/>
          <w:lang w:val="en-GB"/>
        </w:rPr>
        <w:t>There are delays in finalis</w:t>
      </w:r>
      <w:r w:rsidRPr="003818C4">
        <w:rPr>
          <w:rStyle w:val="NoneA"/>
          <w:rFonts w:ascii="Arial" w:hAnsi="Arial" w:cs="Arial"/>
          <w:bCs/>
          <w:sz w:val="18"/>
          <w:szCs w:val="18"/>
          <w:lang w:val="en-GB"/>
        </w:rPr>
        <w:t xml:space="preserve">ing the justice sector reform, the accomplishment of the Justice Sector Reform Strategy </w:t>
      </w:r>
      <w:r w:rsidRPr="003818C4">
        <w:rPr>
          <w:rFonts w:ascii="Arial" w:eastAsia="Verdana" w:hAnsi="Arial" w:cs="Arial"/>
          <w:sz w:val="18"/>
          <w:szCs w:val="18"/>
          <w:lang w:val="en-GB"/>
        </w:rPr>
        <w:t xml:space="preserve">2011-2016 being extended. Regardless of the fact that a new legal framework was promoted envisaging the reorganization of the judicial Courts, this law was modified six months after its implementation and its enforcement of certain provisions was postponed. The reform providing for the revision of the procedure </w:t>
      </w:r>
      <w:r w:rsidR="00E45197" w:rsidRPr="003818C4">
        <w:rPr>
          <w:rFonts w:ascii="Arial" w:eastAsia="Verdana" w:hAnsi="Arial" w:cs="Arial"/>
          <w:sz w:val="18"/>
          <w:szCs w:val="18"/>
          <w:lang w:val="en-GB"/>
        </w:rPr>
        <w:t>of</w:t>
      </w:r>
      <w:r w:rsidRPr="003818C4">
        <w:rPr>
          <w:rFonts w:ascii="Arial" w:eastAsia="Verdana" w:hAnsi="Arial" w:cs="Arial"/>
          <w:sz w:val="18"/>
          <w:szCs w:val="18"/>
          <w:lang w:val="en-GB"/>
        </w:rPr>
        <w:t xml:space="preserve"> </w:t>
      </w:r>
      <w:r w:rsidR="00E45197" w:rsidRPr="003818C4">
        <w:rPr>
          <w:rFonts w:ascii="Arial" w:eastAsia="Verdana" w:hAnsi="Arial" w:cs="Arial"/>
          <w:sz w:val="18"/>
          <w:szCs w:val="18"/>
          <w:lang w:val="en-GB"/>
        </w:rPr>
        <w:t>appointment</w:t>
      </w:r>
      <w:r w:rsidRPr="003818C4">
        <w:rPr>
          <w:rFonts w:ascii="Arial" w:eastAsia="Verdana" w:hAnsi="Arial" w:cs="Arial"/>
          <w:sz w:val="18"/>
          <w:szCs w:val="18"/>
          <w:lang w:val="en-GB"/>
        </w:rPr>
        <w:t xml:space="preserve"> of judges was not finalized.</w:t>
      </w:r>
      <w:r w:rsidR="00E45197" w:rsidRPr="003818C4">
        <w:rPr>
          <w:rFonts w:ascii="Arial" w:eastAsia="Verdana" w:hAnsi="Arial" w:cs="Arial"/>
          <w:sz w:val="18"/>
          <w:szCs w:val="18"/>
          <w:lang w:val="en-GB"/>
        </w:rPr>
        <w:t xml:space="preserve"> A</w:t>
      </w:r>
      <w:r w:rsidRPr="003818C4">
        <w:rPr>
          <w:rFonts w:ascii="Arial" w:eastAsia="Verdana" w:hAnsi="Arial" w:cs="Arial"/>
          <w:sz w:val="18"/>
          <w:szCs w:val="18"/>
          <w:lang w:val="en-GB"/>
        </w:rPr>
        <w:t xml:space="preserve"> series of cases during the reference period</w:t>
      </w:r>
      <w:r w:rsidR="00E45197" w:rsidRPr="003818C4">
        <w:rPr>
          <w:rFonts w:ascii="Arial" w:eastAsia="Verdana" w:hAnsi="Arial" w:cs="Arial"/>
          <w:sz w:val="18"/>
          <w:szCs w:val="18"/>
          <w:lang w:val="en-GB"/>
        </w:rPr>
        <w:t xml:space="preserve"> were noted, which </w:t>
      </w:r>
      <w:r w:rsidRPr="003818C4">
        <w:rPr>
          <w:rFonts w:ascii="Arial" w:eastAsia="Verdana" w:hAnsi="Arial" w:cs="Arial"/>
          <w:sz w:val="18"/>
          <w:szCs w:val="18"/>
          <w:lang w:val="en-GB"/>
        </w:rPr>
        <w:t>prove</w:t>
      </w:r>
      <w:r w:rsidR="00E45197" w:rsidRPr="003818C4">
        <w:rPr>
          <w:rFonts w:ascii="Arial" w:eastAsia="Verdana" w:hAnsi="Arial" w:cs="Arial"/>
          <w:sz w:val="18"/>
          <w:szCs w:val="18"/>
          <w:lang w:val="en-GB"/>
        </w:rPr>
        <w:t xml:space="preserve"> existence of </w:t>
      </w:r>
      <w:r w:rsidRPr="003818C4">
        <w:rPr>
          <w:rFonts w:ascii="Arial" w:eastAsia="Verdana" w:hAnsi="Arial" w:cs="Arial"/>
          <w:sz w:val="18"/>
          <w:szCs w:val="18"/>
          <w:lang w:val="en-GB"/>
        </w:rPr>
        <w:t>deficiencies in the process of</w:t>
      </w:r>
      <w:r w:rsidR="00E45197" w:rsidRPr="003818C4">
        <w:rPr>
          <w:rFonts w:ascii="Arial" w:eastAsia="Verdana" w:hAnsi="Arial" w:cs="Arial"/>
          <w:sz w:val="18"/>
          <w:szCs w:val="18"/>
          <w:lang w:val="en-GB"/>
        </w:rPr>
        <w:t xml:space="preserve"> selection and promotion of</w:t>
      </w:r>
      <w:r w:rsidRPr="003818C4">
        <w:rPr>
          <w:rFonts w:ascii="Arial" w:eastAsia="Verdana" w:hAnsi="Arial" w:cs="Arial"/>
          <w:sz w:val="18"/>
          <w:szCs w:val="18"/>
          <w:lang w:val="en-GB"/>
        </w:rPr>
        <w:t xml:space="preserve"> judges. Although a new law on prosecution was adopted, its transitory provisions significantly affected the general purpose of the law, namely in its part related</w:t>
      </w:r>
      <w:r w:rsidR="00E45197" w:rsidRPr="003818C4">
        <w:rPr>
          <w:rFonts w:ascii="Arial" w:eastAsia="Verdana" w:hAnsi="Arial" w:cs="Arial"/>
          <w:sz w:val="18"/>
          <w:szCs w:val="18"/>
          <w:lang w:val="en-GB"/>
        </w:rPr>
        <w:t xml:space="preserve"> to the procedures of appointment of</w:t>
      </w:r>
      <w:r w:rsidRPr="003818C4">
        <w:rPr>
          <w:rFonts w:ascii="Arial" w:eastAsia="Verdana" w:hAnsi="Arial" w:cs="Arial"/>
          <w:sz w:val="18"/>
          <w:szCs w:val="18"/>
          <w:lang w:val="en-GB"/>
        </w:rPr>
        <w:t xml:space="preserve"> the prosecutor general. </w:t>
      </w:r>
      <w:r w:rsidR="00E45197" w:rsidRPr="003818C4">
        <w:rPr>
          <w:rStyle w:val="NoneA"/>
          <w:rFonts w:ascii="Arial" w:hAnsi="Arial" w:cs="Arial"/>
          <w:bCs/>
          <w:sz w:val="18"/>
          <w:szCs w:val="18"/>
          <w:lang w:val="en-GB"/>
        </w:rPr>
        <w:t>L</w:t>
      </w:r>
      <w:r w:rsidRPr="003818C4">
        <w:rPr>
          <w:rStyle w:val="NoneA"/>
          <w:rFonts w:ascii="Arial" w:hAnsi="Arial" w:cs="Arial"/>
          <w:bCs/>
          <w:sz w:val="18"/>
          <w:szCs w:val="18"/>
          <w:lang w:val="en-GB"/>
        </w:rPr>
        <w:t>ast but not the least, the legislative initiative launched at the end of 2016</w:t>
      </w:r>
      <w:r w:rsidR="00E45197" w:rsidRPr="003818C4">
        <w:rPr>
          <w:rStyle w:val="NoneA"/>
          <w:rFonts w:ascii="Arial" w:hAnsi="Arial" w:cs="Arial"/>
          <w:bCs/>
          <w:sz w:val="18"/>
          <w:szCs w:val="18"/>
          <w:lang w:val="en-GB"/>
        </w:rPr>
        <w:t xml:space="preserve"> on the legalisation of capital and fiscal amnesty</w:t>
      </w:r>
      <w:r w:rsidRPr="003818C4">
        <w:rPr>
          <w:rStyle w:val="NoneA"/>
          <w:rFonts w:ascii="Arial" w:hAnsi="Arial" w:cs="Arial"/>
          <w:bCs/>
          <w:sz w:val="18"/>
          <w:szCs w:val="18"/>
          <w:lang w:val="en-GB"/>
        </w:rPr>
        <w:t xml:space="preserve"> set the precondition</w:t>
      </w:r>
      <w:r w:rsidR="00E45197" w:rsidRPr="003818C4">
        <w:rPr>
          <w:rStyle w:val="NoneA"/>
          <w:rFonts w:ascii="Arial" w:hAnsi="Arial" w:cs="Arial"/>
          <w:bCs/>
          <w:sz w:val="18"/>
          <w:szCs w:val="18"/>
          <w:lang w:val="en-GB"/>
        </w:rPr>
        <w:t>s for delayed enforcement of a</w:t>
      </w:r>
      <w:r w:rsidRPr="003818C4">
        <w:rPr>
          <w:rStyle w:val="NoneA"/>
          <w:rFonts w:ascii="Arial" w:hAnsi="Arial" w:cs="Arial"/>
          <w:bCs/>
          <w:sz w:val="18"/>
          <w:szCs w:val="18"/>
          <w:lang w:val="en-GB"/>
        </w:rPr>
        <w:t xml:space="preserve"> set of laws in the area of integrity. Following the prompt reaction on behalf of the civil society and of the development partners that draft law was withdrawn by its authors at the end of February 2017. </w:t>
      </w:r>
    </w:p>
    <w:p w14:paraId="0D8B99CB" w14:textId="77777777" w:rsidR="00E30B6F" w:rsidRPr="003818C4" w:rsidRDefault="00E45197" w:rsidP="001164F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Style w:val="NoneA"/>
          <w:rFonts w:ascii="Arial" w:eastAsia="Verdana" w:hAnsi="Arial" w:cs="Arial"/>
          <w:sz w:val="18"/>
          <w:szCs w:val="18"/>
          <w:lang w:val="en-GB"/>
        </w:rPr>
      </w:pPr>
      <w:r w:rsidRPr="003818C4">
        <w:rPr>
          <w:rFonts w:ascii="Arial" w:eastAsia="Verdana" w:hAnsi="Arial" w:cs="Arial"/>
          <w:sz w:val="18"/>
          <w:szCs w:val="18"/>
          <w:lang w:val="en-GB"/>
        </w:rPr>
        <w:t xml:space="preserve">In the area of </w:t>
      </w:r>
      <w:r w:rsidR="00E30B6F" w:rsidRPr="003818C4">
        <w:rPr>
          <w:rFonts w:ascii="Arial" w:eastAsia="Verdana" w:hAnsi="Arial" w:cs="Arial"/>
          <w:sz w:val="18"/>
          <w:szCs w:val="18"/>
          <w:lang w:val="en-GB"/>
        </w:rPr>
        <w:t>external policy and security, the Republic of Moldova and the European Union continued the cooperation in the framework of the Agreement between the European Union and Moldova</w:t>
      </w:r>
      <w:r w:rsidRPr="003818C4">
        <w:rPr>
          <w:rFonts w:ascii="Arial" w:eastAsia="Verdana" w:hAnsi="Arial" w:cs="Arial"/>
          <w:sz w:val="18"/>
          <w:szCs w:val="18"/>
          <w:lang w:val="en-GB"/>
        </w:rPr>
        <w:t>,</w:t>
      </w:r>
      <w:r w:rsidR="00E30B6F" w:rsidRPr="003818C4">
        <w:rPr>
          <w:rFonts w:ascii="Arial" w:eastAsia="Verdana" w:hAnsi="Arial" w:cs="Arial"/>
          <w:sz w:val="18"/>
          <w:szCs w:val="18"/>
          <w:lang w:val="en-GB"/>
        </w:rPr>
        <w:t xml:space="preserve"> establishing a framework for the participation of Moldova in European Union crisis management operations, delegating experts during the reference period in the framework of the EU Mission to Mali (starting with 2014) and in the </w:t>
      </w:r>
      <w:r w:rsidR="00E30B6F" w:rsidRPr="003818C4">
        <w:rPr>
          <w:rFonts w:ascii="Arial" w:eastAsia="Verdana" w:hAnsi="Arial" w:cs="Arial"/>
          <w:sz w:val="18"/>
          <w:szCs w:val="18"/>
          <w:lang w:val="en-GB"/>
        </w:rPr>
        <w:lastRenderedPageBreak/>
        <w:t>framework of the EU Military Advisory Mission to the Central African Republic EUMAM RCA (June 2015). Although there was considerable p</w:t>
      </w:r>
      <w:r w:rsidRPr="003818C4">
        <w:rPr>
          <w:rFonts w:ascii="Arial" w:eastAsia="Verdana" w:hAnsi="Arial" w:cs="Arial"/>
          <w:sz w:val="18"/>
          <w:szCs w:val="18"/>
          <w:lang w:val="en-GB"/>
        </w:rPr>
        <w:t>rogress in negotiating the EU-Moldova</w:t>
      </w:r>
      <w:r w:rsidR="00E30B6F" w:rsidRPr="003818C4">
        <w:rPr>
          <w:rFonts w:ascii="Arial" w:eastAsia="Verdana" w:hAnsi="Arial" w:cs="Arial"/>
          <w:sz w:val="18"/>
          <w:szCs w:val="18"/>
          <w:lang w:val="en-GB"/>
        </w:rPr>
        <w:t xml:space="preserve"> Agreement </w:t>
      </w:r>
      <w:r w:rsidRPr="003818C4">
        <w:rPr>
          <w:rFonts w:ascii="Arial" w:eastAsia="Verdana" w:hAnsi="Arial" w:cs="Arial"/>
          <w:sz w:val="18"/>
          <w:szCs w:val="18"/>
          <w:lang w:val="en-GB"/>
        </w:rPr>
        <w:t>on</w:t>
      </w:r>
      <w:r w:rsidR="00E30B6F" w:rsidRPr="003818C4">
        <w:rPr>
          <w:rFonts w:ascii="Arial" w:eastAsia="Verdana" w:hAnsi="Arial" w:cs="Arial"/>
          <w:sz w:val="18"/>
          <w:szCs w:val="18"/>
          <w:lang w:val="en-GB"/>
        </w:rPr>
        <w:t xml:space="preserve"> the security procedures for exchange of classified information, its signing is planned for 2017. </w:t>
      </w:r>
      <w:r w:rsidRPr="003818C4">
        <w:rPr>
          <w:rFonts w:ascii="Arial" w:eastAsia="Verdana" w:hAnsi="Arial" w:cs="Arial"/>
          <w:sz w:val="18"/>
          <w:szCs w:val="18"/>
          <w:lang w:val="en-GB"/>
        </w:rPr>
        <w:t>Moldova</w:t>
      </w:r>
      <w:r w:rsidR="00E30B6F" w:rsidRPr="003818C4">
        <w:rPr>
          <w:rFonts w:ascii="Arial" w:eastAsia="Verdana" w:hAnsi="Arial" w:cs="Arial"/>
          <w:sz w:val="18"/>
          <w:szCs w:val="18"/>
          <w:lang w:val="en-GB"/>
        </w:rPr>
        <w:t xml:space="preserve"> aligned in the reference period to the majority of the EU Declarations and Conclusions open for undersigning (in 2015 the rate of alignment was 75%, and in 2016 - 71%).</w:t>
      </w:r>
    </w:p>
    <w:p w14:paraId="3F97B8B8" w14:textId="77777777" w:rsidR="00E30B6F" w:rsidRPr="003818C4" w:rsidRDefault="00E30B6F" w:rsidP="001164F1">
      <w:pPr>
        <w:spacing w:before="120" w:after="120" w:line="240" w:lineRule="auto"/>
        <w:rPr>
          <w:rFonts w:ascii="Arial" w:eastAsia="Verdana" w:hAnsi="Arial" w:cs="Arial"/>
          <w:sz w:val="18"/>
          <w:szCs w:val="18"/>
          <w:lang w:val="en-GB"/>
        </w:rPr>
      </w:pPr>
      <w:r w:rsidRPr="003818C4">
        <w:rPr>
          <w:rFonts w:ascii="Arial" w:eastAsia="Verdana" w:hAnsi="Arial" w:cs="Arial"/>
          <w:sz w:val="18"/>
          <w:szCs w:val="18"/>
          <w:lang w:val="en-GB"/>
        </w:rPr>
        <w:t xml:space="preserve">The most relevant results related to </w:t>
      </w:r>
      <w:r w:rsidRPr="003818C4">
        <w:rPr>
          <w:rFonts w:ascii="Arial" w:eastAsia="Verdana" w:hAnsi="Arial" w:cs="Arial"/>
          <w:b/>
          <w:sz w:val="18"/>
          <w:szCs w:val="18"/>
          <w:lang w:val="en-GB"/>
        </w:rPr>
        <w:t>Title IV</w:t>
      </w:r>
      <w:r w:rsidRPr="003818C4">
        <w:rPr>
          <w:rFonts w:ascii="Arial" w:eastAsia="Verdana" w:hAnsi="Arial" w:cs="Arial"/>
          <w:sz w:val="18"/>
          <w:szCs w:val="18"/>
          <w:lang w:val="en-GB"/>
        </w:rPr>
        <w:t xml:space="preserve"> are recorded in the area of public administration reform, the strategy in this area was adopted and it implemen</w:t>
      </w:r>
      <w:r w:rsidR="00E45197" w:rsidRPr="003818C4">
        <w:rPr>
          <w:rFonts w:ascii="Arial" w:eastAsia="Verdana" w:hAnsi="Arial" w:cs="Arial"/>
          <w:sz w:val="18"/>
          <w:szCs w:val="18"/>
          <w:lang w:val="en-GB"/>
        </w:rPr>
        <w:t>tation launched in 2016. Additionally</w:t>
      </w:r>
      <w:r w:rsidRPr="003818C4">
        <w:rPr>
          <w:rFonts w:ascii="Arial" w:eastAsia="Verdana" w:hAnsi="Arial" w:cs="Arial"/>
          <w:sz w:val="18"/>
          <w:szCs w:val="18"/>
          <w:lang w:val="en-GB"/>
        </w:rPr>
        <w:t xml:space="preserve">, in line with the commitments taken in relation to the support programme provided by the IMF, a series of urgent measures were initiated aiming </w:t>
      </w:r>
      <w:r w:rsidR="00F37A68" w:rsidRPr="003818C4">
        <w:rPr>
          <w:rFonts w:ascii="Arial" w:eastAsia="Verdana" w:hAnsi="Arial" w:cs="Arial"/>
          <w:sz w:val="18"/>
          <w:szCs w:val="18"/>
          <w:lang w:val="en-GB"/>
        </w:rPr>
        <w:t>to recover</w:t>
      </w:r>
      <w:r w:rsidRPr="003818C4">
        <w:rPr>
          <w:rFonts w:ascii="Arial" w:eastAsia="Verdana" w:hAnsi="Arial" w:cs="Arial"/>
          <w:sz w:val="18"/>
          <w:szCs w:val="18"/>
          <w:lang w:val="en-GB"/>
        </w:rPr>
        <w:t xml:space="preserve"> the banking sector. Nevertheless, there are still gaps persisting in the financial services’ area (insurance sector mainly). </w:t>
      </w:r>
      <w:r w:rsidR="00F37A68" w:rsidRPr="003818C4">
        <w:rPr>
          <w:rFonts w:ascii="Arial" w:eastAsia="Verdana" w:hAnsi="Arial" w:cs="Arial"/>
          <w:sz w:val="18"/>
          <w:szCs w:val="18"/>
          <w:lang w:val="en-GB"/>
        </w:rPr>
        <w:t>A</w:t>
      </w:r>
      <w:r w:rsidRPr="003818C4">
        <w:rPr>
          <w:rFonts w:ascii="Arial" w:eastAsia="Verdana" w:hAnsi="Arial" w:cs="Arial"/>
          <w:sz w:val="18"/>
          <w:szCs w:val="18"/>
          <w:lang w:val="en-GB"/>
        </w:rPr>
        <w:t xml:space="preserve"> package of laws in the energy sector</w:t>
      </w:r>
      <w:r w:rsidR="00F37A68" w:rsidRPr="003818C4">
        <w:rPr>
          <w:rFonts w:ascii="Arial" w:eastAsia="Verdana" w:hAnsi="Arial" w:cs="Arial"/>
          <w:sz w:val="18"/>
          <w:szCs w:val="18"/>
          <w:lang w:val="en-GB"/>
        </w:rPr>
        <w:t xml:space="preserve"> was also adopted</w:t>
      </w:r>
      <w:r w:rsidRPr="003818C4">
        <w:rPr>
          <w:rFonts w:ascii="Arial" w:eastAsia="Verdana" w:hAnsi="Arial" w:cs="Arial"/>
          <w:sz w:val="18"/>
          <w:szCs w:val="18"/>
          <w:lang w:val="en-GB"/>
        </w:rPr>
        <w:t xml:space="preserve">, in line with the commitments taken in the framework of the Energy Community. The task for immediate future is to accelerate the implementation of the new legislation in the </w:t>
      </w:r>
      <w:r w:rsidR="00F37A68" w:rsidRPr="003818C4">
        <w:rPr>
          <w:rFonts w:ascii="Arial" w:eastAsia="Verdana" w:hAnsi="Arial" w:cs="Arial"/>
          <w:sz w:val="18"/>
          <w:szCs w:val="18"/>
          <w:lang w:val="en-GB"/>
        </w:rPr>
        <w:t xml:space="preserve">energy area. There is still </w:t>
      </w:r>
      <w:r w:rsidRPr="003818C4">
        <w:rPr>
          <w:rFonts w:ascii="Arial" w:eastAsia="Verdana" w:hAnsi="Arial" w:cs="Arial"/>
          <w:sz w:val="18"/>
          <w:szCs w:val="18"/>
          <w:lang w:val="en-GB"/>
        </w:rPr>
        <w:t xml:space="preserve">need to promote the new energy law that should contribute to the institutional reform of the national energy regulator (ANRE). </w:t>
      </w:r>
    </w:p>
    <w:p w14:paraId="3A96389F" w14:textId="77777777" w:rsidR="00E30B6F" w:rsidRPr="003818C4" w:rsidRDefault="00E30B6F" w:rsidP="001164F1">
      <w:pPr>
        <w:spacing w:before="120" w:after="120" w:line="240" w:lineRule="auto"/>
        <w:rPr>
          <w:rFonts w:ascii="Arial" w:eastAsia="Verdana" w:hAnsi="Arial" w:cs="Arial"/>
          <w:sz w:val="18"/>
          <w:szCs w:val="18"/>
          <w:lang w:val="en-GB"/>
        </w:rPr>
      </w:pPr>
      <w:r w:rsidRPr="003818C4">
        <w:rPr>
          <w:rFonts w:ascii="Arial" w:eastAsia="Verdana" w:hAnsi="Arial" w:cs="Arial"/>
          <w:sz w:val="18"/>
          <w:szCs w:val="18"/>
          <w:lang w:val="en-GB"/>
        </w:rPr>
        <w:t xml:space="preserve">As for the </w:t>
      </w:r>
      <w:r w:rsidRPr="003818C4">
        <w:rPr>
          <w:rFonts w:ascii="Arial" w:eastAsia="Verdana" w:hAnsi="Arial" w:cs="Arial"/>
          <w:b/>
          <w:sz w:val="18"/>
          <w:szCs w:val="18"/>
          <w:lang w:val="en-GB"/>
        </w:rPr>
        <w:t>Title V (DCFTA),</w:t>
      </w:r>
      <w:r w:rsidRPr="003818C4">
        <w:rPr>
          <w:rFonts w:ascii="Arial" w:eastAsia="Verdana" w:hAnsi="Arial" w:cs="Arial"/>
          <w:sz w:val="18"/>
          <w:szCs w:val="18"/>
          <w:lang w:val="en-GB"/>
        </w:rPr>
        <w:t xml:space="preserve"> although from the viewpoint of the national legislation harmonization some progress was registered, especially reg</w:t>
      </w:r>
      <w:r w:rsidR="00F37A68" w:rsidRPr="003818C4">
        <w:rPr>
          <w:rFonts w:ascii="Arial" w:eastAsia="Verdana" w:hAnsi="Arial" w:cs="Arial"/>
          <w:sz w:val="18"/>
          <w:szCs w:val="18"/>
          <w:lang w:val="en-GB"/>
        </w:rPr>
        <w:t>arding the technical barriers to</w:t>
      </w:r>
      <w:r w:rsidRPr="003818C4">
        <w:rPr>
          <w:rFonts w:ascii="Arial" w:eastAsia="Verdana" w:hAnsi="Arial" w:cs="Arial"/>
          <w:sz w:val="18"/>
          <w:szCs w:val="18"/>
          <w:lang w:val="en-GB"/>
        </w:rPr>
        <w:t xml:space="preserve"> trade, the main challenge still lies with the adoption and implementation of the normative framework s</w:t>
      </w:r>
      <w:r w:rsidR="00F37A68" w:rsidRPr="003818C4">
        <w:rPr>
          <w:rFonts w:ascii="Arial" w:eastAsia="Verdana" w:hAnsi="Arial" w:cs="Arial"/>
          <w:sz w:val="18"/>
          <w:szCs w:val="18"/>
          <w:lang w:val="en-GB"/>
        </w:rPr>
        <w:t>ubordinated to the transposed legislation</w:t>
      </w:r>
      <w:r w:rsidRPr="003818C4">
        <w:rPr>
          <w:rFonts w:ascii="Arial" w:eastAsia="Verdana" w:hAnsi="Arial" w:cs="Arial"/>
          <w:sz w:val="18"/>
          <w:szCs w:val="18"/>
          <w:lang w:val="en-GB"/>
        </w:rPr>
        <w:t xml:space="preserve">. On the other hand, we should </w:t>
      </w:r>
      <w:r w:rsidR="00F37A68" w:rsidRPr="003818C4">
        <w:rPr>
          <w:rFonts w:ascii="Arial" w:eastAsia="Verdana" w:hAnsi="Arial" w:cs="Arial"/>
          <w:sz w:val="18"/>
          <w:szCs w:val="18"/>
          <w:lang w:val="en-GB"/>
        </w:rPr>
        <w:t>note</w:t>
      </w:r>
      <w:r w:rsidRPr="003818C4">
        <w:rPr>
          <w:rFonts w:ascii="Arial" w:eastAsia="Verdana" w:hAnsi="Arial" w:cs="Arial"/>
          <w:sz w:val="18"/>
          <w:szCs w:val="18"/>
          <w:lang w:val="en-GB"/>
        </w:rPr>
        <w:t xml:space="preserve"> the growth of trade with the European Union (over 63% of the exports from Moldova are oriented towards the European Union and approximately 50% of imports are originating from the EU). </w:t>
      </w:r>
      <w:r w:rsidR="00F37A68" w:rsidRPr="003818C4">
        <w:rPr>
          <w:rFonts w:ascii="Arial" w:eastAsia="Verdana" w:hAnsi="Arial" w:cs="Arial"/>
          <w:sz w:val="18"/>
          <w:szCs w:val="18"/>
          <w:lang w:val="en-GB"/>
        </w:rPr>
        <w:t>Additionally</w:t>
      </w:r>
      <w:r w:rsidRPr="003818C4">
        <w:rPr>
          <w:rFonts w:ascii="Arial" w:eastAsia="Verdana" w:hAnsi="Arial" w:cs="Arial"/>
          <w:sz w:val="18"/>
          <w:szCs w:val="18"/>
          <w:lang w:val="en-GB"/>
        </w:rPr>
        <w:t>, over 40% of Europe</w:t>
      </w:r>
      <w:r w:rsidR="00F37A68" w:rsidRPr="003818C4">
        <w:rPr>
          <w:rFonts w:ascii="Arial" w:eastAsia="Verdana" w:hAnsi="Arial" w:cs="Arial"/>
          <w:sz w:val="18"/>
          <w:szCs w:val="18"/>
          <w:lang w:val="en-GB"/>
        </w:rPr>
        <w:t>an standards were transposed, but</w:t>
      </w:r>
      <w:r w:rsidRPr="003818C4">
        <w:rPr>
          <w:rFonts w:ascii="Arial" w:eastAsia="Verdana" w:hAnsi="Arial" w:cs="Arial"/>
          <w:sz w:val="18"/>
          <w:szCs w:val="18"/>
          <w:lang w:val="en-GB"/>
        </w:rPr>
        <w:t xml:space="preserve"> nevertheless there is a very modest progress register</w:t>
      </w:r>
      <w:r w:rsidR="00F37A68" w:rsidRPr="003818C4">
        <w:rPr>
          <w:rFonts w:ascii="Arial" w:eastAsia="Verdana" w:hAnsi="Arial" w:cs="Arial"/>
          <w:sz w:val="18"/>
          <w:szCs w:val="18"/>
          <w:lang w:val="en-GB"/>
        </w:rPr>
        <w:t>ed in the practical capitalisation</w:t>
      </w:r>
      <w:r w:rsidRPr="003818C4">
        <w:rPr>
          <w:rFonts w:ascii="Arial" w:eastAsia="Verdana" w:hAnsi="Arial" w:cs="Arial"/>
          <w:sz w:val="18"/>
          <w:szCs w:val="18"/>
          <w:lang w:val="en-GB"/>
        </w:rPr>
        <w:t xml:space="preserve"> of the European standards by the business</w:t>
      </w:r>
      <w:r w:rsidR="00F37A68" w:rsidRPr="003818C4">
        <w:rPr>
          <w:rFonts w:ascii="Arial" w:eastAsia="Verdana" w:hAnsi="Arial" w:cs="Arial"/>
          <w:sz w:val="18"/>
          <w:szCs w:val="18"/>
          <w:lang w:val="en-GB"/>
        </w:rPr>
        <w:t xml:space="preserve"> operators from </w:t>
      </w:r>
      <w:r w:rsidRPr="003818C4">
        <w:rPr>
          <w:rFonts w:ascii="Arial" w:eastAsia="Verdana" w:hAnsi="Arial" w:cs="Arial"/>
          <w:sz w:val="18"/>
          <w:szCs w:val="18"/>
          <w:lang w:val="en-GB"/>
        </w:rPr>
        <w:t>Moldova. Starting with the 1st of January 2016 the DCFTA implemen</w:t>
      </w:r>
      <w:r w:rsidR="00F37A68" w:rsidRPr="003818C4">
        <w:rPr>
          <w:rFonts w:ascii="Arial" w:eastAsia="Verdana" w:hAnsi="Arial" w:cs="Arial"/>
          <w:sz w:val="18"/>
          <w:szCs w:val="18"/>
          <w:lang w:val="en-GB"/>
        </w:rPr>
        <w:t>tation was launched on the entire</w:t>
      </w:r>
      <w:r w:rsidRPr="003818C4">
        <w:rPr>
          <w:rFonts w:ascii="Arial" w:eastAsia="Verdana" w:hAnsi="Arial" w:cs="Arial"/>
          <w:sz w:val="18"/>
          <w:szCs w:val="18"/>
          <w:lang w:val="en-GB"/>
        </w:rPr>
        <w:t xml:space="preserve"> territory of the </w:t>
      </w:r>
      <w:r w:rsidR="00F37A68" w:rsidRPr="003818C4">
        <w:rPr>
          <w:rFonts w:ascii="Arial" w:eastAsia="Verdana" w:hAnsi="Arial" w:cs="Arial"/>
          <w:sz w:val="18"/>
          <w:szCs w:val="18"/>
          <w:lang w:val="en-GB"/>
        </w:rPr>
        <w:t>country</w:t>
      </w:r>
      <w:r w:rsidRPr="003818C4">
        <w:rPr>
          <w:rFonts w:ascii="Arial" w:eastAsia="Verdana" w:hAnsi="Arial" w:cs="Arial"/>
          <w:sz w:val="18"/>
          <w:szCs w:val="18"/>
          <w:lang w:val="en-GB"/>
        </w:rPr>
        <w:t xml:space="preserve">, including the </w:t>
      </w:r>
      <w:r w:rsidR="00F37A68" w:rsidRPr="003818C4">
        <w:rPr>
          <w:rFonts w:ascii="Arial" w:eastAsia="Verdana" w:hAnsi="Arial" w:cs="Arial"/>
          <w:sz w:val="18"/>
          <w:szCs w:val="18"/>
          <w:lang w:val="en-GB"/>
        </w:rPr>
        <w:t>left bank</w:t>
      </w:r>
      <w:r w:rsidRPr="003818C4">
        <w:rPr>
          <w:rFonts w:ascii="Arial" w:eastAsia="Verdana" w:hAnsi="Arial" w:cs="Arial"/>
          <w:sz w:val="18"/>
          <w:szCs w:val="18"/>
          <w:lang w:val="en-GB"/>
        </w:rPr>
        <w:t>. An important arrear that reduces the pot</w:t>
      </w:r>
      <w:r w:rsidR="00F37A68" w:rsidRPr="003818C4">
        <w:rPr>
          <w:rFonts w:ascii="Arial" w:eastAsia="Verdana" w:hAnsi="Arial" w:cs="Arial"/>
          <w:sz w:val="18"/>
          <w:szCs w:val="18"/>
          <w:lang w:val="en-GB"/>
        </w:rPr>
        <w:t>ential of the DCFTA capitalisation</w:t>
      </w:r>
      <w:r w:rsidRPr="003818C4">
        <w:rPr>
          <w:rFonts w:ascii="Arial" w:eastAsia="Verdana" w:hAnsi="Arial" w:cs="Arial"/>
          <w:sz w:val="18"/>
          <w:szCs w:val="18"/>
          <w:lang w:val="en-GB"/>
        </w:rPr>
        <w:t xml:space="preserve"> is the low level of accomplishment of the sanitary and phytosanitary measures, standardization and compliance evaluation. </w:t>
      </w:r>
    </w:p>
    <w:p w14:paraId="3006F412" w14:textId="77777777" w:rsidR="00E30B6F" w:rsidRPr="003818C4" w:rsidRDefault="00E30B6F" w:rsidP="001164F1">
      <w:pPr>
        <w:spacing w:before="120" w:after="120" w:line="240" w:lineRule="auto"/>
        <w:rPr>
          <w:rFonts w:ascii="Arial" w:eastAsia="Verdana" w:hAnsi="Arial" w:cs="Arial"/>
          <w:sz w:val="18"/>
          <w:szCs w:val="18"/>
          <w:lang w:val="en-GB"/>
        </w:rPr>
      </w:pPr>
      <w:r w:rsidRPr="003818C4">
        <w:rPr>
          <w:rFonts w:ascii="Arial" w:eastAsia="Verdana" w:hAnsi="Arial" w:cs="Arial"/>
          <w:sz w:val="18"/>
          <w:szCs w:val="18"/>
          <w:lang w:val="en-GB"/>
        </w:rPr>
        <w:t xml:space="preserve">As for </w:t>
      </w:r>
      <w:r w:rsidRPr="003818C4">
        <w:rPr>
          <w:rFonts w:ascii="Arial" w:eastAsia="Verdana" w:hAnsi="Arial" w:cs="Arial"/>
          <w:b/>
          <w:sz w:val="18"/>
          <w:szCs w:val="18"/>
          <w:lang w:val="en-GB"/>
        </w:rPr>
        <w:t>Title VI</w:t>
      </w:r>
      <w:r w:rsidRPr="003818C4">
        <w:rPr>
          <w:rFonts w:ascii="Arial" w:eastAsia="Verdana" w:hAnsi="Arial" w:cs="Arial"/>
          <w:sz w:val="18"/>
          <w:szCs w:val="18"/>
          <w:lang w:val="en-GB"/>
        </w:rPr>
        <w:t>, the most important accomplishment during the reference period is the adoption of the Penal Code amendments setting penalties for the fraudulent use of the EU funds or for any actions c</w:t>
      </w:r>
      <w:r w:rsidR="00F37A68" w:rsidRPr="003818C4">
        <w:rPr>
          <w:rFonts w:ascii="Arial" w:eastAsia="Verdana" w:hAnsi="Arial" w:cs="Arial"/>
          <w:sz w:val="18"/>
          <w:szCs w:val="18"/>
          <w:lang w:val="en-GB"/>
        </w:rPr>
        <w:t>ausing prejudice to the EU financial interests</w:t>
      </w:r>
      <w:r w:rsidRPr="003818C4">
        <w:rPr>
          <w:rFonts w:ascii="Arial" w:eastAsia="Verdana" w:hAnsi="Arial" w:cs="Arial"/>
          <w:sz w:val="18"/>
          <w:szCs w:val="18"/>
          <w:lang w:val="en-GB"/>
        </w:rPr>
        <w:t xml:space="preserve">. </w:t>
      </w:r>
      <w:r w:rsidR="00F37A68" w:rsidRPr="003818C4">
        <w:rPr>
          <w:rFonts w:ascii="Arial" w:eastAsia="Verdana" w:hAnsi="Arial" w:cs="Arial"/>
          <w:sz w:val="18"/>
          <w:szCs w:val="18"/>
          <w:lang w:val="en-GB"/>
        </w:rPr>
        <w:t>Also, the</w:t>
      </w:r>
      <w:r w:rsidRPr="003818C4">
        <w:rPr>
          <w:rFonts w:ascii="Arial" w:eastAsia="Verdana" w:hAnsi="Arial" w:cs="Arial"/>
          <w:sz w:val="18"/>
          <w:szCs w:val="18"/>
          <w:lang w:val="en-GB"/>
        </w:rPr>
        <w:t xml:space="preserve"> Administrative Agreement between the N</w:t>
      </w:r>
      <w:r w:rsidR="00F37A68" w:rsidRPr="003818C4">
        <w:rPr>
          <w:rFonts w:ascii="Arial" w:eastAsia="Verdana" w:hAnsi="Arial" w:cs="Arial"/>
          <w:sz w:val="18"/>
          <w:szCs w:val="18"/>
          <w:lang w:val="en-GB"/>
        </w:rPr>
        <w:t>ational Anticorruption Centre (</w:t>
      </w:r>
      <w:r w:rsidRPr="003818C4">
        <w:rPr>
          <w:rFonts w:ascii="Arial" w:eastAsia="Verdana" w:hAnsi="Arial" w:cs="Arial"/>
          <w:sz w:val="18"/>
          <w:szCs w:val="18"/>
          <w:lang w:val="en-GB"/>
        </w:rPr>
        <w:t>NA</w:t>
      </w:r>
      <w:r w:rsidR="00F37A68" w:rsidRPr="003818C4">
        <w:rPr>
          <w:rFonts w:ascii="Arial" w:eastAsia="Verdana" w:hAnsi="Arial" w:cs="Arial"/>
          <w:sz w:val="18"/>
          <w:szCs w:val="18"/>
          <w:lang w:val="en-GB"/>
        </w:rPr>
        <w:t>C</w:t>
      </w:r>
      <w:r w:rsidRPr="003818C4">
        <w:rPr>
          <w:rFonts w:ascii="Arial" w:eastAsia="Verdana" w:hAnsi="Arial" w:cs="Arial"/>
          <w:sz w:val="18"/>
          <w:szCs w:val="18"/>
          <w:lang w:val="en-GB"/>
        </w:rPr>
        <w:t>) and OLAF regarding the operational cooperation and data exchange in the anti-fraud area</w:t>
      </w:r>
      <w:r w:rsidR="00F37A68" w:rsidRPr="003818C4">
        <w:rPr>
          <w:rFonts w:ascii="Arial" w:eastAsia="Verdana" w:hAnsi="Arial" w:cs="Arial"/>
          <w:sz w:val="18"/>
          <w:szCs w:val="18"/>
          <w:lang w:val="en-GB"/>
        </w:rPr>
        <w:t xml:space="preserve"> was signed</w:t>
      </w:r>
      <w:r w:rsidRPr="003818C4">
        <w:rPr>
          <w:rFonts w:ascii="Arial" w:eastAsia="Verdana" w:hAnsi="Arial" w:cs="Arial"/>
          <w:sz w:val="18"/>
          <w:szCs w:val="18"/>
          <w:lang w:val="en-GB"/>
        </w:rPr>
        <w:t>. At the end of 2016</w:t>
      </w:r>
      <w:r w:rsidR="00F37A68" w:rsidRPr="003818C4">
        <w:rPr>
          <w:rFonts w:ascii="Arial" w:eastAsia="Verdana" w:hAnsi="Arial" w:cs="Arial"/>
          <w:sz w:val="18"/>
          <w:szCs w:val="18"/>
          <w:lang w:val="en-GB"/>
        </w:rPr>
        <w:t xml:space="preserve">, the </w:t>
      </w:r>
      <w:r w:rsidRPr="003818C4">
        <w:rPr>
          <w:rFonts w:ascii="Arial" w:eastAsia="Verdana" w:hAnsi="Arial" w:cs="Arial"/>
          <w:sz w:val="18"/>
          <w:szCs w:val="18"/>
          <w:lang w:val="en-GB"/>
        </w:rPr>
        <w:t>NA</w:t>
      </w:r>
      <w:r w:rsidR="00F37A68" w:rsidRPr="003818C4">
        <w:rPr>
          <w:rFonts w:ascii="Arial" w:eastAsia="Verdana" w:hAnsi="Arial" w:cs="Arial"/>
          <w:sz w:val="18"/>
          <w:szCs w:val="18"/>
          <w:lang w:val="en-GB"/>
        </w:rPr>
        <w:t>C</w:t>
      </w:r>
      <w:r w:rsidRPr="003818C4">
        <w:rPr>
          <w:rFonts w:ascii="Arial" w:eastAsia="Verdana" w:hAnsi="Arial" w:cs="Arial"/>
          <w:sz w:val="18"/>
          <w:szCs w:val="18"/>
          <w:lang w:val="en-GB"/>
        </w:rPr>
        <w:t xml:space="preserve"> was assigned by the Government as the national liaison point with OLAF. During 2014-2016 the European Union offered to Moldova an amount of EUR 310 million in the framework of bilateral financial support programs and EUR 62 million as investment grants through the Neighbourhood Investment Fund (NIF). </w:t>
      </w:r>
      <w:r w:rsidRPr="003818C4">
        <w:rPr>
          <w:rFonts w:ascii="Arial" w:hAnsi="Arial" w:cs="Arial"/>
          <w:sz w:val="18"/>
          <w:szCs w:val="18"/>
          <w:lang w:val="en-GB"/>
        </w:rPr>
        <w:t xml:space="preserve">However, </w:t>
      </w:r>
      <w:r w:rsidR="00F37A68" w:rsidRPr="003818C4">
        <w:rPr>
          <w:rFonts w:ascii="Arial" w:hAnsi="Arial" w:cs="Arial"/>
          <w:sz w:val="18"/>
          <w:szCs w:val="18"/>
          <w:lang w:val="en-GB"/>
        </w:rPr>
        <w:t>in the light of the Report of</w:t>
      </w:r>
      <w:r w:rsidRPr="003818C4">
        <w:rPr>
          <w:rFonts w:ascii="Arial" w:hAnsi="Arial" w:cs="Arial"/>
          <w:sz w:val="18"/>
          <w:szCs w:val="18"/>
          <w:lang w:val="en-GB"/>
        </w:rPr>
        <w:t xml:space="preserve"> the European Court of Auditors from September 201</w:t>
      </w:r>
      <w:r w:rsidR="00F37A68" w:rsidRPr="003818C4">
        <w:rPr>
          <w:rFonts w:ascii="Arial" w:hAnsi="Arial" w:cs="Arial"/>
          <w:sz w:val="18"/>
          <w:szCs w:val="18"/>
          <w:lang w:val="en-GB"/>
        </w:rPr>
        <w:t>6, which highlighted</w:t>
      </w:r>
      <w:r w:rsidRPr="003818C4">
        <w:rPr>
          <w:rFonts w:ascii="Arial" w:hAnsi="Arial" w:cs="Arial"/>
          <w:sz w:val="18"/>
          <w:szCs w:val="18"/>
          <w:lang w:val="en-GB"/>
        </w:rPr>
        <w:t xml:space="preserve"> a series of issues </w:t>
      </w:r>
      <w:r w:rsidR="00F37A68" w:rsidRPr="003818C4">
        <w:rPr>
          <w:rFonts w:ascii="Arial" w:hAnsi="Arial" w:cs="Arial"/>
          <w:sz w:val="18"/>
          <w:szCs w:val="18"/>
          <w:lang w:val="en-GB"/>
        </w:rPr>
        <w:t>in the implementation of</w:t>
      </w:r>
      <w:r w:rsidRPr="003818C4">
        <w:rPr>
          <w:rFonts w:ascii="Arial" w:hAnsi="Arial" w:cs="Arial"/>
          <w:sz w:val="18"/>
          <w:szCs w:val="18"/>
          <w:lang w:val="en-GB"/>
        </w:rPr>
        <w:t xml:space="preserve"> the EU funds in Moldova, the European </w:t>
      </w:r>
      <w:r w:rsidR="00F37A68" w:rsidRPr="003818C4">
        <w:rPr>
          <w:rFonts w:ascii="Arial" w:hAnsi="Arial" w:cs="Arial"/>
          <w:sz w:val="18"/>
          <w:szCs w:val="18"/>
          <w:lang w:val="en-GB"/>
        </w:rPr>
        <w:t>C</w:t>
      </w:r>
      <w:r w:rsidRPr="003818C4">
        <w:rPr>
          <w:rFonts w:ascii="Arial" w:hAnsi="Arial" w:cs="Arial"/>
          <w:sz w:val="18"/>
          <w:szCs w:val="18"/>
          <w:lang w:val="en-GB"/>
        </w:rPr>
        <w:t xml:space="preserve">ommission will most probably re-think the mechanism of direct budget support.  </w:t>
      </w:r>
    </w:p>
    <w:p w14:paraId="15CE14E2" w14:textId="77777777" w:rsidR="00E30B6F" w:rsidRPr="003818C4" w:rsidRDefault="00E30B6F" w:rsidP="001164F1">
      <w:pPr>
        <w:spacing w:before="120" w:after="120" w:line="240" w:lineRule="auto"/>
        <w:rPr>
          <w:rFonts w:ascii="Arial" w:hAnsi="Arial" w:cs="Arial"/>
          <w:sz w:val="18"/>
          <w:szCs w:val="18"/>
          <w:lang w:val="en-GB"/>
        </w:rPr>
      </w:pPr>
      <w:r w:rsidRPr="003818C4">
        <w:rPr>
          <w:rFonts w:ascii="Arial" w:hAnsi="Arial" w:cs="Arial"/>
          <w:sz w:val="18"/>
          <w:szCs w:val="18"/>
          <w:lang w:val="en-GB"/>
        </w:rPr>
        <w:t>Regardless of the fact that the Association Agreement does not contain a clear prospective for EU accession, it provid</w:t>
      </w:r>
      <w:r w:rsidR="00F37A68" w:rsidRPr="003818C4">
        <w:rPr>
          <w:rFonts w:ascii="Arial" w:hAnsi="Arial" w:cs="Arial"/>
          <w:sz w:val="18"/>
          <w:szCs w:val="18"/>
          <w:lang w:val="en-GB"/>
        </w:rPr>
        <w:t>es for an important potential to prepare</w:t>
      </w:r>
      <w:r w:rsidRPr="003818C4">
        <w:rPr>
          <w:rFonts w:ascii="Arial" w:hAnsi="Arial" w:cs="Arial"/>
          <w:sz w:val="18"/>
          <w:szCs w:val="18"/>
          <w:lang w:val="en-GB"/>
        </w:rPr>
        <w:t xml:space="preserve"> Moldova for such a scenario, following the objective of political association and economic integration with the European Union. The more </w:t>
      </w:r>
      <w:r w:rsidR="00F37A68" w:rsidRPr="003818C4">
        <w:rPr>
          <w:rFonts w:ascii="Arial" w:hAnsi="Arial" w:cs="Arial"/>
          <w:sz w:val="18"/>
          <w:szCs w:val="18"/>
          <w:lang w:val="en-GB"/>
        </w:rPr>
        <w:t>the country</w:t>
      </w:r>
      <w:r w:rsidRPr="003818C4">
        <w:rPr>
          <w:rFonts w:ascii="Arial" w:hAnsi="Arial" w:cs="Arial"/>
          <w:sz w:val="18"/>
          <w:szCs w:val="18"/>
          <w:lang w:val="en-GB"/>
        </w:rPr>
        <w:t xml:space="preserve"> will ad</w:t>
      </w:r>
      <w:r w:rsidR="00F37A68" w:rsidRPr="003818C4">
        <w:rPr>
          <w:rFonts w:ascii="Arial" w:hAnsi="Arial" w:cs="Arial"/>
          <w:sz w:val="18"/>
          <w:szCs w:val="18"/>
          <w:lang w:val="en-GB"/>
        </w:rPr>
        <w:t>vance in its implementation</w:t>
      </w:r>
      <w:r w:rsidRPr="003818C4">
        <w:rPr>
          <w:rFonts w:ascii="Arial" w:hAnsi="Arial" w:cs="Arial"/>
          <w:sz w:val="18"/>
          <w:szCs w:val="18"/>
          <w:lang w:val="en-GB"/>
        </w:rPr>
        <w:t xml:space="preserve">, the closer it will come to the point of no return in the transformation of the Moldovan society, business environment and political class.  </w:t>
      </w:r>
    </w:p>
    <w:p w14:paraId="1E03DA60" w14:textId="77777777" w:rsidR="00E30B6F" w:rsidRPr="003818C4" w:rsidRDefault="00E30B6F" w:rsidP="001164F1">
      <w:pPr>
        <w:spacing w:before="120" w:after="120" w:line="240" w:lineRule="auto"/>
        <w:rPr>
          <w:rFonts w:ascii="Arial" w:hAnsi="Arial" w:cs="Arial"/>
          <w:sz w:val="18"/>
          <w:szCs w:val="18"/>
          <w:lang w:val="en-GB"/>
        </w:rPr>
      </w:pPr>
      <w:r w:rsidRPr="003818C4">
        <w:rPr>
          <w:rStyle w:val="NoneA"/>
          <w:rFonts w:ascii="Arial" w:hAnsi="Arial" w:cs="Arial"/>
          <w:color w:val="2841BB"/>
          <w:sz w:val="18"/>
          <w:szCs w:val="18"/>
          <w:u w:color="000000"/>
          <w:lang w:val="en-GB"/>
        </w:rPr>
        <w:br w:type="page"/>
      </w:r>
    </w:p>
    <w:p w14:paraId="14DD582A" w14:textId="77777777" w:rsidR="00E30B6F" w:rsidRPr="003818C4" w:rsidRDefault="00E30B6F" w:rsidP="00890C8B">
      <w:pPr>
        <w:pStyle w:val="Heading2"/>
        <w:numPr>
          <w:ilvl w:val="1"/>
          <w:numId w:val="24"/>
        </w:numPr>
        <w:tabs>
          <w:tab w:val="left" w:pos="709"/>
        </w:tabs>
        <w:spacing w:before="120" w:after="120" w:line="240" w:lineRule="auto"/>
        <w:ind w:left="284" w:hanging="284"/>
        <w:rPr>
          <w:rStyle w:val="NoneA"/>
          <w:rFonts w:ascii="Arial" w:hAnsi="Arial" w:cs="Arial"/>
          <w:color w:val="0B5294" w:themeColor="accent1" w:themeShade="BF"/>
          <w:sz w:val="18"/>
          <w:szCs w:val="18"/>
          <w:lang w:val="en-GB"/>
        </w:rPr>
      </w:pPr>
      <w:bookmarkStart w:id="8" w:name="_Toc477762689"/>
      <w:bookmarkStart w:id="9" w:name="_Toc478028657"/>
      <w:r w:rsidRPr="003818C4">
        <w:rPr>
          <w:rStyle w:val="NoneA"/>
          <w:rFonts w:ascii="Arial" w:hAnsi="Arial" w:cs="Arial"/>
          <w:color w:val="0B5294" w:themeColor="accent1" w:themeShade="BF"/>
          <w:sz w:val="18"/>
          <w:szCs w:val="18"/>
          <w:lang w:val="en-GB"/>
        </w:rPr>
        <w:lastRenderedPageBreak/>
        <w:t>Political dialogue and reforms, Cooperation in the area of foreign policy and security (Title II)</w:t>
      </w:r>
      <w:bookmarkEnd w:id="8"/>
      <w:bookmarkEnd w:id="9"/>
    </w:p>
    <w:p w14:paraId="0A8BFB15" w14:textId="77777777" w:rsidR="00E30B6F" w:rsidRPr="003818C4" w:rsidRDefault="00E30B6F" w:rsidP="001164F1">
      <w:pPr>
        <w:pStyle w:val="Heading3"/>
        <w:spacing w:before="120" w:after="120" w:line="240" w:lineRule="auto"/>
        <w:rPr>
          <w:rFonts w:ascii="Arial" w:hAnsi="Arial" w:cs="Arial"/>
          <w:color w:val="0B5294" w:themeColor="accent1" w:themeShade="BF"/>
          <w:sz w:val="18"/>
          <w:szCs w:val="18"/>
          <w:lang w:val="en-GB"/>
        </w:rPr>
      </w:pPr>
      <w:bookmarkStart w:id="10" w:name="_Toc478028658"/>
      <w:r w:rsidRPr="003818C4">
        <w:rPr>
          <w:rFonts w:ascii="Arial" w:hAnsi="Arial" w:cs="Arial"/>
          <w:noProof/>
          <w:color w:val="0B5294" w:themeColor="accent1" w:themeShade="BF"/>
          <w:sz w:val="18"/>
          <w:szCs w:val="18"/>
        </w:rPr>
        <w:drawing>
          <wp:anchor distT="0" distB="0" distL="114300" distR="114300" simplePos="0" relativeHeight="251660288" behindDoc="1" locked="0" layoutInCell="1" allowOverlap="1" wp14:anchorId="66FD6253" wp14:editId="0A00A94C">
            <wp:simplePos x="0" y="0"/>
            <wp:positionH relativeFrom="column">
              <wp:posOffset>3201035</wp:posOffset>
            </wp:positionH>
            <wp:positionV relativeFrom="paragraph">
              <wp:posOffset>103938</wp:posOffset>
            </wp:positionV>
            <wp:extent cx="2415108" cy="1711528"/>
            <wp:effectExtent l="0" t="0" r="23495" b="15875"/>
            <wp:wrapTight wrapText="bothSides">
              <wp:wrapPolygon edited="0">
                <wp:start x="0" y="0"/>
                <wp:lineTo x="0" y="21480"/>
                <wp:lineTo x="21583" y="21480"/>
                <wp:lineTo x="21583" y="0"/>
                <wp:lineTo x="0" y="0"/>
              </wp:wrapPolygon>
            </wp:wrapTight>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3818C4">
        <w:rPr>
          <w:rFonts w:ascii="Arial" w:hAnsi="Arial" w:cs="Arial"/>
          <w:bCs/>
          <w:noProof/>
          <w:color w:val="0B5294" w:themeColor="accent1" w:themeShade="BF"/>
          <w:sz w:val="18"/>
          <w:szCs w:val="18"/>
          <w:lang w:val="en-GB"/>
        </w:rPr>
        <w:t>Quantitative progress evaluation</w:t>
      </w:r>
      <w:bookmarkEnd w:id="10"/>
    </w:p>
    <w:p w14:paraId="372C1478" w14:textId="77777777" w:rsidR="00E30B6F" w:rsidRPr="003818C4" w:rsidRDefault="00E30B6F" w:rsidP="001164F1">
      <w:pPr>
        <w:pStyle w:val="Body"/>
        <w:spacing w:before="120" w:after="120" w:line="240" w:lineRule="auto"/>
        <w:rPr>
          <w:rStyle w:val="NoneA"/>
          <w:rFonts w:ascii="Arial" w:eastAsia="Verdana" w:hAnsi="Arial" w:cs="Arial"/>
          <w:sz w:val="18"/>
          <w:szCs w:val="18"/>
          <w:lang w:val="en-GB"/>
        </w:rPr>
      </w:pPr>
      <w:r w:rsidRPr="003818C4">
        <w:rPr>
          <w:rFonts w:ascii="Arial" w:hAnsi="Arial" w:cs="Arial"/>
          <w:sz w:val="18"/>
          <w:szCs w:val="18"/>
          <w:lang w:val="en-GB"/>
        </w:rPr>
        <w:t xml:space="preserve">For Title II of the NAPIAA a total number of </w:t>
      </w:r>
      <w:r w:rsidRPr="003818C4">
        <w:rPr>
          <w:rFonts w:ascii="Arial" w:hAnsi="Arial" w:cs="Arial"/>
          <w:b/>
          <w:sz w:val="18"/>
          <w:szCs w:val="18"/>
          <w:lang w:val="en-GB"/>
        </w:rPr>
        <w:t xml:space="preserve">136 implementation measures </w:t>
      </w:r>
      <w:r w:rsidRPr="003818C4">
        <w:rPr>
          <w:rFonts w:ascii="Arial" w:hAnsi="Arial" w:cs="Arial"/>
          <w:sz w:val="18"/>
          <w:szCs w:val="18"/>
          <w:lang w:val="en-GB"/>
        </w:rPr>
        <w:t xml:space="preserve">were provided for the years 2014-2016, out of which </w:t>
      </w:r>
      <w:r w:rsidR="00986E46" w:rsidRPr="003818C4">
        <w:rPr>
          <w:rFonts w:ascii="Arial" w:hAnsi="Arial" w:cs="Arial"/>
          <w:b/>
          <w:sz w:val="18"/>
          <w:szCs w:val="18"/>
          <w:lang w:val="en-GB"/>
        </w:rPr>
        <w:t>101 measures were implemented</w:t>
      </w:r>
      <w:r w:rsidRPr="003818C4">
        <w:rPr>
          <w:rFonts w:ascii="Arial" w:hAnsi="Arial" w:cs="Arial"/>
          <w:sz w:val="18"/>
          <w:szCs w:val="18"/>
          <w:lang w:val="en-GB"/>
        </w:rPr>
        <w:t xml:space="preserve">, 28 measures were partly </w:t>
      </w:r>
      <w:r w:rsidR="00986E46" w:rsidRPr="003818C4">
        <w:rPr>
          <w:rFonts w:ascii="Arial" w:hAnsi="Arial" w:cs="Arial"/>
          <w:sz w:val="18"/>
          <w:szCs w:val="18"/>
          <w:lang w:val="en-GB"/>
        </w:rPr>
        <w:t>implemented</w:t>
      </w:r>
      <w:r w:rsidRPr="003818C4">
        <w:rPr>
          <w:rFonts w:ascii="Arial" w:hAnsi="Arial" w:cs="Arial"/>
          <w:sz w:val="18"/>
          <w:szCs w:val="18"/>
          <w:lang w:val="en-GB"/>
        </w:rPr>
        <w:t xml:space="preserve"> and 7 me</w:t>
      </w:r>
      <w:r w:rsidR="00986E46" w:rsidRPr="003818C4">
        <w:rPr>
          <w:rFonts w:ascii="Arial" w:hAnsi="Arial" w:cs="Arial"/>
          <w:sz w:val="18"/>
          <w:szCs w:val="18"/>
          <w:lang w:val="en-GB"/>
        </w:rPr>
        <w:t>asures remained not implemented</w:t>
      </w:r>
      <w:r w:rsidRPr="003818C4">
        <w:rPr>
          <w:rFonts w:ascii="Arial" w:hAnsi="Arial" w:cs="Arial"/>
          <w:sz w:val="18"/>
          <w:szCs w:val="18"/>
          <w:lang w:val="en-GB"/>
        </w:rPr>
        <w:t xml:space="preserve">. </w:t>
      </w:r>
    </w:p>
    <w:p w14:paraId="311A1025" w14:textId="77777777" w:rsidR="00E30B6F" w:rsidRPr="003818C4" w:rsidRDefault="00986E46" w:rsidP="001164F1">
      <w:pPr>
        <w:pStyle w:val="Body"/>
        <w:spacing w:before="120" w:after="120" w:line="240" w:lineRule="auto"/>
        <w:rPr>
          <w:rFonts w:ascii="Arial" w:hAnsi="Arial" w:cs="Arial"/>
          <w:sz w:val="18"/>
          <w:szCs w:val="18"/>
          <w:lang w:val="en-GB"/>
        </w:rPr>
      </w:pPr>
      <w:r w:rsidRPr="003818C4">
        <w:rPr>
          <w:rFonts w:ascii="Arial" w:hAnsi="Arial" w:cs="Arial"/>
          <w:sz w:val="18"/>
          <w:szCs w:val="18"/>
          <w:lang w:val="en-GB"/>
        </w:rPr>
        <w:t>After the analysis</w:t>
      </w:r>
      <w:r w:rsidR="00E30B6F" w:rsidRPr="003818C4">
        <w:rPr>
          <w:rFonts w:ascii="Arial" w:hAnsi="Arial" w:cs="Arial"/>
          <w:sz w:val="18"/>
          <w:szCs w:val="18"/>
          <w:lang w:val="en-GB"/>
        </w:rPr>
        <w:t xml:space="preserve"> </w:t>
      </w:r>
      <w:r w:rsidRPr="003818C4">
        <w:rPr>
          <w:rFonts w:ascii="Arial" w:hAnsi="Arial" w:cs="Arial"/>
          <w:sz w:val="18"/>
          <w:szCs w:val="18"/>
          <w:lang w:val="en-GB"/>
        </w:rPr>
        <w:t xml:space="preserve">of </w:t>
      </w:r>
      <w:r w:rsidR="00E30B6F" w:rsidRPr="003818C4">
        <w:rPr>
          <w:rFonts w:ascii="Arial" w:hAnsi="Arial" w:cs="Arial"/>
          <w:sz w:val="18"/>
          <w:szCs w:val="18"/>
          <w:lang w:val="en-GB"/>
        </w:rPr>
        <w:t xml:space="preserve">the </w:t>
      </w:r>
      <w:r w:rsidRPr="003818C4">
        <w:rPr>
          <w:rFonts w:ascii="Arial" w:hAnsi="Arial" w:cs="Arial"/>
          <w:sz w:val="18"/>
          <w:szCs w:val="18"/>
          <w:lang w:val="en-GB"/>
        </w:rPr>
        <w:t>developments</w:t>
      </w:r>
      <w:r w:rsidR="00E30B6F" w:rsidRPr="003818C4">
        <w:rPr>
          <w:rFonts w:ascii="Arial" w:hAnsi="Arial" w:cs="Arial"/>
          <w:sz w:val="18"/>
          <w:szCs w:val="18"/>
          <w:lang w:val="en-GB"/>
        </w:rPr>
        <w:t xml:space="preserve"> in the reference period, we concluded that the total </w:t>
      </w:r>
      <w:r w:rsidRPr="003818C4">
        <w:rPr>
          <w:rFonts w:ascii="Arial" w:hAnsi="Arial" w:cs="Arial"/>
          <w:sz w:val="18"/>
          <w:szCs w:val="18"/>
          <w:lang w:val="en-GB"/>
        </w:rPr>
        <w:t>implementation</w:t>
      </w:r>
      <w:r w:rsidR="00E30B6F" w:rsidRPr="003818C4">
        <w:rPr>
          <w:rFonts w:ascii="Arial" w:hAnsi="Arial" w:cs="Arial"/>
          <w:sz w:val="18"/>
          <w:szCs w:val="18"/>
          <w:lang w:val="en-GB"/>
        </w:rPr>
        <w:t xml:space="preserve"> rate of Title II is </w:t>
      </w:r>
      <w:r w:rsidRPr="003818C4">
        <w:rPr>
          <w:rStyle w:val="NoneA"/>
          <w:rFonts w:ascii="Arial" w:hAnsi="Arial" w:cs="Arial"/>
          <w:b/>
          <w:bCs/>
          <w:sz w:val="18"/>
          <w:szCs w:val="18"/>
          <w:lang w:val="en-GB"/>
        </w:rPr>
        <w:t>74.3%, whilst</w:t>
      </w:r>
      <w:r w:rsidR="00E30B6F" w:rsidRPr="003818C4">
        <w:rPr>
          <w:rStyle w:val="NoneA"/>
          <w:rFonts w:ascii="Arial" w:hAnsi="Arial" w:cs="Arial"/>
          <w:b/>
          <w:bCs/>
          <w:sz w:val="18"/>
          <w:szCs w:val="18"/>
          <w:lang w:val="en-GB"/>
        </w:rPr>
        <w:t xml:space="preserve"> 5.1% of t</w:t>
      </w:r>
      <w:r w:rsidRPr="003818C4">
        <w:rPr>
          <w:rStyle w:val="NoneA"/>
          <w:rFonts w:ascii="Arial" w:hAnsi="Arial" w:cs="Arial"/>
          <w:b/>
          <w:bCs/>
          <w:sz w:val="18"/>
          <w:szCs w:val="18"/>
          <w:lang w:val="en-GB"/>
        </w:rPr>
        <w:t>he measures are not implemented</w:t>
      </w:r>
      <w:r w:rsidR="00E30B6F" w:rsidRPr="003818C4">
        <w:rPr>
          <w:rStyle w:val="NoneA"/>
          <w:rFonts w:ascii="Arial" w:hAnsi="Arial" w:cs="Arial"/>
          <w:b/>
          <w:bCs/>
          <w:sz w:val="18"/>
          <w:szCs w:val="18"/>
          <w:lang w:val="en-GB"/>
        </w:rPr>
        <w:t>.</w:t>
      </w:r>
    </w:p>
    <w:p w14:paraId="4FEA1908" w14:textId="77777777" w:rsidR="00E30B6F" w:rsidRPr="003818C4" w:rsidRDefault="00E30B6F" w:rsidP="001164F1">
      <w:pPr>
        <w:pStyle w:val="Body"/>
        <w:spacing w:before="120" w:after="120" w:line="240" w:lineRule="auto"/>
        <w:rPr>
          <w:rFonts w:ascii="Arial" w:hAnsi="Arial" w:cs="Arial"/>
          <w:sz w:val="18"/>
          <w:szCs w:val="18"/>
          <w:lang w:val="en-GB"/>
        </w:rPr>
      </w:pPr>
    </w:p>
    <w:tbl>
      <w:tblPr>
        <w:tblpPr w:leftFromText="180" w:rightFromText="180" w:vertAnchor="text" w:horzAnchor="page" w:tblpX="1683" w:tblpY="209"/>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8"/>
        <w:gridCol w:w="709"/>
        <w:gridCol w:w="1559"/>
        <w:gridCol w:w="1417"/>
        <w:gridCol w:w="1418"/>
      </w:tblGrid>
      <w:tr w:rsidR="00E30B6F" w:rsidRPr="003818C4" w14:paraId="11D5C20D" w14:textId="77777777" w:rsidTr="00E30B6F">
        <w:trPr>
          <w:trHeight w:val="397"/>
        </w:trPr>
        <w:tc>
          <w:tcPr>
            <w:tcW w:w="3788" w:type="dxa"/>
            <w:shd w:val="clear" w:color="auto" w:fill="auto"/>
            <w:tcMar>
              <w:top w:w="13" w:type="dxa"/>
              <w:left w:w="108" w:type="dxa"/>
              <w:bottom w:w="0" w:type="dxa"/>
              <w:right w:w="108" w:type="dxa"/>
            </w:tcMar>
            <w:hideMark/>
          </w:tcPr>
          <w:p w14:paraId="62CF2D95" w14:textId="77777777" w:rsidR="00E30B6F" w:rsidRPr="003818C4" w:rsidRDefault="00E30B6F" w:rsidP="001164F1">
            <w:pPr>
              <w:pStyle w:val="Body"/>
              <w:spacing w:after="0" w:line="240" w:lineRule="auto"/>
              <w:jc w:val="center"/>
              <w:rPr>
                <w:rFonts w:ascii="Arial" w:eastAsia="Calibri" w:hAnsi="Arial" w:cs="Arial"/>
                <w:b/>
                <w:sz w:val="18"/>
                <w:szCs w:val="18"/>
                <w:lang w:val="en-GB"/>
              </w:rPr>
            </w:pPr>
            <w:r w:rsidRPr="003818C4">
              <w:rPr>
                <w:rFonts w:ascii="Arial" w:eastAsia="Calibri" w:hAnsi="Arial" w:cs="Arial"/>
                <w:b/>
                <w:sz w:val="18"/>
                <w:szCs w:val="18"/>
                <w:lang w:val="en-GB"/>
              </w:rPr>
              <w:t>Table 2.</w:t>
            </w:r>
          </w:p>
        </w:tc>
        <w:tc>
          <w:tcPr>
            <w:tcW w:w="709" w:type="dxa"/>
            <w:shd w:val="clear" w:color="auto" w:fill="auto"/>
            <w:tcMar>
              <w:top w:w="13" w:type="dxa"/>
              <w:left w:w="108" w:type="dxa"/>
              <w:bottom w:w="0" w:type="dxa"/>
              <w:right w:w="108" w:type="dxa"/>
            </w:tcMar>
            <w:hideMark/>
          </w:tcPr>
          <w:p w14:paraId="411499A0" w14:textId="77777777" w:rsidR="00E30B6F" w:rsidRPr="003818C4" w:rsidRDefault="00E30B6F" w:rsidP="001164F1">
            <w:pPr>
              <w:pStyle w:val="Body"/>
              <w:spacing w:after="0" w:line="240" w:lineRule="auto"/>
              <w:jc w:val="center"/>
              <w:rPr>
                <w:rFonts w:ascii="Arial" w:eastAsia="Calibri" w:hAnsi="Arial" w:cs="Arial"/>
                <w:sz w:val="18"/>
                <w:szCs w:val="18"/>
                <w:lang w:val="en-GB"/>
              </w:rPr>
            </w:pPr>
            <w:r w:rsidRPr="003818C4">
              <w:rPr>
                <w:rFonts w:ascii="Arial" w:eastAsia="Calibri" w:hAnsi="Arial" w:cs="Arial"/>
                <w:b/>
                <w:bCs/>
                <w:sz w:val="18"/>
                <w:szCs w:val="18"/>
                <w:lang w:val="en-GB"/>
              </w:rPr>
              <w:t>Total</w:t>
            </w:r>
          </w:p>
        </w:tc>
        <w:tc>
          <w:tcPr>
            <w:tcW w:w="1559" w:type="dxa"/>
            <w:tcBorders>
              <w:bottom w:val="single" w:sz="4" w:space="0" w:color="auto"/>
            </w:tcBorders>
            <w:shd w:val="clear" w:color="auto" w:fill="073763" w:themeFill="accent1" w:themeFillShade="80"/>
            <w:tcMar>
              <w:top w:w="13" w:type="dxa"/>
              <w:left w:w="108" w:type="dxa"/>
              <w:bottom w:w="0" w:type="dxa"/>
              <w:right w:w="108" w:type="dxa"/>
            </w:tcMar>
            <w:hideMark/>
          </w:tcPr>
          <w:p w14:paraId="4E566990" w14:textId="77777777" w:rsidR="00E30B6F" w:rsidRPr="003818C4" w:rsidRDefault="00E30B6F" w:rsidP="001164F1">
            <w:pPr>
              <w:pStyle w:val="Body"/>
              <w:spacing w:after="0" w:line="240" w:lineRule="auto"/>
              <w:jc w:val="center"/>
              <w:rPr>
                <w:rFonts w:ascii="Arial" w:eastAsia="Calibri" w:hAnsi="Arial" w:cs="Arial"/>
                <w:sz w:val="18"/>
                <w:szCs w:val="18"/>
                <w:lang w:val="en-GB"/>
              </w:rPr>
            </w:pPr>
            <w:r w:rsidRPr="003818C4">
              <w:rPr>
                <w:rFonts w:ascii="Arial" w:hAnsi="Arial" w:cs="Arial"/>
                <w:b/>
                <w:bCs/>
                <w:color w:val="FFFFFF" w:themeColor="background1"/>
                <w:sz w:val="18"/>
                <w:szCs w:val="18"/>
                <w:lang w:val="en-GB"/>
              </w:rPr>
              <w:t>Accomplished</w:t>
            </w:r>
          </w:p>
        </w:tc>
        <w:tc>
          <w:tcPr>
            <w:tcW w:w="1417" w:type="dxa"/>
            <w:tcBorders>
              <w:bottom w:val="single" w:sz="4" w:space="0" w:color="auto"/>
            </w:tcBorders>
            <w:shd w:val="clear" w:color="auto" w:fill="0B5294" w:themeFill="accent1" w:themeFillShade="BF"/>
            <w:tcMar>
              <w:top w:w="13" w:type="dxa"/>
              <w:left w:w="108" w:type="dxa"/>
              <w:bottom w:w="0" w:type="dxa"/>
              <w:right w:w="108" w:type="dxa"/>
            </w:tcMar>
            <w:hideMark/>
          </w:tcPr>
          <w:p w14:paraId="641C9C5E" w14:textId="77777777" w:rsidR="00E30B6F" w:rsidRPr="003818C4" w:rsidRDefault="00986E46" w:rsidP="001164F1">
            <w:pPr>
              <w:pStyle w:val="Body"/>
              <w:spacing w:after="0" w:line="240" w:lineRule="auto"/>
              <w:jc w:val="center"/>
              <w:rPr>
                <w:rFonts w:ascii="Arial" w:eastAsia="Calibri" w:hAnsi="Arial" w:cs="Arial"/>
                <w:b/>
                <w:bCs/>
                <w:sz w:val="18"/>
                <w:szCs w:val="18"/>
                <w:lang w:val="en-GB"/>
              </w:rPr>
            </w:pPr>
            <w:r w:rsidRPr="003818C4">
              <w:rPr>
                <w:rFonts w:ascii="Arial" w:hAnsi="Arial" w:cs="Arial"/>
                <w:b/>
                <w:bCs/>
                <w:color w:val="FFFFFF" w:themeColor="background1"/>
                <w:sz w:val="18"/>
                <w:szCs w:val="18"/>
                <w:lang w:val="en-GB"/>
              </w:rPr>
              <w:t>Partly implemented</w:t>
            </w:r>
          </w:p>
        </w:tc>
        <w:tc>
          <w:tcPr>
            <w:tcW w:w="1418" w:type="dxa"/>
            <w:tcBorders>
              <w:bottom w:val="single" w:sz="4" w:space="0" w:color="auto"/>
            </w:tcBorders>
            <w:shd w:val="clear" w:color="auto" w:fill="59A9F2" w:themeFill="accent1" w:themeFillTint="99"/>
            <w:tcMar>
              <w:top w:w="13" w:type="dxa"/>
              <w:left w:w="108" w:type="dxa"/>
              <w:bottom w:w="0" w:type="dxa"/>
              <w:right w:w="108" w:type="dxa"/>
            </w:tcMar>
            <w:hideMark/>
          </w:tcPr>
          <w:p w14:paraId="38A7A0EF" w14:textId="77777777" w:rsidR="00E30B6F" w:rsidRPr="003818C4" w:rsidRDefault="00986E46" w:rsidP="001164F1">
            <w:pPr>
              <w:pStyle w:val="Body"/>
              <w:spacing w:after="0" w:line="240" w:lineRule="auto"/>
              <w:jc w:val="center"/>
              <w:rPr>
                <w:rFonts w:ascii="Arial" w:eastAsia="Calibri" w:hAnsi="Arial" w:cs="Arial"/>
                <w:sz w:val="18"/>
                <w:szCs w:val="18"/>
                <w:lang w:val="en-GB"/>
              </w:rPr>
            </w:pPr>
            <w:r w:rsidRPr="003818C4">
              <w:rPr>
                <w:rFonts w:ascii="Arial" w:hAnsi="Arial" w:cs="Arial"/>
                <w:b/>
                <w:bCs/>
                <w:color w:val="FFFFFF" w:themeColor="background1"/>
                <w:sz w:val="18"/>
                <w:szCs w:val="18"/>
                <w:lang w:val="en-GB"/>
              </w:rPr>
              <w:t>Not implemented</w:t>
            </w:r>
          </w:p>
        </w:tc>
      </w:tr>
      <w:tr w:rsidR="00E30B6F" w:rsidRPr="003818C4" w14:paraId="165DA116" w14:textId="77777777" w:rsidTr="00E30B6F">
        <w:trPr>
          <w:trHeight w:val="221"/>
        </w:trPr>
        <w:tc>
          <w:tcPr>
            <w:tcW w:w="3788" w:type="dxa"/>
            <w:shd w:val="clear" w:color="auto" w:fill="D9D9D9"/>
            <w:tcMar>
              <w:top w:w="13" w:type="dxa"/>
              <w:left w:w="108" w:type="dxa"/>
              <w:bottom w:w="0" w:type="dxa"/>
              <w:right w:w="108" w:type="dxa"/>
            </w:tcMar>
          </w:tcPr>
          <w:p w14:paraId="50821C4D" w14:textId="77777777" w:rsidR="00E30B6F" w:rsidRPr="003818C4" w:rsidRDefault="00E30B6F" w:rsidP="001164F1">
            <w:pPr>
              <w:pStyle w:val="Body"/>
              <w:spacing w:after="0" w:line="240" w:lineRule="auto"/>
              <w:rPr>
                <w:rFonts w:ascii="Arial" w:eastAsia="Calibri" w:hAnsi="Arial" w:cs="Arial"/>
                <w:sz w:val="18"/>
                <w:szCs w:val="18"/>
                <w:lang w:val="en-GB"/>
              </w:rPr>
            </w:pPr>
            <w:r w:rsidRPr="003818C4">
              <w:rPr>
                <w:rFonts w:ascii="Arial" w:eastAsia="Calibri" w:hAnsi="Arial" w:cs="Arial"/>
                <w:b/>
                <w:bCs/>
                <w:sz w:val="18"/>
                <w:szCs w:val="18"/>
                <w:lang w:val="en-GB"/>
              </w:rPr>
              <w:t xml:space="preserve">NAPIAA 2014 - 2016 </w:t>
            </w:r>
          </w:p>
        </w:tc>
        <w:tc>
          <w:tcPr>
            <w:tcW w:w="709" w:type="dxa"/>
            <w:shd w:val="clear" w:color="auto" w:fill="D9D9D9" w:themeFill="background1" w:themeFillShade="D9"/>
            <w:tcMar>
              <w:top w:w="13" w:type="dxa"/>
              <w:left w:w="108" w:type="dxa"/>
              <w:bottom w:w="0" w:type="dxa"/>
              <w:right w:w="108" w:type="dxa"/>
            </w:tcMar>
          </w:tcPr>
          <w:p w14:paraId="2A849CED" w14:textId="77777777" w:rsidR="00E30B6F" w:rsidRPr="003818C4" w:rsidRDefault="00E30B6F" w:rsidP="001164F1">
            <w:pPr>
              <w:pStyle w:val="Body"/>
              <w:spacing w:after="0" w:line="240" w:lineRule="auto"/>
              <w:jc w:val="center"/>
              <w:rPr>
                <w:rFonts w:ascii="Arial" w:eastAsia="Calibri" w:hAnsi="Arial" w:cs="Arial"/>
                <w:sz w:val="18"/>
                <w:szCs w:val="18"/>
                <w:lang w:val="en-GB"/>
              </w:rPr>
            </w:pPr>
            <w:r w:rsidRPr="003818C4">
              <w:rPr>
                <w:rFonts w:ascii="Arial" w:eastAsia="Calibri" w:hAnsi="Arial" w:cs="Arial"/>
                <w:sz w:val="18"/>
                <w:szCs w:val="18"/>
                <w:lang w:val="en-GB"/>
              </w:rPr>
              <w:t>136</w:t>
            </w:r>
          </w:p>
        </w:tc>
        <w:tc>
          <w:tcPr>
            <w:tcW w:w="1559" w:type="dxa"/>
            <w:shd w:val="clear" w:color="auto" w:fill="auto"/>
            <w:tcMar>
              <w:top w:w="13" w:type="dxa"/>
              <w:left w:w="108" w:type="dxa"/>
              <w:bottom w:w="0" w:type="dxa"/>
              <w:right w:w="108" w:type="dxa"/>
            </w:tcMar>
          </w:tcPr>
          <w:p w14:paraId="3C84F99A" w14:textId="77777777" w:rsidR="00E30B6F" w:rsidRPr="003818C4" w:rsidRDefault="00E30B6F" w:rsidP="001164F1">
            <w:pPr>
              <w:pStyle w:val="Body"/>
              <w:spacing w:after="0" w:line="240" w:lineRule="auto"/>
              <w:jc w:val="center"/>
              <w:rPr>
                <w:rFonts w:ascii="Arial" w:eastAsia="Calibri" w:hAnsi="Arial" w:cs="Arial"/>
                <w:sz w:val="18"/>
                <w:szCs w:val="18"/>
                <w:lang w:val="en-GB"/>
              </w:rPr>
            </w:pPr>
            <w:r w:rsidRPr="003818C4">
              <w:rPr>
                <w:rFonts w:ascii="Arial" w:eastAsia="Calibri" w:hAnsi="Arial" w:cs="Arial"/>
                <w:sz w:val="18"/>
                <w:szCs w:val="18"/>
                <w:lang w:val="en-GB"/>
              </w:rPr>
              <w:t>101</w:t>
            </w:r>
          </w:p>
        </w:tc>
        <w:tc>
          <w:tcPr>
            <w:tcW w:w="1417" w:type="dxa"/>
            <w:shd w:val="clear" w:color="auto" w:fill="auto"/>
            <w:tcMar>
              <w:top w:w="13" w:type="dxa"/>
              <w:left w:w="108" w:type="dxa"/>
              <w:bottom w:w="0" w:type="dxa"/>
              <w:right w:w="108" w:type="dxa"/>
            </w:tcMar>
          </w:tcPr>
          <w:p w14:paraId="54686A0D" w14:textId="77777777" w:rsidR="00E30B6F" w:rsidRPr="003818C4" w:rsidRDefault="00E30B6F" w:rsidP="001164F1">
            <w:pPr>
              <w:pStyle w:val="Body"/>
              <w:spacing w:after="0" w:line="240" w:lineRule="auto"/>
              <w:jc w:val="center"/>
              <w:rPr>
                <w:rFonts w:ascii="Arial" w:eastAsia="Calibri" w:hAnsi="Arial" w:cs="Arial"/>
                <w:sz w:val="18"/>
                <w:szCs w:val="18"/>
                <w:lang w:val="en-GB"/>
              </w:rPr>
            </w:pPr>
            <w:r w:rsidRPr="003818C4">
              <w:rPr>
                <w:rFonts w:ascii="Arial" w:eastAsia="Calibri" w:hAnsi="Arial" w:cs="Arial"/>
                <w:sz w:val="18"/>
                <w:szCs w:val="18"/>
                <w:lang w:val="en-GB"/>
              </w:rPr>
              <w:t>28</w:t>
            </w:r>
          </w:p>
        </w:tc>
        <w:tc>
          <w:tcPr>
            <w:tcW w:w="1418" w:type="dxa"/>
            <w:shd w:val="clear" w:color="auto" w:fill="auto"/>
            <w:tcMar>
              <w:top w:w="13" w:type="dxa"/>
              <w:left w:w="108" w:type="dxa"/>
              <w:bottom w:w="0" w:type="dxa"/>
              <w:right w:w="108" w:type="dxa"/>
            </w:tcMar>
          </w:tcPr>
          <w:p w14:paraId="44B95E26" w14:textId="77777777" w:rsidR="00E30B6F" w:rsidRPr="003818C4" w:rsidRDefault="00E30B6F" w:rsidP="001164F1">
            <w:pPr>
              <w:pStyle w:val="Body"/>
              <w:spacing w:after="0" w:line="240" w:lineRule="auto"/>
              <w:jc w:val="center"/>
              <w:rPr>
                <w:rFonts w:ascii="Arial" w:eastAsia="Calibri" w:hAnsi="Arial" w:cs="Arial"/>
                <w:sz w:val="18"/>
                <w:szCs w:val="18"/>
                <w:lang w:val="en-GB"/>
              </w:rPr>
            </w:pPr>
            <w:r w:rsidRPr="003818C4">
              <w:rPr>
                <w:rFonts w:ascii="Arial" w:eastAsia="Calibri" w:hAnsi="Arial" w:cs="Arial"/>
                <w:sz w:val="18"/>
                <w:szCs w:val="18"/>
                <w:lang w:val="en-GB"/>
              </w:rPr>
              <w:t>7</w:t>
            </w:r>
          </w:p>
        </w:tc>
      </w:tr>
      <w:tr w:rsidR="00E30B6F" w:rsidRPr="003818C4" w14:paraId="011E8F3A" w14:textId="77777777" w:rsidTr="00E30B6F">
        <w:trPr>
          <w:trHeight w:val="222"/>
        </w:trPr>
        <w:tc>
          <w:tcPr>
            <w:tcW w:w="3788" w:type="dxa"/>
            <w:shd w:val="clear" w:color="auto" w:fill="D9D9D9"/>
            <w:tcMar>
              <w:top w:w="13" w:type="dxa"/>
              <w:left w:w="108" w:type="dxa"/>
              <w:bottom w:w="0" w:type="dxa"/>
              <w:right w:w="108" w:type="dxa"/>
            </w:tcMar>
            <w:hideMark/>
          </w:tcPr>
          <w:p w14:paraId="20F99532" w14:textId="77777777" w:rsidR="00E30B6F" w:rsidRPr="003818C4" w:rsidRDefault="00CA62F9" w:rsidP="001164F1">
            <w:pPr>
              <w:pStyle w:val="Body"/>
              <w:spacing w:after="0" w:line="240" w:lineRule="auto"/>
              <w:rPr>
                <w:rFonts w:ascii="Arial" w:eastAsia="Calibri" w:hAnsi="Arial" w:cs="Arial"/>
                <w:sz w:val="18"/>
                <w:szCs w:val="18"/>
                <w:lang w:val="en-GB"/>
              </w:rPr>
            </w:pPr>
            <w:r w:rsidRPr="003818C4">
              <w:rPr>
                <w:rFonts w:ascii="Arial" w:eastAsia="Calibri" w:hAnsi="Arial" w:cs="Arial"/>
                <w:b/>
                <w:bCs/>
                <w:sz w:val="18"/>
                <w:szCs w:val="18"/>
                <w:lang w:val="en-GB"/>
              </w:rPr>
              <w:t>To be implemented</w:t>
            </w:r>
            <w:r w:rsidR="00E30B6F" w:rsidRPr="003818C4">
              <w:rPr>
                <w:rFonts w:ascii="Arial" w:eastAsia="Calibri" w:hAnsi="Arial" w:cs="Arial"/>
                <w:b/>
                <w:bCs/>
                <w:sz w:val="18"/>
                <w:szCs w:val="18"/>
                <w:lang w:val="en-GB"/>
              </w:rPr>
              <w:t xml:space="preserve"> by 31.12.2016</w:t>
            </w:r>
          </w:p>
        </w:tc>
        <w:tc>
          <w:tcPr>
            <w:tcW w:w="709" w:type="dxa"/>
            <w:shd w:val="clear" w:color="auto" w:fill="D9D9D9" w:themeFill="background1" w:themeFillShade="D9"/>
            <w:tcMar>
              <w:top w:w="13" w:type="dxa"/>
              <w:left w:w="108" w:type="dxa"/>
              <w:bottom w:w="0" w:type="dxa"/>
              <w:right w:w="108" w:type="dxa"/>
            </w:tcMar>
            <w:hideMark/>
          </w:tcPr>
          <w:p w14:paraId="21DD6E97" w14:textId="77777777" w:rsidR="00E30B6F" w:rsidRPr="003818C4" w:rsidRDefault="00E30B6F" w:rsidP="001164F1">
            <w:pPr>
              <w:pStyle w:val="Body"/>
              <w:spacing w:after="0" w:line="240" w:lineRule="auto"/>
              <w:jc w:val="center"/>
              <w:rPr>
                <w:rFonts w:ascii="Arial" w:eastAsia="Calibri" w:hAnsi="Arial" w:cs="Arial"/>
                <w:sz w:val="18"/>
                <w:szCs w:val="18"/>
                <w:lang w:val="en-GB"/>
              </w:rPr>
            </w:pPr>
            <w:r w:rsidRPr="003818C4">
              <w:rPr>
                <w:rFonts w:ascii="Arial" w:eastAsia="Calibri" w:hAnsi="Arial" w:cs="Arial"/>
                <w:sz w:val="18"/>
                <w:szCs w:val="18"/>
                <w:lang w:val="en-GB"/>
              </w:rPr>
              <w:t>136</w:t>
            </w:r>
          </w:p>
        </w:tc>
        <w:tc>
          <w:tcPr>
            <w:tcW w:w="1559" w:type="dxa"/>
            <w:shd w:val="clear" w:color="auto" w:fill="auto"/>
            <w:tcMar>
              <w:top w:w="13" w:type="dxa"/>
              <w:left w:w="108" w:type="dxa"/>
              <w:bottom w:w="0" w:type="dxa"/>
              <w:right w:w="108" w:type="dxa"/>
            </w:tcMar>
            <w:hideMark/>
          </w:tcPr>
          <w:p w14:paraId="46E85F03" w14:textId="77777777" w:rsidR="00E30B6F" w:rsidRPr="003818C4" w:rsidRDefault="00E30B6F" w:rsidP="001164F1">
            <w:pPr>
              <w:pStyle w:val="Body"/>
              <w:spacing w:after="0" w:line="240" w:lineRule="auto"/>
              <w:jc w:val="center"/>
              <w:rPr>
                <w:rFonts w:ascii="Arial" w:eastAsia="Calibri" w:hAnsi="Arial" w:cs="Arial"/>
                <w:sz w:val="18"/>
                <w:szCs w:val="18"/>
                <w:lang w:val="en-GB"/>
              </w:rPr>
            </w:pPr>
            <w:r w:rsidRPr="003818C4">
              <w:rPr>
                <w:rFonts w:ascii="Arial" w:eastAsia="Calibri" w:hAnsi="Arial" w:cs="Arial"/>
                <w:sz w:val="18"/>
                <w:szCs w:val="18"/>
                <w:lang w:val="en-GB"/>
              </w:rPr>
              <w:t>101</w:t>
            </w:r>
          </w:p>
        </w:tc>
        <w:tc>
          <w:tcPr>
            <w:tcW w:w="1417" w:type="dxa"/>
            <w:shd w:val="clear" w:color="auto" w:fill="auto"/>
            <w:tcMar>
              <w:top w:w="13" w:type="dxa"/>
              <w:left w:w="108" w:type="dxa"/>
              <w:bottom w:w="0" w:type="dxa"/>
              <w:right w:w="108" w:type="dxa"/>
            </w:tcMar>
            <w:hideMark/>
          </w:tcPr>
          <w:p w14:paraId="5B91CCDB" w14:textId="77777777" w:rsidR="00E30B6F" w:rsidRPr="003818C4" w:rsidRDefault="00E30B6F" w:rsidP="001164F1">
            <w:pPr>
              <w:pStyle w:val="Body"/>
              <w:spacing w:after="0" w:line="240" w:lineRule="auto"/>
              <w:jc w:val="center"/>
              <w:rPr>
                <w:rFonts w:ascii="Arial" w:eastAsia="Calibri" w:hAnsi="Arial" w:cs="Arial"/>
                <w:sz w:val="18"/>
                <w:szCs w:val="18"/>
                <w:lang w:val="en-GB"/>
              </w:rPr>
            </w:pPr>
            <w:r w:rsidRPr="003818C4">
              <w:rPr>
                <w:rFonts w:ascii="Arial" w:eastAsia="Calibri" w:hAnsi="Arial" w:cs="Arial"/>
                <w:sz w:val="18"/>
                <w:szCs w:val="18"/>
                <w:lang w:val="en-GB"/>
              </w:rPr>
              <w:t>28</w:t>
            </w:r>
          </w:p>
        </w:tc>
        <w:tc>
          <w:tcPr>
            <w:tcW w:w="1418" w:type="dxa"/>
            <w:shd w:val="clear" w:color="auto" w:fill="auto"/>
            <w:tcMar>
              <w:top w:w="13" w:type="dxa"/>
              <w:left w:w="108" w:type="dxa"/>
              <w:bottom w:w="0" w:type="dxa"/>
              <w:right w:w="108" w:type="dxa"/>
            </w:tcMar>
            <w:hideMark/>
          </w:tcPr>
          <w:p w14:paraId="036CD470" w14:textId="77777777" w:rsidR="00E30B6F" w:rsidRPr="003818C4" w:rsidRDefault="00E30B6F" w:rsidP="001164F1">
            <w:pPr>
              <w:pStyle w:val="Body"/>
              <w:spacing w:after="0" w:line="240" w:lineRule="auto"/>
              <w:jc w:val="center"/>
              <w:rPr>
                <w:rFonts w:ascii="Arial" w:eastAsia="Calibri" w:hAnsi="Arial" w:cs="Arial"/>
                <w:sz w:val="18"/>
                <w:szCs w:val="18"/>
                <w:lang w:val="en-GB"/>
              </w:rPr>
            </w:pPr>
            <w:r w:rsidRPr="003818C4">
              <w:rPr>
                <w:rFonts w:ascii="Arial" w:eastAsia="Calibri" w:hAnsi="Arial" w:cs="Arial"/>
                <w:sz w:val="18"/>
                <w:szCs w:val="18"/>
                <w:lang w:val="en-GB"/>
              </w:rPr>
              <w:t>7</w:t>
            </w:r>
          </w:p>
        </w:tc>
      </w:tr>
    </w:tbl>
    <w:p w14:paraId="0C6962F0" w14:textId="77777777" w:rsidR="00E30B6F" w:rsidRPr="003818C4" w:rsidRDefault="00E30B6F" w:rsidP="001164F1">
      <w:pPr>
        <w:pStyle w:val="Heading3"/>
        <w:spacing w:before="120" w:after="120" w:line="240" w:lineRule="auto"/>
        <w:rPr>
          <w:rFonts w:ascii="Arial" w:hAnsi="Arial" w:cs="Arial"/>
          <w:b/>
          <w:color w:val="0B5294" w:themeColor="accent1" w:themeShade="BF"/>
          <w:sz w:val="18"/>
          <w:szCs w:val="18"/>
          <w:lang w:val="en-GB"/>
        </w:rPr>
      </w:pPr>
      <w:bookmarkStart w:id="11" w:name="_Toc478028659"/>
      <w:bookmarkStart w:id="12" w:name="_Toc477762691"/>
      <w:r w:rsidRPr="003818C4">
        <w:rPr>
          <w:rFonts w:ascii="Arial" w:hAnsi="Arial" w:cs="Arial"/>
          <w:b/>
          <w:color w:val="0B5294" w:themeColor="accent1" w:themeShade="BF"/>
          <w:sz w:val="18"/>
          <w:szCs w:val="18"/>
          <w:lang w:val="en-GB"/>
        </w:rPr>
        <w:t>Conclusions (Title II)</w:t>
      </w:r>
      <w:bookmarkEnd w:id="11"/>
    </w:p>
    <w:p w14:paraId="420553E0" w14:textId="77777777" w:rsidR="00E30B6F" w:rsidRPr="003818C4" w:rsidRDefault="00E30B6F" w:rsidP="00890C8B">
      <w:pPr>
        <w:pStyle w:val="Body"/>
        <w:numPr>
          <w:ilvl w:val="0"/>
          <w:numId w:val="42"/>
        </w:numPr>
        <w:spacing w:before="120" w:after="120" w:line="240" w:lineRule="auto"/>
        <w:ind w:left="284" w:hanging="284"/>
        <w:rPr>
          <w:rStyle w:val="NoneA"/>
          <w:rFonts w:ascii="Arial" w:eastAsiaTheme="minorEastAsia" w:hAnsi="Arial" w:cs="Arial"/>
          <w:bCs/>
          <w:color w:val="auto"/>
          <w:sz w:val="18"/>
          <w:szCs w:val="18"/>
          <w:lang w:val="en-GB"/>
        </w:rPr>
      </w:pPr>
      <w:r w:rsidRPr="003818C4">
        <w:rPr>
          <w:rStyle w:val="NoneA"/>
          <w:rFonts w:ascii="Arial" w:hAnsi="Arial" w:cs="Arial"/>
          <w:bCs/>
          <w:sz w:val="18"/>
          <w:szCs w:val="18"/>
          <w:lang w:val="en-GB"/>
        </w:rPr>
        <w:t>The financing of political parties and of electoral candidates is not adequate, the financing mechanism from the state budget requires significant review to comply with the GRECO and OSCE/ODIHR recommendations.</w:t>
      </w:r>
    </w:p>
    <w:p w14:paraId="616F90AD" w14:textId="77777777" w:rsidR="00E30B6F" w:rsidRPr="003818C4" w:rsidRDefault="00E30B6F" w:rsidP="00890C8B">
      <w:pPr>
        <w:pStyle w:val="Body"/>
        <w:numPr>
          <w:ilvl w:val="0"/>
          <w:numId w:val="42"/>
        </w:numPr>
        <w:spacing w:before="120" w:after="120" w:line="240" w:lineRule="auto"/>
        <w:ind w:left="284" w:hanging="284"/>
        <w:rPr>
          <w:rStyle w:val="NoneA"/>
          <w:rFonts w:ascii="Arial" w:hAnsi="Arial" w:cs="Arial"/>
          <w:b/>
          <w:bCs/>
          <w:sz w:val="18"/>
          <w:szCs w:val="18"/>
          <w:lang w:val="en-GB"/>
        </w:rPr>
      </w:pPr>
      <w:r w:rsidRPr="003818C4">
        <w:rPr>
          <w:rStyle w:val="NoneA"/>
          <w:rFonts w:ascii="Arial" w:hAnsi="Arial" w:cs="Arial"/>
          <w:bCs/>
          <w:sz w:val="18"/>
          <w:szCs w:val="18"/>
          <w:lang w:val="en-GB"/>
        </w:rPr>
        <w:t>The appointment and promotion of judges was not improved, the draft amendment</w:t>
      </w:r>
      <w:r w:rsidR="00986E46" w:rsidRPr="003818C4">
        <w:rPr>
          <w:rStyle w:val="NoneA"/>
          <w:rFonts w:ascii="Arial" w:hAnsi="Arial" w:cs="Arial"/>
          <w:bCs/>
          <w:sz w:val="18"/>
          <w:szCs w:val="18"/>
          <w:lang w:val="en-GB"/>
        </w:rPr>
        <w:t>s to the Constitution</w:t>
      </w:r>
      <w:r w:rsidRPr="003818C4">
        <w:rPr>
          <w:rStyle w:val="NoneA"/>
          <w:rFonts w:ascii="Arial" w:hAnsi="Arial" w:cs="Arial"/>
          <w:bCs/>
          <w:sz w:val="18"/>
          <w:szCs w:val="18"/>
          <w:lang w:val="en-GB"/>
        </w:rPr>
        <w:t xml:space="preserve"> risks being cancelled if not approved by the end of April 2017 by the Parliament in two readings. The procedure of appointment of judges for one term based on objective criteria, merit and in a transparent selection manner is still lacking.</w:t>
      </w:r>
      <w:r w:rsidRPr="003818C4">
        <w:rPr>
          <w:rStyle w:val="NoneA"/>
          <w:rFonts w:ascii="Arial" w:hAnsi="Arial" w:cs="Arial"/>
          <w:b/>
          <w:bCs/>
          <w:sz w:val="18"/>
          <w:szCs w:val="18"/>
          <w:lang w:val="en-GB"/>
        </w:rPr>
        <w:t xml:space="preserve"> </w:t>
      </w:r>
    </w:p>
    <w:p w14:paraId="100E2C58" w14:textId="77777777" w:rsidR="00E30B6F" w:rsidRPr="003818C4" w:rsidRDefault="00E30B6F" w:rsidP="00890C8B">
      <w:pPr>
        <w:pStyle w:val="Body"/>
        <w:numPr>
          <w:ilvl w:val="0"/>
          <w:numId w:val="42"/>
        </w:numPr>
        <w:spacing w:before="120" w:after="120" w:line="240" w:lineRule="auto"/>
        <w:ind w:left="284" w:hanging="284"/>
        <w:rPr>
          <w:rStyle w:val="NoneA"/>
          <w:rFonts w:ascii="Arial" w:eastAsiaTheme="minorEastAsia" w:hAnsi="Arial" w:cs="Arial"/>
          <w:bCs/>
          <w:color w:val="auto"/>
          <w:sz w:val="18"/>
          <w:szCs w:val="18"/>
          <w:lang w:val="en-GB"/>
        </w:rPr>
      </w:pPr>
      <w:r w:rsidRPr="003818C4">
        <w:rPr>
          <w:rStyle w:val="NoneA"/>
          <w:rFonts w:ascii="Arial" w:hAnsi="Arial" w:cs="Arial"/>
          <w:bCs/>
          <w:sz w:val="18"/>
          <w:szCs w:val="18"/>
          <w:lang w:val="en-GB"/>
        </w:rPr>
        <w:t>The reform of the prosecutors’ offices was partially implemented, whilst in some instances it was implemented in a vicious manner. The General Prosecutor selected by the Supreme Council of Prosecutors was admitted to the selection procedure although the members of the Council were in a subordination relation with the same person holding the position of ad interim General Prosecutor. The members of the Supreme Council of Prosecutors took over an enhanced mandate based on the new law, although elected based on the old law, which provided for less competences. Although created as a specialised prosecutors’ office to fight high level corruption, the Anticorruption Prosecutors’ Office still manages criminal prosecution of low level corruption cases, which are within the competences of the National Anticorruption Centre.</w:t>
      </w:r>
    </w:p>
    <w:p w14:paraId="0AC7EA3D" w14:textId="77777777" w:rsidR="00E30B6F" w:rsidRPr="003818C4" w:rsidRDefault="00E30B6F" w:rsidP="00890C8B">
      <w:pPr>
        <w:pStyle w:val="Body"/>
        <w:numPr>
          <w:ilvl w:val="0"/>
          <w:numId w:val="42"/>
        </w:numPr>
        <w:spacing w:before="120" w:after="120" w:line="240" w:lineRule="auto"/>
        <w:ind w:left="284" w:hanging="284"/>
        <w:rPr>
          <w:rStyle w:val="NoneA"/>
          <w:rFonts w:ascii="Arial" w:eastAsiaTheme="minorEastAsia" w:hAnsi="Arial" w:cs="Arial"/>
          <w:bCs/>
          <w:color w:val="auto"/>
          <w:sz w:val="18"/>
          <w:szCs w:val="18"/>
          <w:lang w:val="en-GB"/>
        </w:rPr>
      </w:pPr>
      <w:r w:rsidRPr="003818C4">
        <w:rPr>
          <w:rStyle w:val="NoneA"/>
          <w:rFonts w:ascii="Arial" w:hAnsi="Arial" w:cs="Arial"/>
          <w:bCs/>
          <w:sz w:val="18"/>
          <w:szCs w:val="18"/>
          <w:lang w:val="en-GB"/>
        </w:rPr>
        <w:t xml:space="preserve">The reform of the Constitutional Court was not finalised. The requirements to the reform mentioned in the </w:t>
      </w:r>
      <w:r w:rsidR="00986E46" w:rsidRPr="003818C4">
        <w:rPr>
          <w:rStyle w:val="NoneA"/>
          <w:rFonts w:ascii="Arial" w:hAnsi="Arial" w:cs="Arial"/>
          <w:bCs/>
          <w:sz w:val="18"/>
          <w:szCs w:val="18"/>
          <w:lang w:val="en-GB"/>
        </w:rPr>
        <w:t>NAPIAA</w:t>
      </w:r>
      <w:r w:rsidRPr="003818C4">
        <w:rPr>
          <w:rStyle w:val="NoneA"/>
          <w:rFonts w:ascii="Arial" w:hAnsi="Arial" w:cs="Arial"/>
          <w:bCs/>
          <w:sz w:val="18"/>
          <w:szCs w:val="18"/>
          <w:lang w:val="en-GB"/>
        </w:rPr>
        <w:t xml:space="preserve"> are not observed in the draft amendment of the Constitution, including do not ensure a transparent, merit-based selection of the judges in the Constitutional Court, within a competitive contest, and do not clarify the status of the current judges on their possibility or restriction to run for another term as members of the Constitutional Court after the entry into force of the amendments to the Constitution. The draft amendment to the Constitution must be approved until the end of 2017. Otherwise, it risks redundancy as provided by the Constitution.</w:t>
      </w:r>
    </w:p>
    <w:p w14:paraId="3271D777" w14:textId="77777777" w:rsidR="00E30B6F" w:rsidRPr="003818C4" w:rsidRDefault="00E30B6F" w:rsidP="00890C8B">
      <w:pPr>
        <w:pStyle w:val="Body"/>
        <w:numPr>
          <w:ilvl w:val="0"/>
          <w:numId w:val="42"/>
        </w:numPr>
        <w:spacing w:before="120" w:after="120" w:line="240" w:lineRule="auto"/>
        <w:ind w:left="284" w:hanging="284"/>
        <w:rPr>
          <w:rStyle w:val="NoneA"/>
          <w:rFonts w:ascii="Arial" w:eastAsiaTheme="minorEastAsia" w:hAnsi="Arial" w:cs="Arial"/>
          <w:bCs/>
          <w:color w:val="auto"/>
          <w:sz w:val="18"/>
          <w:szCs w:val="18"/>
          <w:lang w:val="en-GB"/>
        </w:rPr>
      </w:pPr>
      <w:r w:rsidRPr="003818C4">
        <w:rPr>
          <w:rStyle w:val="NoneA"/>
          <w:rFonts w:ascii="Arial" w:hAnsi="Arial" w:cs="Arial"/>
          <w:bCs/>
          <w:sz w:val="18"/>
          <w:szCs w:val="18"/>
          <w:lang w:val="en-GB"/>
        </w:rPr>
        <w:t>The reform of the institutional framework responsible for</w:t>
      </w:r>
      <w:r w:rsidR="00986E46" w:rsidRPr="003818C4">
        <w:rPr>
          <w:rStyle w:val="NoneA"/>
          <w:rFonts w:ascii="Arial" w:hAnsi="Arial" w:cs="Arial"/>
          <w:bCs/>
          <w:sz w:val="18"/>
          <w:szCs w:val="18"/>
          <w:lang w:val="en-GB"/>
        </w:rPr>
        <w:t xml:space="preserve"> the</w:t>
      </w:r>
      <w:r w:rsidRPr="003818C4">
        <w:rPr>
          <w:rStyle w:val="NoneA"/>
          <w:rFonts w:ascii="Arial" w:hAnsi="Arial" w:cs="Arial"/>
          <w:bCs/>
          <w:sz w:val="18"/>
          <w:szCs w:val="18"/>
          <w:lang w:val="en-GB"/>
        </w:rPr>
        <w:t xml:space="preserve"> fight against corruption and review of integrity was not finalised. The National Integrity Agency is not yet functional, whilst the implementation of the integrity review mechanism shall be possible only after the Integrity Council of the Agency will elect the Director and vice-Director of the Agency. The selection process of the members of the Integrity Council within the Agency was cumbersome, the decisions of selection committee within the Ministry of Justice being challenged</w:t>
      </w:r>
      <w:r w:rsidR="00986E46" w:rsidRPr="003818C4">
        <w:rPr>
          <w:rStyle w:val="NoneA"/>
          <w:rFonts w:ascii="Arial" w:hAnsi="Arial" w:cs="Arial"/>
          <w:bCs/>
          <w:sz w:val="18"/>
          <w:szCs w:val="18"/>
          <w:lang w:val="en-GB"/>
        </w:rPr>
        <w:t xml:space="preserve"> by some contestants</w:t>
      </w:r>
      <w:r w:rsidRPr="003818C4">
        <w:rPr>
          <w:rStyle w:val="NoneA"/>
          <w:rFonts w:ascii="Arial" w:hAnsi="Arial" w:cs="Arial"/>
          <w:bCs/>
          <w:sz w:val="18"/>
          <w:szCs w:val="18"/>
          <w:lang w:val="en-GB"/>
        </w:rPr>
        <w:t>. The workload of the Anticorruption Prosecutors’ Office is still largely comprised of low level corruption</w:t>
      </w:r>
      <w:r w:rsidR="00986E46" w:rsidRPr="003818C4">
        <w:rPr>
          <w:rStyle w:val="NoneA"/>
          <w:rFonts w:ascii="Arial" w:hAnsi="Arial" w:cs="Arial"/>
          <w:bCs/>
          <w:sz w:val="18"/>
          <w:szCs w:val="18"/>
          <w:lang w:val="en-GB"/>
        </w:rPr>
        <w:t xml:space="preserve"> cases</w:t>
      </w:r>
      <w:r w:rsidRPr="003818C4">
        <w:rPr>
          <w:rStyle w:val="NoneA"/>
          <w:rFonts w:ascii="Arial" w:hAnsi="Arial" w:cs="Arial"/>
          <w:bCs/>
          <w:sz w:val="18"/>
          <w:szCs w:val="18"/>
          <w:lang w:val="en-GB"/>
        </w:rPr>
        <w:t>.</w:t>
      </w:r>
    </w:p>
    <w:p w14:paraId="5463B7A3" w14:textId="77777777" w:rsidR="00E30B6F" w:rsidRPr="003818C4" w:rsidRDefault="00E30B6F" w:rsidP="00890C8B">
      <w:pPr>
        <w:pStyle w:val="Body"/>
        <w:numPr>
          <w:ilvl w:val="0"/>
          <w:numId w:val="42"/>
        </w:numPr>
        <w:spacing w:before="120" w:after="120" w:line="240" w:lineRule="auto"/>
        <w:ind w:left="284" w:hanging="284"/>
        <w:rPr>
          <w:rStyle w:val="NoneA"/>
          <w:rFonts w:ascii="Arial" w:eastAsiaTheme="minorEastAsia" w:hAnsi="Arial" w:cs="Arial"/>
          <w:bCs/>
          <w:color w:val="auto"/>
          <w:sz w:val="18"/>
          <w:szCs w:val="18"/>
          <w:lang w:val="en-GB"/>
        </w:rPr>
      </w:pPr>
      <w:r w:rsidRPr="003818C4">
        <w:rPr>
          <w:rStyle w:val="NoneA"/>
          <w:rFonts w:ascii="Arial" w:hAnsi="Arial" w:cs="Arial"/>
          <w:bCs/>
          <w:sz w:val="18"/>
          <w:szCs w:val="18"/>
          <w:lang w:val="en-GB"/>
        </w:rPr>
        <w:t>The Integrity Law was not approved by the Parliament in two readings, the framework provisions of the draft law on the identification of effective beneficiaries, exclusion of the transactions with off-shore jurisdictions, promotion of integrity in the public and private sector are still not applicable.</w:t>
      </w:r>
    </w:p>
    <w:p w14:paraId="1088C607" w14:textId="77777777" w:rsidR="00E30B6F" w:rsidRPr="003818C4" w:rsidRDefault="00E30B6F" w:rsidP="00890C8B">
      <w:pPr>
        <w:pStyle w:val="Body"/>
        <w:numPr>
          <w:ilvl w:val="0"/>
          <w:numId w:val="42"/>
        </w:numPr>
        <w:spacing w:before="120" w:after="120" w:line="240" w:lineRule="auto"/>
        <w:ind w:left="284" w:hanging="284"/>
        <w:rPr>
          <w:rStyle w:val="NoneA"/>
          <w:rFonts w:ascii="Arial" w:eastAsiaTheme="minorEastAsia" w:hAnsi="Arial" w:cs="Arial"/>
          <w:bCs/>
          <w:smallCaps/>
          <w:color w:val="auto"/>
          <w:sz w:val="18"/>
          <w:szCs w:val="18"/>
          <w:lang w:val="en-GB"/>
        </w:rPr>
      </w:pPr>
      <w:r w:rsidRPr="003818C4">
        <w:rPr>
          <w:rStyle w:val="NoneA"/>
          <w:rFonts w:ascii="Arial" w:hAnsi="Arial" w:cs="Arial"/>
          <w:bCs/>
          <w:sz w:val="18"/>
          <w:szCs w:val="18"/>
          <w:lang w:val="en-GB"/>
        </w:rPr>
        <w:t xml:space="preserve">Although the draft Law on the approval of the National Integrity and Anticorruption Strategy for years 2017-2020 was registered within the Parliament at the end of March 2017, its approval still remains an unfinished activity. </w:t>
      </w:r>
    </w:p>
    <w:p w14:paraId="6A21BDE7" w14:textId="77777777" w:rsidR="00E30B6F" w:rsidRPr="003818C4" w:rsidRDefault="00E30B6F" w:rsidP="00890C8B">
      <w:pPr>
        <w:pStyle w:val="ListParagraph"/>
        <w:numPr>
          <w:ilvl w:val="0"/>
          <w:numId w:val="42"/>
        </w:numPr>
        <w:spacing w:before="120" w:after="120" w:line="240" w:lineRule="auto"/>
        <w:ind w:left="284" w:hanging="284"/>
        <w:rPr>
          <w:sz w:val="18"/>
          <w:szCs w:val="18"/>
          <w:lang w:val="en-GB"/>
        </w:rPr>
      </w:pPr>
      <w:r w:rsidRPr="003818C4">
        <w:rPr>
          <w:rStyle w:val="NoneA"/>
          <w:rFonts w:ascii="Arial" w:hAnsi="Arial" w:cs="Arial"/>
          <w:bCs/>
          <w:sz w:val="18"/>
          <w:szCs w:val="18"/>
          <w:lang w:val="en-GB"/>
        </w:rPr>
        <w:t xml:space="preserve">The National Human Rights Action Plan for 2011-2014 did not reach its objectives with respect to the activities specifically included in the </w:t>
      </w:r>
      <w:r w:rsidR="00986E46" w:rsidRPr="003818C4">
        <w:rPr>
          <w:rStyle w:val="NoneA"/>
          <w:rFonts w:ascii="Arial" w:hAnsi="Arial" w:cs="Arial"/>
          <w:bCs/>
          <w:sz w:val="18"/>
          <w:szCs w:val="18"/>
          <w:lang w:val="en-GB"/>
        </w:rPr>
        <w:t>NAPIAA</w:t>
      </w:r>
      <w:r w:rsidRPr="003818C4">
        <w:rPr>
          <w:rStyle w:val="NoneA"/>
          <w:rFonts w:ascii="Arial" w:hAnsi="Arial" w:cs="Arial"/>
          <w:bCs/>
          <w:sz w:val="18"/>
          <w:szCs w:val="18"/>
          <w:lang w:val="en-GB"/>
        </w:rPr>
        <w:t xml:space="preserve">. </w:t>
      </w:r>
    </w:p>
    <w:p w14:paraId="2B7F2C13" w14:textId="77777777" w:rsidR="00E30B6F" w:rsidRPr="003818C4" w:rsidRDefault="00E30B6F" w:rsidP="00890C8B">
      <w:pPr>
        <w:pStyle w:val="Body"/>
        <w:numPr>
          <w:ilvl w:val="0"/>
          <w:numId w:val="42"/>
        </w:numPr>
        <w:spacing w:before="120" w:after="120" w:line="240" w:lineRule="auto"/>
        <w:ind w:left="284" w:hanging="284"/>
        <w:rPr>
          <w:rStyle w:val="NoneA"/>
          <w:rFonts w:ascii="Arial" w:eastAsiaTheme="minorEastAsia" w:hAnsi="Arial" w:cs="Arial"/>
          <w:bCs/>
          <w:color w:val="auto"/>
          <w:sz w:val="18"/>
          <w:szCs w:val="18"/>
          <w:lang w:val="en-GB"/>
        </w:rPr>
      </w:pPr>
      <w:r w:rsidRPr="003818C4">
        <w:rPr>
          <w:rStyle w:val="NoneA"/>
          <w:rFonts w:ascii="Arial" w:hAnsi="Arial" w:cs="Arial"/>
          <w:bCs/>
          <w:sz w:val="18"/>
          <w:szCs w:val="18"/>
          <w:lang w:val="en-GB"/>
        </w:rPr>
        <w:lastRenderedPageBreak/>
        <w:t>The draft amendments to enhance recognition of legal capacity of persons with disabilities was not approved by the Parliament. The draft amendments as they are currently registere</w:t>
      </w:r>
      <w:r w:rsidR="00986E46" w:rsidRPr="003818C4">
        <w:rPr>
          <w:rStyle w:val="NoneA"/>
          <w:rFonts w:ascii="Arial" w:hAnsi="Arial" w:cs="Arial"/>
          <w:bCs/>
          <w:sz w:val="18"/>
          <w:szCs w:val="18"/>
          <w:lang w:val="en-GB"/>
        </w:rPr>
        <w:t>d in the Parliament are criticis</w:t>
      </w:r>
      <w:r w:rsidRPr="003818C4">
        <w:rPr>
          <w:rStyle w:val="NoneA"/>
          <w:rFonts w:ascii="Arial" w:hAnsi="Arial" w:cs="Arial"/>
          <w:bCs/>
          <w:sz w:val="18"/>
          <w:szCs w:val="18"/>
          <w:lang w:val="en-GB"/>
        </w:rPr>
        <w:t>ed by some representatives of the civil society.</w:t>
      </w:r>
    </w:p>
    <w:p w14:paraId="48CA909F" w14:textId="77777777" w:rsidR="00E30B6F" w:rsidRPr="003818C4" w:rsidRDefault="00E30B6F" w:rsidP="00890C8B">
      <w:pPr>
        <w:pStyle w:val="Body"/>
        <w:numPr>
          <w:ilvl w:val="0"/>
          <w:numId w:val="42"/>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Although the necessary analysis on the opportunity to ratify the Optional Protocol to the International Covenant on economic, social and cultural rights were finalised, the ratification process is unduly delayed. Some central public authorities erroneously perceive the aims and principles of activity of the Committee created based on the Optional Protocol.</w:t>
      </w:r>
    </w:p>
    <w:p w14:paraId="1E1AF4B0" w14:textId="77777777" w:rsidR="00E30B6F" w:rsidRPr="003818C4" w:rsidRDefault="00E30B6F" w:rsidP="00890C8B">
      <w:pPr>
        <w:pStyle w:val="Body"/>
        <w:numPr>
          <w:ilvl w:val="0"/>
          <w:numId w:val="42"/>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The efforts to promote mediation as an alternative dispute resolution mechanism did not reach their goals as the authorities proposed new legislation which is contrary to the aims of mediation one year after the initial legislation on mediation was approved.</w:t>
      </w:r>
    </w:p>
    <w:p w14:paraId="0B29BE03" w14:textId="77777777" w:rsidR="00E30B6F" w:rsidRPr="003818C4" w:rsidRDefault="00E30B6F" w:rsidP="00890C8B">
      <w:pPr>
        <w:pStyle w:val="Body"/>
        <w:numPr>
          <w:ilvl w:val="0"/>
          <w:numId w:val="42"/>
        </w:numPr>
        <w:spacing w:before="120" w:after="120" w:line="240" w:lineRule="auto"/>
        <w:ind w:left="284" w:hanging="284"/>
        <w:rPr>
          <w:rFonts w:ascii="Arial" w:hAnsi="Arial" w:cs="Arial"/>
          <w:bCs/>
          <w:sz w:val="18"/>
          <w:szCs w:val="18"/>
          <w:lang w:val="en-GB"/>
        </w:rPr>
      </w:pPr>
      <w:r w:rsidRPr="003818C4">
        <w:rPr>
          <w:rStyle w:val="NoneA"/>
          <w:rFonts w:ascii="Arial" w:hAnsi="Arial" w:cs="Arial"/>
          <w:bCs/>
          <w:sz w:val="18"/>
          <w:szCs w:val="18"/>
          <w:lang w:val="en-GB"/>
        </w:rPr>
        <w:t>The Council for the Prevention and elimination of Discrimination and promotion of Equality was not strengthened with adjustment and amendments to the national legislative framework to exercise its mandate more efficiently.</w:t>
      </w:r>
    </w:p>
    <w:p w14:paraId="5B6B23CC" w14:textId="77777777" w:rsidR="00E30B6F" w:rsidRPr="003818C4" w:rsidRDefault="00E30B6F" w:rsidP="001164F1">
      <w:pPr>
        <w:pStyle w:val="Heading3"/>
        <w:spacing w:before="120" w:after="120" w:line="240" w:lineRule="auto"/>
        <w:rPr>
          <w:rFonts w:ascii="Arial" w:hAnsi="Arial" w:cs="Arial"/>
          <w:b/>
          <w:color w:val="0B5294" w:themeColor="accent1" w:themeShade="BF"/>
          <w:sz w:val="18"/>
          <w:szCs w:val="18"/>
          <w:lang w:val="en-GB"/>
        </w:rPr>
      </w:pPr>
      <w:bookmarkStart w:id="13" w:name="_Toc478028660"/>
      <w:r w:rsidRPr="003818C4">
        <w:rPr>
          <w:rFonts w:ascii="Arial" w:hAnsi="Arial" w:cs="Arial"/>
          <w:b/>
          <w:color w:val="0B5294" w:themeColor="accent1" w:themeShade="BF"/>
          <w:sz w:val="18"/>
          <w:szCs w:val="18"/>
          <w:lang w:val="en-GB"/>
        </w:rPr>
        <w:t>Recommendations (Title II)</w:t>
      </w:r>
      <w:bookmarkEnd w:id="12"/>
      <w:bookmarkEnd w:id="13"/>
    </w:p>
    <w:p w14:paraId="3849377B" w14:textId="77777777" w:rsidR="00E30B6F" w:rsidRPr="003818C4" w:rsidRDefault="00986E46"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Ensure</w:t>
      </w:r>
      <w:r w:rsidR="00E30B6F" w:rsidRPr="003818C4">
        <w:rPr>
          <w:rStyle w:val="NoneA"/>
          <w:rFonts w:ascii="Arial" w:hAnsi="Arial" w:cs="Arial"/>
          <w:bCs/>
          <w:sz w:val="18"/>
          <w:szCs w:val="18"/>
          <w:lang w:val="en-GB"/>
        </w:rPr>
        <w:t xml:space="preserve"> the </w:t>
      </w:r>
      <w:r w:rsidRPr="003818C4">
        <w:rPr>
          <w:rStyle w:val="NoneA"/>
          <w:rFonts w:ascii="Arial" w:hAnsi="Arial" w:cs="Arial"/>
          <w:bCs/>
          <w:sz w:val="18"/>
          <w:szCs w:val="18"/>
          <w:lang w:val="en-GB"/>
        </w:rPr>
        <w:t>implementation of an efficient P</w:t>
      </w:r>
      <w:r w:rsidR="00E30B6F" w:rsidRPr="003818C4">
        <w:rPr>
          <w:rStyle w:val="NoneA"/>
          <w:rFonts w:ascii="Arial" w:hAnsi="Arial" w:cs="Arial"/>
          <w:bCs/>
          <w:sz w:val="18"/>
          <w:szCs w:val="18"/>
          <w:lang w:val="en-GB"/>
        </w:rPr>
        <w:t>arliamentary control mechanism with the participation of the civil society, aiming at the enforcement of the key laws and reforms adopted;</w:t>
      </w:r>
    </w:p>
    <w:p w14:paraId="6BE23283" w14:textId="77777777" w:rsidR="00E30B6F" w:rsidRPr="003818C4" w:rsidRDefault="00E30B6F"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
          <w:bCs/>
          <w:sz w:val="18"/>
          <w:szCs w:val="18"/>
          <w:lang w:val="en-GB"/>
        </w:rPr>
        <w:t>Political Parties</w:t>
      </w:r>
      <w:r w:rsidRPr="003818C4">
        <w:rPr>
          <w:rStyle w:val="NoneA"/>
          <w:rFonts w:ascii="Arial" w:hAnsi="Arial" w:cs="Arial"/>
          <w:bCs/>
          <w:sz w:val="18"/>
          <w:szCs w:val="18"/>
          <w:lang w:val="en-GB"/>
        </w:rPr>
        <w:t>. Additional revision is required for the political parties’ means of financing to avoid the incomplete or unsatisfactory enforcement of the restrictions related to the sources of financing. Among the measures proposed the following should be mentioned:</w:t>
      </w:r>
    </w:p>
    <w:p w14:paraId="5FB8BAB5" w14:textId="77777777" w:rsidR="00E30B6F" w:rsidRPr="003818C4" w:rsidRDefault="00E30B6F" w:rsidP="007B01A1">
      <w:pPr>
        <w:pStyle w:val="Body"/>
        <w:numPr>
          <w:ilvl w:val="2"/>
          <w:numId w:val="25"/>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 xml:space="preserve">Significant </w:t>
      </w:r>
      <w:r w:rsidR="00986E46" w:rsidRPr="003818C4">
        <w:rPr>
          <w:rStyle w:val="NoneA"/>
          <w:rFonts w:ascii="Arial" w:hAnsi="Arial" w:cs="Arial"/>
          <w:bCs/>
          <w:sz w:val="18"/>
          <w:szCs w:val="18"/>
          <w:lang w:val="en-GB"/>
        </w:rPr>
        <w:t>reduction</w:t>
      </w:r>
      <w:r w:rsidRPr="003818C4">
        <w:rPr>
          <w:rStyle w:val="NoneA"/>
          <w:rFonts w:ascii="Arial" w:hAnsi="Arial" w:cs="Arial"/>
          <w:bCs/>
          <w:sz w:val="18"/>
          <w:szCs w:val="18"/>
          <w:lang w:val="en-GB"/>
        </w:rPr>
        <w:t xml:space="preserve"> of the financing </w:t>
      </w:r>
      <w:r w:rsidR="00986E46" w:rsidRPr="003818C4">
        <w:rPr>
          <w:rStyle w:val="NoneA"/>
          <w:rFonts w:ascii="Arial" w:hAnsi="Arial" w:cs="Arial"/>
          <w:bCs/>
          <w:sz w:val="18"/>
          <w:szCs w:val="18"/>
          <w:lang w:val="en-GB"/>
        </w:rPr>
        <w:t>thresholds</w:t>
      </w:r>
      <w:r w:rsidRPr="003818C4">
        <w:rPr>
          <w:rStyle w:val="NoneA"/>
          <w:rFonts w:ascii="Arial" w:hAnsi="Arial" w:cs="Arial"/>
          <w:bCs/>
          <w:sz w:val="18"/>
          <w:szCs w:val="18"/>
          <w:lang w:val="en-GB"/>
        </w:rPr>
        <w:t xml:space="preserve"> from the legal and natural persons in the form of donations for political parties;</w:t>
      </w:r>
    </w:p>
    <w:p w14:paraId="4CDF99FB" w14:textId="77777777" w:rsidR="00E30B6F" w:rsidRPr="003818C4" w:rsidRDefault="00986E46" w:rsidP="007B01A1">
      <w:pPr>
        <w:pStyle w:val="Body"/>
        <w:numPr>
          <w:ilvl w:val="2"/>
          <w:numId w:val="25"/>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Exclusion of</w:t>
      </w:r>
      <w:r w:rsidR="00E30B6F" w:rsidRPr="003818C4">
        <w:rPr>
          <w:rStyle w:val="NoneA"/>
          <w:rFonts w:ascii="Arial" w:hAnsi="Arial" w:cs="Arial"/>
          <w:bCs/>
          <w:sz w:val="18"/>
          <w:szCs w:val="18"/>
          <w:lang w:val="en-GB"/>
        </w:rPr>
        <w:t xml:space="preserve"> financing of the political parties by the legal or natural persons who benefited from the </w:t>
      </w:r>
      <w:r w:rsidRPr="003818C4">
        <w:rPr>
          <w:rStyle w:val="NoneA"/>
          <w:rFonts w:ascii="Arial" w:hAnsi="Arial" w:cs="Arial"/>
          <w:bCs/>
          <w:sz w:val="18"/>
          <w:szCs w:val="18"/>
          <w:lang w:val="en-GB"/>
        </w:rPr>
        <w:t>award</w:t>
      </w:r>
      <w:r w:rsidR="00E30B6F" w:rsidRPr="003818C4">
        <w:rPr>
          <w:rStyle w:val="NoneA"/>
          <w:rFonts w:ascii="Arial" w:hAnsi="Arial" w:cs="Arial"/>
          <w:bCs/>
          <w:sz w:val="18"/>
          <w:szCs w:val="18"/>
          <w:lang w:val="en-GB"/>
        </w:rPr>
        <w:t xml:space="preserve"> of public procurement contracts;</w:t>
      </w:r>
    </w:p>
    <w:p w14:paraId="3922FF10" w14:textId="77777777" w:rsidR="00E30B6F" w:rsidRPr="003818C4" w:rsidRDefault="00330310" w:rsidP="007B01A1">
      <w:pPr>
        <w:pStyle w:val="Body"/>
        <w:numPr>
          <w:ilvl w:val="2"/>
          <w:numId w:val="25"/>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Imposition of the requirement to donors to provide</w:t>
      </w:r>
      <w:r w:rsidR="00E30B6F" w:rsidRPr="003818C4">
        <w:rPr>
          <w:rStyle w:val="NoneA"/>
          <w:rFonts w:ascii="Arial" w:hAnsi="Arial" w:cs="Arial"/>
          <w:bCs/>
          <w:sz w:val="18"/>
          <w:szCs w:val="18"/>
          <w:lang w:val="en-GB"/>
        </w:rPr>
        <w:t xml:space="preserve"> the origin of funds; including the requirement that the funds should belong to the donor personally, no borrowed or otherwise obtained funds should be accepted from the donors;</w:t>
      </w:r>
    </w:p>
    <w:p w14:paraId="0E9FCA3A" w14:textId="77777777" w:rsidR="00E30B6F" w:rsidRPr="003818C4" w:rsidRDefault="00E30B6F" w:rsidP="007B01A1">
      <w:pPr>
        <w:pStyle w:val="Body"/>
        <w:numPr>
          <w:ilvl w:val="2"/>
          <w:numId w:val="25"/>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Effective control of the political parties’ assets, periodic auditing of the assets used by the political parties in the framework and outside of the electoral campaigns;</w:t>
      </w:r>
    </w:p>
    <w:p w14:paraId="231DDC81" w14:textId="77777777" w:rsidR="00E30B6F" w:rsidRPr="003818C4" w:rsidRDefault="00E30B6F" w:rsidP="007B01A1">
      <w:pPr>
        <w:pStyle w:val="Body"/>
        <w:numPr>
          <w:ilvl w:val="2"/>
          <w:numId w:val="25"/>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Revision of the political parties’ financing mechanism from the state budget, clarifying the status of electoral blocks and of independent candidates as beneficiaries of support funds for political activity from the state budget;</w:t>
      </w:r>
    </w:p>
    <w:p w14:paraId="4BA0F4A3" w14:textId="77777777" w:rsidR="00E30B6F" w:rsidRPr="003818C4" w:rsidRDefault="00E30B6F"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
          <w:bCs/>
          <w:sz w:val="18"/>
          <w:szCs w:val="18"/>
          <w:lang w:val="en-GB"/>
        </w:rPr>
        <w:t>Judicial system reform:</w:t>
      </w:r>
    </w:p>
    <w:p w14:paraId="78D5FEC2" w14:textId="77777777" w:rsidR="00E30B6F" w:rsidRPr="003818C4" w:rsidRDefault="00E30B6F" w:rsidP="007B01A1">
      <w:pPr>
        <w:pStyle w:val="Body"/>
        <w:numPr>
          <w:ilvl w:val="2"/>
          <w:numId w:val="26"/>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 xml:space="preserve">Promotion of </w:t>
      </w:r>
      <w:r w:rsidR="00330310" w:rsidRPr="003818C4">
        <w:rPr>
          <w:rStyle w:val="NoneA"/>
          <w:rFonts w:ascii="Arial" w:hAnsi="Arial" w:cs="Arial"/>
          <w:bCs/>
          <w:sz w:val="18"/>
          <w:szCs w:val="18"/>
          <w:lang w:val="en-GB"/>
        </w:rPr>
        <w:t>amendments to</w:t>
      </w:r>
      <w:r w:rsidRPr="003818C4">
        <w:rPr>
          <w:rStyle w:val="NoneA"/>
          <w:rFonts w:ascii="Arial" w:hAnsi="Arial" w:cs="Arial"/>
          <w:bCs/>
          <w:sz w:val="18"/>
          <w:szCs w:val="18"/>
          <w:lang w:val="en-GB"/>
        </w:rPr>
        <w:t xml:space="preserve"> the supplementary guarantees for the judge</w:t>
      </w:r>
      <w:r w:rsidR="00330310" w:rsidRPr="003818C4">
        <w:rPr>
          <w:rStyle w:val="NoneA"/>
          <w:rFonts w:ascii="Arial" w:hAnsi="Arial" w:cs="Arial"/>
          <w:bCs/>
          <w:sz w:val="18"/>
          <w:szCs w:val="18"/>
          <w:lang w:val="en-GB"/>
        </w:rPr>
        <w:t>s, their appointment and their</w:t>
      </w:r>
      <w:r w:rsidRPr="003818C4">
        <w:rPr>
          <w:rStyle w:val="NoneA"/>
          <w:rFonts w:ascii="Arial" w:hAnsi="Arial" w:cs="Arial"/>
          <w:bCs/>
          <w:sz w:val="18"/>
          <w:szCs w:val="18"/>
          <w:lang w:val="en-GB"/>
        </w:rPr>
        <w:t xml:space="preserve"> career, the functions and the composition of the HCM (High Council of Magistracy). The implementation measures subsequent to the </w:t>
      </w:r>
      <w:r w:rsidR="00330310" w:rsidRPr="003818C4">
        <w:rPr>
          <w:rStyle w:val="NoneA"/>
          <w:rFonts w:ascii="Arial" w:hAnsi="Arial" w:cs="Arial"/>
          <w:bCs/>
          <w:sz w:val="18"/>
          <w:szCs w:val="18"/>
          <w:lang w:val="en-GB"/>
        </w:rPr>
        <w:t>amendments to</w:t>
      </w:r>
      <w:r w:rsidRPr="003818C4">
        <w:rPr>
          <w:rStyle w:val="NoneA"/>
          <w:rFonts w:ascii="Arial" w:hAnsi="Arial" w:cs="Arial"/>
          <w:bCs/>
          <w:sz w:val="18"/>
          <w:szCs w:val="18"/>
          <w:lang w:val="en-GB"/>
        </w:rPr>
        <w:t xml:space="preserve"> the Constitution shall include:</w:t>
      </w:r>
    </w:p>
    <w:p w14:paraId="449B47BF" w14:textId="77777777" w:rsidR="00E30B6F" w:rsidRPr="003818C4" w:rsidRDefault="00E30B6F" w:rsidP="007B01A1">
      <w:pPr>
        <w:pStyle w:val="Body"/>
        <w:numPr>
          <w:ilvl w:val="2"/>
          <w:numId w:val="26"/>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 xml:space="preserve">Promotion and approval of </w:t>
      </w:r>
      <w:r w:rsidR="00330310" w:rsidRPr="003818C4">
        <w:rPr>
          <w:rStyle w:val="NoneA"/>
          <w:rFonts w:ascii="Arial" w:hAnsi="Arial" w:cs="Arial"/>
          <w:bCs/>
          <w:sz w:val="18"/>
          <w:szCs w:val="18"/>
          <w:lang w:val="en-GB"/>
        </w:rPr>
        <w:t>amendments</w:t>
      </w:r>
      <w:r w:rsidRPr="003818C4">
        <w:rPr>
          <w:rStyle w:val="NoneA"/>
          <w:rFonts w:ascii="Arial" w:hAnsi="Arial" w:cs="Arial"/>
          <w:bCs/>
          <w:sz w:val="18"/>
          <w:szCs w:val="18"/>
          <w:lang w:val="en-GB"/>
        </w:rPr>
        <w:t xml:space="preserve"> to the legislative framework </w:t>
      </w:r>
      <w:r w:rsidR="00330310" w:rsidRPr="003818C4">
        <w:rPr>
          <w:rStyle w:val="NoneA"/>
          <w:rFonts w:ascii="Arial" w:hAnsi="Arial" w:cs="Arial"/>
          <w:bCs/>
          <w:sz w:val="18"/>
          <w:szCs w:val="18"/>
          <w:lang w:val="en-GB"/>
        </w:rPr>
        <w:t>on</w:t>
      </w:r>
      <w:r w:rsidRPr="003818C4">
        <w:rPr>
          <w:rStyle w:val="NoneA"/>
          <w:rFonts w:ascii="Arial" w:hAnsi="Arial" w:cs="Arial"/>
          <w:bCs/>
          <w:sz w:val="18"/>
          <w:szCs w:val="18"/>
          <w:lang w:val="en-GB"/>
        </w:rPr>
        <w:t xml:space="preserve"> the appointment and career of judges, the functions and the composition of the HCM, financial and administrative independence;</w:t>
      </w:r>
    </w:p>
    <w:p w14:paraId="141C3A30" w14:textId="77777777" w:rsidR="00E30B6F" w:rsidRPr="003818C4" w:rsidRDefault="00330310" w:rsidP="007B01A1">
      <w:pPr>
        <w:pStyle w:val="Body"/>
        <w:numPr>
          <w:ilvl w:val="2"/>
          <w:numId w:val="26"/>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Ensure</w:t>
      </w:r>
      <w:r w:rsidR="00E30B6F" w:rsidRPr="003818C4">
        <w:rPr>
          <w:rStyle w:val="NoneA"/>
          <w:rFonts w:ascii="Arial" w:hAnsi="Arial" w:cs="Arial"/>
          <w:bCs/>
          <w:sz w:val="18"/>
          <w:szCs w:val="18"/>
          <w:lang w:val="en-GB"/>
        </w:rPr>
        <w:t xml:space="preserve"> a transparent and merit-based competition for the appointment of the HCM members that are not elected by the General Assembly of the Judges;</w:t>
      </w:r>
    </w:p>
    <w:p w14:paraId="19F10813" w14:textId="77777777" w:rsidR="00E30B6F" w:rsidRPr="003818C4" w:rsidRDefault="00E30B6F" w:rsidP="007B01A1">
      <w:pPr>
        <w:pStyle w:val="Body"/>
        <w:numPr>
          <w:ilvl w:val="2"/>
          <w:numId w:val="26"/>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Promotion of the judicial inspectio</w:t>
      </w:r>
      <w:r w:rsidR="00330310" w:rsidRPr="003818C4">
        <w:rPr>
          <w:rStyle w:val="NoneA"/>
          <w:rFonts w:ascii="Arial" w:hAnsi="Arial" w:cs="Arial"/>
          <w:bCs/>
          <w:sz w:val="18"/>
          <w:szCs w:val="18"/>
          <w:lang w:val="en-GB"/>
        </w:rPr>
        <w:t xml:space="preserve">n as an efficient mechanism for oversight of </w:t>
      </w:r>
      <w:r w:rsidRPr="003818C4">
        <w:rPr>
          <w:rStyle w:val="NoneA"/>
          <w:rFonts w:ascii="Arial" w:hAnsi="Arial" w:cs="Arial"/>
          <w:bCs/>
          <w:sz w:val="18"/>
          <w:szCs w:val="18"/>
          <w:lang w:val="en-GB"/>
        </w:rPr>
        <w:t>judges’ activity;</w:t>
      </w:r>
    </w:p>
    <w:p w14:paraId="4ECF8310" w14:textId="77777777" w:rsidR="00E30B6F" w:rsidRPr="003818C4" w:rsidRDefault="00330310" w:rsidP="007B01A1">
      <w:pPr>
        <w:pStyle w:val="Body"/>
        <w:numPr>
          <w:ilvl w:val="2"/>
          <w:numId w:val="26"/>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Update</w:t>
      </w:r>
      <w:r w:rsidR="00E30B6F" w:rsidRPr="003818C4">
        <w:rPr>
          <w:rStyle w:val="NoneA"/>
          <w:rFonts w:ascii="Arial" w:hAnsi="Arial" w:cs="Arial"/>
          <w:bCs/>
          <w:sz w:val="18"/>
          <w:szCs w:val="18"/>
          <w:lang w:val="en-GB"/>
        </w:rPr>
        <w:t xml:space="preserve"> and integration of the e-justice solutions (automated case management i</w:t>
      </w:r>
      <w:r w:rsidRPr="003818C4">
        <w:rPr>
          <w:rStyle w:val="NoneA"/>
          <w:rFonts w:ascii="Arial" w:hAnsi="Arial" w:cs="Arial"/>
          <w:bCs/>
          <w:sz w:val="18"/>
          <w:szCs w:val="18"/>
          <w:lang w:val="en-GB"/>
        </w:rPr>
        <w:t>nformation system) and promotion of</w:t>
      </w:r>
      <w:r w:rsidR="00E30B6F" w:rsidRPr="003818C4">
        <w:rPr>
          <w:rStyle w:val="NoneA"/>
          <w:rFonts w:ascii="Arial" w:hAnsi="Arial" w:cs="Arial"/>
          <w:bCs/>
          <w:sz w:val="18"/>
          <w:szCs w:val="18"/>
          <w:lang w:val="en-GB"/>
        </w:rPr>
        <w:t xml:space="preserve"> </w:t>
      </w:r>
      <w:r w:rsidRPr="003818C4">
        <w:rPr>
          <w:rStyle w:val="NoneA"/>
          <w:rFonts w:ascii="Arial" w:hAnsi="Arial" w:cs="Arial"/>
          <w:bCs/>
          <w:sz w:val="18"/>
          <w:szCs w:val="18"/>
          <w:lang w:val="en-GB"/>
        </w:rPr>
        <w:t>the use of the qualified electronic</w:t>
      </w:r>
      <w:r w:rsidR="00E30B6F" w:rsidRPr="003818C4">
        <w:rPr>
          <w:rStyle w:val="NoneA"/>
          <w:rFonts w:ascii="Arial" w:hAnsi="Arial" w:cs="Arial"/>
          <w:bCs/>
          <w:sz w:val="18"/>
          <w:szCs w:val="18"/>
          <w:lang w:val="en-GB"/>
        </w:rPr>
        <w:t xml:space="preserve"> signature;</w:t>
      </w:r>
    </w:p>
    <w:p w14:paraId="09E3E591" w14:textId="77777777" w:rsidR="00E30B6F" w:rsidRPr="003818C4" w:rsidRDefault="00330310" w:rsidP="007B01A1">
      <w:pPr>
        <w:pStyle w:val="Body"/>
        <w:numPr>
          <w:ilvl w:val="0"/>
          <w:numId w:val="23"/>
        </w:numPr>
        <w:spacing w:after="0" w:line="240" w:lineRule="auto"/>
        <w:ind w:left="284" w:hanging="284"/>
        <w:rPr>
          <w:rStyle w:val="NoneA"/>
          <w:rFonts w:ascii="Arial" w:hAnsi="Arial" w:cs="Arial"/>
          <w:b/>
          <w:bCs/>
          <w:sz w:val="18"/>
          <w:szCs w:val="18"/>
          <w:lang w:val="en-GB"/>
        </w:rPr>
      </w:pPr>
      <w:r w:rsidRPr="003818C4">
        <w:rPr>
          <w:rStyle w:val="NoneA"/>
          <w:rFonts w:ascii="Arial" w:hAnsi="Arial" w:cs="Arial"/>
          <w:b/>
          <w:bCs/>
          <w:sz w:val="18"/>
          <w:szCs w:val="18"/>
          <w:lang w:val="en-GB"/>
        </w:rPr>
        <w:t>Prosecution offices</w:t>
      </w:r>
      <w:r w:rsidR="00E30B6F" w:rsidRPr="003818C4">
        <w:rPr>
          <w:rStyle w:val="NoneA"/>
          <w:rFonts w:ascii="Arial" w:hAnsi="Arial" w:cs="Arial"/>
          <w:b/>
          <w:bCs/>
          <w:sz w:val="18"/>
          <w:szCs w:val="18"/>
          <w:lang w:val="en-GB"/>
        </w:rPr>
        <w:t>’ reform:</w:t>
      </w:r>
    </w:p>
    <w:p w14:paraId="06EA9C9C" w14:textId="77777777" w:rsidR="00E30B6F" w:rsidRPr="003818C4" w:rsidRDefault="00330310" w:rsidP="007B01A1">
      <w:pPr>
        <w:pStyle w:val="Body"/>
        <w:numPr>
          <w:ilvl w:val="2"/>
          <w:numId w:val="27"/>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Ensure</w:t>
      </w:r>
      <w:r w:rsidR="00E30B6F" w:rsidRPr="003818C4">
        <w:rPr>
          <w:rStyle w:val="NoneA"/>
          <w:rFonts w:ascii="Arial" w:hAnsi="Arial" w:cs="Arial"/>
          <w:bCs/>
          <w:sz w:val="18"/>
          <w:szCs w:val="18"/>
          <w:lang w:val="en-GB"/>
        </w:rPr>
        <w:t xml:space="preserve"> a transparent, merit-based and objective selection process of the SCP (Supreme Council of Prosecution) members </w:t>
      </w:r>
      <w:r w:rsidRPr="003818C4">
        <w:rPr>
          <w:rStyle w:val="NoneA"/>
          <w:rFonts w:ascii="Arial" w:hAnsi="Arial" w:cs="Arial"/>
          <w:bCs/>
          <w:sz w:val="18"/>
          <w:szCs w:val="18"/>
          <w:lang w:val="en-GB"/>
        </w:rPr>
        <w:t>representing</w:t>
      </w:r>
      <w:r w:rsidR="00E30B6F" w:rsidRPr="003818C4">
        <w:rPr>
          <w:rStyle w:val="NoneA"/>
          <w:rFonts w:ascii="Arial" w:hAnsi="Arial" w:cs="Arial"/>
          <w:bCs/>
          <w:sz w:val="18"/>
          <w:szCs w:val="18"/>
          <w:lang w:val="en-GB"/>
        </w:rPr>
        <w:t xml:space="preserve"> the civil society;</w:t>
      </w:r>
    </w:p>
    <w:p w14:paraId="7186B13C" w14:textId="77777777" w:rsidR="00E30B6F" w:rsidRPr="003818C4" w:rsidRDefault="00330310" w:rsidP="007B01A1">
      <w:pPr>
        <w:pStyle w:val="Body"/>
        <w:numPr>
          <w:ilvl w:val="2"/>
          <w:numId w:val="27"/>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Consolidate</w:t>
      </w:r>
      <w:r w:rsidR="00E30B6F" w:rsidRPr="003818C4">
        <w:rPr>
          <w:rStyle w:val="NoneA"/>
          <w:rFonts w:ascii="Arial" w:hAnsi="Arial" w:cs="Arial"/>
          <w:bCs/>
          <w:sz w:val="18"/>
          <w:szCs w:val="18"/>
          <w:lang w:val="en-GB"/>
        </w:rPr>
        <w:t xml:space="preserve"> the functions of the prosecutors’ inspection as the</w:t>
      </w:r>
      <w:r w:rsidRPr="003818C4">
        <w:rPr>
          <w:rStyle w:val="NoneA"/>
          <w:rFonts w:ascii="Arial" w:hAnsi="Arial" w:cs="Arial"/>
          <w:bCs/>
          <w:sz w:val="18"/>
          <w:szCs w:val="18"/>
          <w:lang w:val="en-GB"/>
        </w:rPr>
        <w:t xml:space="preserve"> institution responsible for the oversight of</w:t>
      </w:r>
      <w:r w:rsidR="00E30B6F" w:rsidRPr="003818C4">
        <w:rPr>
          <w:rStyle w:val="NoneA"/>
          <w:rFonts w:ascii="Arial" w:hAnsi="Arial" w:cs="Arial"/>
          <w:bCs/>
          <w:sz w:val="18"/>
          <w:szCs w:val="18"/>
          <w:lang w:val="en-GB"/>
        </w:rPr>
        <w:t xml:space="preserve"> prosecutors’ activity;</w:t>
      </w:r>
    </w:p>
    <w:p w14:paraId="574A3D36" w14:textId="77777777" w:rsidR="00E30B6F" w:rsidRPr="003818C4" w:rsidRDefault="00330310" w:rsidP="007B01A1">
      <w:pPr>
        <w:pStyle w:val="Body"/>
        <w:numPr>
          <w:ilvl w:val="2"/>
          <w:numId w:val="27"/>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Reduce</w:t>
      </w:r>
      <w:r w:rsidR="00E30B6F" w:rsidRPr="003818C4">
        <w:rPr>
          <w:rStyle w:val="NoneA"/>
          <w:rFonts w:ascii="Arial" w:hAnsi="Arial" w:cs="Arial"/>
          <w:bCs/>
          <w:sz w:val="18"/>
          <w:szCs w:val="18"/>
          <w:lang w:val="en-GB"/>
        </w:rPr>
        <w:t xml:space="preserve"> the number of cases managed by the Anticorruption Prosecutors’ Office by redirecting them to the criminal prosecution bodies and prosecutors from the territorial offices (excluding the petty corruption cases from the competence of the Anticorruption Prosecutors’ Office).</w:t>
      </w:r>
    </w:p>
    <w:p w14:paraId="561B288B" w14:textId="77777777" w:rsidR="00E30B6F" w:rsidRPr="003818C4" w:rsidRDefault="00330310"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Harmonisation of</w:t>
      </w:r>
      <w:r w:rsidR="00E30B6F" w:rsidRPr="003818C4">
        <w:rPr>
          <w:rStyle w:val="NoneA"/>
          <w:rFonts w:ascii="Arial" w:hAnsi="Arial" w:cs="Arial"/>
          <w:bCs/>
          <w:sz w:val="18"/>
          <w:szCs w:val="18"/>
          <w:lang w:val="en-GB"/>
        </w:rPr>
        <w:t xml:space="preserve"> the structure of the Constitution amendments’ proposals that are promoted in different areas, in order to ensure equal standards and similar requirements versus the subjects regulated by the new provisions. The modifications of the Constitution proposed in relation to the HCM and judges</w:t>
      </w:r>
      <w:r w:rsidRPr="003818C4">
        <w:rPr>
          <w:rStyle w:val="NoneA"/>
          <w:rFonts w:ascii="Arial" w:hAnsi="Arial" w:cs="Arial"/>
          <w:bCs/>
          <w:sz w:val="18"/>
          <w:szCs w:val="18"/>
          <w:lang w:val="en-GB"/>
        </w:rPr>
        <w:t>, SCP and the prosecution offices</w:t>
      </w:r>
      <w:r w:rsidR="00E30B6F" w:rsidRPr="003818C4">
        <w:rPr>
          <w:rStyle w:val="NoneA"/>
          <w:rFonts w:ascii="Arial" w:hAnsi="Arial" w:cs="Arial"/>
          <w:bCs/>
          <w:sz w:val="18"/>
          <w:szCs w:val="18"/>
          <w:lang w:val="en-GB"/>
        </w:rPr>
        <w:t xml:space="preserve">, the Ombudsman, Constitutional Court, as well as other initiatives </w:t>
      </w:r>
      <w:r w:rsidRPr="003818C4">
        <w:rPr>
          <w:rStyle w:val="NoneA"/>
          <w:rFonts w:ascii="Arial" w:hAnsi="Arial" w:cs="Arial"/>
          <w:bCs/>
          <w:sz w:val="18"/>
          <w:szCs w:val="18"/>
          <w:lang w:val="en-GB"/>
        </w:rPr>
        <w:t>to amend</w:t>
      </w:r>
      <w:r w:rsidR="00E30B6F" w:rsidRPr="003818C4">
        <w:rPr>
          <w:rStyle w:val="NoneA"/>
          <w:rFonts w:ascii="Arial" w:hAnsi="Arial" w:cs="Arial"/>
          <w:bCs/>
          <w:sz w:val="18"/>
          <w:szCs w:val="18"/>
          <w:lang w:val="en-GB"/>
        </w:rPr>
        <w:t xml:space="preserve"> the Constitutio</w:t>
      </w:r>
      <w:r w:rsidRPr="003818C4">
        <w:rPr>
          <w:rStyle w:val="NoneA"/>
          <w:rFonts w:ascii="Arial" w:hAnsi="Arial" w:cs="Arial"/>
          <w:bCs/>
          <w:sz w:val="18"/>
          <w:szCs w:val="18"/>
          <w:lang w:val="en-GB"/>
        </w:rPr>
        <w:t>n require a similar and harmonis</w:t>
      </w:r>
      <w:r w:rsidR="00E30B6F" w:rsidRPr="003818C4">
        <w:rPr>
          <w:rStyle w:val="NoneA"/>
          <w:rFonts w:ascii="Arial" w:hAnsi="Arial" w:cs="Arial"/>
          <w:bCs/>
          <w:sz w:val="18"/>
          <w:szCs w:val="18"/>
          <w:lang w:val="en-GB"/>
        </w:rPr>
        <w:t>ed approach.</w:t>
      </w:r>
    </w:p>
    <w:p w14:paraId="6AEF33DC" w14:textId="77777777" w:rsidR="00E30B6F" w:rsidRPr="003818C4" w:rsidRDefault="00E30B6F"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
          <w:bCs/>
          <w:sz w:val="18"/>
          <w:szCs w:val="18"/>
          <w:lang w:val="en-GB"/>
        </w:rPr>
        <w:t xml:space="preserve">Reform of the Constitutional Court. </w:t>
      </w:r>
      <w:r w:rsidR="00330310" w:rsidRPr="003818C4">
        <w:rPr>
          <w:rStyle w:val="NoneA"/>
          <w:rFonts w:ascii="Arial" w:hAnsi="Arial" w:cs="Arial"/>
          <w:bCs/>
          <w:sz w:val="18"/>
          <w:szCs w:val="18"/>
          <w:lang w:val="en-GB"/>
        </w:rPr>
        <w:t>Clarify</w:t>
      </w:r>
      <w:r w:rsidRPr="003818C4">
        <w:rPr>
          <w:rStyle w:val="NoneA"/>
          <w:rFonts w:ascii="Arial" w:hAnsi="Arial" w:cs="Arial"/>
          <w:bCs/>
          <w:sz w:val="18"/>
          <w:szCs w:val="18"/>
          <w:lang w:val="en-GB"/>
        </w:rPr>
        <w:t xml:space="preserve"> the provisions of the</w:t>
      </w:r>
      <w:r w:rsidR="00330310" w:rsidRPr="003818C4">
        <w:rPr>
          <w:rStyle w:val="NoneA"/>
          <w:rFonts w:ascii="Arial" w:hAnsi="Arial" w:cs="Arial"/>
          <w:bCs/>
          <w:sz w:val="18"/>
          <w:szCs w:val="18"/>
          <w:lang w:val="en-GB"/>
        </w:rPr>
        <w:t xml:space="preserve"> draft amendment</w:t>
      </w:r>
      <w:r w:rsidRPr="003818C4">
        <w:rPr>
          <w:rStyle w:val="NoneA"/>
          <w:rFonts w:ascii="Arial" w:hAnsi="Arial" w:cs="Arial"/>
          <w:bCs/>
          <w:sz w:val="18"/>
          <w:szCs w:val="18"/>
          <w:lang w:val="en-GB"/>
        </w:rPr>
        <w:t xml:space="preserve"> </w:t>
      </w:r>
      <w:r w:rsidR="00330310" w:rsidRPr="003818C4">
        <w:rPr>
          <w:rStyle w:val="NoneA"/>
          <w:rFonts w:ascii="Arial" w:hAnsi="Arial" w:cs="Arial"/>
          <w:bCs/>
          <w:sz w:val="18"/>
          <w:szCs w:val="18"/>
          <w:lang w:val="en-GB"/>
        </w:rPr>
        <w:t>of the</w:t>
      </w:r>
      <w:r w:rsidRPr="003818C4">
        <w:rPr>
          <w:rStyle w:val="NoneA"/>
          <w:rFonts w:ascii="Arial" w:hAnsi="Arial" w:cs="Arial"/>
          <w:bCs/>
          <w:sz w:val="18"/>
          <w:szCs w:val="18"/>
          <w:lang w:val="en-GB"/>
        </w:rPr>
        <w:t xml:space="preserve"> Constitution </w:t>
      </w:r>
      <w:r w:rsidR="00330310" w:rsidRPr="003818C4">
        <w:rPr>
          <w:rStyle w:val="NoneA"/>
          <w:rFonts w:ascii="Arial" w:hAnsi="Arial" w:cs="Arial"/>
          <w:bCs/>
          <w:sz w:val="18"/>
          <w:szCs w:val="18"/>
          <w:lang w:val="en-GB"/>
        </w:rPr>
        <w:t>on</w:t>
      </w:r>
      <w:r w:rsidRPr="003818C4">
        <w:rPr>
          <w:rStyle w:val="NoneA"/>
          <w:rFonts w:ascii="Arial" w:hAnsi="Arial" w:cs="Arial"/>
          <w:bCs/>
          <w:sz w:val="18"/>
          <w:szCs w:val="18"/>
          <w:lang w:val="en-GB"/>
        </w:rPr>
        <w:t xml:space="preserve"> the reform of the Constitutional Court in the following aspects:</w:t>
      </w:r>
    </w:p>
    <w:p w14:paraId="75A5772E" w14:textId="77777777" w:rsidR="00E30B6F" w:rsidRPr="003818C4" w:rsidRDefault="00330310" w:rsidP="007B01A1">
      <w:pPr>
        <w:pStyle w:val="Body"/>
        <w:numPr>
          <w:ilvl w:val="2"/>
          <w:numId w:val="28"/>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The procedure of appointment of</w:t>
      </w:r>
      <w:r w:rsidR="00E30B6F" w:rsidRPr="003818C4">
        <w:rPr>
          <w:rStyle w:val="NoneA"/>
          <w:rFonts w:ascii="Arial" w:hAnsi="Arial" w:cs="Arial"/>
          <w:bCs/>
          <w:sz w:val="18"/>
          <w:szCs w:val="18"/>
          <w:lang w:val="en-GB"/>
        </w:rPr>
        <w:t xml:space="preserve"> candidates on behalf of the Parliament, Government, HCM and Presidency must be merit-based, transparent, with clear criteria – similar requirements as the ones for the judges in the judicial system;</w:t>
      </w:r>
    </w:p>
    <w:p w14:paraId="67DA0E14" w14:textId="77777777" w:rsidR="00E30B6F" w:rsidRPr="003818C4" w:rsidRDefault="00330310" w:rsidP="007B01A1">
      <w:pPr>
        <w:pStyle w:val="Body"/>
        <w:numPr>
          <w:ilvl w:val="2"/>
          <w:numId w:val="28"/>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Clarify</w:t>
      </w:r>
      <w:r w:rsidR="00E30B6F" w:rsidRPr="003818C4">
        <w:rPr>
          <w:rStyle w:val="NoneA"/>
          <w:rFonts w:ascii="Arial" w:hAnsi="Arial" w:cs="Arial"/>
          <w:bCs/>
          <w:sz w:val="18"/>
          <w:szCs w:val="18"/>
          <w:lang w:val="en-GB"/>
        </w:rPr>
        <w:t xml:space="preserve"> the conditions of the current members of the Constitutional Court’s participation in the selection process of candidates after the expiry of their mandate</w:t>
      </w:r>
      <w:r w:rsidRPr="003818C4">
        <w:rPr>
          <w:rStyle w:val="NoneA"/>
          <w:rFonts w:ascii="Arial" w:hAnsi="Arial" w:cs="Arial"/>
          <w:bCs/>
          <w:sz w:val="18"/>
          <w:szCs w:val="18"/>
          <w:lang w:val="en-GB"/>
        </w:rPr>
        <w:t>s</w:t>
      </w:r>
      <w:r w:rsidR="00E30B6F" w:rsidRPr="003818C4">
        <w:rPr>
          <w:rStyle w:val="NoneA"/>
          <w:rFonts w:ascii="Arial" w:hAnsi="Arial" w:cs="Arial"/>
          <w:bCs/>
          <w:sz w:val="18"/>
          <w:szCs w:val="18"/>
          <w:lang w:val="en-GB"/>
        </w:rPr>
        <w:t>, in the context of the proposal uttered by the project for a single 9-year mandate for the members of the Constitutional Court.</w:t>
      </w:r>
    </w:p>
    <w:p w14:paraId="04374880" w14:textId="77777777" w:rsidR="003818C4" w:rsidRPr="003818C4" w:rsidRDefault="003818C4" w:rsidP="007B01A1">
      <w:pPr>
        <w:pStyle w:val="Body"/>
        <w:numPr>
          <w:ilvl w:val="0"/>
          <w:numId w:val="23"/>
        </w:numPr>
        <w:spacing w:after="0" w:line="240" w:lineRule="auto"/>
        <w:ind w:left="284" w:hanging="284"/>
        <w:rPr>
          <w:rStyle w:val="NoneA"/>
          <w:rFonts w:ascii="Arial" w:hAnsi="Arial" w:cs="Arial"/>
          <w:b/>
          <w:bCs/>
          <w:sz w:val="18"/>
          <w:szCs w:val="18"/>
          <w:lang w:val="en-GB"/>
        </w:rPr>
      </w:pPr>
      <w:r w:rsidRPr="003818C4">
        <w:rPr>
          <w:rStyle w:val="NoneA"/>
          <w:rFonts w:ascii="Arial" w:hAnsi="Arial" w:cs="Arial"/>
          <w:b/>
          <w:bCs/>
          <w:sz w:val="18"/>
          <w:szCs w:val="18"/>
          <w:lang w:val="en-GB"/>
        </w:rPr>
        <w:t xml:space="preserve">Institutional framework in the area of integrity and fight against corruption. </w:t>
      </w:r>
      <w:r w:rsidRPr="003818C4">
        <w:rPr>
          <w:rStyle w:val="NoneA"/>
          <w:rFonts w:ascii="Arial" w:hAnsi="Arial" w:cs="Arial"/>
          <w:bCs/>
          <w:sz w:val="18"/>
          <w:szCs w:val="18"/>
          <w:lang w:val="en-GB"/>
        </w:rPr>
        <w:t>The activity of the institutions responsible for the anticorruption area can be improved through:</w:t>
      </w:r>
    </w:p>
    <w:p w14:paraId="57E512D1" w14:textId="77777777" w:rsidR="003818C4" w:rsidRPr="003818C4" w:rsidRDefault="003818C4" w:rsidP="007B01A1">
      <w:pPr>
        <w:pStyle w:val="Body"/>
        <w:numPr>
          <w:ilvl w:val="2"/>
          <w:numId w:val="30"/>
        </w:numPr>
        <w:spacing w:after="0" w:line="240" w:lineRule="auto"/>
        <w:ind w:left="709" w:hanging="357"/>
        <w:rPr>
          <w:rStyle w:val="NoneA"/>
          <w:rFonts w:ascii="Arial" w:hAnsi="Arial" w:cs="Arial"/>
          <w:b/>
          <w:bCs/>
          <w:sz w:val="18"/>
          <w:szCs w:val="18"/>
          <w:lang w:val="en-GB"/>
        </w:rPr>
      </w:pPr>
      <w:r w:rsidRPr="003818C4">
        <w:rPr>
          <w:rStyle w:val="NoneA"/>
          <w:rFonts w:ascii="Arial" w:hAnsi="Arial" w:cs="Arial"/>
          <w:bCs/>
          <w:sz w:val="18"/>
          <w:szCs w:val="18"/>
          <w:lang w:val="en-GB"/>
        </w:rPr>
        <w:lastRenderedPageBreak/>
        <w:t>Redistribution of competences on criminal prosecution of corruption cases, by transferring all the petty corruption cases to the territorial criminal investigation and prosecution bodies, preserving the high level corruption cases with the specialised Anticorruption Prosecution Office;</w:t>
      </w:r>
    </w:p>
    <w:p w14:paraId="0A0FBE3C" w14:textId="77777777" w:rsidR="003818C4" w:rsidRPr="003818C4" w:rsidRDefault="003818C4" w:rsidP="007B01A1">
      <w:pPr>
        <w:pStyle w:val="Body"/>
        <w:numPr>
          <w:ilvl w:val="2"/>
          <w:numId w:val="30"/>
        </w:numPr>
        <w:spacing w:after="0" w:line="240" w:lineRule="auto"/>
        <w:ind w:left="709" w:hanging="357"/>
        <w:rPr>
          <w:rStyle w:val="NoneA"/>
          <w:rFonts w:ascii="Arial" w:hAnsi="Arial" w:cs="Arial"/>
          <w:b/>
          <w:bCs/>
          <w:sz w:val="18"/>
          <w:szCs w:val="18"/>
          <w:lang w:val="en-GB"/>
        </w:rPr>
      </w:pPr>
      <w:r w:rsidRPr="003818C4">
        <w:rPr>
          <w:rStyle w:val="NoneA"/>
          <w:rFonts w:ascii="Arial" w:hAnsi="Arial" w:cs="Arial"/>
          <w:bCs/>
          <w:sz w:val="18"/>
          <w:szCs w:val="18"/>
          <w:lang w:val="en-GB"/>
        </w:rPr>
        <w:t>Enforcement of the provisions of the Law on the National Integrity Authority, including through the designation and appointment of the Director and deputy-Director of the NIA, staff employment (integrity inspectors), implementation of tools which allow statement of assets and interests through on-line platforms, randomised selection of cases for review by the integrity officers, negotiation, conclusion and implementation of Cooperation Agreements between the NIA and similar authorities from the EU Member States;</w:t>
      </w:r>
    </w:p>
    <w:p w14:paraId="1901C344" w14:textId="77777777" w:rsidR="003818C4" w:rsidRPr="003818C4" w:rsidRDefault="003818C4" w:rsidP="007B01A1">
      <w:pPr>
        <w:pStyle w:val="Body"/>
        <w:numPr>
          <w:ilvl w:val="2"/>
          <w:numId w:val="30"/>
        </w:numPr>
        <w:spacing w:after="0" w:line="240" w:lineRule="auto"/>
        <w:ind w:left="709" w:hanging="357"/>
        <w:rPr>
          <w:rStyle w:val="NoneA"/>
          <w:rFonts w:ascii="Arial" w:hAnsi="Arial" w:cs="Arial"/>
          <w:b/>
          <w:bCs/>
          <w:sz w:val="18"/>
          <w:szCs w:val="18"/>
          <w:lang w:val="en-GB"/>
        </w:rPr>
      </w:pPr>
      <w:r w:rsidRPr="003818C4">
        <w:rPr>
          <w:rStyle w:val="NoneA"/>
          <w:rFonts w:ascii="Arial" w:hAnsi="Arial" w:cs="Arial"/>
          <w:bCs/>
          <w:sz w:val="18"/>
          <w:szCs w:val="18"/>
          <w:lang w:val="en-GB"/>
        </w:rPr>
        <w:t>Interconnection and interoperability of the databases belonging to the authorities responsible for the area of integrity and anticorruption with the databases belonging to the authorities responsible for the financial means, real estate, registered movable assets, securities, shares in enterprises and other assets’ components of the public officials, subject to the mandatory statement of assets;</w:t>
      </w:r>
    </w:p>
    <w:p w14:paraId="2EFB92B0" w14:textId="38129B16" w:rsidR="003818C4" w:rsidRPr="003818C4" w:rsidRDefault="003818C4" w:rsidP="007B01A1">
      <w:pPr>
        <w:pStyle w:val="Body"/>
        <w:numPr>
          <w:ilvl w:val="2"/>
          <w:numId w:val="30"/>
        </w:numPr>
        <w:spacing w:after="0" w:line="240" w:lineRule="auto"/>
        <w:ind w:left="709" w:hanging="357"/>
        <w:rPr>
          <w:rStyle w:val="NoneA"/>
          <w:rFonts w:ascii="Arial" w:hAnsi="Arial" w:cs="Arial"/>
          <w:b/>
          <w:bCs/>
          <w:sz w:val="18"/>
          <w:szCs w:val="18"/>
          <w:lang w:val="en-GB"/>
        </w:rPr>
      </w:pPr>
      <w:r w:rsidRPr="003818C4">
        <w:rPr>
          <w:rStyle w:val="NoneA"/>
          <w:rFonts w:ascii="Arial" w:hAnsi="Arial" w:cs="Arial"/>
          <w:bCs/>
          <w:sz w:val="18"/>
          <w:szCs w:val="18"/>
          <w:lang w:val="en-GB"/>
        </w:rPr>
        <w:t>Promotion, adoption and enforcement of the provisions from the Law on Integrity, especially the ones related to the identification of the effective beneficiaries, control over the transactions with the involvement of entities originating from off-shore jurisdictions.</w:t>
      </w:r>
    </w:p>
    <w:p w14:paraId="4933E19A" w14:textId="77777777" w:rsidR="003818C4" w:rsidRPr="003818C4" w:rsidRDefault="003818C4" w:rsidP="007B01A1">
      <w:pPr>
        <w:pStyle w:val="Body"/>
        <w:numPr>
          <w:ilvl w:val="0"/>
          <w:numId w:val="23"/>
        </w:numPr>
        <w:spacing w:after="0" w:line="240" w:lineRule="auto"/>
        <w:ind w:left="284" w:hanging="284"/>
        <w:rPr>
          <w:rStyle w:val="NoneA"/>
          <w:rFonts w:ascii="Arial" w:hAnsi="Arial" w:cs="Arial"/>
          <w:b/>
          <w:bCs/>
          <w:sz w:val="18"/>
          <w:szCs w:val="18"/>
          <w:lang w:val="en-GB"/>
        </w:rPr>
      </w:pPr>
      <w:r w:rsidRPr="003818C4">
        <w:rPr>
          <w:rStyle w:val="NoneA"/>
          <w:rFonts w:ascii="Arial" w:hAnsi="Arial" w:cs="Arial"/>
          <w:b/>
          <w:bCs/>
          <w:sz w:val="18"/>
          <w:szCs w:val="18"/>
          <w:lang w:val="en-GB"/>
        </w:rPr>
        <w:t xml:space="preserve">National Anticorruption Strategy. </w:t>
      </w:r>
      <w:r w:rsidRPr="003818C4">
        <w:rPr>
          <w:rStyle w:val="NoneA"/>
          <w:rFonts w:ascii="Arial" w:hAnsi="Arial" w:cs="Arial"/>
          <w:bCs/>
          <w:sz w:val="18"/>
          <w:szCs w:val="18"/>
          <w:lang w:val="en-GB"/>
        </w:rPr>
        <w:t>Promotion, adoption and enforcement of the National Integrity and Anticorruption Strategy for 2017-2020. Active involvement of the civil society in the process of monitoring of the implementation of the Strategy through the developed Draft Action Plan.</w:t>
      </w:r>
    </w:p>
    <w:p w14:paraId="6662BE57" w14:textId="77777777" w:rsidR="003818C4" w:rsidRPr="003818C4" w:rsidRDefault="003818C4"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Strengthen cooperation among the Anticorruption Prosecution Office, the NIA and the authorities of the EU Member States to implement legal provisions related to the verification of assets and interests;</w:t>
      </w:r>
    </w:p>
    <w:p w14:paraId="5823FF27" w14:textId="05FF3C70" w:rsidR="003818C4" w:rsidRPr="003818C4" w:rsidRDefault="003818C4" w:rsidP="007B01A1">
      <w:pPr>
        <w:pStyle w:val="Body"/>
        <w:numPr>
          <w:ilvl w:val="0"/>
          <w:numId w:val="23"/>
        </w:numPr>
        <w:spacing w:after="0" w:line="200" w:lineRule="exact"/>
        <w:ind w:left="284" w:hanging="284"/>
        <w:rPr>
          <w:rStyle w:val="NoneA"/>
          <w:rFonts w:ascii="Arial" w:hAnsi="Arial" w:cs="Arial"/>
          <w:bCs/>
          <w:sz w:val="18"/>
          <w:szCs w:val="18"/>
          <w:lang w:val="en-GB"/>
        </w:rPr>
      </w:pPr>
      <w:r w:rsidRPr="007C2BF1">
        <w:rPr>
          <w:rStyle w:val="NoneA"/>
          <w:rFonts w:ascii="Arial" w:hAnsi="Arial" w:cs="Arial"/>
          <w:b/>
          <w:bCs/>
          <w:sz w:val="18"/>
          <w:szCs w:val="18"/>
          <w:lang w:val="en-GB"/>
        </w:rPr>
        <w:t>NHRAP 2017-2020</w:t>
      </w:r>
      <w:r w:rsidRPr="003818C4">
        <w:rPr>
          <w:rStyle w:val="NoneA"/>
          <w:rFonts w:ascii="Arial" w:hAnsi="Arial" w:cs="Arial"/>
          <w:bCs/>
          <w:sz w:val="18"/>
          <w:szCs w:val="18"/>
          <w:lang w:val="en-GB"/>
        </w:rPr>
        <w:t xml:space="preserve">. Implementation of the remaining actions </w:t>
      </w:r>
      <w:r>
        <w:rPr>
          <w:rStyle w:val="NoneA"/>
          <w:rFonts w:ascii="Arial" w:hAnsi="Arial" w:cs="Arial"/>
          <w:bCs/>
          <w:sz w:val="18"/>
          <w:szCs w:val="18"/>
          <w:lang w:val="en-GB"/>
        </w:rPr>
        <w:t xml:space="preserve">from the </w:t>
      </w:r>
      <w:r w:rsidR="0047512C" w:rsidRPr="003818C4">
        <w:rPr>
          <w:rStyle w:val="NoneA"/>
          <w:rFonts w:ascii="Arial" w:hAnsi="Arial" w:cs="Arial"/>
          <w:bCs/>
          <w:sz w:val="18"/>
          <w:szCs w:val="18"/>
          <w:lang w:val="en-GB"/>
        </w:rPr>
        <w:t xml:space="preserve">National Action Plan for Human Rights </w:t>
      </w:r>
      <w:r w:rsidRPr="003818C4">
        <w:rPr>
          <w:rStyle w:val="NoneA"/>
          <w:rFonts w:ascii="Arial" w:hAnsi="Arial" w:cs="Arial"/>
          <w:bCs/>
          <w:sz w:val="18"/>
          <w:szCs w:val="18"/>
          <w:lang w:val="en-GB"/>
        </w:rPr>
        <w:t>2011-2014.</w:t>
      </w:r>
      <w:r>
        <w:rPr>
          <w:rStyle w:val="NoneA"/>
          <w:rFonts w:ascii="Arial" w:hAnsi="Arial" w:cs="Arial"/>
          <w:bCs/>
          <w:sz w:val="18"/>
          <w:szCs w:val="18"/>
          <w:lang w:val="en-GB"/>
        </w:rPr>
        <w:t xml:space="preserve"> </w:t>
      </w:r>
      <w:r w:rsidRPr="003818C4">
        <w:rPr>
          <w:rStyle w:val="NoneA"/>
          <w:rFonts w:ascii="Arial" w:hAnsi="Arial" w:cs="Arial"/>
          <w:bCs/>
          <w:sz w:val="18"/>
          <w:szCs w:val="18"/>
          <w:lang w:val="en-GB"/>
        </w:rPr>
        <w:t xml:space="preserve">Adoption of a new </w:t>
      </w:r>
      <w:r w:rsidR="0047512C">
        <w:rPr>
          <w:rStyle w:val="NoneA"/>
          <w:rFonts w:ascii="Arial" w:hAnsi="Arial" w:cs="Arial"/>
          <w:bCs/>
          <w:sz w:val="18"/>
          <w:szCs w:val="18"/>
          <w:lang w:val="en-GB"/>
        </w:rPr>
        <w:t>NHRAP</w:t>
      </w:r>
      <w:r w:rsidR="0047512C" w:rsidRPr="003818C4">
        <w:rPr>
          <w:rStyle w:val="NoneA"/>
          <w:rFonts w:ascii="Arial" w:hAnsi="Arial" w:cs="Arial"/>
          <w:bCs/>
          <w:sz w:val="18"/>
          <w:szCs w:val="18"/>
          <w:lang w:val="en-GB"/>
        </w:rPr>
        <w:t xml:space="preserve"> </w:t>
      </w:r>
      <w:r w:rsidRPr="003818C4">
        <w:rPr>
          <w:rStyle w:val="NoneA"/>
          <w:rFonts w:ascii="Arial" w:hAnsi="Arial" w:cs="Arial"/>
          <w:bCs/>
          <w:sz w:val="18"/>
          <w:szCs w:val="18"/>
          <w:lang w:val="en-GB"/>
        </w:rPr>
        <w:t xml:space="preserve">2017-2020. </w:t>
      </w:r>
    </w:p>
    <w:p w14:paraId="335B0489" w14:textId="77777777" w:rsidR="00E30B6F" w:rsidRPr="003818C4" w:rsidRDefault="00E30B6F"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
          <w:bCs/>
          <w:sz w:val="18"/>
          <w:szCs w:val="18"/>
          <w:lang w:val="en-GB"/>
        </w:rPr>
        <w:t>Mediation</w:t>
      </w:r>
      <w:r w:rsidR="00330310" w:rsidRPr="003818C4">
        <w:rPr>
          <w:rStyle w:val="NoneA"/>
          <w:rFonts w:ascii="Arial" w:hAnsi="Arial" w:cs="Arial"/>
          <w:bCs/>
          <w:sz w:val="18"/>
          <w:szCs w:val="18"/>
          <w:lang w:val="en-GB"/>
        </w:rPr>
        <w:t>. Revision of</w:t>
      </w:r>
      <w:r w:rsidRPr="003818C4">
        <w:rPr>
          <w:rStyle w:val="NoneA"/>
          <w:rFonts w:ascii="Arial" w:hAnsi="Arial" w:cs="Arial"/>
          <w:bCs/>
          <w:sz w:val="18"/>
          <w:szCs w:val="18"/>
          <w:lang w:val="en-GB"/>
        </w:rPr>
        <w:t xml:space="preserve"> the judicial mediation concept that was recently proposed through the legislative initiatives of the Ministry of Justice, so that mediation should become mandatory and should be performed by professional mediators, in line with the provisions of the Law on mediation.</w:t>
      </w:r>
    </w:p>
    <w:p w14:paraId="45C9CB7E" w14:textId="77777777" w:rsidR="00E30B6F" w:rsidRPr="003818C4" w:rsidRDefault="00E30B6F"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
          <w:bCs/>
          <w:sz w:val="18"/>
          <w:szCs w:val="18"/>
          <w:lang w:val="en-GB"/>
        </w:rPr>
        <w:t>Recognition of the legal capacity of the persons with disabilities</w:t>
      </w:r>
      <w:r w:rsidR="00330310" w:rsidRPr="003818C4">
        <w:rPr>
          <w:rStyle w:val="NoneA"/>
          <w:rFonts w:ascii="Arial" w:hAnsi="Arial" w:cs="Arial"/>
          <w:bCs/>
          <w:sz w:val="18"/>
          <w:szCs w:val="18"/>
          <w:lang w:val="en-GB"/>
        </w:rPr>
        <w:t xml:space="preserve">. </w:t>
      </w:r>
      <w:proofErr w:type="gramStart"/>
      <w:r w:rsidR="00330310" w:rsidRPr="003818C4">
        <w:rPr>
          <w:rStyle w:val="NoneA"/>
          <w:rFonts w:ascii="Arial" w:hAnsi="Arial" w:cs="Arial"/>
          <w:bCs/>
          <w:sz w:val="18"/>
          <w:szCs w:val="18"/>
          <w:lang w:val="en-GB"/>
        </w:rPr>
        <w:t>Revision of</w:t>
      </w:r>
      <w:r w:rsidRPr="003818C4">
        <w:rPr>
          <w:rStyle w:val="NoneA"/>
          <w:rFonts w:ascii="Arial" w:hAnsi="Arial" w:cs="Arial"/>
          <w:bCs/>
          <w:sz w:val="18"/>
          <w:szCs w:val="18"/>
          <w:lang w:val="en-GB"/>
        </w:rPr>
        <w:t xml:space="preserve"> the draft law taki</w:t>
      </w:r>
      <w:r w:rsidR="00330310" w:rsidRPr="003818C4">
        <w:rPr>
          <w:rStyle w:val="NoneA"/>
          <w:rFonts w:ascii="Arial" w:hAnsi="Arial" w:cs="Arial"/>
          <w:bCs/>
          <w:sz w:val="18"/>
          <w:szCs w:val="18"/>
          <w:lang w:val="en-GB"/>
        </w:rPr>
        <w:t>ng into account</w:t>
      </w:r>
      <w:proofErr w:type="gramEnd"/>
      <w:r w:rsidRPr="003818C4">
        <w:rPr>
          <w:rStyle w:val="NoneA"/>
          <w:rFonts w:ascii="Arial" w:hAnsi="Arial" w:cs="Arial"/>
          <w:bCs/>
          <w:sz w:val="18"/>
          <w:szCs w:val="18"/>
          <w:lang w:val="en-GB"/>
        </w:rPr>
        <w:t xml:space="preserve"> the existing standards </w:t>
      </w:r>
      <w:r w:rsidR="00330310" w:rsidRPr="003818C4">
        <w:rPr>
          <w:rStyle w:val="NoneA"/>
          <w:rFonts w:ascii="Arial" w:hAnsi="Arial" w:cs="Arial"/>
          <w:bCs/>
          <w:sz w:val="18"/>
          <w:szCs w:val="18"/>
          <w:lang w:val="en-GB"/>
        </w:rPr>
        <w:t>of legal capacity for</w:t>
      </w:r>
      <w:r w:rsidRPr="003818C4">
        <w:rPr>
          <w:rStyle w:val="NoneA"/>
          <w:rFonts w:ascii="Arial" w:hAnsi="Arial" w:cs="Arial"/>
          <w:bCs/>
          <w:sz w:val="18"/>
          <w:szCs w:val="18"/>
          <w:lang w:val="en-GB"/>
        </w:rPr>
        <w:t xml:space="preserve"> persons with disabilities.</w:t>
      </w:r>
    </w:p>
    <w:p w14:paraId="699084CD" w14:textId="77777777" w:rsidR="00E30B6F" w:rsidRPr="003818C4" w:rsidRDefault="00E30B6F"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Promoting the ratification of the Optional protocol to the International Pact on the Economic, Social and Cultural Rights.</w:t>
      </w:r>
    </w:p>
    <w:p w14:paraId="6843991E" w14:textId="77777777" w:rsidR="00E30B6F" w:rsidRPr="003818C4" w:rsidRDefault="00E30B6F"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
          <w:bCs/>
          <w:sz w:val="18"/>
          <w:szCs w:val="18"/>
          <w:lang w:val="en-GB"/>
        </w:rPr>
        <w:t>The Council for the Prevention and Elimination of Discrimination and Ensuring Equality</w:t>
      </w:r>
      <w:r w:rsidRPr="003818C4">
        <w:rPr>
          <w:rStyle w:val="NoneA"/>
          <w:rFonts w:ascii="Arial" w:hAnsi="Arial" w:cs="Arial"/>
          <w:bCs/>
          <w:sz w:val="18"/>
          <w:szCs w:val="18"/>
          <w:lang w:val="en-GB"/>
        </w:rPr>
        <w:t>.</w:t>
      </w:r>
      <w:r w:rsidRPr="003818C4">
        <w:rPr>
          <w:rStyle w:val="NoneA"/>
          <w:rFonts w:ascii="Arial" w:hAnsi="Arial" w:cs="Arial"/>
          <w:b/>
          <w:bCs/>
          <w:sz w:val="18"/>
          <w:szCs w:val="18"/>
          <w:lang w:val="en-GB"/>
        </w:rPr>
        <w:t xml:space="preserve"> </w:t>
      </w:r>
      <w:r w:rsidRPr="003818C4">
        <w:rPr>
          <w:rStyle w:val="NoneA"/>
          <w:rFonts w:ascii="Arial" w:hAnsi="Arial" w:cs="Arial"/>
          <w:bCs/>
          <w:sz w:val="18"/>
          <w:szCs w:val="18"/>
          <w:lang w:val="en-GB"/>
        </w:rPr>
        <w:t>The activity and the functions of the Council should be improved through:</w:t>
      </w:r>
    </w:p>
    <w:p w14:paraId="0455FC47" w14:textId="77777777" w:rsidR="00E30B6F" w:rsidRPr="003818C4" w:rsidRDefault="00E30B6F" w:rsidP="007B01A1">
      <w:pPr>
        <w:pStyle w:val="Body"/>
        <w:numPr>
          <w:ilvl w:val="2"/>
          <w:numId w:val="29"/>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 xml:space="preserve">Adjustment of the legislative framework </w:t>
      </w:r>
      <w:r w:rsidR="00CA61D1" w:rsidRPr="003818C4">
        <w:rPr>
          <w:rStyle w:val="NoneA"/>
          <w:rFonts w:ascii="Arial" w:hAnsi="Arial" w:cs="Arial"/>
          <w:bCs/>
          <w:sz w:val="18"/>
          <w:szCs w:val="18"/>
          <w:lang w:val="en-GB"/>
        </w:rPr>
        <w:t>on</w:t>
      </w:r>
      <w:r w:rsidRPr="003818C4">
        <w:rPr>
          <w:rStyle w:val="NoneA"/>
          <w:rFonts w:ascii="Arial" w:hAnsi="Arial" w:cs="Arial"/>
          <w:bCs/>
          <w:sz w:val="18"/>
          <w:szCs w:val="18"/>
          <w:lang w:val="en-GB"/>
        </w:rPr>
        <w:t xml:space="preserve"> the competences of the Council, of the Ombudsman and of the judicial courts;</w:t>
      </w:r>
    </w:p>
    <w:p w14:paraId="71BBE43D" w14:textId="77777777" w:rsidR="00E30B6F" w:rsidRPr="003818C4" w:rsidRDefault="00E30B6F" w:rsidP="007B01A1">
      <w:pPr>
        <w:pStyle w:val="Body"/>
        <w:numPr>
          <w:ilvl w:val="2"/>
          <w:numId w:val="29"/>
        </w:numPr>
        <w:spacing w:after="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Revision of the legislative framework related to the equality and non-di</w:t>
      </w:r>
      <w:r w:rsidR="00CA61D1" w:rsidRPr="003818C4">
        <w:rPr>
          <w:rStyle w:val="NoneA"/>
          <w:rFonts w:ascii="Arial" w:hAnsi="Arial" w:cs="Arial"/>
          <w:bCs/>
          <w:sz w:val="18"/>
          <w:szCs w:val="18"/>
          <w:lang w:val="en-GB"/>
        </w:rPr>
        <w:t>scrimination, promoting harmonis</w:t>
      </w:r>
      <w:r w:rsidRPr="003818C4">
        <w:rPr>
          <w:rStyle w:val="NoneA"/>
          <w:rFonts w:ascii="Arial" w:hAnsi="Arial" w:cs="Arial"/>
          <w:bCs/>
          <w:sz w:val="18"/>
          <w:szCs w:val="18"/>
          <w:lang w:val="en-GB"/>
        </w:rPr>
        <w:t>ed non-discrimination criteria, compensatory instruments for acts of discrimination,</w:t>
      </w:r>
      <w:r w:rsidR="00CA61D1" w:rsidRPr="003818C4">
        <w:rPr>
          <w:rStyle w:val="NoneA"/>
          <w:rFonts w:ascii="Arial" w:hAnsi="Arial" w:cs="Arial"/>
          <w:bCs/>
          <w:sz w:val="18"/>
          <w:szCs w:val="18"/>
          <w:lang w:val="en-GB"/>
        </w:rPr>
        <w:t xml:space="preserve"> access to data and evidence to prove</w:t>
      </w:r>
      <w:r w:rsidRPr="003818C4">
        <w:rPr>
          <w:rStyle w:val="NoneA"/>
          <w:rFonts w:ascii="Arial" w:hAnsi="Arial" w:cs="Arial"/>
          <w:bCs/>
          <w:sz w:val="18"/>
          <w:szCs w:val="18"/>
          <w:lang w:val="en-GB"/>
        </w:rPr>
        <w:t xml:space="preserve"> discrimination, including the burden of proof in cases of discrimination, as well as other relevant areas of the Council’s activity;</w:t>
      </w:r>
    </w:p>
    <w:p w14:paraId="502FFE0E" w14:textId="77777777" w:rsidR="00E30B6F" w:rsidRPr="003818C4" w:rsidRDefault="00CA61D1" w:rsidP="007B01A1">
      <w:pPr>
        <w:pStyle w:val="Body"/>
        <w:numPr>
          <w:ilvl w:val="0"/>
          <w:numId w:val="23"/>
        </w:numPr>
        <w:spacing w:after="0" w:line="240" w:lineRule="auto"/>
        <w:ind w:left="284" w:hanging="284"/>
        <w:rPr>
          <w:rStyle w:val="NoneA"/>
          <w:rFonts w:ascii="Arial" w:hAnsi="Arial" w:cs="Arial"/>
          <w:bCs/>
          <w:sz w:val="18"/>
          <w:szCs w:val="18"/>
          <w:lang w:val="en-GB"/>
        </w:rPr>
      </w:pPr>
      <w:bookmarkStart w:id="14" w:name="_Toc477519226"/>
      <w:r w:rsidRPr="003818C4">
        <w:rPr>
          <w:rStyle w:val="NoneA"/>
          <w:rFonts w:ascii="Arial" w:hAnsi="Arial" w:cs="Arial"/>
          <w:bCs/>
          <w:sz w:val="18"/>
          <w:szCs w:val="18"/>
          <w:lang w:val="en-GB"/>
        </w:rPr>
        <w:t>Establishment of a</w:t>
      </w:r>
      <w:r w:rsidR="00E30B6F" w:rsidRPr="003818C4">
        <w:rPr>
          <w:rStyle w:val="NoneA"/>
          <w:rFonts w:ascii="Arial" w:hAnsi="Arial" w:cs="Arial"/>
          <w:bCs/>
          <w:sz w:val="18"/>
          <w:szCs w:val="18"/>
          <w:lang w:val="en-GB"/>
        </w:rPr>
        <w:t xml:space="preserve"> </w:t>
      </w:r>
      <w:r w:rsidRPr="003818C4">
        <w:rPr>
          <w:rStyle w:val="NoneA"/>
          <w:rFonts w:ascii="Arial" w:hAnsi="Arial" w:cs="Arial"/>
          <w:bCs/>
          <w:sz w:val="18"/>
          <w:szCs w:val="18"/>
          <w:lang w:val="en-GB"/>
        </w:rPr>
        <w:t>Parliamentary oversight</w:t>
      </w:r>
      <w:r w:rsidR="00E30B6F" w:rsidRPr="003818C4">
        <w:rPr>
          <w:rStyle w:val="NoneA"/>
          <w:rFonts w:ascii="Arial" w:hAnsi="Arial" w:cs="Arial"/>
          <w:bCs/>
          <w:sz w:val="18"/>
          <w:szCs w:val="18"/>
          <w:lang w:val="en-GB"/>
        </w:rPr>
        <w:t xml:space="preserve"> mechanism </w:t>
      </w:r>
      <w:r w:rsidRPr="003818C4">
        <w:rPr>
          <w:rStyle w:val="NoneA"/>
          <w:rFonts w:ascii="Arial" w:hAnsi="Arial" w:cs="Arial"/>
          <w:bCs/>
          <w:sz w:val="18"/>
          <w:szCs w:val="18"/>
          <w:lang w:val="en-GB"/>
        </w:rPr>
        <w:t>to</w:t>
      </w:r>
      <w:r w:rsidR="00E30B6F" w:rsidRPr="003818C4">
        <w:rPr>
          <w:rStyle w:val="NoneA"/>
          <w:rFonts w:ascii="Arial" w:hAnsi="Arial" w:cs="Arial"/>
          <w:bCs/>
          <w:sz w:val="18"/>
          <w:szCs w:val="18"/>
          <w:lang w:val="en-GB"/>
        </w:rPr>
        <w:t xml:space="preserve"> </w:t>
      </w:r>
      <w:r w:rsidRPr="003818C4">
        <w:rPr>
          <w:rStyle w:val="NoneA"/>
          <w:rFonts w:ascii="Arial" w:hAnsi="Arial" w:cs="Arial"/>
          <w:bCs/>
          <w:sz w:val="18"/>
          <w:szCs w:val="18"/>
          <w:lang w:val="en-GB"/>
        </w:rPr>
        <w:t xml:space="preserve">enforce </w:t>
      </w:r>
      <w:r w:rsidR="00E30B6F" w:rsidRPr="003818C4">
        <w:rPr>
          <w:rStyle w:val="NoneA"/>
          <w:rFonts w:ascii="Arial" w:hAnsi="Arial" w:cs="Arial"/>
          <w:bCs/>
          <w:sz w:val="18"/>
          <w:szCs w:val="18"/>
          <w:lang w:val="en-GB"/>
        </w:rPr>
        <w:t xml:space="preserve">the ECHR rulings </w:t>
      </w:r>
      <w:r w:rsidRPr="003818C4">
        <w:rPr>
          <w:rStyle w:val="NoneA"/>
          <w:rFonts w:ascii="Arial" w:hAnsi="Arial" w:cs="Arial"/>
          <w:bCs/>
          <w:sz w:val="18"/>
          <w:szCs w:val="18"/>
          <w:lang w:val="en-GB"/>
        </w:rPr>
        <w:t>issued against</w:t>
      </w:r>
      <w:r w:rsidR="00E30B6F" w:rsidRPr="003818C4">
        <w:rPr>
          <w:rStyle w:val="NoneA"/>
          <w:rFonts w:ascii="Arial" w:hAnsi="Arial" w:cs="Arial"/>
          <w:bCs/>
          <w:sz w:val="18"/>
          <w:szCs w:val="18"/>
          <w:lang w:val="en-GB"/>
        </w:rPr>
        <w:t xml:space="preserve"> Moldova;</w:t>
      </w:r>
    </w:p>
    <w:p w14:paraId="5C324FB4" w14:textId="77777777" w:rsidR="00E30B6F" w:rsidRPr="003818C4" w:rsidRDefault="00E30B6F"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Revision of the national legislation aiming at the adequate access to public information on behalf of the public authorities/state enterprises, as well as clarification of the provisions of the Law on personal data protection aiming at the exclusion of any abuse on behalf of the public authorities with a view to limit access to public information.    </w:t>
      </w:r>
    </w:p>
    <w:bookmarkEnd w:id="14"/>
    <w:p w14:paraId="35614BE3" w14:textId="77777777" w:rsidR="00E30B6F" w:rsidRPr="003818C4" w:rsidRDefault="00E30B6F" w:rsidP="007B01A1">
      <w:pPr>
        <w:pStyle w:val="Body"/>
        <w:numPr>
          <w:ilvl w:val="0"/>
          <w:numId w:val="23"/>
        </w:numPr>
        <w:spacing w:after="0" w:line="240" w:lineRule="auto"/>
        <w:ind w:left="284" w:hanging="284"/>
        <w:rPr>
          <w:rFonts w:ascii="Arial" w:hAnsi="Arial" w:cs="Arial"/>
          <w:bCs/>
          <w:sz w:val="18"/>
          <w:szCs w:val="18"/>
          <w:lang w:val="en-GB"/>
        </w:rPr>
      </w:pPr>
      <w:r w:rsidRPr="003818C4">
        <w:rPr>
          <w:rStyle w:val="NoneA"/>
          <w:rFonts w:ascii="Arial" w:hAnsi="Arial" w:cs="Arial"/>
          <w:bCs/>
          <w:sz w:val="18"/>
          <w:szCs w:val="18"/>
          <w:lang w:val="en-GB"/>
        </w:rPr>
        <w:t xml:space="preserve">Signing and enforcement in 2017 of the </w:t>
      </w:r>
      <w:r w:rsidRPr="003818C4">
        <w:rPr>
          <w:rStyle w:val="NoneA"/>
          <w:rFonts w:ascii="Arial" w:hAnsi="Arial" w:cs="Arial"/>
          <w:b/>
          <w:bCs/>
          <w:sz w:val="18"/>
          <w:szCs w:val="18"/>
          <w:lang w:val="en-GB"/>
        </w:rPr>
        <w:t>Agreement on security procedures for the exchange of classified information</w:t>
      </w:r>
      <w:r w:rsidRPr="003818C4">
        <w:rPr>
          <w:rFonts w:ascii="Arial" w:eastAsia="Verdana" w:hAnsi="Arial" w:cs="Arial"/>
          <w:sz w:val="18"/>
          <w:szCs w:val="18"/>
          <w:lang w:val="en-GB"/>
        </w:rPr>
        <w:t>;</w:t>
      </w:r>
    </w:p>
    <w:p w14:paraId="70A912D0" w14:textId="77777777" w:rsidR="00E30B6F" w:rsidRPr="003818C4" w:rsidRDefault="00E30B6F" w:rsidP="007B01A1">
      <w:pPr>
        <w:pStyle w:val="Body"/>
        <w:numPr>
          <w:ilvl w:val="0"/>
          <w:numId w:val="23"/>
        </w:numPr>
        <w:spacing w:after="0" w:line="240" w:lineRule="auto"/>
        <w:ind w:left="284" w:hanging="284"/>
        <w:rPr>
          <w:rFonts w:ascii="Arial" w:hAnsi="Arial" w:cs="Arial"/>
          <w:bCs/>
          <w:sz w:val="18"/>
          <w:szCs w:val="18"/>
          <w:lang w:val="en-GB"/>
        </w:rPr>
      </w:pPr>
      <w:r w:rsidRPr="003818C4">
        <w:rPr>
          <w:rFonts w:ascii="Arial" w:eastAsia="Verdana" w:hAnsi="Arial" w:cs="Arial"/>
          <w:sz w:val="18"/>
          <w:szCs w:val="18"/>
          <w:lang w:val="en-GB"/>
        </w:rPr>
        <w:t xml:space="preserve">Consolidation of the national </w:t>
      </w:r>
      <w:r w:rsidRPr="003818C4">
        <w:rPr>
          <w:rFonts w:ascii="Arial" w:eastAsia="Verdana" w:hAnsi="Arial" w:cs="Arial"/>
          <w:b/>
          <w:sz w:val="18"/>
          <w:szCs w:val="18"/>
          <w:lang w:val="en-GB"/>
        </w:rPr>
        <w:t>capacities for the prevention and management of crises and risks to the national security</w:t>
      </w:r>
      <w:r w:rsidRPr="003818C4">
        <w:rPr>
          <w:rFonts w:ascii="Arial" w:eastAsia="Verdana" w:hAnsi="Arial" w:cs="Arial"/>
          <w:sz w:val="18"/>
          <w:szCs w:val="18"/>
          <w:lang w:val="en-GB"/>
        </w:rPr>
        <w:t>. Creation of a situational Centre for the prevention and management of crises (SITCEN);</w:t>
      </w:r>
    </w:p>
    <w:p w14:paraId="21439D1E" w14:textId="77777777" w:rsidR="00E30B6F" w:rsidRPr="003818C4" w:rsidRDefault="00E30B6F" w:rsidP="007B01A1">
      <w:pPr>
        <w:pStyle w:val="Body"/>
        <w:numPr>
          <w:ilvl w:val="0"/>
          <w:numId w:val="23"/>
        </w:numPr>
        <w:spacing w:after="0" w:line="240" w:lineRule="auto"/>
        <w:ind w:left="284" w:hanging="284"/>
        <w:rPr>
          <w:rFonts w:ascii="Arial" w:hAnsi="Arial" w:cs="Arial"/>
          <w:bCs/>
          <w:sz w:val="18"/>
          <w:szCs w:val="18"/>
          <w:lang w:val="en-GB"/>
        </w:rPr>
      </w:pPr>
      <w:r w:rsidRPr="003818C4">
        <w:rPr>
          <w:rFonts w:ascii="Arial" w:eastAsia="Verdana" w:hAnsi="Arial" w:cs="Arial"/>
          <w:sz w:val="18"/>
          <w:szCs w:val="18"/>
          <w:lang w:val="en-GB"/>
        </w:rPr>
        <w:t xml:space="preserve">Development in 2017, with the involvement of all national stakeholders (Parliament, Government, Presidency, civil society, etc.), </w:t>
      </w:r>
      <w:r w:rsidR="00AC28E2" w:rsidRPr="003818C4">
        <w:rPr>
          <w:rFonts w:ascii="Arial" w:eastAsia="Verdana" w:hAnsi="Arial" w:cs="Arial"/>
          <w:sz w:val="18"/>
          <w:szCs w:val="18"/>
          <w:lang w:val="en-GB"/>
        </w:rPr>
        <w:t xml:space="preserve">of </w:t>
      </w:r>
      <w:r w:rsidRPr="003818C4">
        <w:rPr>
          <w:rFonts w:ascii="Arial" w:eastAsia="Verdana" w:hAnsi="Arial" w:cs="Arial"/>
          <w:sz w:val="18"/>
          <w:szCs w:val="18"/>
          <w:lang w:val="en-GB"/>
        </w:rPr>
        <w:t xml:space="preserve">a </w:t>
      </w:r>
      <w:r w:rsidRPr="003818C4">
        <w:rPr>
          <w:rFonts w:ascii="Arial" w:eastAsia="Verdana" w:hAnsi="Arial" w:cs="Arial"/>
          <w:b/>
          <w:sz w:val="18"/>
          <w:szCs w:val="18"/>
          <w:lang w:val="en-GB"/>
        </w:rPr>
        <w:t>Strategy on the reintegration of the Republic of Moldova</w:t>
      </w:r>
      <w:r w:rsidRPr="003818C4">
        <w:rPr>
          <w:rFonts w:ascii="Arial" w:eastAsia="Verdana" w:hAnsi="Arial" w:cs="Arial"/>
          <w:sz w:val="18"/>
          <w:szCs w:val="18"/>
          <w:lang w:val="en-GB"/>
        </w:rPr>
        <w:t xml:space="preserve"> which should include short-, medium- and long-term measures.</w:t>
      </w:r>
    </w:p>
    <w:p w14:paraId="39EF3C93" w14:textId="77777777" w:rsidR="00E30B6F" w:rsidRPr="003818C4" w:rsidRDefault="00E30B6F"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
          <w:bCs/>
          <w:sz w:val="18"/>
          <w:szCs w:val="18"/>
          <w:lang w:val="en-GB"/>
        </w:rPr>
        <w:t>Clarification</w:t>
      </w:r>
      <w:r w:rsidR="00AC28E2" w:rsidRPr="003818C4">
        <w:rPr>
          <w:rStyle w:val="NoneA"/>
          <w:rFonts w:ascii="Arial" w:hAnsi="Arial" w:cs="Arial"/>
          <w:b/>
          <w:bCs/>
          <w:sz w:val="18"/>
          <w:szCs w:val="18"/>
          <w:lang w:val="en-GB"/>
        </w:rPr>
        <w:t xml:space="preserve"> </w:t>
      </w:r>
      <w:r w:rsidRPr="003818C4">
        <w:rPr>
          <w:rStyle w:val="NoneA"/>
          <w:rFonts w:ascii="Arial" w:hAnsi="Arial" w:cs="Arial"/>
          <w:b/>
          <w:bCs/>
          <w:sz w:val="18"/>
          <w:szCs w:val="18"/>
          <w:lang w:val="en-GB"/>
        </w:rPr>
        <w:t>/</w:t>
      </w:r>
      <w:r w:rsidR="00AC28E2" w:rsidRPr="003818C4">
        <w:rPr>
          <w:rStyle w:val="NoneA"/>
          <w:rFonts w:ascii="Arial" w:hAnsi="Arial" w:cs="Arial"/>
          <w:b/>
          <w:bCs/>
          <w:sz w:val="18"/>
          <w:szCs w:val="18"/>
          <w:lang w:val="en-GB"/>
        </w:rPr>
        <w:t xml:space="preserve"> </w:t>
      </w:r>
      <w:r w:rsidRPr="003818C4">
        <w:rPr>
          <w:rStyle w:val="NoneA"/>
          <w:rFonts w:ascii="Arial" w:hAnsi="Arial" w:cs="Arial"/>
          <w:b/>
          <w:bCs/>
          <w:sz w:val="18"/>
          <w:szCs w:val="18"/>
          <w:lang w:val="en-GB"/>
        </w:rPr>
        <w:t xml:space="preserve">consolidation of the mandates </w:t>
      </w:r>
      <w:r w:rsidRPr="003818C4">
        <w:rPr>
          <w:rStyle w:val="NoneA"/>
          <w:rFonts w:ascii="Arial" w:hAnsi="Arial" w:cs="Arial"/>
          <w:bCs/>
          <w:sz w:val="18"/>
          <w:szCs w:val="18"/>
          <w:lang w:val="en-GB"/>
        </w:rPr>
        <w:t xml:space="preserve">of the Moldovan officials in the process of the country’s reintegration and in the </w:t>
      </w:r>
      <w:proofErr w:type="spellStart"/>
      <w:r w:rsidRPr="003818C4">
        <w:rPr>
          <w:rStyle w:val="NoneA"/>
          <w:rFonts w:ascii="Arial" w:hAnsi="Arial" w:cs="Arial"/>
          <w:bCs/>
          <w:sz w:val="18"/>
          <w:szCs w:val="18"/>
          <w:lang w:val="en-GB"/>
        </w:rPr>
        <w:t>Transnistria</w:t>
      </w:r>
      <w:proofErr w:type="spellEnd"/>
      <w:r w:rsidRPr="003818C4">
        <w:rPr>
          <w:rStyle w:val="NoneA"/>
          <w:rFonts w:ascii="Arial" w:hAnsi="Arial" w:cs="Arial"/>
          <w:bCs/>
          <w:sz w:val="18"/>
          <w:szCs w:val="18"/>
          <w:lang w:val="en-GB"/>
        </w:rPr>
        <w:t xml:space="preserve"> conflict settlement process.</w:t>
      </w:r>
    </w:p>
    <w:p w14:paraId="29F3A17B" w14:textId="77777777" w:rsidR="00E30B6F" w:rsidRPr="003818C4" w:rsidRDefault="00E30B6F"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Implementation of the integrated border management program at the Moldovan - Ukrainian border. </w:t>
      </w:r>
      <w:r w:rsidRPr="003818C4">
        <w:rPr>
          <w:rStyle w:val="NoneA"/>
          <w:rFonts w:ascii="Arial" w:hAnsi="Arial" w:cs="Arial"/>
          <w:b/>
          <w:bCs/>
          <w:sz w:val="18"/>
          <w:szCs w:val="18"/>
          <w:lang w:val="en-GB"/>
        </w:rPr>
        <w:t>Extension of the joint control over the Moldovan - Ukrainian border</w:t>
      </w:r>
      <w:r w:rsidR="00AC28E2" w:rsidRPr="003818C4">
        <w:rPr>
          <w:rStyle w:val="NoneA"/>
          <w:rFonts w:ascii="Arial" w:hAnsi="Arial" w:cs="Arial"/>
          <w:bCs/>
          <w:sz w:val="18"/>
          <w:szCs w:val="18"/>
          <w:lang w:val="en-GB"/>
        </w:rPr>
        <w:t>, including the entire</w:t>
      </w:r>
      <w:r w:rsidRPr="003818C4">
        <w:rPr>
          <w:rStyle w:val="NoneA"/>
          <w:rFonts w:ascii="Arial" w:hAnsi="Arial" w:cs="Arial"/>
          <w:bCs/>
          <w:sz w:val="18"/>
          <w:szCs w:val="18"/>
          <w:lang w:val="en-GB"/>
        </w:rPr>
        <w:t xml:space="preserve"> </w:t>
      </w:r>
      <w:proofErr w:type="spellStart"/>
      <w:r w:rsidRPr="003818C4">
        <w:rPr>
          <w:rStyle w:val="NoneA"/>
          <w:rFonts w:ascii="Arial" w:hAnsi="Arial" w:cs="Arial"/>
          <w:bCs/>
          <w:sz w:val="18"/>
          <w:szCs w:val="18"/>
          <w:lang w:val="en-GB"/>
        </w:rPr>
        <w:t>Transnistria</w:t>
      </w:r>
      <w:proofErr w:type="spellEnd"/>
      <w:r w:rsidRPr="003818C4">
        <w:rPr>
          <w:rStyle w:val="NoneA"/>
          <w:rFonts w:ascii="Arial" w:hAnsi="Arial" w:cs="Arial"/>
          <w:bCs/>
          <w:sz w:val="18"/>
          <w:szCs w:val="18"/>
          <w:lang w:val="en-GB"/>
        </w:rPr>
        <w:t xml:space="preserve"> segment of the border;</w:t>
      </w:r>
    </w:p>
    <w:p w14:paraId="0286A981" w14:textId="77777777" w:rsidR="00E30B6F" w:rsidRPr="003818C4" w:rsidRDefault="00E30B6F" w:rsidP="007B01A1">
      <w:pPr>
        <w:pStyle w:val="Body"/>
        <w:numPr>
          <w:ilvl w:val="0"/>
          <w:numId w:val="23"/>
        </w:numPr>
        <w:spacing w:after="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Extension of the EU-Moldova cooperation in the </w:t>
      </w:r>
      <w:r w:rsidRPr="003818C4">
        <w:rPr>
          <w:rStyle w:val="NoneA"/>
          <w:rFonts w:ascii="Arial" w:hAnsi="Arial" w:cs="Arial"/>
          <w:b/>
          <w:bCs/>
          <w:sz w:val="18"/>
          <w:szCs w:val="18"/>
          <w:lang w:val="en-GB"/>
        </w:rPr>
        <w:t>EU missions in the framework of the EU Common Security and Defence Policy</w:t>
      </w:r>
      <w:r w:rsidRPr="003818C4">
        <w:rPr>
          <w:rStyle w:val="NoneA"/>
          <w:rFonts w:ascii="Arial" w:hAnsi="Arial" w:cs="Arial"/>
          <w:bCs/>
          <w:sz w:val="18"/>
          <w:szCs w:val="18"/>
          <w:lang w:val="en-GB"/>
        </w:rPr>
        <w:t>;</w:t>
      </w:r>
    </w:p>
    <w:p w14:paraId="032167B9" w14:textId="77777777" w:rsidR="00E30B6F" w:rsidRPr="003818C4" w:rsidRDefault="00E30B6F" w:rsidP="007B01A1">
      <w:pPr>
        <w:pStyle w:val="Body"/>
        <w:numPr>
          <w:ilvl w:val="0"/>
          <w:numId w:val="23"/>
        </w:numPr>
        <w:spacing w:after="0" w:line="240" w:lineRule="auto"/>
        <w:ind w:left="284" w:hanging="284"/>
        <w:rPr>
          <w:rFonts w:ascii="Arial" w:hAnsi="Arial" w:cs="Arial"/>
          <w:bCs/>
          <w:sz w:val="18"/>
          <w:szCs w:val="18"/>
          <w:lang w:val="en-GB"/>
        </w:rPr>
      </w:pPr>
      <w:r w:rsidRPr="003818C4">
        <w:rPr>
          <w:rStyle w:val="NoneA"/>
          <w:rFonts w:ascii="Arial" w:hAnsi="Arial" w:cs="Arial"/>
          <w:b/>
          <w:bCs/>
          <w:sz w:val="18"/>
          <w:szCs w:val="18"/>
          <w:lang w:val="en-GB"/>
        </w:rPr>
        <w:t>Extension of the EUBAM mandate</w:t>
      </w:r>
      <w:r w:rsidRPr="003818C4">
        <w:rPr>
          <w:rStyle w:val="NoneA"/>
          <w:rFonts w:ascii="Arial" w:hAnsi="Arial" w:cs="Arial"/>
          <w:bCs/>
          <w:sz w:val="18"/>
          <w:szCs w:val="18"/>
          <w:lang w:val="en-GB"/>
        </w:rPr>
        <w:t xml:space="preserve"> for a new period (2017-2019). </w:t>
      </w:r>
    </w:p>
    <w:p w14:paraId="3394DDFB" w14:textId="77777777" w:rsidR="00E30B6F" w:rsidRPr="003818C4" w:rsidRDefault="00E30B6F" w:rsidP="001164F1">
      <w:pPr>
        <w:spacing w:before="120" w:after="120" w:line="240" w:lineRule="auto"/>
        <w:rPr>
          <w:rStyle w:val="NoneA"/>
          <w:rFonts w:ascii="Arial" w:hAnsi="Arial" w:cs="Arial"/>
          <w:smallCaps/>
          <w:color w:val="0B5294" w:themeColor="accent1" w:themeShade="BF"/>
          <w:spacing w:val="5"/>
          <w:sz w:val="18"/>
          <w:szCs w:val="18"/>
          <w:lang w:val="en-GB"/>
        </w:rPr>
      </w:pPr>
      <w:r w:rsidRPr="003818C4">
        <w:rPr>
          <w:rStyle w:val="NoneA"/>
          <w:rFonts w:ascii="Arial" w:hAnsi="Arial" w:cs="Arial"/>
          <w:color w:val="0B5294" w:themeColor="accent1" w:themeShade="BF"/>
          <w:sz w:val="18"/>
          <w:szCs w:val="18"/>
          <w:lang w:val="en-GB"/>
        </w:rPr>
        <w:br w:type="page"/>
      </w:r>
    </w:p>
    <w:p w14:paraId="7114B261" w14:textId="77777777" w:rsidR="00E30B6F" w:rsidRPr="003818C4" w:rsidRDefault="00E30B6F" w:rsidP="00890C8B">
      <w:pPr>
        <w:pStyle w:val="Heading2"/>
        <w:numPr>
          <w:ilvl w:val="1"/>
          <w:numId w:val="24"/>
        </w:numPr>
        <w:tabs>
          <w:tab w:val="left" w:pos="709"/>
        </w:tabs>
        <w:spacing w:before="120" w:after="120" w:line="240" w:lineRule="auto"/>
        <w:ind w:left="284" w:hanging="284"/>
        <w:rPr>
          <w:rStyle w:val="NoneA"/>
          <w:rFonts w:ascii="Arial" w:hAnsi="Arial" w:cs="Arial"/>
          <w:color w:val="0B5294" w:themeColor="accent1" w:themeShade="BF"/>
          <w:sz w:val="18"/>
          <w:szCs w:val="18"/>
          <w:lang w:val="en-GB"/>
        </w:rPr>
      </w:pPr>
      <w:bookmarkStart w:id="15" w:name="_Toc477762697"/>
      <w:bookmarkStart w:id="16" w:name="_Toc477762696"/>
      <w:bookmarkStart w:id="17" w:name="_Toc478028661"/>
      <w:r w:rsidRPr="003818C4">
        <w:rPr>
          <w:rFonts w:ascii="Arial" w:hAnsi="Arial" w:cs="Arial"/>
          <w:noProof/>
          <w:sz w:val="18"/>
          <w:szCs w:val="18"/>
        </w:rPr>
        <w:lastRenderedPageBreak/>
        <w:drawing>
          <wp:anchor distT="0" distB="0" distL="114300" distR="114300" simplePos="0" relativeHeight="251658240" behindDoc="1" locked="0" layoutInCell="1" allowOverlap="1" wp14:anchorId="44896AA6" wp14:editId="4D4E1E1A">
            <wp:simplePos x="0" y="0"/>
            <wp:positionH relativeFrom="column">
              <wp:posOffset>3203426</wp:posOffset>
            </wp:positionH>
            <wp:positionV relativeFrom="paragraph">
              <wp:posOffset>169626</wp:posOffset>
            </wp:positionV>
            <wp:extent cx="2400935" cy="1939925"/>
            <wp:effectExtent l="0" t="0" r="18415" b="3175"/>
            <wp:wrapTight wrapText="bothSides">
              <wp:wrapPolygon edited="0">
                <wp:start x="0" y="0"/>
                <wp:lineTo x="0" y="21423"/>
                <wp:lineTo x="21594" y="21423"/>
                <wp:lineTo x="21594" y="0"/>
                <wp:lineTo x="0" y="0"/>
              </wp:wrapPolygon>
            </wp:wrapTight>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bookmarkEnd w:id="15"/>
      <w:r w:rsidRPr="003818C4">
        <w:rPr>
          <w:rStyle w:val="NoneA"/>
          <w:rFonts w:ascii="Arial" w:hAnsi="Arial" w:cs="Arial"/>
          <w:color w:val="0B5294" w:themeColor="accent1" w:themeShade="BF"/>
          <w:sz w:val="18"/>
          <w:szCs w:val="18"/>
          <w:lang w:val="en-GB"/>
        </w:rPr>
        <w:t>Freedom, Security and Justice (Title III)</w:t>
      </w:r>
      <w:bookmarkEnd w:id="16"/>
      <w:bookmarkEnd w:id="17"/>
    </w:p>
    <w:p w14:paraId="420C2162" w14:textId="77777777" w:rsidR="00E30B6F" w:rsidRPr="003818C4" w:rsidRDefault="00E30B6F" w:rsidP="001164F1">
      <w:pPr>
        <w:pStyle w:val="Heading3"/>
        <w:spacing w:before="120" w:after="120" w:line="240" w:lineRule="auto"/>
        <w:rPr>
          <w:rFonts w:ascii="Arial" w:hAnsi="Arial" w:cs="Arial"/>
          <w:bCs/>
          <w:noProof/>
          <w:color w:val="0B5294" w:themeColor="accent1" w:themeShade="BF"/>
          <w:sz w:val="18"/>
          <w:szCs w:val="18"/>
          <w:lang w:val="en-GB"/>
        </w:rPr>
      </w:pPr>
      <w:bookmarkStart w:id="18" w:name="_Toc478028662"/>
      <w:r w:rsidRPr="003818C4">
        <w:rPr>
          <w:rFonts w:ascii="Arial" w:hAnsi="Arial" w:cs="Arial"/>
          <w:bCs/>
          <w:noProof/>
          <w:color w:val="0B5294" w:themeColor="accent1" w:themeShade="BF"/>
          <w:sz w:val="18"/>
          <w:szCs w:val="18"/>
          <w:lang w:val="en-GB"/>
        </w:rPr>
        <w:t>Quantitative progress evaluation</w:t>
      </w:r>
      <w:bookmarkEnd w:id="18"/>
    </w:p>
    <w:p w14:paraId="6669870A" w14:textId="77777777" w:rsidR="00E30B6F" w:rsidRPr="003818C4" w:rsidRDefault="00E30B6F" w:rsidP="001164F1">
      <w:pPr>
        <w:pStyle w:val="Body"/>
        <w:spacing w:before="120" w:after="120" w:line="240" w:lineRule="auto"/>
        <w:rPr>
          <w:rFonts w:ascii="Arial" w:hAnsi="Arial" w:cs="Arial"/>
          <w:sz w:val="18"/>
          <w:szCs w:val="18"/>
          <w:lang w:val="en-GB"/>
        </w:rPr>
      </w:pPr>
      <w:r w:rsidRPr="003818C4">
        <w:rPr>
          <w:rFonts w:ascii="Arial" w:hAnsi="Arial" w:cs="Arial"/>
          <w:sz w:val="18"/>
          <w:szCs w:val="18"/>
          <w:lang w:val="en-GB"/>
        </w:rPr>
        <w:t xml:space="preserve">Title III of the NAPIAA provides for a total number of </w:t>
      </w:r>
      <w:r w:rsidRPr="003818C4">
        <w:rPr>
          <w:rFonts w:ascii="Arial" w:hAnsi="Arial" w:cs="Arial"/>
          <w:b/>
          <w:sz w:val="18"/>
          <w:szCs w:val="18"/>
          <w:lang w:val="en-GB"/>
        </w:rPr>
        <w:t>143 implementation measures</w:t>
      </w:r>
      <w:r w:rsidRPr="003818C4">
        <w:rPr>
          <w:rFonts w:ascii="Arial" w:hAnsi="Arial" w:cs="Arial"/>
          <w:sz w:val="18"/>
          <w:szCs w:val="18"/>
          <w:lang w:val="en-GB"/>
        </w:rPr>
        <w:t xml:space="preserve"> for the period 2014-2016, out of which </w:t>
      </w:r>
      <w:r w:rsidRPr="003818C4">
        <w:rPr>
          <w:rFonts w:ascii="Arial" w:hAnsi="Arial" w:cs="Arial"/>
          <w:b/>
          <w:sz w:val="18"/>
          <w:szCs w:val="18"/>
          <w:lang w:val="en-GB"/>
        </w:rPr>
        <w:t>119</w:t>
      </w:r>
      <w:r w:rsidRPr="003818C4">
        <w:rPr>
          <w:rFonts w:ascii="Arial" w:hAnsi="Arial" w:cs="Arial"/>
          <w:sz w:val="18"/>
          <w:szCs w:val="18"/>
          <w:lang w:val="en-GB"/>
        </w:rPr>
        <w:t xml:space="preserve"> </w:t>
      </w:r>
      <w:r w:rsidRPr="003818C4">
        <w:rPr>
          <w:rFonts w:ascii="Arial" w:hAnsi="Arial" w:cs="Arial"/>
          <w:b/>
          <w:sz w:val="18"/>
          <w:szCs w:val="18"/>
          <w:lang w:val="en-GB"/>
        </w:rPr>
        <w:t xml:space="preserve">measures were </w:t>
      </w:r>
      <w:r w:rsidR="00AC28E2" w:rsidRPr="003818C4">
        <w:rPr>
          <w:rFonts w:ascii="Arial" w:hAnsi="Arial" w:cs="Arial"/>
          <w:b/>
          <w:sz w:val="18"/>
          <w:szCs w:val="18"/>
          <w:lang w:val="en-GB"/>
        </w:rPr>
        <w:t>implemented</w:t>
      </w:r>
      <w:r w:rsidRPr="003818C4">
        <w:rPr>
          <w:rFonts w:ascii="Arial" w:hAnsi="Arial" w:cs="Arial"/>
          <w:sz w:val="18"/>
          <w:szCs w:val="18"/>
          <w:lang w:val="en-GB"/>
        </w:rPr>
        <w:t xml:space="preserve">, </w:t>
      </w:r>
      <w:r w:rsidRPr="003818C4">
        <w:rPr>
          <w:rStyle w:val="NoneA"/>
          <w:rFonts w:ascii="Arial" w:hAnsi="Arial" w:cs="Arial"/>
          <w:b/>
          <w:bCs/>
          <w:sz w:val="18"/>
          <w:szCs w:val="18"/>
          <w:lang w:val="en-GB"/>
        </w:rPr>
        <w:t xml:space="preserve">including one measure with a continuous term of </w:t>
      </w:r>
      <w:r w:rsidR="00AC28E2" w:rsidRPr="003818C4">
        <w:rPr>
          <w:rStyle w:val="NoneA"/>
          <w:rFonts w:ascii="Arial" w:hAnsi="Arial" w:cs="Arial"/>
          <w:b/>
          <w:bCs/>
          <w:sz w:val="18"/>
          <w:szCs w:val="18"/>
          <w:lang w:val="en-GB"/>
        </w:rPr>
        <w:t>implementation</w:t>
      </w:r>
      <w:r w:rsidRPr="003818C4">
        <w:rPr>
          <w:rFonts w:ascii="Arial" w:hAnsi="Arial" w:cs="Arial"/>
          <w:sz w:val="18"/>
          <w:szCs w:val="18"/>
          <w:lang w:val="en-GB"/>
        </w:rPr>
        <w:t xml:space="preserve">. </w:t>
      </w:r>
    </w:p>
    <w:p w14:paraId="796E6DAF" w14:textId="77777777" w:rsidR="00E30B6F" w:rsidRPr="003818C4" w:rsidRDefault="00E30B6F" w:rsidP="001164F1">
      <w:pPr>
        <w:pStyle w:val="Body"/>
        <w:spacing w:before="120" w:after="120" w:line="240" w:lineRule="auto"/>
        <w:rPr>
          <w:rStyle w:val="NoneA"/>
          <w:rFonts w:ascii="Arial" w:eastAsia="Verdana" w:hAnsi="Arial" w:cs="Arial"/>
          <w:b/>
          <w:bCs/>
          <w:sz w:val="18"/>
          <w:szCs w:val="18"/>
          <w:lang w:val="en-GB"/>
        </w:rPr>
      </w:pPr>
      <w:r w:rsidRPr="003818C4">
        <w:rPr>
          <w:rFonts w:ascii="Arial" w:hAnsi="Arial" w:cs="Arial"/>
          <w:sz w:val="18"/>
          <w:szCs w:val="18"/>
          <w:lang w:val="en-GB"/>
        </w:rPr>
        <w:t xml:space="preserve">At the same time, </w:t>
      </w:r>
      <w:r w:rsidRPr="003818C4">
        <w:rPr>
          <w:rFonts w:ascii="Arial" w:hAnsi="Arial" w:cs="Arial"/>
          <w:b/>
          <w:sz w:val="18"/>
          <w:szCs w:val="18"/>
          <w:lang w:val="en-GB"/>
        </w:rPr>
        <w:t>20 measur</w:t>
      </w:r>
      <w:r w:rsidR="00CA62F9" w:rsidRPr="003818C4">
        <w:rPr>
          <w:rFonts w:ascii="Arial" w:hAnsi="Arial" w:cs="Arial"/>
          <w:b/>
          <w:sz w:val="18"/>
          <w:szCs w:val="18"/>
          <w:lang w:val="en-GB"/>
        </w:rPr>
        <w:t>es were only partly implemented</w:t>
      </w:r>
      <w:r w:rsidR="00CA62F9" w:rsidRPr="003818C4">
        <w:rPr>
          <w:rFonts w:ascii="Arial" w:hAnsi="Arial" w:cs="Arial"/>
          <w:sz w:val="18"/>
          <w:szCs w:val="18"/>
          <w:lang w:val="en-GB"/>
        </w:rPr>
        <w:t>, whilst</w:t>
      </w:r>
      <w:r w:rsidRPr="003818C4">
        <w:rPr>
          <w:rFonts w:ascii="Arial" w:hAnsi="Arial" w:cs="Arial"/>
          <w:sz w:val="18"/>
          <w:szCs w:val="18"/>
          <w:lang w:val="en-GB"/>
        </w:rPr>
        <w:t xml:space="preserve"> 4 measures remain </w:t>
      </w:r>
      <w:r w:rsidR="00CA62F9" w:rsidRPr="003818C4">
        <w:rPr>
          <w:rFonts w:ascii="Arial" w:hAnsi="Arial" w:cs="Arial"/>
          <w:sz w:val="18"/>
          <w:szCs w:val="18"/>
          <w:lang w:val="en-GB"/>
        </w:rPr>
        <w:t>not implemented</w:t>
      </w:r>
      <w:r w:rsidRPr="003818C4">
        <w:rPr>
          <w:rFonts w:ascii="Arial" w:hAnsi="Arial" w:cs="Arial"/>
          <w:sz w:val="18"/>
          <w:szCs w:val="18"/>
          <w:lang w:val="en-GB"/>
        </w:rPr>
        <w:t xml:space="preserve">. </w:t>
      </w:r>
    </w:p>
    <w:tbl>
      <w:tblPr>
        <w:tblpPr w:leftFromText="180" w:rightFromText="180" w:vertAnchor="text" w:horzAnchor="page" w:tblpX="1610" w:tblpY="1389"/>
        <w:tblW w:w="8824" w:type="dxa"/>
        <w:tblLayout w:type="fixed"/>
        <w:tblCellMar>
          <w:left w:w="0" w:type="dxa"/>
          <w:right w:w="0" w:type="dxa"/>
        </w:tblCellMar>
        <w:tblLook w:val="04A0" w:firstRow="1" w:lastRow="0" w:firstColumn="1" w:lastColumn="0" w:noHBand="0" w:noVBand="1"/>
      </w:tblPr>
      <w:tblGrid>
        <w:gridCol w:w="3825"/>
        <w:gridCol w:w="704"/>
        <w:gridCol w:w="1327"/>
        <w:gridCol w:w="1418"/>
        <w:gridCol w:w="1550"/>
      </w:tblGrid>
      <w:tr w:rsidR="00E30B6F" w:rsidRPr="003818C4" w14:paraId="01B35295" w14:textId="77777777" w:rsidTr="00CA62F9">
        <w:trPr>
          <w:trHeight w:val="524"/>
        </w:trPr>
        <w:tc>
          <w:tcPr>
            <w:tcW w:w="38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C72D7B9" w14:textId="77777777" w:rsidR="00E30B6F" w:rsidRPr="003818C4" w:rsidRDefault="00E30B6F" w:rsidP="00890C8B">
            <w:pPr>
              <w:pStyle w:val="Body"/>
              <w:spacing w:after="0" w:line="240" w:lineRule="auto"/>
              <w:jc w:val="center"/>
              <w:rPr>
                <w:rFonts w:ascii="Arial" w:hAnsi="Arial" w:cs="Arial"/>
                <w:b/>
                <w:sz w:val="18"/>
                <w:szCs w:val="18"/>
                <w:lang w:val="en-GB"/>
              </w:rPr>
            </w:pPr>
            <w:r w:rsidRPr="003818C4">
              <w:rPr>
                <w:rFonts w:ascii="Arial" w:hAnsi="Arial" w:cs="Arial"/>
                <w:b/>
                <w:sz w:val="18"/>
                <w:szCs w:val="18"/>
                <w:lang w:val="en-GB"/>
              </w:rPr>
              <w:t>Table 3.</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CCAA580"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b/>
                <w:bCs/>
                <w:sz w:val="18"/>
                <w:szCs w:val="18"/>
                <w:lang w:val="en-GB"/>
              </w:rPr>
              <w:t>Total</w:t>
            </w:r>
          </w:p>
        </w:tc>
        <w:tc>
          <w:tcPr>
            <w:tcW w:w="1327" w:type="dxa"/>
            <w:tcBorders>
              <w:top w:val="single" w:sz="8" w:space="0" w:color="000000"/>
              <w:left w:val="single" w:sz="8" w:space="0" w:color="000000"/>
              <w:bottom w:val="single" w:sz="8" w:space="0" w:color="000000"/>
              <w:right w:val="single" w:sz="8" w:space="0" w:color="000000"/>
            </w:tcBorders>
            <w:shd w:val="clear" w:color="auto" w:fill="073763" w:themeFill="accent1" w:themeFillShade="80"/>
            <w:tcMar>
              <w:top w:w="13" w:type="dxa"/>
              <w:left w:w="108" w:type="dxa"/>
              <w:bottom w:w="0" w:type="dxa"/>
              <w:right w:w="108" w:type="dxa"/>
            </w:tcMar>
            <w:hideMark/>
          </w:tcPr>
          <w:p w14:paraId="053C22C7" w14:textId="77777777" w:rsidR="00E30B6F" w:rsidRPr="003818C4" w:rsidRDefault="00CA62F9" w:rsidP="00890C8B">
            <w:pPr>
              <w:pStyle w:val="Body"/>
              <w:spacing w:after="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Implemented</w:t>
            </w:r>
          </w:p>
        </w:tc>
        <w:tc>
          <w:tcPr>
            <w:tcW w:w="1418" w:type="dxa"/>
            <w:tcBorders>
              <w:top w:val="single" w:sz="8" w:space="0" w:color="000000"/>
              <w:left w:val="single" w:sz="8" w:space="0" w:color="000000"/>
              <w:bottom w:val="single" w:sz="8" w:space="0" w:color="000000"/>
              <w:right w:val="single" w:sz="8" w:space="0" w:color="000000"/>
            </w:tcBorders>
            <w:shd w:val="clear" w:color="auto" w:fill="0B5294" w:themeFill="accent1" w:themeFillShade="BF"/>
            <w:tcMar>
              <w:top w:w="13" w:type="dxa"/>
              <w:left w:w="108" w:type="dxa"/>
              <w:bottom w:w="0" w:type="dxa"/>
              <w:right w:w="108" w:type="dxa"/>
            </w:tcMar>
            <w:hideMark/>
          </w:tcPr>
          <w:p w14:paraId="6F0EE8C2" w14:textId="77777777" w:rsidR="00E30B6F" w:rsidRPr="003818C4" w:rsidRDefault="00E30B6F" w:rsidP="00890C8B">
            <w:pPr>
              <w:pStyle w:val="Body"/>
              <w:spacing w:after="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P</w:t>
            </w:r>
            <w:r w:rsidR="00CA62F9" w:rsidRPr="003818C4">
              <w:rPr>
                <w:rFonts w:ascii="Arial" w:hAnsi="Arial" w:cs="Arial"/>
                <w:b/>
                <w:bCs/>
                <w:color w:val="FFFFFF" w:themeColor="background1"/>
                <w:sz w:val="18"/>
                <w:szCs w:val="18"/>
                <w:lang w:val="en-GB"/>
              </w:rPr>
              <w:t>artly implemented</w:t>
            </w:r>
          </w:p>
        </w:tc>
        <w:tc>
          <w:tcPr>
            <w:tcW w:w="1550" w:type="dxa"/>
            <w:tcBorders>
              <w:top w:val="single" w:sz="8" w:space="0" w:color="000000"/>
              <w:left w:val="single" w:sz="8" w:space="0" w:color="000000"/>
              <w:bottom w:val="single" w:sz="8" w:space="0" w:color="000000"/>
              <w:right w:val="single" w:sz="8" w:space="0" w:color="000000"/>
            </w:tcBorders>
            <w:shd w:val="clear" w:color="auto" w:fill="59A9F2" w:themeFill="accent1" w:themeFillTint="99"/>
            <w:tcMar>
              <w:top w:w="13" w:type="dxa"/>
              <w:left w:w="108" w:type="dxa"/>
              <w:bottom w:w="0" w:type="dxa"/>
              <w:right w:w="108" w:type="dxa"/>
            </w:tcMar>
            <w:hideMark/>
          </w:tcPr>
          <w:p w14:paraId="2A044AB9" w14:textId="77777777" w:rsidR="00E30B6F" w:rsidRPr="003818C4" w:rsidRDefault="00CA62F9" w:rsidP="00890C8B">
            <w:pPr>
              <w:pStyle w:val="Body"/>
              <w:spacing w:after="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Not implemented</w:t>
            </w:r>
          </w:p>
        </w:tc>
      </w:tr>
      <w:tr w:rsidR="00E30B6F" w:rsidRPr="003818C4" w14:paraId="4FEA1D9E" w14:textId="77777777" w:rsidTr="00CA62F9">
        <w:trPr>
          <w:trHeight w:val="271"/>
        </w:trPr>
        <w:tc>
          <w:tcPr>
            <w:tcW w:w="3825"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5773DA85" w14:textId="77777777" w:rsidR="00E30B6F" w:rsidRPr="003818C4" w:rsidRDefault="00E30B6F" w:rsidP="00890C8B">
            <w:pPr>
              <w:pStyle w:val="Body"/>
              <w:spacing w:after="0" w:line="240" w:lineRule="auto"/>
              <w:rPr>
                <w:rFonts w:ascii="Arial" w:hAnsi="Arial" w:cs="Arial"/>
                <w:sz w:val="18"/>
                <w:szCs w:val="18"/>
                <w:lang w:val="en-GB"/>
              </w:rPr>
            </w:pPr>
            <w:r w:rsidRPr="003818C4">
              <w:rPr>
                <w:rFonts w:ascii="Arial" w:hAnsi="Arial" w:cs="Arial"/>
                <w:b/>
                <w:bCs/>
                <w:sz w:val="18"/>
                <w:szCs w:val="18"/>
                <w:lang w:val="en-GB"/>
              </w:rPr>
              <w:t xml:space="preserve">NAPIAA 2014 - 2016 </w:t>
            </w:r>
          </w:p>
        </w:tc>
        <w:tc>
          <w:tcPr>
            <w:tcW w:w="704"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12930999"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143</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2DE3DE91"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119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19DE2C0E"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20</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7B4CE495"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4</w:t>
            </w:r>
          </w:p>
        </w:tc>
      </w:tr>
      <w:tr w:rsidR="00E30B6F" w:rsidRPr="003818C4" w14:paraId="2A07B276" w14:textId="77777777" w:rsidTr="00CA62F9">
        <w:trPr>
          <w:trHeight w:val="238"/>
        </w:trPr>
        <w:tc>
          <w:tcPr>
            <w:tcW w:w="3825"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637F090B" w14:textId="77777777" w:rsidR="00E30B6F" w:rsidRPr="003818C4" w:rsidRDefault="00CA62F9" w:rsidP="00890C8B">
            <w:pPr>
              <w:pStyle w:val="Body"/>
              <w:spacing w:after="0" w:line="240" w:lineRule="auto"/>
              <w:rPr>
                <w:rFonts w:ascii="Arial" w:eastAsia="Calibri" w:hAnsi="Arial" w:cs="Arial"/>
                <w:sz w:val="18"/>
                <w:szCs w:val="18"/>
                <w:lang w:val="en-GB"/>
              </w:rPr>
            </w:pPr>
            <w:r w:rsidRPr="003818C4">
              <w:rPr>
                <w:rFonts w:ascii="Arial" w:eastAsia="Calibri" w:hAnsi="Arial" w:cs="Arial"/>
                <w:b/>
                <w:bCs/>
                <w:sz w:val="18"/>
                <w:szCs w:val="18"/>
                <w:lang w:val="en-GB"/>
              </w:rPr>
              <w:t>To be implemented</w:t>
            </w:r>
            <w:r w:rsidR="00E30B6F" w:rsidRPr="003818C4">
              <w:rPr>
                <w:rFonts w:ascii="Arial" w:eastAsia="Calibri" w:hAnsi="Arial" w:cs="Arial"/>
                <w:b/>
                <w:bCs/>
                <w:sz w:val="18"/>
                <w:szCs w:val="18"/>
                <w:lang w:val="en-GB"/>
              </w:rPr>
              <w:t xml:space="preserve"> by 31.12.2016</w:t>
            </w:r>
          </w:p>
        </w:tc>
        <w:tc>
          <w:tcPr>
            <w:tcW w:w="704"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1B8AD240"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142</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37B0A044"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118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0E012154"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20</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5C685813"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4</w:t>
            </w:r>
          </w:p>
        </w:tc>
      </w:tr>
      <w:tr w:rsidR="00E30B6F" w:rsidRPr="003818C4" w14:paraId="11A2CE9A" w14:textId="77777777" w:rsidTr="00CA62F9">
        <w:trPr>
          <w:trHeight w:val="242"/>
        </w:trPr>
        <w:tc>
          <w:tcPr>
            <w:tcW w:w="3825"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04561F61" w14:textId="77777777" w:rsidR="00E30B6F" w:rsidRPr="003818C4" w:rsidRDefault="00E30B6F" w:rsidP="00890C8B">
            <w:pPr>
              <w:pStyle w:val="Body"/>
              <w:spacing w:after="0" w:line="240" w:lineRule="auto"/>
              <w:rPr>
                <w:rFonts w:ascii="Arial" w:eastAsia="Calibri" w:hAnsi="Arial" w:cs="Arial"/>
                <w:b/>
                <w:bCs/>
                <w:sz w:val="18"/>
                <w:szCs w:val="18"/>
                <w:lang w:val="en-GB"/>
              </w:rPr>
            </w:pPr>
            <w:r w:rsidRPr="003818C4">
              <w:rPr>
                <w:rFonts w:ascii="Arial" w:eastAsia="Calibri" w:hAnsi="Arial" w:cs="Arial"/>
                <w:b/>
                <w:bCs/>
                <w:sz w:val="18"/>
                <w:szCs w:val="18"/>
                <w:lang w:val="en-GB"/>
              </w:rPr>
              <w:t>Continuous</w:t>
            </w:r>
          </w:p>
        </w:tc>
        <w:tc>
          <w:tcPr>
            <w:tcW w:w="704"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76FE7CCA"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1C064633"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37BFCCE6"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54245A23"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w:t>
            </w:r>
          </w:p>
        </w:tc>
      </w:tr>
    </w:tbl>
    <w:p w14:paraId="2DDCB447" w14:textId="77777777" w:rsidR="00E30B6F" w:rsidRPr="003818C4" w:rsidRDefault="00E30B6F" w:rsidP="001164F1">
      <w:pPr>
        <w:pStyle w:val="Body"/>
        <w:spacing w:before="120" w:after="120" w:line="240" w:lineRule="auto"/>
        <w:rPr>
          <w:rFonts w:ascii="Arial" w:hAnsi="Arial" w:cs="Arial"/>
          <w:bCs/>
          <w:sz w:val="18"/>
          <w:szCs w:val="18"/>
          <w:lang w:val="en-GB"/>
        </w:rPr>
      </w:pPr>
      <w:r w:rsidRPr="003818C4">
        <w:rPr>
          <w:rFonts w:ascii="Arial" w:hAnsi="Arial" w:cs="Arial"/>
          <w:sz w:val="18"/>
          <w:szCs w:val="18"/>
          <w:lang w:val="en-GB"/>
        </w:rPr>
        <w:t xml:space="preserve">Thus, the conclusion is that the total rate of accomplishment of the measures stipulated in Title III of the NAPIAA at the end of the reference period represents </w:t>
      </w:r>
      <w:r w:rsidRPr="003818C4">
        <w:rPr>
          <w:rStyle w:val="NoneA"/>
          <w:rFonts w:ascii="Arial" w:hAnsi="Arial" w:cs="Arial"/>
          <w:b/>
          <w:bCs/>
          <w:sz w:val="18"/>
          <w:szCs w:val="18"/>
          <w:lang w:val="en-GB"/>
        </w:rPr>
        <w:t xml:space="preserve">83.2%, </w:t>
      </w:r>
      <w:r w:rsidRPr="003818C4">
        <w:rPr>
          <w:rStyle w:val="NoneA"/>
          <w:rFonts w:ascii="Arial" w:hAnsi="Arial" w:cs="Arial"/>
          <w:bCs/>
          <w:sz w:val="18"/>
          <w:szCs w:val="18"/>
          <w:lang w:val="en-GB"/>
        </w:rPr>
        <w:t>while</w:t>
      </w:r>
      <w:r w:rsidRPr="003818C4">
        <w:rPr>
          <w:rStyle w:val="NoneA"/>
          <w:rFonts w:ascii="Arial" w:hAnsi="Arial" w:cs="Arial"/>
          <w:b/>
          <w:bCs/>
          <w:sz w:val="18"/>
          <w:szCs w:val="18"/>
          <w:lang w:val="en-GB"/>
        </w:rPr>
        <w:t xml:space="preserve"> 2.8% of the measures were not accomplished.</w:t>
      </w:r>
    </w:p>
    <w:p w14:paraId="06FCC277" w14:textId="77777777" w:rsidR="00E30B6F" w:rsidRPr="003818C4" w:rsidRDefault="00E30B6F" w:rsidP="001164F1">
      <w:pPr>
        <w:pStyle w:val="Heading3"/>
        <w:spacing w:before="120" w:after="120" w:line="240" w:lineRule="auto"/>
        <w:rPr>
          <w:rFonts w:ascii="Arial" w:hAnsi="Arial" w:cs="Arial"/>
          <w:color w:val="0B5294" w:themeColor="accent1" w:themeShade="BF"/>
          <w:sz w:val="18"/>
          <w:szCs w:val="18"/>
          <w:lang w:val="en-GB"/>
        </w:rPr>
      </w:pPr>
    </w:p>
    <w:p w14:paraId="29BD0B53" w14:textId="77777777" w:rsidR="00E30B6F" w:rsidRPr="003818C4" w:rsidRDefault="00E30B6F" w:rsidP="001164F1">
      <w:pPr>
        <w:pStyle w:val="Heading3"/>
        <w:spacing w:before="120" w:after="120" w:line="240" w:lineRule="auto"/>
        <w:rPr>
          <w:rFonts w:ascii="Arial" w:hAnsi="Arial" w:cs="Arial"/>
          <w:b/>
          <w:color w:val="0B5294" w:themeColor="accent1" w:themeShade="BF"/>
          <w:sz w:val="18"/>
          <w:szCs w:val="18"/>
          <w:lang w:val="en-GB"/>
        </w:rPr>
      </w:pPr>
      <w:bookmarkStart w:id="19" w:name="_Toc478028663"/>
      <w:bookmarkStart w:id="20" w:name="_Toc477762698"/>
      <w:r w:rsidRPr="003818C4">
        <w:rPr>
          <w:rFonts w:ascii="Arial" w:hAnsi="Arial" w:cs="Arial"/>
          <w:b/>
          <w:color w:val="0B5294" w:themeColor="accent1" w:themeShade="BF"/>
          <w:sz w:val="18"/>
          <w:szCs w:val="18"/>
          <w:lang w:val="en-GB"/>
        </w:rPr>
        <w:t>Conclusions (Title III)</w:t>
      </w:r>
      <w:bookmarkEnd w:id="19"/>
    </w:p>
    <w:p w14:paraId="54683C8D" w14:textId="77777777" w:rsidR="00E30B6F" w:rsidRPr="003818C4" w:rsidRDefault="00E30B6F" w:rsidP="00890C8B">
      <w:pPr>
        <w:pStyle w:val="Body"/>
        <w:numPr>
          <w:ilvl w:val="0"/>
          <w:numId w:val="43"/>
        </w:numPr>
        <w:spacing w:before="120" w:after="120" w:line="240" w:lineRule="auto"/>
        <w:ind w:left="284" w:hanging="284"/>
        <w:rPr>
          <w:rStyle w:val="NoneA"/>
          <w:rFonts w:ascii="Arial" w:eastAsiaTheme="minorEastAsia" w:hAnsi="Arial" w:cs="Arial"/>
          <w:bCs/>
          <w:color w:val="auto"/>
          <w:sz w:val="18"/>
          <w:szCs w:val="18"/>
          <w:lang w:val="en-GB"/>
        </w:rPr>
      </w:pPr>
      <w:r w:rsidRPr="003818C4">
        <w:rPr>
          <w:rStyle w:val="NoneA"/>
          <w:rFonts w:ascii="Arial" w:hAnsi="Arial" w:cs="Arial"/>
          <w:bCs/>
          <w:sz w:val="18"/>
          <w:szCs w:val="18"/>
          <w:lang w:val="en-GB"/>
        </w:rPr>
        <w:t>The Law on the reorganisation of courts does not resolve the optimisation of courts via the number of judges who are active in each court, but only regulates the merging of offices. This does not allow a complex implementation of the reform and does not comply with the objective and the progress indicators of the Justice</w:t>
      </w:r>
      <w:r w:rsidR="00CA62F9" w:rsidRPr="003818C4">
        <w:rPr>
          <w:rStyle w:val="NoneA"/>
          <w:rFonts w:ascii="Arial" w:hAnsi="Arial" w:cs="Arial"/>
          <w:bCs/>
          <w:sz w:val="18"/>
          <w:szCs w:val="18"/>
          <w:lang w:val="en-GB"/>
        </w:rPr>
        <w:t xml:space="preserve"> Sector</w:t>
      </w:r>
      <w:r w:rsidRPr="003818C4">
        <w:rPr>
          <w:rStyle w:val="NoneA"/>
          <w:rFonts w:ascii="Arial" w:hAnsi="Arial" w:cs="Arial"/>
          <w:bCs/>
          <w:sz w:val="18"/>
          <w:szCs w:val="18"/>
          <w:lang w:val="en-GB"/>
        </w:rPr>
        <w:t xml:space="preserve"> Reform Strategy.</w:t>
      </w:r>
    </w:p>
    <w:p w14:paraId="3DE7DF6A" w14:textId="77777777" w:rsidR="00E30B6F" w:rsidRPr="003818C4" w:rsidRDefault="00E30B6F" w:rsidP="00890C8B">
      <w:pPr>
        <w:pStyle w:val="Body"/>
        <w:numPr>
          <w:ilvl w:val="0"/>
          <w:numId w:val="43"/>
        </w:numPr>
        <w:spacing w:before="120" w:after="120" w:line="240" w:lineRule="auto"/>
        <w:ind w:left="284" w:hanging="284"/>
        <w:rPr>
          <w:rStyle w:val="NoneA"/>
          <w:rFonts w:ascii="Arial" w:eastAsiaTheme="minorEastAsia" w:hAnsi="Arial" w:cs="Arial"/>
          <w:bCs/>
          <w:color w:val="auto"/>
          <w:sz w:val="18"/>
          <w:szCs w:val="18"/>
          <w:lang w:val="en-GB"/>
        </w:rPr>
      </w:pPr>
      <w:r w:rsidRPr="003818C4">
        <w:rPr>
          <w:rStyle w:val="NoneA"/>
          <w:rFonts w:ascii="Arial" w:hAnsi="Arial" w:cs="Arial"/>
          <w:bCs/>
          <w:sz w:val="18"/>
          <w:szCs w:val="18"/>
          <w:lang w:val="en-GB"/>
        </w:rPr>
        <w:t xml:space="preserve">The merging of courts does not allow the cumulative implementation of the requirements of proximity of courts for citizens, specialisation of judges, random distribution of cases and their review in a reasonable time. This impossibility does not apply to the merged district courts located in Chisinau. </w:t>
      </w:r>
    </w:p>
    <w:p w14:paraId="0372B875" w14:textId="77777777" w:rsidR="00E30B6F" w:rsidRPr="003818C4" w:rsidRDefault="00E30B6F" w:rsidP="00890C8B">
      <w:pPr>
        <w:pStyle w:val="Body"/>
        <w:numPr>
          <w:ilvl w:val="0"/>
          <w:numId w:val="43"/>
        </w:numPr>
        <w:spacing w:before="120" w:after="120" w:line="240" w:lineRule="auto"/>
        <w:ind w:left="284" w:hanging="284"/>
        <w:rPr>
          <w:rStyle w:val="NoneA"/>
          <w:rFonts w:ascii="Arial" w:hAnsi="Arial" w:cs="Arial"/>
          <w:bCs/>
          <w:smallCaps/>
          <w:sz w:val="18"/>
          <w:szCs w:val="18"/>
          <w:lang w:val="en-GB"/>
        </w:rPr>
      </w:pPr>
      <w:r w:rsidRPr="003818C4">
        <w:rPr>
          <w:rStyle w:val="NoneA"/>
          <w:rFonts w:ascii="Arial" w:hAnsi="Arial" w:cs="Arial"/>
          <w:bCs/>
          <w:sz w:val="18"/>
          <w:szCs w:val="18"/>
          <w:lang w:val="en-GB"/>
        </w:rPr>
        <w:t>There is no active mechanism of improved access to justice, via redirection of cases of low complexity to mediators and concentration on complex cases, including those which may increase in number as an efficient anticorruption policy is implemented with investigation of high level corruption cases, money laundering, tax evasion or organised crime.</w:t>
      </w:r>
    </w:p>
    <w:p w14:paraId="631B16E6" w14:textId="77777777" w:rsidR="00E30B6F" w:rsidRPr="003818C4" w:rsidRDefault="00E30B6F" w:rsidP="00890C8B">
      <w:pPr>
        <w:pStyle w:val="Body"/>
        <w:numPr>
          <w:ilvl w:val="0"/>
          <w:numId w:val="43"/>
        </w:numPr>
        <w:spacing w:before="120" w:after="120" w:line="240" w:lineRule="auto"/>
        <w:ind w:left="284" w:hanging="284"/>
        <w:rPr>
          <w:rStyle w:val="NoneA"/>
          <w:rFonts w:ascii="Arial" w:hAnsi="Arial" w:cs="Arial"/>
          <w:bCs/>
          <w:smallCaps/>
          <w:sz w:val="18"/>
          <w:szCs w:val="18"/>
          <w:lang w:val="en-GB"/>
        </w:rPr>
      </w:pPr>
      <w:r w:rsidRPr="003818C4">
        <w:rPr>
          <w:rStyle w:val="NoneA"/>
          <w:rFonts w:ascii="Arial" w:hAnsi="Arial" w:cs="Arial"/>
          <w:bCs/>
          <w:sz w:val="18"/>
          <w:szCs w:val="18"/>
          <w:lang w:val="en-GB"/>
        </w:rPr>
        <w:t>Review of the functions of chairmen and vice-chairmen of courts generated the contrary to the pursued aim of the reform – they can interfere, as the law allows, in the system of random distribution of cases, which may imply also the distribution of cases to the same person (chairmen of the court).</w:t>
      </w:r>
    </w:p>
    <w:p w14:paraId="214A70D0" w14:textId="77777777" w:rsidR="00E30B6F" w:rsidRPr="003818C4" w:rsidRDefault="00E30B6F" w:rsidP="00890C8B">
      <w:pPr>
        <w:pStyle w:val="Body"/>
        <w:numPr>
          <w:ilvl w:val="0"/>
          <w:numId w:val="43"/>
        </w:numPr>
        <w:spacing w:before="120" w:after="120" w:line="240" w:lineRule="auto"/>
        <w:ind w:left="284" w:hanging="284"/>
        <w:rPr>
          <w:rStyle w:val="NoneA"/>
          <w:rFonts w:ascii="Arial" w:hAnsi="Arial" w:cs="Arial"/>
          <w:bCs/>
          <w:smallCaps/>
          <w:sz w:val="18"/>
          <w:szCs w:val="18"/>
          <w:lang w:val="en-GB"/>
        </w:rPr>
      </w:pPr>
      <w:r w:rsidRPr="003818C4">
        <w:rPr>
          <w:rStyle w:val="NoneA"/>
          <w:rFonts w:ascii="Arial" w:hAnsi="Arial" w:cs="Arial"/>
          <w:bCs/>
          <w:sz w:val="18"/>
          <w:szCs w:val="18"/>
          <w:lang w:val="en-GB"/>
        </w:rPr>
        <w:t>The amendments approved to protect personal data are more of a technical nature, rather than substance, with the exception of some clarifications for the cases of investigations initiated by the Money Laundering Prevention Service.</w:t>
      </w:r>
    </w:p>
    <w:p w14:paraId="3FD6ADAF" w14:textId="77777777" w:rsidR="00E30B6F" w:rsidRPr="003818C4" w:rsidRDefault="00E30B6F" w:rsidP="00890C8B">
      <w:pPr>
        <w:pStyle w:val="Body"/>
        <w:numPr>
          <w:ilvl w:val="0"/>
          <w:numId w:val="43"/>
        </w:numPr>
        <w:spacing w:before="120" w:after="120" w:line="240" w:lineRule="auto"/>
        <w:ind w:left="284" w:hanging="284"/>
        <w:rPr>
          <w:rStyle w:val="NoneA"/>
          <w:rFonts w:ascii="Arial" w:hAnsi="Arial" w:cs="Arial"/>
          <w:bCs/>
          <w:smallCaps/>
          <w:sz w:val="18"/>
          <w:szCs w:val="18"/>
          <w:lang w:val="en-GB"/>
        </w:rPr>
      </w:pPr>
      <w:r w:rsidRPr="003818C4">
        <w:rPr>
          <w:rStyle w:val="NoneA"/>
          <w:rFonts w:ascii="Arial" w:hAnsi="Arial" w:cs="Arial"/>
          <w:bCs/>
          <w:sz w:val="18"/>
          <w:szCs w:val="18"/>
          <w:lang w:val="en-GB"/>
        </w:rPr>
        <w:t>The provisions in the Big Brother draft law of similar special investigative measures for more serious crimes such as cybercrimes and those against private life and the crimes against copyright breaches the right of privacy of citizens for the public interest</w:t>
      </w:r>
    </w:p>
    <w:p w14:paraId="29D1EF69" w14:textId="77777777" w:rsidR="00E30B6F" w:rsidRPr="003818C4" w:rsidRDefault="00E30B6F" w:rsidP="00890C8B">
      <w:pPr>
        <w:pStyle w:val="Body"/>
        <w:numPr>
          <w:ilvl w:val="0"/>
          <w:numId w:val="43"/>
        </w:numPr>
        <w:spacing w:before="120" w:after="120" w:line="240" w:lineRule="auto"/>
        <w:ind w:left="284" w:hanging="284"/>
        <w:rPr>
          <w:rStyle w:val="NoneA"/>
          <w:rFonts w:ascii="Arial" w:hAnsi="Arial" w:cs="Arial"/>
          <w:bCs/>
          <w:smallCaps/>
          <w:sz w:val="18"/>
          <w:szCs w:val="18"/>
          <w:lang w:val="en-GB"/>
        </w:rPr>
      </w:pPr>
      <w:r w:rsidRPr="003818C4">
        <w:rPr>
          <w:rStyle w:val="NoneA"/>
          <w:rFonts w:ascii="Arial" w:hAnsi="Arial" w:cs="Arial"/>
          <w:bCs/>
          <w:sz w:val="18"/>
          <w:szCs w:val="18"/>
          <w:lang w:val="en-GB"/>
        </w:rPr>
        <w:t>The draft which transposes the EU Directive 2015/849 exposes attorneys, notaries, other regulated professions, the list of which is not clearly defined in the draft law to the risk of breaching their duty to ensure confidentiality when they are bound by obligations to comply with the right to defence, which is a fundamental right.</w:t>
      </w:r>
    </w:p>
    <w:p w14:paraId="75DA6B01" w14:textId="77777777" w:rsidR="00E30B6F" w:rsidRPr="003818C4" w:rsidRDefault="00E30B6F" w:rsidP="00890C8B">
      <w:pPr>
        <w:pStyle w:val="Body"/>
        <w:numPr>
          <w:ilvl w:val="0"/>
          <w:numId w:val="43"/>
        </w:numPr>
        <w:spacing w:before="120" w:after="120" w:line="240" w:lineRule="auto"/>
        <w:ind w:left="284" w:hanging="284"/>
        <w:rPr>
          <w:rFonts w:ascii="Arial" w:hAnsi="Arial" w:cs="Arial"/>
          <w:bCs/>
          <w:smallCaps/>
          <w:sz w:val="18"/>
          <w:szCs w:val="18"/>
          <w:lang w:val="en-GB"/>
        </w:rPr>
      </w:pPr>
      <w:r w:rsidRPr="003818C4">
        <w:rPr>
          <w:rStyle w:val="NoneA"/>
          <w:rFonts w:ascii="Arial" w:hAnsi="Arial" w:cs="Arial"/>
          <w:bCs/>
          <w:sz w:val="18"/>
          <w:szCs w:val="18"/>
          <w:lang w:val="en-GB"/>
        </w:rPr>
        <w:t>The burden to evaluate the risks of money laundering which is imposed on reporting entities which have different reporting capacities. On one hand, the financial institutions have considerable resources to ensure reporting. On the other, the newly included entities may confront difficulties in the reporting process.</w:t>
      </w:r>
    </w:p>
    <w:p w14:paraId="5747F9BA" w14:textId="77777777" w:rsidR="00E30B6F" w:rsidRPr="003818C4" w:rsidRDefault="00E30B6F" w:rsidP="001164F1">
      <w:pPr>
        <w:pStyle w:val="Heading3"/>
        <w:spacing w:before="120" w:after="120" w:line="240" w:lineRule="auto"/>
        <w:rPr>
          <w:rFonts w:ascii="Arial" w:hAnsi="Arial" w:cs="Arial"/>
          <w:b/>
          <w:color w:val="0B5294" w:themeColor="accent1" w:themeShade="BF"/>
          <w:sz w:val="18"/>
          <w:szCs w:val="18"/>
          <w:lang w:val="en-GB"/>
        </w:rPr>
      </w:pPr>
      <w:bookmarkStart w:id="21" w:name="_Toc478028664"/>
      <w:r w:rsidRPr="003818C4">
        <w:rPr>
          <w:rFonts w:ascii="Arial" w:hAnsi="Arial" w:cs="Arial"/>
          <w:b/>
          <w:color w:val="0B5294" w:themeColor="accent1" w:themeShade="BF"/>
          <w:sz w:val="18"/>
          <w:szCs w:val="18"/>
          <w:lang w:val="en-GB"/>
        </w:rPr>
        <w:t>Recommendations (Title III)</w:t>
      </w:r>
      <w:bookmarkEnd w:id="20"/>
      <w:bookmarkEnd w:id="21"/>
    </w:p>
    <w:p w14:paraId="7F4431DA" w14:textId="77777777" w:rsidR="00E30B6F" w:rsidRPr="003818C4" w:rsidRDefault="00E30B6F" w:rsidP="00890C8B">
      <w:pPr>
        <w:pStyle w:val="Body"/>
        <w:numPr>
          <w:ilvl w:val="0"/>
          <w:numId w:val="31"/>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
          <w:bCs/>
          <w:sz w:val="18"/>
          <w:szCs w:val="18"/>
          <w:lang w:val="en-GB"/>
        </w:rPr>
        <w:t xml:space="preserve">Implementation of the Justice Sector Reform Strategy (JSRS). </w:t>
      </w:r>
      <w:r w:rsidRPr="003818C4">
        <w:rPr>
          <w:rStyle w:val="NoneA"/>
          <w:rFonts w:ascii="Arial" w:hAnsi="Arial" w:cs="Arial"/>
          <w:bCs/>
          <w:sz w:val="18"/>
          <w:szCs w:val="18"/>
          <w:lang w:val="en-GB"/>
        </w:rPr>
        <w:t xml:space="preserve">Being a document for </w:t>
      </w:r>
      <w:r w:rsidR="00CA62F9" w:rsidRPr="003818C4">
        <w:rPr>
          <w:rStyle w:val="NoneA"/>
          <w:rFonts w:ascii="Arial" w:hAnsi="Arial" w:cs="Arial"/>
          <w:bCs/>
          <w:sz w:val="18"/>
          <w:szCs w:val="18"/>
          <w:lang w:val="en-GB"/>
        </w:rPr>
        <w:t>of</w:t>
      </w:r>
      <w:r w:rsidRPr="003818C4">
        <w:rPr>
          <w:rStyle w:val="NoneA"/>
          <w:rFonts w:ascii="Arial" w:hAnsi="Arial" w:cs="Arial"/>
          <w:bCs/>
          <w:sz w:val="18"/>
          <w:szCs w:val="18"/>
          <w:lang w:val="en-GB"/>
        </w:rPr>
        <w:t xml:space="preserve"> planning of reforms in the justice sector, the JSRS demands a full revision of the rate of implementation; working on a new planning document is also required. The following is recommended for an efficient planning document:</w:t>
      </w:r>
    </w:p>
    <w:p w14:paraId="76397DDD" w14:textId="77777777" w:rsidR="00E30B6F" w:rsidRPr="003818C4" w:rsidRDefault="00E30B6F" w:rsidP="00890C8B">
      <w:pPr>
        <w:pStyle w:val="Body"/>
        <w:numPr>
          <w:ilvl w:val="1"/>
          <w:numId w:val="32"/>
        </w:numPr>
        <w:spacing w:before="120" w:after="12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lastRenderedPageBreak/>
        <w:t>Implementation progress evaluation. Provided that the JSRS was financed from the EU funds through direct budget support, an evaluation by the EU of the JSRS implementation efficiency would be relevant.</w:t>
      </w:r>
    </w:p>
    <w:p w14:paraId="169E894A" w14:textId="77777777" w:rsidR="00E30B6F" w:rsidRPr="003818C4" w:rsidRDefault="00CA62F9" w:rsidP="00890C8B">
      <w:pPr>
        <w:pStyle w:val="Body"/>
        <w:numPr>
          <w:ilvl w:val="1"/>
          <w:numId w:val="32"/>
        </w:numPr>
        <w:spacing w:before="120" w:after="12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Clarify</w:t>
      </w:r>
      <w:r w:rsidR="00E30B6F" w:rsidRPr="003818C4">
        <w:rPr>
          <w:rStyle w:val="NoneA"/>
          <w:rFonts w:ascii="Arial" w:hAnsi="Arial" w:cs="Arial"/>
          <w:bCs/>
          <w:sz w:val="18"/>
          <w:szCs w:val="18"/>
          <w:lang w:val="en-GB"/>
        </w:rPr>
        <w:t xml:space="preserve"> the performance indicators for the next planning document. This is a complex</w:t>
      </w:r>
      <w:r w:rsidRPr="003818C4">
        <w:rPr>
          <w:rStyle w:val="NoneA"/>
          <w:rFonts w:ascii="Arial" w:hAnsi="Arial" w:cs="Arial"/>
          <w:bCs/>
          <w:sz w:val="18"/>
          <w:szCs w:val="18"/>
          <w:lang w:val="en-GB"/>
        </w:rPr>
        <w:t>,</w:t>
      </w:r>
      <w:r w:rsidR="00E30B6F" w:rsidRPr="003818C4">
        <w:rPr>
          <w:rStyle w:val="NoneA"/>
          <w:rFonts w:ascii="Arial" w:hAnsi="Arial" w:cs="Arial"/>
          <w:bCs/>
          <w:sz w:val="18"/>
          <w:szCs w:val="18"/>
          <w:lang w:val="en-GB"/>
        </w:rPr>
        <w:t xml:space="preserve"> yet absolutely necessary exercise in order to ensure an assessment based on a set of measurable indicators, which will allow concluding to what extent the new planning document will be implemented.</w:t>
      </w:r>
    </w:p>
    <w:p w14:paraId="5B05950D" w14:textId="77777777" w:rsidR="00E30B6F" w:rsidRPr="003818C4" w:rsidRDefault="007570CF" w:rsidP="00890C8B">
      <w:pPr>
        <w:pStyle w:val="Body"/>
        <w:numPr>
          <w:ilvl w:val="1"/>
          <w:numId w:val="32"/>
        </w:numPr>
        <w:spacing w:before="120" w:after="12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Set the importance rate</w:t>
      </w:r>
      <w:r w:rsidR="00E30B6F" w:rsidRPr="003818C4">
        <w:rPr>
          <w:rStyle w:val="NoneA"/>
          <w:rFonts w:ascii="Arial" w:hAnsi="Arial" w:cs="Arial"/>
          <w:bCs/>
          <w:sz w:val="18"/>
          <w:szCs w:val="18"/>
          <w:lang w:val="en-GB"/>
        </w:rPr>
        <w:t xml:space="preserve"> of the proposed activities </w:t>
      </w:r>
      <w:r w:rsidRPr="003818C4">
        <w:rPr>
          <w:rStyle w:val="NoneA"/>
          <w:rFonts w:ascii="Arial" w:hAnsi="Arial" w:cs="Arial"/>
          <w:bCs/>
          <w:sz w:val="18"/>
          <w:szCs w:val="18"/>
          <w:lang w:val="en-GB"/>
        </w:rPr>
        <w:t>to quantify</w:t>
      </w:r>
      <w:r w:rsidR="00E30B6F" w:rsidRPr="003818C4">
        <w:rPr>
          <w:rStyle w:val="NoneA"/>
          <w:rFonts w:ascii="Arial" w:hAnsi="Arial" w:cs="Arial"/>
          <w:bCs/>
          <w:sz w:val="18"/>
          <w:szCs w:val="18"/>
          <w:lang w:val="en-GB"/>
        </w:rPr>
        <w:t xml:space="preserve"> the implementation progress. The issue with the current JS</w:t>
      </w:r>
      <w:r w:rsidRPr="003818C4">
        <w:rPr>
          <w:rStyle w:val="NoneA"/>
          <w:rFonts w:ascii="Arial" w:hAnsi="Arial" w:cs="Arial"/>
          <w:bCs/>
          <w:sz w:val="18"/>
          <w:szCs w:val="18"/>
          <w:lang w:val="en-GB"/>
        </w:rPr>
        <w:t>RS is that it sets equal importance rates</w:t>
      </w:r>
      <w:r w:rsidR="00E30B6F" w:rsidRPr="003818C4">
        <w:rPr>
          <w:rStyle w:val="NoneA"/>
          <w:rFonts w:ascii="Arial" w:hAnsi="Arial" w:cs="Arial"/>
          <w:bCs/>
          <w:sz w:val="18"/>
          <w:szCs w:val="18"/>
          <w:lang w:val="en-GB"/>
        </w:rPr>
        <w:t xml:space="preserve"> for all the measures – both for the opportunity studies and for the policy papers (laws, regulations approved).</w:t>
      </w:r>
    </w:p>
    <w:p w14:paraId="00340445" w14:textId="77777777" w:rsidR="00E30B6F" w:rsidRPr="003818C4" w:rsidRDefault="00E30B6F" w:rsidP="00890C8B">
      <w:pPr>
        <w:pStyle w:val="Body"/>
        <w:numPr>
          <w:ilvl w:val="1"/>
          <w:numId w:val="32"/>
        </w:numPr>
        <w:spacing w:before="120" w:after="12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 xml:space="preserve">The next planning document should rather be focused on the enforcement of the policy papers adopted under the current JSRS, and on the establishment of revision mechanisms for the policy papers </w:t>
      </w:r>
      <w:r w:rsidR="007570CF" w:rsidRPr="003818C4">
        <w:rPr>
          <w:rStyle w:val="NoneA"/>
          <w:rFonts w:ascii="Arial" w:hAnsi="Arial" w:cs="Arial"/>
          <w:bCs/>
          <w:sz w:val="18"/>
          <w:szCs w:val="18"/>
          <w:lang w:val="en-GB"/>
        </w:rPr>
        <w:t>based on certain instruments of</w:t>
      </w:r>
      <w:r w:rsidRPr="003818C4">
        <w:rPr>
          <w:rStyle w:val="NoneA"/>
          <w:rFonts w:ascii="Arial" w:hAnsi="Arial" w:cs="Arial"/>
          <w:bCs/>
          <w:sz w:val="18"/>
          <w:szCs w:val="18"/>
          <w:lang w:val="en-GB"/>
        </w:rPr>
        <w:t xml:space="preserve"> data collection and assessment of best practices and impediments in the implementation process.</w:t>
      </w:r>
    </w:p>
    <w:p w14:paraId="669477CC" w14:textId="77777777" w:rsidR="00E30B6F" w:rsidRPr="003818C4" w:rsidRDefault="007570CF" w:rsidP="00890C8B">
      <w:pPr>
        <w:pStyle w:val="Body"/>
        <w:numPr>
          <w:ilvl w:val="0"/>
          <w:numId w:val="31"/>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
          <w:bCs/>
          <w:sz w:val="18"/>
          <w:szCs w:val="18"/>
          <w:lang w:val="en-GB"/>
        </w:rPr>
        <w:t>Optimis</w:t>
      </w:r>
      <w:r w:rsidR="00E30B6F" w:rsidRPr="003818C4">
        <w:rPr>
          <w:rStyle w:val="NoneA"/>
          <w:rFonts w:ascii="Arial" w:hAnsi="Arial" w:cs="Arial"/>
          <w:b/>
          <w:bCs/>
          <w:sz w:val="18"/>
          <w:szCs w:val="18"/>
          <w:lang w:val="en-GB"/>
        </w:rPr>
        <w:t>ation of the judicial courts:</w:t>
      </w:r>
    </w:p>
    <w:p w14:paraId="68C4B7CE" w14:textId="77777777" w:rsidR="00E30B6F" w:rsidRPr="003818C4" w:rsidRDefault="00E30B6F" w:rsidP="00890C8B">
      <w:pPr>
        <w:pStyle w:val="Body"/>
        <w:numPr>
          <w:ilvl w:val="1"/>
          <w:numId w:val="34"/>
        </w:numPr>
        <w:spacing w:before="120" w:after="12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 xml:space="preserve">Revision of Law no. 76 of 21.04.2016, by setting the criteria for the merger of Courts, including the ones related to the efficiency and workload of the judges in each Court, proximity of the new Courts to the litigants and random case distribution. </w:t>
      </w:r>
    </w:p>
    <w:p w14:paraId="5DCC5B3C" w14:textId="77777777" w:rsidR="00E30B6F" w:rsidRPr="003818C4" w:rsidRDefault="00E30B6F" w:rsidP="00890C8B">
      <w:pPr>
        <w:pStyle w:val="Body"/>
        <w:numPr>
          <w:ilvl w:val="1"/>
          <w:numId w:val="34"/>
        </w:numPr>
        <w:spacing w:before="120" w:after="12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In the small judicial Courts, which only include 3-4 judges, it is not pos</w:t>
      </w:r>
      <w:r w:rsidR="007570CF" w:rsidRPr="003818C4">
        <w:rPr>
          <w:rStyle w:val="NoneA"/>
          <w:rFonts w:ascii="Arial" w:hAnsi="Arial" w:cs="Arial"/>
          <w:bCs/>
          <w:sz w:val="18"/>
          <w:szCs w:val="18"/>
          <w:lang w:val="en-GB"/>
        </w:rPr>
        <w:t>sible to implement the specialis</w:t>
      </w:r>
      <w:r w:rsidRPr="003818C4">
        <w:rPr>
          <w:rStyle w:val="NoneA"/>
          <w:rFonts w:ascii="Arial" w:hAnsi="Arial" w:cs="Arial"/>
          <w:bCs/>
          <w:sz w:val="18"/>
          <w:szCs w:val="18"/>
          <w:lang w:val="en-GB"/>
        </w:rPr>
        <w:t xml:space="preserve">ation of judges, random case distribution and proximity to the litigants. In such cases the priority criteria will be mainly taken into consideration, such as the random case distribution and proximity. </w:t>
      </w:r>
    </w:p>
    <w:p w14:paraId="03D5013D" w14:textId="77777777" w:rsidR="00E30B6F" w:rsidRPr="003818C4" w:rsidRDefault="00E30B6F" w:rsidP="00890C8B">
      <w:pPr>
        <w:pStyle w:val="Body"/>
        <w:numPr>
          <w:ilvl w:val="1"/>
          <w:numId w:val="34"/>
        </w:numPr>
        <w:spacing w:before="120" w:after="12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The statistic</w:t>
      </w:r>
      <w:r w:rsidR="007570CF" w:rsidRPr="003818C4">
        <w:rPr>
          <w:rStyle w:val="NoneA"/>
          <w:rFonts w:ascii="Arial" w:hAnsi="Arial" w:cs="Arial"/>
          <w:bCs/>
          <w:sz w:val="18"/>
          <w:szCs w:val="18"/>
          <w:lang w:val="en-GB"/>
        </w:rPr>
        <w:t>al</w:t>
      </w:r>
      <w:r w:rsidRPr="003818C4">
        <w:rPr>
          <w:rStyle w:val="NoneA"/>
          <w:rFonts w:ascii="Arial" w:hAnsi="Arial" w:cs="Arial"/>
          <w:bCs/>
          <w:sz w:val="18"/>
          <w:szCs w:val="18"/>
          <w:lang w:val="en-GB"/>
        </w:rPr>
        <w:t xml:space="preserve"> data that will be used in this process must be verified to ensure their accuracy through different methods of cross-verification; there is also a need </w:t>
      </w:r>
      <w:r w:rsidR="007570CF" w:rsidRPr="003818C4">
        <w:rPr>
          <w:rStyle w:val="NoneA"/>
          <w:rFonts w:ascii="Arial" w:hAnsi="Arial" w:cs="Arial"/>
          <w:bCs/>
          <w:sz w:val="18"/>
          <w:szCs w:val="18"/>
          <w:lang w:val="en-GB"/>
        </w:rPr>
        <w:t>to analyse</w:t>
      </w:r>
      <w:r w:rsidRPr="003818C4">
        <w:rPr>
          <w:rStyle w:val="NoneA"/>
          <w:rFonts w:ascii="Arial" w:hAnsi="Arial" w:cs="Arial"/>
          <w:bCs/>
          <w:sz w:val="18"/>
          <w:szCs w:val="18"/>
          <w:lang w:val="en-GB"/>
        </w:rPr>
        <w:t xml:space="preserve"> the case files that will be directed to mediation or other alternative settlement options.</w:t>
      </w:r>
    </w:p>
    <w:p w14:paraId="1D9D3EFA" w14:textId="77777777" w:rsidR="00E30B6F" w:rsidRPr="003818C4" w:rsidRDefault="00E30B6F" w:rsidP="00890C8B">
      <w:pPr>
        <w:pStyle w:val="Body"/>
        <w:numPr>
          <w:ilvl w:val="0"/>
          <w:numId w:val="31"/>
        </w:numPr>
        <w:spacing w:before="120" w:after="120" w:line="240" w:lineRule="auto"/>
        <w:ind w:left="284" w:hanging="284"/>
        <w:rPr>
          <w:rStyle w:val="NoneA"/>
          <w:rFonts w:ascii="Arial" w:hAnsi="Arial" w:cs="Arial"/>
          <w:b/>
          <w:bCs/>
          <w:sz w:val="18"/>
          <w:szCs w:val="18"/>
          <w:lang w:val="en-GB"/>
        </w:rPr>
      </w:pPr>
      <w:r w:rsidRPr="003818C4">
        <w:rPr>
          <w:rStyle w:val="NoneA"/>
          <w:rFonts w:ascii="Arial" w:hAnsi="Arial" w:cs="Arial"/>
          <w:b/>
          <w:bCs/>
          <w:sz w:val="18"/>
          <w:szCs w:val="18"/>
          <w:lang w:val="en-GB"/>
        </w:rPr>
        <w:t xml:space="preserve">Revision of the functions of </w:t>
      </w:r>
      <w:r w:rsidR="007570CF" w:rsidRPr="003818C4">
        <w:rPr>
          <w:rStyle w:val="NoneA"/>
          <w:rFonts w:ascii="Arial" w:hAnsi="Arial" w:cs="Arial"/>
          <w:b/>
          <w:bCs/>
          <w:sz w:val="18"/>
          <w:szCs w:val="18"/>
          <w:lang w:val="en-GB"/>
        </w:rPr>
        <w:t>chairmen</w:t>
      </w:r>
      <w:r w:rsidRPr="003818C4">
        <w:rPr>
          <w:rStyle w:val="NoneA"/>
          <w:rFonts w:ascii="Arial" w:hAnsi="Arial" w:cs="Arial"/>
          <w:b/>
          <w:bCs/>
          <w:sz w:val="18"/>
          <w:szCs w:val="18"/>
          <w:lang w:val="en-GB"/>
        </w:rPr>
        <w:t xml:space="preserve"> and deputy-</w:t>
      </w:r>
      <w:r w:rsidR="007570CF" w:rsidRPr="003818C4">
        <w:rPr>
          <w:rStyle w:val="NoneA"/>
          <w:rFonts w:ascii="Arial" w:hAnsi="Arial" w:cs="Arial"/>
          <w:b/>
          <w:bCs/>
          <w:sz w:val="18"/>
          <w:szCs w:val="18"/>
          <w:lang w:val="en-GB"/>
        </w:rPr>
        <w:t>chairmen</w:t>
      </w:r>
      <w:r w:rsidRPr="003818C4">
        <w:rPr>
          <w:rStyle w:val="NoneA"/>
          <w:rFonts w:ascii="Arial" w:hAnsi="Arial" w:cs="Arial"/>
          <w:b/>
          <w:bCs/>
          <w:sz w:val="18"/>
          <w:szCs w:val="18"/>
          <w:lang w:val="en-GB"/>
        </w:rPr>
        <w:t xml:space="preserve"> of judicial Courts</w:t>
      </w:r>
    </w:p>
    <w:p w14:paraId="3485D10A" w14:textId="77777777" w:rsidR="00E30B6F" w:rsidRPr="003818C4" w:rsidRDefault="00E30B6F" w:rsidP="00890C8B">
      <w:pPr>
        <w:pStyle w:val="Body"/>
        <w:numPr>
          <w:ilvl w:val="1"/>
          <w:numId w:val="35"/>
        </w:numPr>
        <w:spacing w:before="120" w:after="12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 xml:space="preserve">The competences offered to the </w:t>
      </w:r>
      <w:r w:rsidR="007570CF" w:rsidRPr="003818C4">
        <w:rPr>
          <w:rStyle w:val="NoneA"/>
          <w:rFonts w:ascii="Arial" w:hAnsi="Arial" w:cs="Arial"/>
          <w:bCs/>
          <w:sz w:val="18"/>
          <w:szCs w:val="18"/>
          <w:lang w:val="en-GB"/>
        </w:rPr>
        <w:t>chairmen</w:t>
      </w:r>
      <w:r w:rsidRPr="003818C4">
        <w:rPr>
          <w:rStyle w:val="NoneA"/>
          <w:rFonts w:ascii="Arial" w:hAnsi="Arial" w:cs="Arial"/>
          <w:bCs/>
          <w:sz w:val="18"/>
          <w:szCs w:val="18"/>
          <w:lang w:val="en-GB"/>
        </w:rPr>
        <w:t xml:space="preserve"> of the judicial Courts require substantial revision to reduce the spectrum of competences that do not directly relate to justice administration but </w:t>
      </w:r>
      <w:r w:rsidR="007570CF" w:rsidRPr="003818C4">
        <w:rPr>
          <w:rStyle w:val="NoneA"/>
          <w:rFonts w:ascii="Arial" w:hAnsi="Arial" w:cs="Arial"/>
          <w:bCs/>
          <w:sz w:val="18"/>
          <w:szCs w:val="18"/>
          <w:lang w:val="en-GB"/>
        </w:rPr>
        <w:t>are rather linked</w:t>
      </w:r>
      <w:r w:rsidRPr="003818C4">
        <w:rPr>
          <w:rStyle w:val="NoneA"/>
          <w:rFonts w:ascii="Arial" w:hAnsi="Arial" w:cs="Arial"/>
          <w:bCs/>
          <w:sz w:val="18"/>
          <w:szCs w:val="18"/>
          <w:lang w:val="en-GB"/>
        </w:rPr>
        <w:t xml:space="preserve"> with the administrative</w:t>
      </w:r>
      <w:r w:rsidR="007570CF" w:rsidRPr="003818C4">
        <w:rPr>
          <w:rStyle w:val="NoneA"/>
          <w:rFonts w:ascii="Arial" w:hAnsi="Arial" w:cs="Arial"/>
          <w:bCs/>
          <w:sz w:val="18"/>
          <w:szCs w:val="18"/>
          <w:lang w:val="en-GB"/>
        </w:rPr>
        <w:t xml:space="preserve"> matters</w:t>
      </w:r>
      <w:r w:rsidRPr="003818C4">
        <w:rPr>
          <w:rStyle w:val="NoneA"/>
          <w:rFonts w:ascii="Arial" w:hAnsi="Arial" w:cs="Arial"/>
          <w:bCs/>
          <w:sz w:val="18"/>
          <w:szCs w:val="18"/>
          <w:lang w:val="en-GB"/>
        </w:rPr>
        <w:t xml:space="preserve">. </w:t>
      </w:r>
    </w:p>
    <w:p w14:paraId="0CB14CC5" w14:textId="77777777" w:rsidR="00E30B6F" w:rsidRPr="003818C4" w:rsidRDefault="00E30B6F" w:rsidP="00890C8B">
      <w:pPr>
        <w:pStyle w:val="Body"/>
        <w:numPr>
          <w:ilvl w:val="1"/>
          <w:numId w:val="35"/>
        </w:numPr>
        <w:spacing w:before="120" w:after="12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 xml:space="preserve">Provided that the random case distribution system represents an important instrument </w:t>
      </w:r>
      <w:r w:rsidR="007570CF" w:rsidRPr="003818C4">
        <w:rPr>
          <w:rStyle w:val="NoneA"/>
          <w:rFonts w:ascii="Arial" w:hAnsi="Arial" w:cs="Arial"/>
          <w:bCs/>
          <w:sz w:val="18"/>
          <w:szCs w:val="18"/>
          <w:lang w:val="en-GB"/>
        </w:rPr>
        <w:t>of</w:t>
      </w:r>
      <w:r w:rsidRPr="003818C4">
        <w:rPr>
          <w:rStyle w:val="NoneA"/>
          <w:rFonts w:ascii="Arial" w:hAnsi="Arial" w:cs="Arial"/>
          <w:bCs/>
          <w:sz w:val="18"/>
          <w:szCs w:val="18"/>
          <w:lang w:val="en-GB"/>
        </w:rPr>
        <w:t xml:space="preserve"> human factor</w:t>
      </w:r>
      <w:r w:rsidR="007570CF" w:rsidRPr="003818C4">
        <w:rPr>
          <w:rStyle w:val="NoneA"/>
          <w:rFonts w:ascii="Arial" w:hAnsi="Arial" w:cs="Arial"/>
          <w:bCs/>
          <w:sz w:val="18"/>
          <w:szCs w:val="18"/>
          <w:lang w:val="en-GB"/>
        </w:rPr>
        <w:t xml:space="preserve"> exclusion</w:t>
      </w:r>
      <w:r w:rsidRPr="003818C4">
        <w:rPr>
          <w:rStyle w:val="NoneA"/>
          <w:rFonts w:ascii="Arial" w:hAnsi="Arial" w:cs="Arial"/>
          <w:bCs/>
          <w:sz w:val="18"/>
          <w:szCs w:val="18"/>
          <w:lang w:val="en-GB"/>
        </w:rPr>
        <w:t xml:space="preserve"> and, </w:t>
      </w:r>
      <w:r w:rsidR="007570CF" w:rsidRPr="003818C4">
        <w:rPr>
          <w:rStyle w:val="NoneA"/>
          <w:rFonts w:ascii="Arial" w:hAnsi="Arial" w:cs="Arial"/>
          <w:bCs/>
          <w:sz w:val="18"/>
          <w:szCs w:val="18"/>
          <w:lang w:val="en-GB"/>
        </w:rPr>
        <w:t>combined with the other ones, may help exclude the possibilities</w:t>
      </w:r>
      <w:r w:rsidRPr="003818C4">
        <w:rPr>
          <w:rStyle w:val="NoneA"/>
          <w:rFonts w:ascii="Arial" w:hAnsi="Arial" w:cs="Arial"/>
          <w:bCs/>
          <w:sz w:val="18"/>
          <w:szCs w:val="18"/>
          <w:lang w:val="en-GB"/>
        </w:rPr>
        <w:t xml:space="preserve"> </w:t>
      </w:r>
      <w:r w:rsidR="007570CF" w:rsidRPr="003818C4">
        <w:rPr>
          <w:rStyle w:val="NoneA"/>
          <w:rFonts w:ascii="Arial" w:hAnsi="Arial" w:cs="Arial"/>
          <w:bCs/>
          <w:sz w:val="18"/>
          <w:szCs w:val="18"/>
          <w:lang w:val="en-GB"/>
        </w:rPr>
        <w:t>of</w:t>
      </w:r>
      <w:r w:rsidRPr="003818C4">
        <w:rPr>
          <w:rStyle w:val="NoneA"/>
          <w:rFonts w:ascii="Arial" w:hAnsi="Arial" w:cs="Arial"/>
          <w:bCs/>
          <w:sz w:val="18"/>
          <w:szCs w:val="18"/>
          <w:lang w:val="en-GB"/>
        </w:rPr>
        <w:t xml:space="preserve"> case distribution by the </w:t>
      </w:r>
      <w:r w:rsidR="007570CF" w:rsidRPr="003818C4">
        <w:rPr>
          <w:rStyle w:val="NoneA"/>
          <w:rFonts w:ascii="Arial" w:hAnsi="Arial" w:cs="Arial"/>
          <w:bCs/>
          <w:sz w:val="18"/>
          <w:szCs w:val="18"/>
          <w:lang w:val="en-GB"/>
        </w:rPr>
        <w:t xml:space="preserve">Chairmen of </w:t>
      </w:r>
      <w:r w:rsidRPr="003818C4">
        <w:rPr>
          <w:rStyle w:val="NoneA"/>
          <w:rFonts w:ascii="Arial" w:hAnsi="Arial" w:cs="Arial"/>
          <w:bCs/>
          <w:sz w:val="18"/>
          <w:szCs w:val="18"/>
          <w:lang w:val="en-GB"/>
        </w:rPr>
        <w:t>Court</w:t>
      </w:r>
      <w:r w:rsidR="007570CF" w:rsidRPr="003818C4">
        <w:rPr>
          <w:rStyle w:val="NoneA"/>
          <w:rFonts w:ascii="Arial" w:hAnsi="Arial" w:cs="Arial"/>
          <w:bCs/>
          <w:sz w:val="18"/>
          <w:szCs w:val="18"/>
          <w:lang w:val="en-GB"/>
        </w:rPr>
        <w:t>s, the organis</w:t>
      </w:r>
      <w:r w:rsidRPr="003818C4">
        <w:rPr>
          <w:rStyle w:val="NoneA"/>
          <w:rFonts w:ascii="Arial" w:hAnsi="Arial" w:cs="Arial"/>
          <w:bCs/>
          <w:sz w:val="18"/>
          <w:szCs w:val="18"/>
          <w:lang w:val="en-GB"/>
        </w:rPr>
        <w:t>ational tas</w:t>
      </w:r>
      <w:r w:rsidR="007570CF" w:rsidRPr="003818C4">
        <w:rPr>
          <w:rStyle w:val="NoneA"/>
          <w:rFonts w:ascii="Arial" w:hAnsi="Arial" w:cs="Arial"/>
          <w:bCs/>
          <w:sz w:val="18"/>
          <w:szCs w:val="18"/>
          <w:lang w:val="en-GB"/>
        </w:rPr>
        <w:t>ks must be shifted to the Court</w:t>
      </w:r>
      <w:r w:rsidRPr="003818C4">
        <w:rPr>
          <w:rStyle w:val="NoneA"/>
          <w:rFonts w:ascii="Arial" w:hAnsi="Arial" w:cs="Arial"/>
          <w:bCs/>
          <w:sz w:val="18"/>
          <w:szCs w:val="18"/>
          <w:lang w:val="en-GB"/>
        </w:rPr>
        <w:t>s</w:t>
      </w:r>
      <w:r w:rsidR="007570CF" w:rsidRPr="003818C4">
        <w:rPr>
          <w:rStyle w:val="NoneA"/>
          <w:rFonts w:ascii="Arial" w:hAnsi="Arial" w:cs="Arial"/>
          <w:bCs/>
          <w:sz w:val="18"/>
          <w:szCs w:val="18"/>
          <w:lang w:val="en-GB"/>
        </w:rPr>
        <w:t>’</w:t>
      </w:r>
      <w:r w:rsidRPr="003818C4">
        <w:rPr>
          <w:rStyle w:val="NoneA"/>
          <w:rFonts w:ascii="Arial" w:hAnsi="Arial" w:cs="Arial"/>
          <w:bCs/>
          <w:sz w:val="18"/>
          <w:szCs w:val="18"/>
          <w:lang w:val="en-GB"/>
        </w:rPr>
        <w:t xml:space="preserve"> manager/administrator, who is not a judge and does not have </w:t>
      </w:r>
      <w:r w:rsidR="007570CF" w:rsidRPr="003818C4">
        <w:rPr>
          <w:rStyle w:val="NoneA"/>
          <w:rFonts w:ascii="Arial" w:hAnsi="Arial" w:cs="Arial"/>
          <w:bCs/>
          <w:sz w:val="18"/>
          <w:szCs w:val="18"/>
          <w:lang w:val="en-GB"/>
        </w:rPr>
        <w:t xml:space="preserve">a status of </w:t>
      </w:r>
      <w:r w:rsidRPr="003818C4">
        <w:rPr>
          <w:rStyle w:val="NoneA"/>
          <w:rFonts w:ascii="Arial" w:hAnsi="Arial" w:cs="Arial"/>
          <w:bCs/>
          <w:sz w:val="18"/>
          <w:szCs w:val="18"/>
          <w:lang w:val="en-GB"/>
        </w:rPr>
        <w:t xml:space="preserve">magistrate. </w:t>
      </w:r>
    </w:p>
    <w:p w14:paraId="08DAD6C5" w14:textId="77777777" w:rsidR="00E30B6F" w:rsidRPr="003818C4" w:rsidRDefault="00E30B6F" w:rsidP="00890C8B">
      <w:pPr>
        <w:pStyle w:val="Body"/>
        <w:numPr>
          <w:ilvl w:val="1"/>
          <w:numId w:val="35"/>
        </w:numPr>
        <w:spacing w:before="120" w:after="120" w:line="240" w:lineRule="auto"/>
        <w:ind w:left="709" w:hanging="357"/>
        <w:rPr>
          <w:rStyle w:val="NoneA"/>
          <w:rFonts w:ascii="Arial" w:hAnsi="Arial" w:cs="Arial"/>
          <w:bCs/>
          <w:sz w:val="18"/>
          <w:szCs w:val="18"/>
          <w:lang w:val="en-GB"/>
        </w:rPr>
      </w:pPr>
      <w:r w:rsidRPr="003818C4">
        <w:rPr>
          <w:rStyle w:val="NoneA"/>
          <w:rFonts w:ascii="Arial" w:hAnsi="Arial" w:cs="Arial"/>
          <w:bCs/>
          <w:sz w:val="18"/>
          <w:szCs w:val="18"/>
          <w:lang w:val="en-GB"/>
        </w:rPr>
        <w:t>The current subordination to the Court’s president should be shifted to the HCM.</w:t>
      </w:r>
    </w:p>
    <w:p w14:paraId="4E6DF5B1" w14:textId="77777777" w:rsidR="00E30B6F" w:rsidRPr="003818C4" w:rsidRDefault="007570CF" w:rsidP="00890C8B">
      <w:pPr>
        <w:pStyle w:val="Body"/>
        <w:numPr>
          <w:ilvl w:val="0"/>
          <w:numId w:val="31"/>
        </w:numPr>
        <w:spacing w:before="120" w:after="120" w:line="240" w:lineRule="auto"/>
        <w:ind w:left="284" w:hanging="284"/>
        <w:rPr>
          <w:rStyle w:val="NoneA"/>
          <w:rFonts w:ascii="Arial" w:hAnsi="Arial" w:cs="Arial"/>
          <w:b/>
          <w:bCs/>
          <w:sz w:val="18"/>
          <w:szCs w:val="18"/>
          <w:lang w:val="en-GB"/>
        </w:rPr>
      </w:pPr>
      <w:r w:rsidRPr="003818C4">
        <w:rPr>
          <w:rStyle w:val="NoneA"/>
          <w:rFonts w:ascii="Arial" w:hAnsi="Arial" w:cs="Arial"/>
          <w:b/>
          <w:bCs/>
          <w:sz w:val="18"/>
          <w:szCs w:val="18"/>
          <w:lang w:val="en-GB"/>
        </w:rPr>
        <w:t>Prevention and fight against organis</w:t>
      </w:r>
      <w:r w:rsidR="00E30B6F" w:rsidRPr="003818C4">
        <w:rPr>
          <w:rStyle w:val="NoneA"/>
          <w:rFonts w:ascii="Arial" w:hAnsi="Arial" w:cs="Arial"/>
          <w:b/>
          <w:bCs/>
          <w:sz w:val="18"/>
          <w:szCs w:val="18"/>
          <w:lang w:val="en-GB"/>
        </w:rPr>
        <w:t>ed crime, corruption and other illegal activities:</w:t>
      </w:r>
    </w:p>
    <w:p w14:paraId="6B7774FE" w14:textId="77777777" w:rsidR="00E30B6F" w:rsidRPr="003818C4" w:rsidRDefault="00E30B6F" w:rsidP="00890C8B">
      <w:pPr>
        <w:pStyle w:val="Body"/>
        <w:numPr>
          <w:ilvl w:val="0"/>
          <w:numId w:val="33"/>
        </w:numPr>
        <w:spacing w:before="120" w:after="120" w:line="240" w:lineRule="auto"/>
        <w:ind w:left="714" w:hanging="357"/>
        <w:rPr>
          <w:rStyle w:val="NoneA"/>
          <w:rFonts w:ascii="Arial" w:hAnsi="Arial" w:cs="Arial"/>
          <w:b/>
          <w:bCs/>
          <w:sz w:val="18"/>
          <w:szCs w:val="18"/>
          <w:lang w:val="en-GB"/>
        </w:rPr>
      </w:pPr>
      <w:r w:rsidRPr="003818C4">
        <w:rPr>
          <w:rStyle w:val="NoneA"/>
          <w:rFonts w:ascii="Arial" w:hAnsi="Arial" w:cs="Arial"/>
          <w:b/>
          <w:bCs/>
          <w:sz w:val="18"/>
          <w:szCs w:val="18"/>
          <w:lang w:val="en-GB"/>
        </w:rPr>
        <w:t xml:space="preserve">Dissuasive sanctions for acts of corruption: </w:t>
      </w:r>
      <w:r w:rsidRPr="003818C4">
        <w:rPr>
          <w:rStyle w:val="NoneA"/>
          <w:rFonts w:ascii="Arial" w:hAnsi="Arial" w:cs="Arial"/>
          <w:bCs/>
          <w:sz w:val="18"/>
          <w:szCs w:val="18"/>
          <w:lang w:val="en-GB"/>
        </w:rPr>
        <w:t>The draft law requires a complex revision in order to ensure the mi</w:t>
      </w:r>
      <w:r w:rsidR="007570CF" w:rsidRPr="003818C4">
        <w:rPr>
          <w:rStyle w:val="NoneA"/>
          <w:rFonts w:ascii="Arial" w:hAnsi="Arial" w:cs="Arial"/>
          <w:bCs/>
          <w:sz w:val="18"/>
          <w:szCs w:val="18"/>
          <w:lang w:val="en-GB"/>
        </w:rPr>
        <w:t>nimal quality requirements with respect to a bill</w:t>
      </w:r>
      <w:r w:rsidRPr="003818C4">
        <w:rPr>
          <w:rStyle w:val="NoneA"/>
          <w:rFonts w:ascii="Arial" w:hAnsi="Arial" w:cs="Arial"/>
          <w:bCs/>
          <w:sz w:val="18"/>
          <w:szCs w:val="18"/>
          <w:lang w:val="en-GB"/>
        </w:rPr>
        <w:t>, including the avoidance of regulatory overlapping, especially bearing in mind the fact that already new legislative initiatives</w:t>
      </w:r>
      <w:r w:rsidR="007570CF" w:rsidRPr="003818C4">
        <w:rPr>
          <w:rStyle w:val="NoneA"/>
          <w:rFonts w:ascii="Arial" w:hAnsi="Arial" w:cs="Arial"/>
          <w:bCs/>
          <w:sz w:val="18"/>
          <w:szCs w:val="18"/>
          <w:lang w:val="en-GB"/>
        </w:rPr>
        <w:t xml:space="preserve"> where launched, which overlap</w:t>
      </w:r>
      <w:r w:rsidRPr="003818C4">
        <w:rPr>
          <w:rStyle w:val="NoneA"/>
          <w:rFonts w:ascii="Arial" w:hAnsi="Arial" w:cs="Arial"/>
          <w:bCs/>
          <w:sz w:val="18"/>
          <w:szCs w:val="18"/>
          <w:lang w:val="en-GB"/>
        </w:rPr>
        <w:t xml:space="preserve"> with the provisions from the</w:t>
      </w:r>
      <w:r w:rsidR="007570CF" w:rsidRPr="003818C4">
        <w:rPr>
          <w:rStyle w:val="NoneA"/>
          <w:rFonts w:ascii="Arial" w:hAnsi="Arial" w:cs="Arial"/>
          <w:bCs/>
          <w:sz w:val="18"/>
          <w:szCs w:val="18"/>
          <w:lang w:val="en-GB"/>
        </w:rPr>
        <w:t xml:space="preserve"> analysed</w:t>
      </w:r>
      <w:r w:rsidRPr="003818C4">
        <w:rPr>
          <w:rStyle w:val="NoneA"/>
          <w:rFonts w:ascii="Arial" w:hAnsi="Arial" w:cs="Arial"/>
          <w:bCs/>
          <w:sz w:val="18"/>
          <w:szCs w:val="18"/>
          <w:lang w:val="en-GB"/>
        </w:rPr>
        <w:t xml:space="preserve"> draft law.</w:t>
      </w:r>
    </w:p>
    <w:p w14:paraId="60D0317A" w14:textId="77777777" w:rsidR="00E30B6F" w:rsidRPr="003818C4" w:rsidRDefault="00E30B6F" w:rsidP="00890C8B">
      <w:pPr>
        <w:pStyle w:val="Body"/>
        <w:numPr>
          <w:ilvl w:val="0"/>
          <w:numId w:val="33"/>
        </w:numPr>
        <w:spacing w:before="120" w:after="120" w:line="240" w:lineRule="auto"/>
        <w:ind w:left="714" w:hanging="357"/>
        <w:rPr>
          <w:rStyle w:val="NoneA"/>
          <w:rFonts w:ascii="Arial" w:hAnsi="Arial" w:cs="Arial"/>
          <w:bCs/>
          <w:sz w:val="18"/>
          <w:szCs w:val="18"/>
          <w:lang w:val="en-GB"/>
        </w:rPr>
      </w:pPr>
      <w:r w:rsidRPr="003818C4">
        <w:rPr>
          <w:rStyle w:val="NoneA"/>
          <w:rFonts w:ascii="Arial" w:hAnsi="Arial" w:cs="Arial"/>
          <w:b/>
          <w:bCs/>
          <w:sz w:val="18"/>
          <w:szCs w:val="18"/>
          <w:lang w:val="en-GB"/>
        </w:rPr>
        <w:t xml:space="preserve">Prevention and </w:t>
      </w:r>
      <w:r w:rsidR="007570CF" w:rsidRPr="003818C4">
        <w:rPr>
          <w:rStyle w:val="NoneA"/>
          <w:rFonts w:ascii="Arial" w:hAnsi="Arial" w:cs="Arial"/>
          <w:b/>
          <w:bCs/>
          <w:sz w:val="18"/>
          <w:szCs w:val="18"/>
          <w:lang w:val="en-GB"/>
        </w:rPr>
        <w:t>fight against</w:t>
      </w:r>
      <w:r w:rsidRPr="003818C4">
        <w:rPr>
          <w:rStyle w:val="NoneA"/>
          <w:rFonts w:ascii="Arial" w:hAnsi="Arial" w:cs="Arial"/>
          <w:b/>
          <w:bCs/>
          <w:sz w:val="18"/>
          <w:szCs w:val="18"/>
          <w:lang w:val="en-GB"/>
        </w:rPr>
        <w:t xml:space="preserve"> cybercrime:</w:t>
      </w:r>
      <w:r w:rsidRPr="003818C4">
        <w:rPr>
          <w:rStyle w:val="NoneA"/>
          <w:rFonts w:ascii="Arial" w:hAnsi="Arial" w:cs="Arial"/>
          <w:bCs/>
          <w:sz w:val="18"/>
          <w:szCs w:val="18"/>
          <w:lang w:val="en-GB"/>
        </w:rPr>
        <w:t xml:space="preserve"> The draft law requires substantial revision to exclude the instruments which are disproportionate to the </w:t>
      </w:r>
      <w:r w:rsidR="007570CF" w:rsidRPr="003818C4">
        <w:rPr>
          <w:rStyle w:val="NoneA"/>
          <w:rFonts w:ascii="Arial" w:hAnsi="Arial" w:cs="Arial"/>
          <w:bCs/>
          <w:sz w:val="18"/>
          <w:szCs w:val="18"/>
          <w:lang w:val="en-GB"/>
        </w:rPr>
        <w:t xml:space="preserve">pursued </w:t>
      </w:r>
      <w:r w:rsidRPr="003818C4">
        <w:rPr>
          <w:rStyle w:val="NoneA"/>
          <w:rFonts w:ascii="Arial" w:hAnsi="Arial" w:cs="Arial"/>
          <w:bCs/>
          <w:sz w:val="18"/>
          <w:szCs w:val="18"/>
          <w:lang w:val="en-GB"/>
        </w:rPr>
        <w:t xml:space="preserve">goals and which can </w:t>
      </w:r>
      <w:r w:rsidR="007570CF" w:rsidRPr="003818C4">
        <w:rPr>
          <w:rStyle w:val="NoneA"/>
          <w:rFonts w:ascii="Arial" w:hAnsi="Arial" w:cs="Arial"/>
          <w:bCs/>
          <w:sz w:val="18"/>
          <w:szCs w:val="18"/>
          <w:lang w:val="en-GB"/>
        </w:rPr>
        <w:t xml:space="preserve">be </w:t>
      </w:r>
      <w:r w:rsidRPr="003818C4">
        <w:rPr>
          <w:rStyle w:val="NoneA"/>
          <w:rFonts w:ascii="Arial" w:hAnsi="Arial" w:cs="Arial"/>
          <w:bCs/>
          <w:sz w:val="18"/>
          <w:szCs w:val="18"/>
          <w:lang w:val="en-GB"/>
        </w:rPr>
        <w:t xml:space="preserve">easily </w:t>
      </w:r>
      <w:r w:rsidR="007570CF" w:rsidRPr="003818C4">
        <w:rPr>
          <w:rStyle w:val="NoneA"/>
          <w:rFonts w:ascii="Arial" w:hAnsi="Arial" w:cs="Arial"/>
          <w:bCs/>
          <w:sz w:val="18"/>
          <w:szCs w:val="18"/>
          <w:lang w:val="en-GB"/>
        </w:rPr>
        <w:t>used to</w:t>
      </w:r>
      <w:r w:rsidRPr="003818C4">
        <w:rPr>
          <w:rStyle w:val="NoneA"/>
          <w:rFonts w:ascii="Arial" w:hAnsi="Arial" w:cs="Arial"/>
          <w:bCs/>
          <w:sz w:val="18"/>
          <w:szCs w:val="18"/>
          <w:lang w:val="en-GB"/>
        </w:rPr>
        <w:t xml:space="preserve"> </w:t>
      </w:r>
      <w:r w:rsidR="007570CF" w:rsidRPr="003818C4">
        <w:rPr>
          <w:rStyle w:val="NoneA"/>
          <w:rFonts w:ascii="Arial" w:hAnsi="Arial" w:cs="Arial"/>
          <w:bCs/>
          <w:sz w:val="18"/>
          <w:szCs w:val="18"/>
          <w:lang w:val="en-GB"/>
        </w:rPr>
        <w:t xml:space="preserve">violate </w:t>
      </w:r>
      <w:r w:rsidRPr="003818C4">
        <w:rPr>
          <w:rStyle w:val="NoneA"/>
          <w:rFonts w:ascii="Arial" w:hAnsi="Arial" w:cs="Arial"/>
          <w:bCs/>
          <w:sz w:val="18"/>
          <w:szCs w:val="18"/>
          <w:lang w:val="en-GB"/>
        </w:rPr>
        <w:t xml:space="preserve">citizens’ right to privacy. Among the proposed solutions </w:t>
      </w:r>
      <w:r w:rsidR="007570CF" w:rsidRPr="003818C4">
        <w:rPr>
          <w:rStyle w:val="NoneA"/>
          <w:rFonts w:ascii="Arial" w:hAnsi="Arial" w:cs="Arial"/>
          <w:bCs/>
          <w:sz w:val="18"/>
          <w:szCs w:val="18"/>
          <w:lang w:val="en-GB"/>
        </w:rPr>
        <w:t>are</w:t>
      </w:r>
      <w:r w:rsidRPr="003818C4">
        <w:rPr>
          <w:rStyle w:val="NoneA"/>
          <w:rFonts w:ascii="Arial" w:hAnsi="Arial" w:cs="Arial"/>
          <w:bCs/>
          <w:sz w:val="18"/>
          <w:szCs w:val="18"/>
          <w:lang w:val="en-GB"/>
        </w:rPr>
        <w:t xml:space="preserve"> </w:t>
      </w:r>
      <w:r w:rsidR="007570CF" w:rsidRPr="003818C4">
        <w:rPr>
          <w:rStyle w:val="NoneA"/>
          <w:rFonts w:ascii="Arial" w:hAnsi="Arial" w:cs="Arial"/>
          <w:bCs/>
          <w:sz w:val="18"/>
          <w:szCs w:val="18"/>
          <w:lang w:val="en-GB"/>
        </w:rPr>
        <w:t xml:space="preserve">the </w:t>
      </w:r>
      <w:r w:rsidRPr="003818C4">
        <w:rPr>
          <w:rStyle w:val="NoneA"/>
          <w:rFonts w:ascii="Arial" w:hAnsi="Arial" w:cs="Arial"/>
          <w:bCs/>
          <w:sz w:val="18"/>
          <w:szCs w:val="18"/>
          <w:lang w:val="en-GB"/>
        </w:rPr>
        <w:t>exclusion of copyright from the area of special investigative measures, reduction of the available instruments for the offences against the person’s honour and dignity, adjustment of mechanisms proposed for the other two types of</w:t>
      </w:r>
      <w:r w:rsidR="007570CF" w:rsidRPr="003818C4">
        <w:rPr>
          <w:rStyle w:val="NoneA"/>
          <w:rFonts w:ascii="Arial" w:hAnsi="Arial" w:cs="Arial"/>
          <w:bCs/>
          <w:sz w:val="18"/>
          <w:szCs w:val="18"/>
          <w:lang w:val="en-GB"/>
        </w:rPr>
        <w:t xml:space="preserve"> analysed</w:t>
      </w:r>
      <w:r w:rsidRPr="003818C4">
        <w:rPr>
          <w:rStyle w:val="NoneA"/>
          <w:rFonts w:ascii="Arial" w:hAnsi="Arial" w:cs="Arial"/>
          <w:bCs/>
          <w:sz w:val="18"/>
          <w:szCs w:val="18"/>
          <w:lang w:val="en-GB"/>
        </w:rPr>
        <w:t xml:space="preserve"> offences.</w:t>
      </w:r>
    </w:p>
    <w:p w14:paraId="2E07033E" w14:textId="77777777" w:rsidR="00E30B6F" w:rsidRPr="003818C4" w:rsidRDefault="00E30B6F" w:rsidP="00890C8B">
      <w:pPr>
        <w:pStyle w:val="Body"/>
        <w:numPr>
          <w:ilvl w:val="0"/>
          <w:numId w:val="31"/>
        </w:numPr>
        <w:spacing w:before="120" w:after="120" w:line="240" w:lineRule="auto"/>
        <w:ind w:left="284" w:hanging="284"/>
        <w:rPr>
          <w:rStyle w:val="NoneA"/>
          <w:rFonts w:ascii="Arial" w:hAnsi="Arial" w:cs="Arial"/>
          <w:b/>
          <w:bCs/>
          <w:sz w:val="18"/>
          <w:szCs w:val="18"/>
          <w:lang w:val="en-GB"/>
        </w:rPr>
      </w:pPr>
      <w:r w:rsidRPr="003818C4">
        <w:rPr>
          <w:rStyle w:val="NoneA"/>
          <w:rFonts w:ascii="Arial" w:hAnsi="Arial" w:cs="Arial"/>
          <w:b/>
          <w:bCs/>
          <w:sz w:val="18"/>
          <w:szCs w:val="18"/>
          <w:lang w:val="en-GB"/>
        </w:rPr>
        <w:t xml:space="preserve">Prevention and </w:t>
      </w:r>
      <w:r w:rsidR="007570CF" w:rsidRPr="003818C4">
        <w:rPr>
          <w:rStyle w:val="NoneA"/>
          <w:rFonts w:ascii="Arial" w:hAnsi="Arial" w:cs="Arial"/>
          <w:b/>
          <w:bCs/>
          <w:sz w:val="18"/>
          <w:szCs w:val="18"/>
          <w:lang w:val="en-GB"/>
        </w:rPr>
        <w:t xml:space="preserve">fight against </w:t>
      </w:r>
      <w:r w:rsidRPr="003818C4">
        <w:rPr>
          <w:rStyle w:val="NoneA"/>
          <w:rFonts w:ascii="Arial" w:hAnsi="Arial" w:cs="Arial"/>
          <w:b/>
          <w:bCs/>
          <w:sz w:val="18"/>
          <w:szCs w:val="18"/>
          <w:lang w:val="en-GB"/>
        </w:rPr>
        <w:t xml:space="preserve">money-laundering and </w:t>
      </w:r>
      <w:r w:rsidR="007570CF" w:rsidRPr="003818C4">
        <w:rPr>
          <w:rStyle w:val="NoneA"/>
          <w:rFonts w:ascii="Arial" w:hAnsi="Arial" w:cs="Arial"/>
          <w:b/>
          <w:bCs/>
          <w:sz w:val="18"/>
          <w:szCs w:val="18"/>
          <w:lang w:val="en-GB"/>
        </w:rPr>
        <w:t xml:space="preserve">financing of </w:t>
      </w:r>
      <w:r w:rsidRPr="003818C4">
        <w:rPr>
          <w:rStyle w:val="NoneA"/>
          <w:rFonts w:ascii="Arial" w:hAnsi="Arial" w:cs="Arial"/>
          <w:b/>
          <w:bCs/>
          <w:sz w:val="18"/>
          <w:szCs w:val="18"/>
          <w:lang w:val="en-GB"/>
        </w:rPr>
        <w:t>terrorism:</w:t>
      </w:r>
    </w:p>
    <w:p w14:paraId="5E1426E8" w14:textId="77777777" w:rsidR="00E30B6F" w:rsidRPr="003818C4" w:rsidRDefault="00E30B6F" w:rsidP="00890C8B">
      <w:pPr>
        <w:pStyle w:val="Body"/>
        <w:numPr>
          <w:ilvl w:val="1"/>
          <w:numId w:val="36"/>
        </w:numPr>
        <w:spacing w:before="120" w:after="120" w:line="240" w:lineRule="auto"/>
        <w:ind w:left="709"/>
        <w:rPr>
          <w:rStyle w:val="NoneA"/>
          <w:rFonts w:ascii="Arial" w:hAnsi="Arial" w:cs="Arial"/>
          <w:bCs/>
          <w:sz w:val="18"/>
          <w:szCs w:val="18"/>
          <w:lang w:val="en-GB"/>
        </w:rPr>
      </w:pPr>
      <w:r w:rsidRPr="003818C4">
        <w:rPr>
          <w:rStyle w:val="NoneA"/>
          <w:rFonts w:ascii="Arial" w:hAnsi="Arial" w:cs="Arial"/>
          <w:bCs/>
          <w:sz w:val="18"/>
          <w:szCs w:val="18"/>
          <w:lang w:val="en-GB"/>
        </w:rPr>
        <w:t xml:space="preserve">The draft requires revision of the tasks established for the new reporting entities which are, at the same time, service providers, so as to ensure the </w:t>
      </w:r>
      <w:r w:rsidR="00870C4E" w:rsidRPr="003818C4">
        <w:rPr>
          <w:rStyle w:val="NoneA"/>
          <w:rFonts w:ascii="Arial" w:hAnsi="Arial" w:cs="Arial"/>
          <w:bCs/>
          <w:sz w:val="18"/>
          <w:szCs w:val="18"/>
          <w:lang w:val="en-GB"/>
        </w:rPr>
        <w:t>observance</w:t>
      </w:r>
      <w:r w:rsidRPr="003818C4">
        <w:rPr>
          <w:rStyle w:val="NoneA"/>
          <w:rFonts w:ascii="Arial" w:hAnsi="Arial" w:cs="Arial"/>
          <w:bCs/>
          <w:sz w:val="18"/>
          <w:szCs w:val="18"/>
          <w:lang w:val="en-GB"/>
        </w:rPr>
        <w:t xml:space="preserve"> of fundamental rights. The relation between the client and the service provider must be clarified from the point of view of professional duties set in other legislative acts;</w:t>
      </w:r>
    </w:p>
    <w:p w14:paraId="462573C3" w14:textId="77777777" w:rsidR="00E30B6F" w:rsidRPr="003818C4" w:rsidRDefault="00E30B6F" w:rsidP="00890C8B">
      <w:pPr>
        <w:pStyle w:val="Body"/>
        <w:numPr>
          <w:ilvl w:val="1"/>
          <w:numId w:val="36"/>
        </w:numPr>
        <w:spacing w:before="120" w:after="120" w:line="240" w:lineRule="auto"/>
        <w:ind w:left="709"/>
        <w:rPr>
          <w:rStyle w:val="NoneA"/>
          <w:rFonts w:ascii="Arial" w:hAnsi="Arial" w:cs="Arial"/>
          <w:bCs/>
          <w:sz w:val="18"/>
          <w:szCs w:val="18"/>
          <w:lang w:val="en-GB"/>
        </w:rPr>
      </w:pPr>
      <w:r w:rsidRPr="003818C4">
        <w:rPr>
          <w:rStyle w:val="NoneA"/>
          <w:rFonts w:ascii="Arial" w:hAnsi="Arial" w:cs="Arial"/>
          <w:bCs/>
          <w:sz w:val="18"/>
          <w:szCs w:val="18"/>
          <w:lang w:val="en-GB"/>
        </w:rPr>
        <w:t>Certain terms, such as ‚other self-employed persons’ require more clarity and predictability from the regulatory perspective;</w:t>
      </w:r>
    </w:p>
    <w:p w14:paraId="25D6E5BF" w14:textId="77777777" w:rsidR="00E30B6F" w:rsidRPr="003818C4" w:rsidRDefault="00E30B6F" w:rsidP="00890C8B">
      <w:pPr>
        <w:pStyle w:val="Body"/>
        <w:numPr>
          <w:ilvl w:val="1"/>
          <w:numId w:val="36"/>
        </w:numPr>
        <w:spacing w:before="120" w:after="120" w:line="240" w:lineRule="auto"/>
        <w:ind w:left="709"/>
        <w:rPr>
          <w:rStyle w:val="NoneA"/>
          <w:rFonts w:ascii="Arial" w:hAnsi="Arial" w:cs="Arial"/>
          <w:bCs/>
          <w:sz w:val="18"/>
          <w:szCs w:val="18"/>
          <w:lang w:val="en-GB"/>
        </w:rPr>
      </w:pPr>
      <w:r w:rsidRPr="003818C4">
        <w:rPr>
          <w:rStyle w:val="NoneA"/>
          <w:rFonts w:ascii="Arial" w:hAnsi="Arial" w:cs="Arial"/>
          <w:bCs/>
          <w:sz w:val="18"/>
          <w:szCs w:val="18"/>
          <w:lang w:val="en-GB"/>
        </w:rPr>
        <w:t xml:space="preserve">The precaution obligations for the reporting entities require revision to ensure a duty proportionate to the benefits it may provide for the general goal of </w:t>
      </w:r>
      <w:r w:rsidR="00870C4E" w:rsidRPr="003818C4">
        <w:rPr>
          <w:rStyle w:val="NoneA"/>
          <w:rFonts w:ascii="Arial" w:hAnsi="Arial" w:cs="Arial"/>
          <w:bCs/>
          <w:sz w:val="18"/>
          <w:szCs w:val="18"/>
          <w:lang w:val="en-GB"/>
        </w:rPr>
        <w:t>prevention and fight against</w:t>
      </w:r>
      <w:r w:rsidRPr="003818C4">
        <w:rPr>
          <w:rStyle w:val="NoneA"/>
          <w:rFonts w:ascii="Arial" w:hAnsi="Arial" w:cs="Arial"/>
          <w:bCs/>
          <w:sz w:val="18"/>
          <w:szCs w:val="18"/>
          <w:lang w:val="en-GB"/>
        </w:rPr>
        <w:t xml:space="preserve"> money-laundering.</w:t>
      </w:r>
    </w:p>
    <w:p w14:paraId="40388510" w14:textId="77777777" w:rsidR="00E30B6F" w:rsidRPr="003818C4" w:rsidRDefault="00E30B6F" w:rsidP="001164F1">
      <w:pPr>
        <w:pStyle w:val="Body"/>
        <w:spacing w:before="120" w:after="120" w:line="240" w:lineRule="auto"/>
        <w:rPr>
          <w:rStyle w:val="NoneA"/>
          <w:rFonts w:ascii="Arial" w:hAnsi="Arial" w:cs="Arial"/>
          <w:bCs/>
          <w:sz w:val="18"/>
          <w:szCs w:val="18"/>
          <w:lang w:val="en-GB"/>
        </w:rPr>
      </w:pPr>
    </w:p>
    <w:p w14:paraId="535584E3" w14:textId="77777777" w:rsidR="00E30B6F" w:rsidRPr="003818C4" w:rsidRDefault="00E30B6F" w:rsidP="001164F1">
      <w:pPr>
        <w:spacing w:before="120" w:after="120"/>
        <w:rPr>
          <w:rStyle w:val="NoneA"/>
          <w:rFonts w:ascii="Arial" w:hAnsi="Arial" w:cs="Arial"/>
          <w:b/>
          <w:smallCaps/>
          <w:color w:val="0B5294" w:themeColor="accent1" w:themeShade="BF"/>
          <w:spacing w:val="5"/>
          <w:sz w:val="18"/>
          <w:szCs w:val="18"/>
          <w:lang w:val="en-GB"/>
        </w:rPr>
      </w:pPr>
      <w:r w:rsidRPr="003818C4">
        <w:rPr>
          <w:rStyle w:val="NoneA"/>
          <w:rFonts w:ascii="Arial" w:hAnsi="Arial" w:cs="Arial"/>
          <w:b/>
          <w:color w:val="0B5294" w:themeColor="accent1" w:themeShade="BF"/>
          <w:sz w:val="18"/>
          <w:szCs w:val="18"/>
          <w:lang w:val="en-GB"/>
        </w:rPr>
        <w:br w:type="page"/>
      </w:r>
    </w:p>
    <w:p w14:paraId="12D7DCA6" w14:textId="77777777" w:rsidR="00E30B6F" w:rsidRPr="003818C4" w:rsidRDefault="00E30B6F" w:rsidP="00890C8B">
      <w:pPr>
        <w:pStyle w:val="Heading2"/>
        <w:numPr>
          <w:ilvl w:val="1"/>
          <w:numId w:val="24"/>
        </w:numPr>
        <w:tabs>
          <w:tab w:val="left" w:pos="567"/>
        </w:tabs>
        <w:spacing w:before="120" w:after="120" w:line="240" w:lineRule="auto"/>
        <w:ind w:left="284" w:hanging="284"/>
        <w:rPr>
          <w:rStyle w:val="NoneA"/>
          <w:rFonts w:ascii="Arial" w:hAnsi="Arial" w:cs="Arial"/>
          <w:color w:val="0B5294" w:themeColor="accent1" w:themeShade="BF"/>
          <w:sz w:val="18"/>
          <w:szCs w:val="18"/>
          <w:lang w:val="en-GB"/>
        </w:rPr>
      </w:pPr>
      <w:bookmarkStart w:id="22" w:name="_Toc477762699"/>
      <w:bookmarkStart w:id="23" w:name="_Toc478028665"/>
      <w:r w:rsidRPr="003818C4">
        <w:rPr>
          <w:rStyle w:val="NoneA"/>
          <w:rFonts w:ascii="Arial" w:hAnsi="Arial" w:cs="Arial"/>
          <w:color w:val="0B5294" w:themeColor="accent1" w:themeShade="BF"/>
          <w:sz w:val="18"/>
          <w:szCs w:val="18"/>
          <w:lang w:val="en-GB"/>
        </w:rPr>
        <w:lastRenderedPageBreak/>
        <w:t>Economic cooperation and sectoral cooperation (Title IV)</w:t>
      </w:r>
      <w:bookmarkEnd w:id="22"/>
      <w:bookmarkEnd w:id="23"/>
    </w:p>
    <w:p w14:paraId="7E387A28" w14:textId="77777777" w:rsidR="00E30B6F" w:rsidRPr="003818C4" w:rsidRDefault="00E30B6F" w:rsidP="001164F1">
      <w:pPr>
        <w:pStyle w:val="Heading3"/>
        <w:spacing w:before="120" w:after="120" w:line="240" w:lineRule="auto"/>
        <w:rPr>
          <w:rFonts w:ascii="Arial" w:hAnsi="Arial" w:cs="Arial"/>
          <w:color w:val="0B5294" w:themeColor="accent1" w:themeShade="BF"/>
          <w:sz w:val="18"/>
          <w:szCs w:val="18"/>
          <w:lang w:val="en-GB"/>
        </w:rPr>
      </w:pPr>
      <w:bookmarkStart w:id="24" w:name="_Toc477762700"/>
      <w:bookmarkStart w:id="25" w:name="_Toc478028666"/>
      <w:r w:rsidRPr="003818C4">
        <w:rPr>
          <w:rFonts w:ascii="Arial" w:hAnsi="Arial" w:cs="Arial"/>
          <w:noProof/>
          <w:sz w:val="18"/>
          <w:szCs w:val="18"/>
        </w:rPr>
        <w:drawing>
          <wp:anchor distT="0" distB="0" distL="114300" distR="114300" simplePos="0" relativeHeight="251666432" behindDoc="0" locked="0" layoutInCell="1" allowOverlap="1" wp14:anchorId="67D74826" wp14:editId="48F7D12A">
            <wp:simplePos x="0" y="0"/>
            <wp:positionH relativeFrom="column">
              <wp:posOffset>3404235</wp:posOffset>
            </wp:positionH>
            <wp:positionV relativeFrom="paragraph">
              <wp:posOffset>232824</wp:posOffset>
            </wp:positionV>
            <wp:extent cx="2205745" cy="2117090"/>
            <wp:effectExtent l="0" t="0" r="4445" b="16510"/>
            <wp:wrapThrough wrapText="bothSides">
              <wp:wrapPolygon edited="0">
                <wp:start x="0" y="0"/>
                <wp:lineTo x="0" y="21574"/>
                <wp:lineTo x="21457" y="21574"/>
                <wp:lineTo x="21457" y="0"/>
                <wp:lineTo x="0" y="0"/>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bookmarkEnd w:id="24"/>
      <w:r w:rsidRPr="003818C4">
        <w:rPr>
          <w:rFonts w:ascii="Arial" w:hAnsi="Arial" w:cs="Arial"/>
          <w:noProof/>
          <w:sz w:val="18"/>
          <w:szCs w:val="18"/>
          <w:lang w:val="en-GB"/>
        </w:rPr>
        <w:t>Quantitative progress assessment</w:t>
      </w:r>
      <w:bookmarkEnd w:id="25"/>
    </w:p>
    <w:p w14:paraId="57B35707" w14:textId="77777777" w:rsidR="00E30B6F" w:rsidRPr="003818C4" w:rsidRDefault="00E30B6F" w:rsidP="001164F1">
      <w:pPr>
        <w:pStyle w:val="Body"/>
        <w:spacing w:before="120" w:after="120" w:line="240" w:lineRule="auto"/>
        <w:rPr>
          <w:rFonts w:ascii="Arial" w:hAnsi="Arial" w:cs="Arial"/>
          <w:sz w:val="18"/>
          <w:szCs w:val="18"/>
          <w:lang w:val="en-GB"/>
        </w:rPr>
      </w:pPr>
      <w:r w:rsidRPr="003818C4">
        <w:rPr>
          <w:rFonts w:ascii="Arial" w:hAnsi="Arial" w:cs="Arial"/>
          <w:sz w:val="18"/>
          <w:szCs w:val="18"/>
          <w:lang w:val="en-GB"/>
        </w:rPr>
        <w:t xml:space="preserve">The NAPIAA provides for the biggest number of measures in relation to Title IV of the Association Agreement. A total number of </w:t>
      </w:r>
      <w:r w:rsidRPr="003818C4">
        <w:rPr>
          <w:rFonts w:ascii="Arial" w:hAnsi="Arial" w:cs="Arial"/>
          <w:b/>
          <w:sz w:val="18"/>
          <w:szCs w:val="18"/>
          <w:lang w:val="en-GB"/>
        </w:rPr>
        <w:t>891 implementation measures</w:t>
      </w:r>
      <w:r w:rsidRPr="003818C4">
        <w:rPr>
          <w:rFonts w:ascii="Arial" w:hAnsi="Arial" w:cs="Arial"/>
          <w:sz w:val="18"/>
          <w:szCs w:val="18"/>
          <w:lang w:val="en-GB"/>
        </w:rPr>
        <w:t xml:space="preserve"> were </w:t>
      </w:r>
      <w:r w:rsidR="00870C4E" w:rsidRPr="003818C4">
        <w:rPr>
          <w:rFonts w:ascii="Arial" w:hAnsi="Arial" w:cs="Arial"/>
          <w:sz w:val="18"/>
          <w:szCs w:val="18"/>
          <w:lang w:val="en-GB"/>
        </w:rPr>
        <w:t>implemented</w:t>
      </w:r>
      <w:r w:rsidRPr="003818C4">
        <w:rPr>
          <w:rFonts w:ascii="Arial" w:hAnsi="Arial" w:cs="Arial"/>
          <w:sz w:val="18"/>
          <w:szCs w:val="18"/>
          <w:lang w:val="en-GB"/>
        </w:rPr>
        <w:t xml:space="preserve"> during the years 2014-2016. </w:t>
      </w:r>
    </w:p>
    <w:p w14:paraId="161E832F" w14:textId="77777777" w:rsidR="00E30B6F" w:rsidRPr="003818C4" w:rsidRDefault="00E30B6F" w:rsidP="001164F1">
      <w:pPr>
        <w:pStyle w:val="Body"/>
        <w:spacing w:before="120" w:after="120" w:line="240" w:lineRule="auto"/>
        <w:rPr>
          <w:rFonts w:ascii="Arial" w:hAnsi="Arial" w:cs="Arial"/>
          <w:sz w:val="18"/>
          <w:szCs w:val="18"/>
          <w:lang w:val="en-GB"/>
        </w:rPr>
      </w:pPr>
      <w:r w:rsidRPr="003818C4">
        <w:rPr>
          <w:rFonts w:ascii="Arial" w:hAnsi="Arial" w:cs="Arial"/>
          <w:sz w:val="18"/>
          <w:szCs w:val="18"/>
          <w:lang w:val="en-GB"/>
        </w:rPr>
        <w:t xml:space="preserve">Thus a total number of </w:t>
      </w:r>
      <w:r w:rsidRPr="003818C4">
        <w:rPr>
          <w:rFonts w:ascii="Arial" w:hAnsi="Arial" w:cs="Arial"/>
          <w:b/>
          <w:sz w:val="18"/>
          <w:szCs w:val="18"/>
          <w:lang w:val="en-GB"/>
        </w:rPr>
        <w:t xml:space="preserve">540 measures were </w:t>
      </w:r>
      <w:r w:rsidR="00870C4E" w:rsidRPr="003818C4">
        <w:rPr>
          <w:rFonts w:ascii="Arial" w:hAnsi="Arial" w:cs="Arial"/>
          <w:b/>
          <w:sz w:val="18"/>
          <w:szCs w:val="18"/>
          <w:lang w:val="en-GB"/>
        </w:rPr>
        <w:t>implemented</w:t>
      </w:r>
      <w:r w:rsidRPr="003818C4">
        <w:rPr>
          <w:rFonts w:ascii="Arial" w:hAnsi="Arial" w:cs="Arial"/>
          <w:sz w:val="18"/>
          <w:szCs w:val="18"/>
          <w:lang w:val="en-GB"/>
        </w:rPr>
        <w:t xml:space="preserve"> during the reference period, including 27 measures with the implementation deadline for 2017-2022 and 41 measures with continuous implementation term. </w:t>
      </w:r>
    </w:p>
    <w:p w14:paraId="2B9B5B2C" w14:textId="77777777" w:rsidR="00E30B6F" w:rsidRPr="003818C4" w:rsidRDefault="00E30B6F" w:rsidP="001164F1">
      <w:pPr>
        <w:pStyle w:val="Body"/>
        <w:spacing w:before="120" w:after="120" w:line="240" w:lineRule="auto"/>
        <w:rPr>
          <w:rFonts w:ascii="Arial" w:eastAsia="Verdana" w:hAnsi="Arial" w:cs="Arial"/>
          <w:sz w:val="18"/>
          <w:szCs w:val="18"/>
          <w:lang w:val="en-GB"/>
        </w:rPr>
      </w:pPr>
      <w:r w:rsidRPr="003818C4">
        <w:rPr>
          <w:rFonts w:ascii="Arial" w:hAnsi="Arial" w:cs="Arial"/>
          <w:sz w:val="18"/>
          <w:szCs w:val="18"/>
          <w:lang w:val="en-GB"/>
        </w:rPr>
        <w:t xml:space="preserve">At the same time, </w:t>
      </w:r>
      <w:r w:rsidRPr="003818C4">
        <w:rPr>
          <w:rFonts w:ascii="Arial" w:hAnsi="Arial" w:cs="Arial"/>
          <w:b/>
          <w:sz w:val="18"/>
          <w:szCs w:val="18"/>
          <w:lang w:val="en-GB"/>
        </w:rPr>
        <w:t xml:space="preserve">239 measures were partly </w:t>
      </w:r>
      <w:r w:rsidR="00870C4E" w:rsidRPr="003818C4">
        <w:rPr>
          <w:rFonts w:ascii="Arial" w:hAnsi="Arial" w:cs="Arial"/>
          <w:b/>
          <w:sz w:val="18"/>
          <w:szCs w:val="18"/>
          <w:lang w:val="en-GB"/>
        </w:rPr>
        <w:t>implemented</w:t>
      </w:r>
      <w:r w:rsidRPr="003818C4">
        <w:rPr>
          <w:rFonts w:ascii="Arial" w:hAnsi="Arial" w:cs="Arial"/>
          <w:sz w:val="18"/>
          <w:szCs w:val="18"/>
          <w:lang w:val="en-GB"/>
        </w:rPr>
        <w:t xml:space="preserve">, while </w:t>
      </w:r>
      <w:r w:rsidRPr="003818C4">
        <w:rPr>
          <w:rFonts w:ascii="Arial" w:hAnsi="Arial" w:cs="Arial"/>
          <w:b/>
          <w:sz w:val="18"/>
          <w:szCs w:val="18"/>
          <w:lang w:val="en-GB"/>
        </w:rPr>
        <w:t xml:space="preserve">109 measures remain </w:t>
      </w:r>
      <w:r w:rsidR="003347CA" w:rsidRPr="003818C4">
        <w:rPr>
          <w:rFonts w:ascii="Arial" w:hAnsi="Arial" w:cs="Arial"/>
          <w:b/>
          <w:sz w:val="18"/>
          <w:szCs w:val="18"/>
          <w:lang w:val="en-GB"/>
        </w:rPr>
        <w:t>not accomplished</w:t>
      </w:r>
      <w:r w:rsidRPr="003818C4">
        <w:rPr>
          <w:rFonts w:ascii="Arial" w:hAnsi="Arial" w:cs="Arial"/>
          <w:sz w:val="18"/>
          <w:szCs w:val="18"/>
          <w:lang w:val="en-GB"/>
        </w:rPr>
        <w:t>. It must be mentioned that 3 measures from the total number of the planned ones became inactive.</w:t>
      </w:r>
    </w:p>
    <w:tbl>
      <w:tblPr>
        <w:tblpPr w:leftFromText="180" w:rightFromText="180" w:vertAnchor="text" w:horzAnchor="page" w:tblpX="1630" w:tblpY="897"/>
        <w:tblW w:w="8901" w:type="dxa"/>
        <w:tblCellMar>
          <w:left w:w="0" w:type="dxa"/>
          <w:right w:w="0" w:type="dxa"/>
        </w:tblCellMar>
        <w:tblLook w:val="04A0" w:firstRow="1" w:lastRow="0" w:firstColumn="1" w:lastColumn="0" w:noHBand="0" w:noVBand="1"/>
      </w:tblPr>
      <w:tblGrid>
        <w:gridCol w:w="4142"/>
        <w:gridCol w:w="706"/>
        <w:gridCol w:w="1327"/>
        <w:gridCol w:w="1399"/>
        <w:gridCol w:w="1327"/>
      </w:tblGrid>
      <w:tr w:rsidR="003347CA" w:rsidRPr="003818C4" w14:paraId="3F473B09" w14:textId="77777777" w:rsidTr="00E30B6F">
        <w:trPr>
          <w:trHeight w:val="372"/>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2056A33" w14:textId="77777777" w:rsidR="00E30B6F" w:rsidRPr="003818C4" w:rsidRDefault="00E30B6F" w:rsidP="00890C8B">
            <w:pPr>
              <w:pStyle w:val="Body"/>
              <w:spacing w:after="0" w:line="240" w:lineRule="auto"/>
              <w:jc w:val="center"/>
              <w:rPr>
                <w:rFonts w:ascii="Arial" w:hAnsi="Arial" w:cs="Arial"/>
                <w:b/>
                <w:sz w:val="18"/>
                <w:szCs w:val="18"/>
                <w:lang w:val="en-GB"/>
              </w:rPr>
            </w:pPr>
            <w:r w:rsidRPr="003818C4">
              <w:rPr>
                <w:rFonts w:ascii="Arial" w:hAnsi="Arial" w:cs="Arial"/>
                <w:b/>
                <w:sz w:val="18"/>
                <w:szCs w:val="18"/>
                <w:lang w:val="en-GB"/>
              </w:rPr>
              <w:t>Table 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4C7D762"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b/>
                <w:bCs/>
                <w:sz w:val="18"/>
                <w:szCs w:val="18"/>
                <w:lang w:val="en-GB"/>
              </w:rPr>
              <w:t>Total</w:t>
            </w:r>
          </w:p>
        </w:tc>
        <w:tc>
          <w:tcPr>
            <w:tcW w:w="1268" w:type="dxa"/>
            <w:tcBorders>
              <w:top w:val="single" w:sz="8" w:space="0" w:color="000000"/>
              <w:left w:val="single" w:sz="8" w:space="0" w:color="000000"/>
              <w:bottom w:val="single" w:sz="8" w:space="0" w:color="000000"/>
              <w:right w:val="single" w:sz="8" w:space="0" w:color="000000"/>
            </w:tcBorders>
            <w:shd w:val="clear" w:color="auto" w:fill="073763" w:themeFill="accent1" w:themeFillShade="80"/>
            <w:tcMar>
              <w:top w:w="13" w:type="dxa"/>
              <w:left w:w="108" w:type="dxa"/>
              <w:bottom w:w="0" w:type="dxa"/>
              <w:right w:w="108" w:type="dxa"/>
            </w:tcMar>
            <w:hideMark/>
          </w:tcPr>
          <w:p w14:paraId="219E8E91" w14:textId="77777777" w:rsidR="00E30B6F" w:rsidRPr="003818C4" w:rsidRDefault="003347CA" w:rsidP="00890C8B">
            <w:pPr>
              <w:pStyle w:val="Body"/>
              <w:spacing w:after="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Implemented</w:t>
            </w:r>
          </w:p>
        </w:tc>
        <w:tc>
          <w:tcPr>
            <w:tcW w:w="1402" w:type="dxa"/>
            <w:tcBorders>
              <w:top w:val="single" w:sz="8" w:space="0" w:color="000000"/>
              <w:left w:val="single" w:sz="8" w:space="0" w:color="000000"/>
              <w:bottom w:val="single" w:sz="8" w:space="0" w:color="000000"/>
              <w:right w:val="single" w:sz="8" w:space="0" w:color="000000"/>
            </w:tcBorders>
            <w:shd w:val="clear" w:color="auto" w:fill="0B5294" w:themeFill="accent1" w:themeFillShade="BF"/>
            <w:tcMar>
              <w:top w:w="13" w:type="dxa"/>
              <w:left w:w="108" w:type="dxa"/>
              <w:bottom w:w="0" w:type="dxa"/>
              <w:right w:w="108" w:type="dxa"/>
            </w:tcMar>
            <w:hideMark/>
          </w:tcPr>
          <w:p w14:paraId="5AD0117D" w14:textId="77777777" w:rsidR="00E30B6F" w:rsidRPr="003818C4" w:rsidRDefault="003347CA" w:rsidP="00890C8B">
            <w:pPr>
              <w:pStyle w:val="Body"/>
              <w:spacing w:after="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Partly implemented</w:t>
            </w:r>
          </w:p>
        </w:tc>
        <w:tc>
          <w:tcPr>
            <w:tcW w:w="1273" w:type="dxa"/>
            <w:tcBorders>
              <w:top w:val="single" w:sz="8" w:space="0" w:color="000000"/>
              <w:left w:val="single" w:sz="8" w:space="0" w:color="000000"/>
              <w:bottom w:val="single" w:sz="8" w:space="0" w:color="000000"/>
              <w:right w:val="single" w:sz="8" w:space="0" w:color="000000"/>
            </w:tcBorders>
            <w:shd w:val="clear" w:color="auto" w:fill="59A9F2" w:themeFill="accent1" w:themeFillTint="99"/>
            <w:tcMar>
              <w:top w:w="13" w:type="dxa"/>
              <w:left w:w="108" w:type="dxa"/>
              <w:bottom w:w="0" w:type="dxa"/>
              <w:right w:w="108" w:type="dxa"/>
            </w:tcMar>
            <w:hideMark/>
          </w:tcPr>
          <w:p w14:paraId="7B3BC6D1" w14:textId="77777777" w:rsidR="00E30B6F" w:rsidRPr="003818C4" w:rsidRDefault="003347CA" w:rsidP="00890C8B">
            <w:pPr>
              <w:pStyle w:val="Body"/>
              <w:spacing w:after="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Not implemented</w:t>
            </w:r>
          </w:p>
        </w:tc>
      </w:tr>
      <w:tr w:rsidR="003347CA" w:rsidRPr="003818C4" w14:paraId="71EB53DE" w14:textId="77777777" w:rsidTr="00E30B6F">
        <w:trPr>
          <w:trHeight w:val="187"/>
        </w:trPr>
        <w:tc>
          <w:tcPr>
            <w:tcW w:w="4250"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2AB08C88" w14:textId="77777777" w:rsidR="00E30B6F" w:rsidRPr="003818C4" w:rsidRDefault="00E30B6F" w:rsidP="00890C8B">
            <w:pPr>
              <w:pStyle w:val="Body"/>
              <w:spacing w:after="0" w:line="240" w:lineRule="auto"/>
              <w:rPr>
                <w:rFonts w:ascii="Arial" w:hAnsi="Arial" w:cs="Arial"/>
                <w:sz w:val="18"/>
                <w:szCs w:val="18"/>
                <w:lang w:val="en-GB"/>
              </w:rPr>
            </w:pPr>
            <w:r w:rsidRPr="003818C4">
              <w:rPr>
                <w:rFonts w:ascii="Arial" w:hAnsi="Arial" w:cs="Arial"/>
                <w:b/>
                <w:bCs/>
                <w:sz w:val="18"/>
                <w:szCs w:val="18"/>
                <w:lang w:val="en-GB"/>
              </w:rPr>
              <w:t xml:space="preserve">NAPIAA 2014 - 2016 </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520C0317"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891</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31DF6059"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540</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61800BC0"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239</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084FA14A"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109</w:t>
            </w:r>
          </w:p>
        </w:tc>
      </w:tr>
      <w:tr w:rsidR="003347CA" w:rsidRPr="003818C4" w14:paraId="1B50AB7D" w14:textId="77777777" w:rsidTr="00E30B6F">
        <w:trPr>
          <w:trHeight w:val="229"/>
        </w:trPr>
        <w:tc>
          <w:tcPr>
            <w:tcW w:w="4250"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p w14:paraId="6BFD707E" w14:textId="77777777" w:rsidR="00E30B6F" w:rsidRPr="003818C4" w:rsidRDefault="00E30B6F" w:rsidP="00890C8B">
            <w:pPr>
              <w:pStyle w:val="Body"/>
              <w:spacing w:after="0" w:line="240" w:lineRule="auto"/>
              <w:rPr>
                <w:rFonts w:ascii="Arial" w:eastAsia="Calibri" w:hAnsi="Arial" w:cs="Arial"/>
                <w:b/>
                <w:bCs/>
                <w:sz w:val="18"/>
                <w:szCs w:val="18"/>
                <w:lang w:val="en-GB"/>
              </w:rPr>
            </w:pPr>
            <w:bookmarkStart w:id="26" w:name="OLE_LINK1"/>
            <w:bookmarkStart w:id="27" w:name="OLE_LINK2"/>
            <w:r w:rsidRPr="003818C4">
              <w:rPr>
                <w:rFonts w:ascii="Arial" w:eastAsia="Calibri" w:hAnsi="Arial" w:cs="Arial"/>
                <w:b/>
                <w:bCs/>
                <w:sz w:val="18"/>
                <w:szCs w:val="18"/>
                <w:lang w:val="en-GB"/>
              </w:rPr>
              <w:t>To be accomplished by 31.12.2016</w:t>
            </w:r>
            <w:bookmarkEnd w:id="26"/>
            <w:bookmarkEnd w:id="27"/>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p w14:paraId="74D193EC"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747</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2724B235"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472</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45D55D44"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195</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2567D485"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80</w:t>
            </w:r>
          </w:p>
        </w:tc>
      </w:tr>
      <w:tr w:rsidR="003347CA" w:rsidRPr="003818C4" w14:paraId="361D7E28" w14:textId="77777777" w:rsidTr="00E30B6F">
        <w:trPr>
          <w:trHeight w:val="229"/>
        </w:trPr>
        <w:tc>
          <w:tcPr>
            <w:tcW w:w="4250"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00CFA498" w14:textId="77777777" w:rsidR="00E30B6F" w:rsidRPr="003818C4" w:rsidRDefault="00E30B6F" w:rsidP="00890C8B">
            <w:pPr>
              <w:pStyle w:val="Body"/>
              <w:spacing w:after="0" w:line="240" w:lineRule="auto"/>
              <w:rPr>
                <w:rFonts w:ascii="Arial" w:eastAsia="Calibri" w:hAnsi="Arial" w:cs="Arial"/>
                <w:b/>
                <w:bCs/>
                <w:sz w:val="18"/>
                <w:szCs w:val="18"/>
                <w:lang w:val="en-GB"/>
              </w:rPr>
            </w:pPr>
            <w:r w:rsidRPr="003818C4">
              <w:rPr>
                <w:rFonts w:ascii="Arial" w:eastAsia="Calibri" w:hAnsi="Arial" w:cs="Arial"/>
                <w:b/>
                <w:bCs/>
                <w:sz w:val="18"/>
                <w:szCs w:val="18"/>
                <w:lang w:val="en-GB"/>
              </w:rPr>
              <w:t>To be accomplished by 2017 - 2023</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38EA07F4"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88</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053FDFFB"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27</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7E8051EF"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34</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1BD42F0B"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27</w:t>
            </w:r>
          </w:p>
        </w:tc>
      </w:tr>
      <w:tr w:rsidR="003347CA" w:rsidRPr="003818C4" w14:paraId="1CFDDB8E" w14:textId="77777777" w:rsidTr="00E30B6F">
        <w:trPr>
          <w:trHeight w:val="215"/>
        </w:trPr>
        <w:tc>
          <w:tcPr>
            <w:tcW w:w="4250"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p w14:paraId="247D911C" w14:textId="77777777" w:rsidR="00E30B6F" w:rsidRPr="003818C4" w:rsidRDefault="00E30B6F" w:rsidP="00890C8B">
            <w:pPr>
              <w:pStyle w:val="Body"/>
              <w:spacing w:after="0" w:line="240" w:lineRule="auto"/>
              <w:rPr>
                <w:rFonts w:ascii="Arial" w:eastAsia="Calibri" w:hAnsi="Arial" w:cs="Arial"/>
                <w:b/>
                <w:bCs/>
                <w:sz w:val="18"/>
                <w:szCs w:val="18"/>
                <w:lang w:val="en-GB"/>
              </w:rPr>
            </w:pPr>
            <w:r w:rsidRPr="003818C4">
              <w:rPr>
                <w:rFonts w:ascii="Arial" w:eastAsia="Calibri" w:hAnsi="Arial" w:cs="Arial"/>
                <w:b/>
                <w:bCs/>
                <w:sz w:val="18"/>
                <w:szCs w:val="18"/>
                <w:lang w:val="en-GB"/>
              </w:rPr>
              <w:t>Continuous</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p w14:paraId="0034AB14"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53</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7F93D1D0"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41</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64E51791"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10</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43C5F968"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2</w:t>
            </w:r>
          </w:p>
        </w:tc>
      </w:tr>
      <w:tr w:rsidR="003347CA" w:rsidRPr="003818C4" w14:paraId="182BB916" w14:textId="77777777" w:rsidTr="00E30B6F">
        <w:trPr>
          <w:trHeight w:val="76"/>
        </w:trPr>
        <w:tc>
          <w:tcPr>
            <w:tcW w:w="4250"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51DCA915" w14:textId="77777777" w:rsidR="00E30B6F" w:rsidRPr="003818C4" w:rsidRDefault="00E30B6F" w:rsidP="00890C8B">
            <w:pPr>
              <w:pStyle w:val="Body"/>
              <w:spacing w:after="0" w:line="240" w:lineRule="auto"/>
              <w:rPr>
                <w:rFonts w:ascii="Arial" w:hAnsi="Arial" w:cs="Arial"/>
                <w:sz w:val="18"/>
                <w:szCs w:val="18"/>
                <w:lang w:val="en-GB"/>
              </w:rPr>
            </w:pPr>
            <w:r w:rsidRPr="003818C4">
              <w:rPr>
                <w:rFonts w:ascii="Arial" w:hAnsi="Arial" w:cs="Arial"/>
                <w:b/>
                <w:bCs/>
                <w:sz w:val="18"/>
                <w:szCs w:val="18"/>
                <w:lang w:val="en-GB"/>
              </w:rPr>
              <w:t xml:space="preserve">Inactive </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194F63F2" w14:textId="77777777" w:rsidR="00E30B6F" w:rsidRPr="003818C4" w:rsidRDefault="00E30B6F" w:rsidP="00890C8B">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3</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15BA022C" w14:textId="77777777" w:rsidR="00E30B6F" w:rsidRPr="003818C4" w:rsidRDefault="00E30B6F" w:rsidP="00890C8B">
            <w:pPr>
              <w:pStyle w:val="Body"/>
              <w:spacing w:after="0" w:line="240" w:lineRule="auto"/>
              <w:jc w:val="center"/>
              <w:rPr>
                <w:rFonts w:ascii="Arial" w:hAnsi="Arial" w:cs="Arial"/>
                <w:sz w:val="18"/>
                <w:szCs w:val="18"/>
                <w:lang w:val="en-GB"/>
              </w:rPr>
            </w:pP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1BF221DC" w14:textId="77777777" w:rsidR="00E30B6F" w:rsidRPr="003818C4" w:rsidRDefault="00E30B6F" w:rsidP="00890C8B">
            <w:pPr>
              <w:pStyle w:val="Body"/>
              <w:spacing w:after="0" w:line="240" w:lineRule="auto"/>
              <w:jc w:val="center"/>
              <w:rPr>
                <w:rFonts w:ascii="Arial" w:hAnsi="Arial" w:cs="Arial"/>
                <w:sz w:val="18"/>
                <w:szCs w:val="18"/>
                <w:lang w:val="en-GB"/>
              </w:rPr>
            </w:pP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3309C087" w14:textId="77777777" w:rsidR="00E30B6F" w:rsidRPr="003818C4" w:rsidRDefault="00E30B6F" w:rsidP="00890C8B">
            <w:pPr>
              <w:pStyle w:val="Body"/>
              <w:spacing w:after="0" w:line="240" w:lineRule="auto"/>
              <w:jc w:val="center"/>
              <w:rPr>
                <w:rFonts w:ascii="Arial" w:hAnsi="Arial" w:cs="Arial"/>
                <w:sz w:val="18"/>
                <w:szCs w:val="18"/>
                <w:lang w:val="en-GB"/>
              </w:rPr>
            </w:pPr>
          </w:p>
        </w:tc>
      </w:tr>
    </w:tbl>
    <w:p w14:paraId="606843C0" w14:textId="77777777" w:rsidR="00E30B6F" w:rsidRPr="003818C4" w:rsidRDefault="00E30B6F" w:rsidP="001164F1">
      <w:pPr>
        <w:pStyle w:val="Body"/>
        <w:spacing w:before="120" w:after="120" w:line="240" w:lineRule="auto"/>
        <w:rPr>
          <w:rFonts w:ascii="Arial" w:hAnsi="Arial" w:cs="Arial"/>
          <w:sz w:val="18"/>
          <w:szCs w:val="18"/>
          <w:lang w:val="en-GB"/>
        </w:rPr>
      </w:pPr>
      <w:r w:rsidRPr="003818C4">
        <w:rPr>
          <w:rFonts w:ascii="Arial" w:hAnsi="Arial" w:cs="Arial"/>
          <w:sz w:val="18"/>
          <w:szCs w:val="18"/>
          <w:lang w:val="en-GB"/>
        </w:rPr>
        <w:t xml:space="preserve">Thus, the total rate of </w:t>
      </w:r>
      <w:r w:rsidR="003347CA" w:rsidRPr="003818C4">
        <w:rPr>
          <w:rFonts w:ascii="Arial" w:hAnsi="Arial" w:cs="Arial"/>
          <w:sz w:val="18"/>
          <w:szCs w:val="18"/>
          <w:lang w:val="en-GB"/>
        </w:rPr>
        <w:t>implementation</w:t>
      </w:r>
      <w:r w:rsidRPr="003818C4">
        <w:rPr>
          <w:rFonts w:ascii="Arial" w:hAnsi="Arial" w:cs="Arial"/>
          <w:sz w:val="18"/>
          <w:szCs w:val="18"/>
          <w:lang w:val="en-GB"/>
        </w:rPr>
        <w:t xml:space="preserve"> of the measures </w:t>
      </w:r>
      <w:r w:rsidR="003347CA" w:rsidRPr="003818C4">
        <w:rPr>
          <w:rFonts w:ascii="Arial" w:hAnsi="Arial" w:cs="Arial"/>
          <w:sz w:val="18"/>
          <w:szCs w:val="18"/>
          <w:lang w:val="en-GB"/>
        </w:rPr>
        <w:t>mentioned</w:t>
      </w:r>
      <w:r w:rsidRPr="003818C4">
        <w:rPr>
          <w:rFonts w:ascii="Arial" w:hAnsi="Arial" w:cs="Arial"/>
          <w:sz w:val="18"/>
          <w:szCs w:val="18"/>
          <w:lang w:val="en-GB"/>
        </w:rPr>
        <w:t xml:space="preserve"> in Title IV of the NAPIAA is </w:t>
      </w:r>
      <w:r w:rsidRPr="003818C4">
        <w:rPr>
          <w:rStyle w:val="NoneA"/>
          <w:rFonts w:ascii="Arial" w:hAnsi="Arial" w:cs="Arial"/>
          <w:b/>
          <w:bCs/>
          <w:sz w:val="18"/>
          <w:szCs w:val="18"/>
          <w:lang w:val="en-GB"/>
        </w:rPr>
        <w:t>60.8%</w:t>
      </w:r>
      <w:r w:rsidRPr="003818C4">
        <w:rPr>
          <w:rFonts w:ascii="Arial" w:hAnsi="Arial" w:cs="Arial"/>
          <w:sz w:val="18"/>
          <w:szCs w:val="18"/>
          <w:lang w:val="en-GB"/>
        </w:rPr>
        <w:t xml:space="preserve">, 26.9% of the measures were partly </w:t>
      </w:r>
      <w:r w:rsidR="003347CA" w:rsidRPr="003818C4">
        <w:rPr>
          <w:rFonts w:ascii="Arial" w:hAnsi="Arial" w:cs="Arial"/>
          <w:sz w:val="18"/>
          <w:szCs w:val="18"/>
          <w:lang w:val="en-GB"/>
        </w:rPr>
        <w:t>implemented</w:t>
      </w:r>
      <w:r w:rsidRPr="003818C4">
        <w:rPr>
          <w:rFonts w:ascii="Arial" w:hAnsi="Arial" w:cs="Arial"/>
          <w:sz w:val="18"/>
          <w:szCs w:val="18"/>
          <w:lang w:val="en-GB"/>
        </w:rPr>
        <w:t xml:space="preserve"> and </w:t>
      </w:r>
      <w:r w:rsidRPr="003818C4">
        <w:rPr>
          <w:rFonts w:ascii="Arial" w:hAnsi="Arial" w:cs="Arial"/>
          <w:b/>
          <w:sz w:val="18"/>
          <w:szCs w:val="18"/>
          <w:lang w:val="en-GB"/>
        </w:rPr>
        <w:t xml:space="preserve">12.3% </w:t>
      </w:r>
      <w:r w:rsidRPr="003818C4">
        <w:rPr>
          <w:rFonts w:ascii="Arial" w:hAnsi="Arial" w:cs="Arial"/>
          <w:sz w:val="18"/>
          <w:szCs w:val="18"/>
          <w:lang w:val="en-GB"/>
        </w:rPr>
        <w:t>of</w:t>
      </w:r>
      <w:r w:rsidRPr="003818C4">
        <w:rPr>
          <w:rFonts w:ascii="Arial" w:hAnsi="Arial" w:cs="Arial"/>
          <w:b/>
          <w:sz w:val="18"/>
          <w:szCs w:val="18"/>
          <w:lang w:val="en-GB"/>
        </w:rPr>
        <w:t xml:space="preserve"> </w:t>
      </w:r>
      <w:r w:rsidRPr="003818C4">
        <w:rPr>
          <w:rFonts w:ascii="Arial" w:hAnsi="Arial" w:cs="Arial"/>
          <w:sz w:val="18"/>
          <w:szCs w:val="18"/>
          <w:lang w:val="en-GB"/>
        </w:rPr>
        <w:t xml:space="preserve">the measures were not </w:t>
      </w:r>
      <w:r w:rsidR="003347CA" w:rsidRPr="003818C4">
        <w:rPr>
          <w:rFonts w:ascii="Arial" w:hAnsi="Arial" w:cs="Arial"/>
          <w:sz w:val="18"/>
          <w:szCs w:val="18"/>
          <w:lang w:val="en-GB"/>
        </w:rPr>
        <w:t>implemented</w:t>
      </w:r>
      <w:r w:rsidRPr="003818C4">
        <w:rPr>
          <w:rFonts w:ascii="Arial" w:hAnsi="Arial" w:cs="Arial"/>
          <w:sz w:val="18"/>
          <w:szCs w:val="18"/>
          <w:lang w:val="en-GB"/>
        </w:rPr>
        <w:t>.</w:t>
      </w:r>
    </w:p>
    <w:p w14:paraId="1AFC16E3" w14:textId="77777777" w:rsidR="00E30B6F" w:rsidRPr="003818C4" w:rsidRDefault="00E30B6F" w:rsidP="001164F1">
      <w:pPr>
        <w:pStyle w:val="Heading3"/>
        <w:spacing w:before="120" w:after="120" w:line="240" w:lineRule="auto"/>
        <w:rPr>
          <w:rFonts w:ascii="Arial" w:hAnsi="Arial" w:cs="Arial"/>
          <w:color w:val="0B5294" w:themeColor="accent1" w:themeShade="BF"/>
          <w:sz w:val="18"/>
          <w:szCs w:val="18"/>
          <w:lang w:val="en-GB"/>
        </w:rPr>
      </w:pPr>
      <w:bookmarkStart w:id="28" w:name="_Toc477762701"/>
    </w:p>
    <w:p w14:paraId="5406B8C9" w14:textId="77777777" w:rsidR="00E30B6F" w:rsidRPr="003818C4" w:rsidRDefault="00E30B6F" w:rsidP="001164F1">
      <w:pPr>
        <w:pStyle w:val="Heading3"/>
        <w:spacing w:before="120" w:after="120" w:line="240" w:lineRule="auto"/>
        <w:rPr>
          <w:rFonts w:ascii="Arial" w:hAnsi="Arial" w:cs="Arial"/>
          <w:b/>
          <w:color w:val="0B5294" w:themeColor="accent1" w:themeShade="BF"/>
          <w:sz w:val="18"/>
          <w:szCs w:val="18"/>
          <w:lang w:val="en-GB"/>
        </w:rPr>
      </w:pPr>
      <w:bookmarkStart w:id="29" w:name="_Toc478028667"/>
      <w:r w:rsidRPr="003818C4">
        <w:rPr>
          <w:rFonts w:ascii="Arial" w:hAnsi="Arial" w:cs="Arial"/>
          <w:b/>
          <w:color w:val="0B5294" w:themeColor="accent1" w:themeShade="BF"/>
          <w:sz w:val="18"/>
          <w:szCs w:val="18"/>
          <w:lang w:val="en-GB"/>
        </w:rPr>
        <w:t>Conclusions (Title IV)</w:t>
      </w:r>
      <w:bookmarkEnd w:id="29"/>
    </w:p>
    <w:p w14:paraId="20EBEB4F" w14:textId="77777777" w:rsidR="00E30B6F" w:rsidRPr="003818C4" w:rsidRDefault="00E30B6F" w:rsidP="00890C8B">
      <w:pPr>
        <w:pStyle w:val="Body"/>
        <w:numPr>
          <w:ilvl w:val="0"/>
          <w:numId w:val="46"/>
        </w:numPr>
        <w:spacing w:before="120" w:after="120" w:line="240" w:lineRule="auto"/>
        <w:ind w:left="284" w:hanging="284"/>
        <w:rPr>
          <w:rStyle w:val="NoneA"/>
          <w:rFonts w:ascii="Arial" w:hAnsi="Arial" w:cs="Arial"/>
          <w:bCs/>
          <w:sz w:val="18"/>
          <w:szCs w:val="18"/>
          <w:lang w:val="en-GB"/>
        </w:rPr>
      </w:pPr>
      <w:r w:rsidRPr="003818C4">
        <w:rPr>
          <w:rFonts w:ascii="Arial" w:hAnsi="Arial" w:cs="Arial"/>
          <w:sz w:val="18"/>
          <w:szCs w:val="18"/>
          <w:lang w:val="en-GB"/>
        </w:rPr>
        <w:t xml:space="preserve">A Public Administration Reform Strategy 2016-2020 and its implementation </w:t>
      </w:r>
      <w:r w:rsidR="003347CA" w:rsidRPr="003818C4">
        <w:rPr>
          <w:rFonts w:ascii="Arial" w:hAnsi="Arial" w:cs="Arial"/>
          <w:sz w:val="18"/>
          <w:szCs w:val="18"/>
          <w:lang w:val="en-GB"/>
        </w:rPr>
        <w:t>Action Plan</w:t>
      </w:r>
      <w:r w:rsidRPr="003818C4">
        <w:rPr>
          <w:rFonts w:ascii="Arial" w:hAnsi="Arial" w:cs="Arial"/>
          <w:sz w:val="18"/>
          <w:szCs w:val="18"/>
          <w:lang w:val="en-GB"/>
        </w:rPr>
        <w:t xml:space="preserve"> were adopted </w:t>
      </w:r>
      <w:r w:rsidRPr="003818C4">
        <w:rPr>
          <w:rStyle w:val="NoneA"/>
          <w:rFonts w:ascii="Arial" w:hAnsi="Arial" w:cs="Arial"/>
          <w:bCs/>
          <w:sz w:val="18"/>
          <w:szCs w:val="18"/>
          <w:lang w:val="en-GB"/>
        </w:rPr>
        <w:t>during 2016. The strategy aims at optimising and making the central public authorities more efficient, improving the delivery</w:t>
      </w:r>
      <w:r w:rsidR="003347CA" w:rsidRPr="003818C4">
        <w:rPr>
          <w:rStyle w:val="NoneA"/>
          <w:rFonts w:ascii="Arial" w:hAnsi="Arial" w:cs="Arial"/>
          <w:bCs/>
          <w:sz w:val="18"/>
          <w:szCs w:val="18"/>
          <w:lang w:val="en-GB"/>
        </w:rPr>
        <w:t xml:space="preserve"> of public services, decentralis</w:t>
      </w:r>
      <w:r w:rsidRPr="003818C4">
        <w:rPr>
          <w:rStyle w:val="NoneA"/>
          <w:rFonts w:ascii="Arial" w:hAnsi="Arial" w:cs="Arial"/>
          <w:bCs/>
          <w:sz w:val="18"/>
          <w:szCs w:val="18"/>
          <w:lang w:val="en-GB"/>
        </w:rPr>
        <w:t xml:space="preserve">ing the powers to local public administration and implementing the territorial public administration reform. </w:t>
      </w:r>
    </w:p>
    <w:p w14:paraId="15AF0BF2" w14:textId="77777777" w:rsidR="00E30B6F" w:rsidRPr="003818C4" w:rsidRDefault="00E30B6F" w:rsidP="00890C8B">
      <w:pPr>
        <w:pStyle w:val="Body"/>
        <w:numPr>
          <w:ilvl w:val="0"/>
          <w:numId w:val="4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A moderate progress was registered in the area of corporate governance. Certain legislative and normative amendments were undertaken to reform the financial and banking systems. The progress in the investigations of the banking frauds is still awaited. Moldovan authorities </w:t>
      </w:r>
      <w:r w:rsidR="003347CA" w:rsidRPr="003818C4">
        <w:rPr>
          <w:rStyle w:val="NoneA"/>
          <w:rFonts w:ascii="Arial" w:hAnsi="Arial" w:cs="Arial"/>
          <w:bCs/>
          <w:sz w:val="18"/>
          <w:szCs w:val="18"/>
          <w:lang w:val="en-GB"/>
        </w:rPr>
        <w:t>must</w:t>
      </w:r>
      <w:r w:rsidRPr="003818C4">
        <w:rPr>
          <w:rStyle w:val="NoneA"/>
          <w:rFonts w:ascii="Arial" w:hAnsi="Arial" w:cs="Arial"/>
          <w:bCs/>
          <w:sz w:val="18"/>
          <w:szCs w:val="18"/>
          <w:lang w:val="en-GB"/>
        </w:rPr>
        <w:t xml:space="preserve"> continue</w:t>
      </w:r>
      <w:r w:rsidR="003347CA" w:rsidRPr="003818C4">
        <w:rPr>
          <w:rStyle w:val="NoneA"/>
          <w:rFonts w:ascii="Arial" w:hAnsi="Arial" w:cs="Arial"/>
          <w:bCs/>
          <w:sz w:val="18"/>
          <w:szCs w:val="18"/>
          <w:lang w:val="en-GB"/>
        </w:rPr>
        <w:t xml:space="preserve"> taking</w:t>
      </w:r>
      <w:r w:rsidRPr="003818C4">
        <w:rPr>
          <w:rStyle w:val="NoneA"/>
          <w:rFonts w:ascii="Arial" w:hAnsi="Arial" w:cs="Arial"/>
          <w:bCs/>
          <w:sz w:val="18"/>
          <w:szCs w:val="18"/>
          <w:lang w:val="en-GB"/>
        </w:rPr>
        <w:t xml:space="preserve"> efforts in strengthening the independence of key regulatory bodies in the sector and apply </w:t>
      </w:r>
      <w:r w:rsidR="003347CA" w:rsidRPr="003818C4">
        <w:rPr>
          <w:rStyle w:val="NoneA"/>
          <w:rFonts w:ascii="Arial" w:hAnsi="Arial" w:cs="Arial"/>
          <w:bCs/>
          <w:sz w:val="18"/>
          <w:szCs w:val="18"/>
          <w:lang w:val="en-GB"/>
        </w:rPr>
        <w:t>committed</w:t>
      </w:r>
      <w:r w:rsidRPr="003818C4">
        <w:rPr>
          <w:rStyle w:val="NoneA"/>
          <w:rFonts w:ascii="Arial" w:hAnsi="Arial" w:cs="Arial"/>
          <w:bCs/>
          <w:sz w:val="18"/>
          <w:szCs w:val="18"/>
          <w:lang w:val="en-GB"/>
        </w:rPr>
        <w:t xml:space="preserve"> measures to tackle issues in the banking and financial sectors.   </w:t>
      </w:r>
    </w:p>
    <w:p w14:paraId="7769F902" w14:textId="77777777" w:rsidR="00E30B6F" w:rsidRPr="003818C4" w:rsidRDefault="00E30B6F" w:rsidP="00890C8B">
      <w:pPr>
        <w:pStyle w:val="Body"/>
        <w:numPr>
          <w:ilvl w:val="0"/>
          <w:numId w:val="4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The much-awaited laws to transpose the EU 3rd energy package in area of electricity and natural gas in line with Moldova’s commitments in the Energy Community Treaty have been adopted. However, the real effects of the new energy legislation shall be visible only after proper implementation is unfolded. The reform of the National Energy Regulator is still in delay. The new Energy law that shall reinforce its independence and efficiency is pending adoption. </w:t>
      </w:r>
    </w:p>
    <w:p w14:paraId="3782C779" w14:textId="77777777" w:rsidR="00E30B6F" w:rsidRPr="003818C4" w:rsidRDefault="00E30B6F" w:rsidP="00890C8B">
      <w:pPr>
        <w:pStyle w:val="Body"/>
        <w:numPr>
          <w:ilvl w:val="0"/>
          <w:numId w:val="4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In the area of regional development, </w:t>
      </w:r>
      <w:r w:rsidR="003347CA" w:rsidRPr="003818C4">
        <w:rPr>
          <w:rStyle w:val="NoneA"/>
          <w:rFonts w:ascii="Arial" w:hAnsi="Arial" w:cs="Arial"/>
          <w:bCs/>
          <w:sz w:val="18"/>
          <w:szCs w:val="18"/>
          <w:lang w:val="en-GB"/>
        </w:rPr>
        <w:t xml:space="preserve">it </w:t>
      </w:r>
      <w:r w:rsidRPr="003818C4">
        <w:rPr>
          <w:rStyle w:val="NoneA"/>
          <w:rFonts w:ascii="Arial" w:hAnsi="Arial" w:cs="Arial"/>
          <w:bCs/>
          <w:sz w:val="18"/>
          <w:szCs w:val="18"/>
          <w:lang w:val="en-GB"/>
        </w:rPr>
        <w:t>remains essential to adopt the necessary legal framework to clarify and strengthen the institutional setting where the key regional infrastructure planning is done. The ongoing public administration reform shall take into account the regional development priorities outlined in the National Strategy for Regional development 2016-2020.</w:t>
      </w:r>
    </w:p>
    <w:p w14:paraId="2F2B4FA4" w14:textId="77777777" w:rsidR="00E30B6F" w:rsidRPr="003818C4" w:rsidRDefault="00E30B6F" w:rsidP="00890C8B">
      <w:pPr>
        <w:pStyle w:val="Body"/>
        <w:numPr>
          <w:ilvl w:val="0"/>
          <w:numId w:val="4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The role</w:t>
      </w:r>
      <w:r w:rsidR="003347CA" w:rsidRPr="003818C4">
        <w:rPr>
          <w:rStyle w:val="NoneA"/>
          <w:rFonts w:ascii="Arial" w:hAnsi="Arial" w:cs="Arial"/>
          <w:bCs/>
          <w:sz w:val="18"/>
          <w:szCs w:val="18"/>
          <w:lang w:val="en-GB"/>
        </w:rPr>
        <w:t xml:space="preserve"> of civil society is crucial to strengthen the rule of law and make</w:t>
      </w:r>
      <w:r w:rsidRPr="003818C4">
        <w:rPr>
          <w:rStyle w:val="NoneA"/>
          <w:rFonts w:ascii="Arial" w:hAnsi="Arial" w:cs="Arial"/>
          <w:bCs/>
          <w:sz w:val="18"/>
          <w:szCs w:val="18"/>
          <w:lang w:val="en-GB"/>
        </w:rPr>
        <w:t xml:space="preserve"> Moldovan public institutions transparent and accountable. </w:t>
      </w:r>
      <w:r w:rsidR="003347CA" w:rsidRPr="003818C4">
        <w:rPr>
          <w:rStyle w:val="NoneA"/>
          <w:rFonts w:ascii="Arial" w:hAnsi="Arial" w:cs="Arial"/>
          <w:bCs/>
          <w:sz w:val="18"/>
          <w:szCs w:val="18"/>
          <w:lang w:val="en-GB"/>
        </w:rPr>
        <w:t>C</w:t>
      </w:r>
      <w:r w:rsidRPr="003818C4">
        <w:rPr>
          <w:rStyle w:val="NoneA"/>
          <w:rFonts w:ascii="Arial" w:hAnsi="Arial" w:cs="Arial"/>
          <w:bCs/>
          <w:sz w:val="18"/>
          <w:szCs w:val="18"/>
          <w:lang w:val="en-GB"/>
        </w:rPr>
        <w:t>ertain progress has been achieved in the area of cooperation with civil society by</w:t>
      </w:r>
      <w:r w:rsidR="003347CA" w:rsidRPr="003818C4">
        <w:rPr>
          <w:rStyle w:val="NoneA"/>
          <w:rFonts w:ascii="Arial" w:hAnsi="Arial" w:cs="Arial"/>
          <w:bCs/>
          <w:sz w:val="18"/>
          <w:szCs w:val="18"/>
          <w:lang w:val="en-GB"/>
        </w:rPr>
        <w:t xml:space="preserve"> the</w:t>
      </w:r>
      <w:r w:rsidRPr="003818C4">
        <w:rPr>
          <w:rStyle w:val="NoneA"/>
          <w:rFonts w:ascii="Arial" w:hAnsi="Arial" w:cs="Arial"/>
          <w:bCs/>
          <w:sz w:val="18"/>
          <w:szCs w:val="18"/>
          <w:lang w:val="en-GB"/>
        </w:rPr>
        <w:t xml:space="preserve"> adoption of the law allowing natural persons to donate 2% of their income taxes to</w:t>
      </w:r>
      <w:r w:rsidR="003347CA" w:rsidRPr="003818C4">
        <w:rPr>
          <w:rStyle w:val="NoneA"/>
          <w:rFonts w:ascii="Arial" w:hAnsi="Arial" w:cs="Arial"/>
          <w:bCs/>
          <w:sz w:val="18"/>
          <w:szCs w:val="18"/>
          <w:lang w:val="en-GB"/>
        </w:rPr>
        <w:t xml:space="preserve"> non-governmental organisations, while deducting it when calculating the income tax, </w:t>
      </w:r>
      <w:r w:rsidRPr="003818C4">
        <w:rPr>
          <w:rStyle w:val="NoneA"/>
          <w:rFonts w:ascii="Arial" w:hAnsi="Arial" w:cs="Arial"/>
          <w:bCs/>
          <w:sz w:val="18"/>
          <w:szCs w:val="18"/>
          <w:lang w:val="en-GB"/>
        </w:rPr>
        <w:t xml:space="preserve">and by passing a new governmental regulation to improve the transparency in decision making process. A </w:t>
      </w:r>
      <w:r w:rsidR="003347CA" w:rsidRPr="003818C4">
        <w:rPr>
          <w:rStyle w:val="NoneA"/>
          <w:rFonts w:ascii="Arial" w:hAnsi="Arial" w:cs="Arial"/>
          <w:bCs/>
          <w:sz w:val="18"/>
          <w:szCs w:val="18"/>
          <w:lang w:val="en-GB"/>
        </w:rPr>
        <w:t>EU-Moldova Civil Society Associ</w:t>
      </w:r>
      <w:r w:rsidRPr="003818C4">
        <w:rPr>
          <w:rStyle w:val="NoneA"/>
          <w:rFonts w:ascii="Arial" w:hAnsi="Arial" w:cs="Arial"/>
          <w:bCs/>
          <w:sz w:val="18"/>
          <w:szCs w:val="18"/>
          <w:lang w:val="en-GB"/>
        </w:rPr>
        <w:t xml:space="preserve">ation Platform was created in 2016 pursuant to the article 442 of the Association Agreement. However, the National Participation Council was not active since 2015. </w:t>
      </w:r>
      <w:r w:rsidR="003347CA" w:rsidRPr="003818C4">
        <w:rPr>
          <w:rStyle w:val="NoneA"/>
          <w:rFonts w:ascii="Arial" w:hAnsi="Arial" w:cs="Arial"/>
          <w:bCs/>
          <w:sz w:val="18"/>
          <w:szCs w:val="18"/>
          <w:lang w:val="en-GB"/>
        </w:rPr>
        <w:t>S</w:t>
      </w:r>
      <w:r w:rsidRPr="003818C4">
        <w:rPr>
          <w:rStyle w:val="NoneA"/>
          <w:rFonts w:ascii="Arial" w:hAnsi="Arial" w:cs="Arial"/>
          <w:bCs/>
          <w:sz w:val="18"/>
          <w:szCs w:val="18"/>
          <w:lang w:val="en-GB"/>
        </w:rPr>
        <w:t>till</w:t>
      </w:r>
      <w:r w:rsidR="003347CA" w:rsidRPr="003818C4">
        <w:rPr>
          <w:rStyle w:val="NoneA"/>
          <w:rFonts w:ascii="Arial" w:hAnsi="Arial" w:cs="Arial"/>
          <w:bCs/>
          <w:sz w:val="18"/>
          <w:szCs w:val="18"/>
          <w:lang w:val="en-GB"/>
        </w:rPr>
        <w:t>,</w:t>
      </w:r>
      <w:r w:rsidRPr="003818C4">
        <w:rPr>
          <w:rStyle w:val="NoneA"/>
          <w:rFonts w:ascii="Arial" w:hAnsi="Arial" w:cs="Arial"/>
          <w:bCs/>
          <w:sz w:val="18"/>
          <w:szCs w:val="18"/>
          <w:lang w:val="en-GB"/>
        </w:rPr>
        <w:t xml:space="preserve"> many civil society organisations from </w:t>
      </w:r>
      <w:r w:rsidR="003347CA" w:rsidRPr="003818C4">
        <w:rPr>
          <w:rStyle w:val="NoneA"/>
          <w:rFonts w:ascii="Arial" w:hAnsi="Arial" w:cs="Arial"/>
          <w:bCs/>
          <w:sz w:val="18"/>
          <w:szCs w:val="18"/>
          <w:lang w:val="en-GB"/>
        </w:rPr>
        <w:t>Moldova underlined at</w:t>
      </w:r>
      <w:r w:rsidRPr="003818C4">
        <w:rPr>
          <w:rStyle w:val="NoneA"/>
          <w:rFonts w:ascii="Arial" w:hAnsi="Arial" w:cs="Arial"/>
          <w:bCs/>
          <w:sz w:val="18"/>
          <w:szCs w:val="18"/>
          <w:lang w:val="en-GB"/>
        </w:rPr>
        <w:t xml:space="preserve"> the beginning of 2017 certain worrisome tendencies</w:t>
      </w:r>
      <w:r w:rsidR="003347CA" w:rsidRPr="003818C4">
        <w:rPr>
          <w:rStyle w:val="NoneA"/>
          <w:rFonts w:ascii="Arial" w:hAnsi="Arial" w:cs="Arial"/>
          <w:bCs/>
          <w:sz w:val="18"/>
          <w:szCs w:val="18"/>
          <w:lang w:val="en-GB"/>
        </w:rPr>
        <w:t xml:space="preserve"> from</w:t>
      </w:r>
      <w:r w:rsidRPr="003818C4">
        <w:rPr>
          <w:rStyle w:val="NoneA"/>
          <w:rFonts w:ascii="Arial" w:hAnsi="Arial" w:cs="Arial"/>
          <w:bCs/>
          <w:sz w:val="18"/>
          <w:szCs w:val="18"/>
          <w:lang w:val="en-GB"/>
        </w:rPr>
        <w:t xml:space="preserve"> public authorities w</w:t>
      </w:r>
      <w:r w:rsidR="003347CA" w:rsidRPr="003818C4">
        <w:rPr>
          <w:rStyle w:val="NoneA"/>
          <w:rFonts w:ascii="Arial" w:hAnsi="Arial" w:cs="Arial"/>
          <w:bCs/>
          <w:sz w:val="18"/>
          <w:szCs w:val="18"/>
          <w:lang w:val="en-GB"/>
        </w:rPr>
        <w:t>ith the civil society that should</w:t>
      </w:r>
      <w:r w:rsidRPr="003818C4">
        <w:rPr>
          <w:rStyle w:val="NoneA"/>
          <w:rFonts w:ascii="Arial" w:hAnsi="Arial" w:cs="Arial"/>
          <w:bCs/>
          <w:sz w:val="18"/>
          <w:szCs w:val="18"/>
          <w:lang w:val="en-GB"/>
        </w:rPr>
        <w:t xml:space="preserve"> be urgently addressed.</w:t>
      </w:r>
      <w:r w:rsidR="003347CA" w:rsidRPr="003818C4">
        <w:rPr>
          <w:rStyle w:val="NoneA"/>
          <w:rFonts w:ascii="Arial" w:hAnsi="Arial" w:cs="Arial"/>
          <w:bCs/>
          <w:sz w:val="18"/>
          <w:szCs w:val="18"/>
          <w:lang w:val="en-GB"/>
        </w:rPr>
        <w:t xml:space="preserve"> In 2017 the</w:t>
      </w:r>
      <w:r w:rsidRPr="003818C4">
        <w:rPr>
          <w:rStyle w:val="NoneA"/>
          <w:rFonts w:ascii="Arial" w:hAnsi="Arial" w:cs="Arial"/>
          <w:bCs/>
          <w:sz w:val="18"/>
          <w:szCs w:val="18"/>
          <w:lang w:val="en-GB"/>
        </w:rPr>
        <w:t xml:space="preserve"> European Union is planning to unfold a comprehensive support package to support the development of the civil society in Moldova in particular on the local level.  </w:t>
      </w:r>
    </w:p>
    <w:p w14:paraId="2B9B0286" w14:textId="77777777" w:rsidR="00E30B6F" w:rsidRPr="003818C4" w:rsidRDefault="00E30B6F" w:rsidP="00890C8B">
      <w:pPr>
        <w:pStyle w:val="Body"/>
        <w:numPr>
          <w:ilvl w:val="0"/>
          <w:numId w:val="4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Mass media and audio</w:t>
      </w:r>
      <w:r w:rsidR="003347CA" w:rsidRPr="003818C4">
        <w:rPr>
          <w:rStyle w:val="NoneA"/>
          <w:rFonts w:ascii="Arial" w:hAnsi="Arial" w:cs="Arial"/>
          <w:bCs/>
          <w:sz w:val="18"/>
          <w:szCs w:val="18"/>
          <w:lang w:val="en-GB"/>
        </w:rPr>
        <w:t>-</w:t>
      </w:r>
      <w:r w:rsidRPr="003818C4">
        <w:rPr>
          <w:rStyle w:val="NoneA"/>
          <w:rFonts w:ascii="Arial" w:hAnsi="Arial" w:cs="Arial"/>
          <w:bCs/>
          <w:sz w:val="18"/>
          <w:szCs w:val="18"/>
          <w:lang w:val="en-GB"/>
        </w:rPr>
        <w:t xml:space="preserve">visual sector in </w:t>
      </w:r>
      <w:r w:rsidR="003347CA" w:rsidRPr="003818C4">
        <w:rPr>
          <w:rStyle w:val="NoneA"/>
          <w:rFonts w:ascii="Arial" w:hAnsi="Arial" w:cs="Arial"/>
          <w:bCs/>
          <w:sz w:val="18"/>
          <w:szCs w:val="18"/>
          <w:lang w:val="en-GB"/>
        </w:rPr>
        <w:t>Moldova continues to be polaris</w:t>
      </w:r>
      <w:r w:rsidRPr="003818C4">
        <w:rPr>
          <w:rStyle w:val="NoneA"/>
          <w:rFonts w:ascii="Arial" w:hAnsi="Arial" w:cs="Arial"/>
          <w:bCs/>
          <w:sz w:val="18"/>
          <w:szCs w:val="18"/>
          <w:lang w:val="en-GB"/>
        </w:rPr>
        <w:t>ed and heavily affected by political affiliation. Certain legisl</w:t>
      </w:r>
      <w:r w:rsidR="003347CA" w:rsidRPr="003818C4">
        <w:rPr>
          <w:rStyle w:val="NoneA"/>
          <w:rFonts w:ascii="Arial" w:hAnsi="Arial" w:cs="Arial"/>
          <w:bCs/>
          <w:sz w:val="18"/>
          <w:szCs w:val="18"/>
          <w:lang w:val="en-GB"/>
        </w:rPr>
        <w:t>ative measures to ensure greater ownership transpare</w:t>
      </w:r>
      <w:r w:rsidRPr="003818C4">
        <w:rPr>
          <w:rStyle w:val="NoneA"/>
          <w:rFonts w:ascii="Arial" w:hAnsi="Arial" w:cs="Arial"/>
          <w:bCs/>
          <w:sz w:val="18"/>
          <w:szCs w:val="18"/>
          <w:lang w:val="en-GB"/>
        </w:rPr>
        <w:t>ncy</w:t>
      </w:r>
      <w:r w:rsidR="003347CA" w:rsidRPr="003818C4">
        <w:rPr>
          <w:rStyle w:val="NoneA"/>
          <w:rFonts w:ascii="Arial" w:hAnsi="Arial" w:cs="Arial"/>
          <w:bCs/>
          <w:sz w:val="18"/>
          <w:szCs w:val="18"/>
          <w:lang w:val="en-GB"/>
        </w:rPr>
        <w:t>,</w:t>
      </w:r>
      <w:r w:rsidRPr="003818C4">
        <w:rPr>
          <w:rStyle w:val="NoneA"/>
          <w:rFonts w:ascii="Arial" w:hAnsi="Arial" w:cs="Arial"/>
          <w:bCs/>
          <w:sz w:val="18"/>
          <w:szCs w:val="18"/>
          <w:lang w:val="en-GB"/>
        </w:rPr>
        <w:t xml:space="preserve"> and limitation of concentrati</w:t>
      </w:r>
      <w:r w:rsidR="003347CA" w:rsidRPr="003818C4">
        <w:rPr>
          <w:rStyle w:val="NoneA"/>
          <w:rFonts w:ascii="Arial" w:hAnsi="Arial" w:cs="Arial"/>
          <w:bCs/>
          <w:sz w:val="18"/>
          <w:szCs w:val="18"/>
          <w:lang w:val="en-GB"/>
        </w:rPr>
        <w:t>on of mass-media were undertaken</w:t>
      </w:r>
      <w:r w:rsidRPr="003818C4">
        <w:rPr>
          <w:rStyle w:val="NoneA"/>
          <w:rFonts w:ascii="Arial" w:hAnsi="Arial" w:cs="Arial"/>
          <w:bCs/>
          <w:sz w:val="18"/>
          <w:szCs w:val="18"/>
          <w:lang w:val="en-GB"/>
        </w:rPr>
        <w:t xml:space="preserve"> by the Moldovan authorities. However, the effort to ensure </w:t>
      </w:r>
      <w:r w:rsidR="003347CA" w:rsidRPr="003818C4">
        <w:rPr>
          <w:rStyle w:val="NoneA"/>
          <w:rFonts w:ascii="Arial" w:hAnsi="Arial" w:cs="Arial"/>
          <w:bCs/>
          <w:sz w:val="18"/>
          <w:szCs w:val="18"/>
          <w:lang w:val="en-GB"/>
        </w:rPr>
        <w:lastRenderedPageBreak/>
        <w:t>a proper envi</w:t>
      </w:r>
      <w:r w:rsidRPr="003818C4">
        <w:rPr>
          <w:rStyle w:val="NoneA"/>
          <w:rFonts w:ascii="Arial" w:hAnsi="Arial" w:cs="Arial"/>
          <w:bCs/>
          <w:sz w:val="18"/>
          <w:szCs w:val="18"/>
          <w:lang w:val="en-GB"/>
        </w:rPr>
        <w:t>r</w:t>
      </w:r>
      <w:r w:rsidR="003347CA" w:rsidRPr="003818C4">
        <w:rPr>
          <w:rStyle w:val="NoneA"/>
          <w:rFonts w:ascii="Arial" w:hAnsi="Arial" w:cs="Arial"/>
          <w:bCs/>
          <w:sz w:val="18"/>
          <w:szCs w:val="18"/>
          <w:lang w:val="en-GB"/>
        </w:rPr>
        <w:t>o</w:t>
      </w:r>
      <w:r w:rsidRPr="003818C4">
        <w:rPr>
          <w:rStyle w:val="NoneA"/>
          <w:rFonts w:ascii="Arial" w:hAnsi="Arial" w:cs="Arial"/>
          <w:bCs/>
          <w:sz w:val="18"/>
          <w:szCs w:val="18"/>
          <w:lang w:val="en-GB"/>
        </w:rPr>
        <w:t>n</w:t>
      </w:r>
      <w:r w:rsidR="003347CA" w:rsidRPr="003818C4">
        <w:rPr>
          <w:rStyle w:val="NoneA"/>
          <w:rFonts w:ascii="Arial" w:hAnsi="Arial" w:cs="Arial"/>
          <w:bCs/>
          <w:sz w:val="18"/>
          <w:szCs w:val="18"/>
          <w:lang w:val="en-GB"/>
        </w:rPr>
        <w:t>ment for the operation of</w:t>
      </w:r>
      <w:r w:rsidRPr="003818C4">
        <w:rPr>
          <w:rStyle w:val="NoneA"/>
          <w:rFonts w:ascii="Arial" w:hAnsi="Arial" w:cs="Arial"/>
          <w:bCs/>
          <w:sz w:val="18"/>
          <w:szCs w:val="18"/>
          <w:lang w:val="en-GB"/>
        </w:rPr>
        <w:t xml:space="preserve"> independent mass-media is still needed. Issues with the access to public information by investigative journalist were reported. The adoption of the new Audio-visual Code is till awaited. At the end of 2016 the Mass-Media Forum of Moldova adopted a Road-Map, which called upon the Moldovan authorities to develop and start impl</w:t>
      </w:r>
      <w:r w:rsidR="003347CA" w:rsidRPr="003818C4">
        <w:rPr>
          <w:rStyle w:val="NoneA"/>
          <w:rFonts w:ascii="Arial" w:hAnsi="Arial" w:cs="Arial"/>
          <w:bCs/>
          <w:sz w:val="18"/>
          <w:szCs w:val="18"/>
          <w:lang w:val="en-GB"/>
        </w:rPr>
        <w:t>ementation of</w:t>
      </w:r>
      <w:r w:rsidRPr="003818C4">
        <w:rPr>
          <w:rStyle w:val="NoneA"/>
          <w:rFonts w:ascii="Arial" w:hAnsi="Arial" w:cs="Arial"/>
          <w:bCs/>
          <w:sz w:val="18"/>
          <w:szCs w:val="18"/>
          <w:lang w:val="en-GB"/>
        </w:rPr>
        <w:t xml:space="preserve"> a National </w:t>
      </w:r>
      <w:r w:rsidR="003347CA" w:rsidRPr="003818C4">
        <w:rPr>
          <w:rStyle w:val="NoneA"/>
          <w:rFonts w:ascii="Arial" w:hAnsi="Arial" w:cs="Arial"/>
          <w:bCs/>
          <w:sz w:val="18"/>
          <w:szCs w:val="18"/>
          <w:lang w:val="en-GB"/>
        </w:rPr>
        <w:t xml:space="preserve">Mass-Media </w:t>
      </w:r>
      <w:r w:rsidRPr="003818C4">
        <w:rPr>
          <w:rStyle w:val="NoneA"/>
          <w:rFonts w:ascii="Arial" w:hAnsi="Arial" w:cs="Arial"/>
          <w:bCs/>
          <w:sz w:val="18"/>
          <w:szCs w:val="18"/>
          <w:lang w:val="en-GB"/>
        </w:rPr>
        <w:t xml:space="preserve">Strategy in 2017. </w:t>
      </w:r>
    </w:p>
    <w:p w14:paraId="74BC8E24" w14:textId="77777777" w:rsidR="00E30B6F" w:rsidRPr="003818C4" w:rsidRDefault="003347CA" w:rsidP="00890C8B">
      <w:pPr>
        <w:pStyle w:val="Body"/>
        <w:numPr>
          <w:ilvl w:val="0"/>
          <w:numId w:val="4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Until present, </w:t>
      </w:r>
      <w:r w:rsidR="00E30B6F" w:rsidRPr="003818C4">
        <w:rPr>
          <w:rStyle w:val="NoneA"/>
          <w:rFonts w:ascii="Arial" w:hAnsi="Arial" w:cs="Arial"/>
          <w:bCs/>
          <w:sz w:val="18"/>
          <w:szCs w:val="18"/>
          <w:lang w:val="en-GB"/>
        </w:rPr>
        <w:t>Moldova participates actively in 5 EU programmes i.e. EU Health and Growth, COSME, Creative Europe and Horizon – 2020, Erasmu</w:t>
      </w:r>
      <w:r w:rsidRPr="003818C4">
        <w:rPr>
          <w:rStyle w:val="NoneA"/>
          <w:rFonts w:ascii="Arial" w:hAnsi="Arial" w:cs="Arial"/>
          <w:bCs/>
          <w:sz w:val="18"/>
          <w:szCs w:val="18"/>
          <w:lang w:val="en-GB"/>
        </w:rPr>
        <w:t>s +, which offers a potential to benefit</w:t>
      </w:r>
      <w:r w:rsidR="00E30B6F" w:rsidRPr="003818C4">
        <w:rPr>
          <w:rStyle w:val="NoneA"/>
          <w:rFonts w:ascii="Arial" w:hAnsi="Arial" w:cs="Arial"/>
          <w:bCs/>
          <w:sz w:val="18"/>
          <w:szCs w:val="18"/>
          <w:lang w:val="en-GB"/>
        </w:rPr>
        <w:t xml:space="preserve"> from additional financing sourc</w:t>
      </w:r>
      <w:r w:rsidRPr="003818C4">
        <w:rPr>
          <w:rStyle w:val="NoneA"/>
          <w:rFonts w:ascii="Arial" w:hAnsi="Arial" w:cs="Arial"/>
          <w:bCs/>
          <w:sz w:val="18"/>
          <w:szCs w:val="18"/>
          <w:lang w:val="en-GB"/>
        </w:rPr>
        <w:t>es in the concerned areas and to better connect</w:t>
      </w:r>
      <w:r w:rsidR="00E30B6F" w:rsidRPr="003818C4">
        <w:rPr>
          <w:rStyle w:val="NoneA"/>
          <w:rFonts w:ascii="Arial" w:hAnsi="Arial" w:cs="Arial"/>
          <w:bCs/>
          <w:sz w:val="18"/>
          <w:szCs w:val="18"/>
          <w:lang w:val="en-GB"/>
        </w:rPr>
        <w:t xml:space="preserve"> Moldovan research, business, culture, youth communities. However, an assessment of the participation in the EU Prog</w:t>
      </w:r>
      <w:r w:rsidRPr="003818C4">
        <w:rPr>
          <w:rStyle w:val="NoneA"/>
          <w:rFonts w:ascii="Arial" w:hAnsi="Arial" w:cs="Arial"/>
          <w:bCs/>
          <w:sz w:val="18"/>
          <w:szCs w:val="18"/>
          <w:lang w:val="en-GB"/>
        </w:rPr>
        <w:t xml:space="preserve">rams would be required </w:t>
      </w:r>
      <w:r w:rsidR="00E30B6F" w:rsidRPr="003818C4">
        <w:rPr>
          <w:rStyle w:val="NoneA"/>
          <w:rFonts w:ascii="Arial" w:hAnsi="Arial" w:cs="Arial"/>
          <w:bCs/>
          <w:sz w:val="18"/>
          <w:szCs w:val="18"/>
          <w:lang w:val="en-GB"/>
        </w:rPr>
        <w:t xml:space="preserve">to explore ways </w:t>
      </w:r>
      <w:r w:rsidRPr="003818C4">
        <w:rPr>
          <w:rStyle w:val="NoneA"/>
          <w:rFonts w:ascii="Arial" w:hAnsi="Arial" w:cs="Arial"/>
          <w:bCs/>
          <w:sz w:val="18"/>
          <w:szCs w:val="18"/>
          <w:lang w:val="en-GB"/>
        </w:rPr>
        <w:t>to increase</w:t>
      </w:r>
      <w:r w:rsidR="00E30B6F" w:rsidRPr="003818C4">
        <w:rPr>
          <w:rStyle w:val="NoneA"/>
          <w:rFonts w:ascii="Arial" w:hAnsi="Arial" w:cs="Arial"/>
          <w:bCs/>
          <w:sz w:val="18"/>
          <w:szCs w:val="18"/>
          <w:lang w:val="en-GB"/>
        </w:rPr>
        <w:t xml:space="preserve"> their benefits for Moldova.  </w:t>
      </w:r>
    </w:p>
    <w:p w14:paraId="00A5F584" w14:textId="77777777" w:rsidR="00E30B6F" w:rsidRPr="003818C4" w:rsidRDefault="00E30B6F" w:rsidP="001164F1">
      <w:pPr>
        <w:pStyle w:val="Heading3"/>
        <w:spacing w:before="120" w:after="120" w:line="240" w:lineRule="auto"/>
        <w:rPr>
          <w:rFonts w:ascii="Arial" w:hAnsi="Arial" w:cs="Arial"/>
          <w:b/>
          <w:color w:val="0B5294" w:themeColor="accent1" w:themeShade="BF"/>
          <w:sz w:val="18"/>
          <w:szCs w:val="18"/>
          <w:lang w:val="en-GB"/>
        </w:rPr>
      </w:pPr>
      <w:bookmarkStart w:id="30" w:name="_Toc478028668"/>
      <w:r w:rsidRPr="003818C4">
        <w:rPr>
          <w:rFonts w:ascii="Arial" w:hAnsi="Arial" w:cs="Arial"/>
          <w:b/>
          <w:color w:val="0B5294" w:themeColor="accent1" w:themeShade="BF"/>
          <w:sz w:val="18"/>
          <w:szCs w:val="18"/>
          <w:lang w:val="en-GB"/>
        </w:rPr>
        <w:t>Recommendations (Title IV)</w:t>
      </w:r>
      <w:bookmarkEnd w:id="28"/>
      <w:bookmarkEnd w:id="30"/>
    </w:p>
    <w:p w14:paraId="79C874EF" w14:textId="2A99F9D1" w:rsidR="00E30B6F" w:rsidRPr="003818C4" w:rsidRDefault="003347CA"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Continue</w:t>
      </w:r>
      <w:r w:rsidR="00E30B6F" w:rsidRPr="003818C4">
        <w:rPr>
          <w:rStyle w:val="NoneA"/>
          <w:rFonts w:ascii="Arial" w:hAnsi="Arial" w:cs="Arial"/>
          <w:bCs/>
          <w:sz w:val="18"/>
          <w:szCs w:val="18"/>
          <w:lang w:val="en-GB"/>
        </w:rPr>
        <w:t xml:space="preserve"> the central public administration reform, through the revision of the structure and functions of the ministries and other authorities subordinated to the Government.</w:t>
      </w:r>
    </w:p>
    <w:p w14:paraId="1A3AE692" w14:textId="77777777" w:rsidR="00E30B6F" w:rsidRPr="003818C4" w:rsidRDefault="00E30B6F"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An integrated approach</w:t>
      </w:r>
      <w:r w:rsidR="003347CA" w:rsidRPr="003818C4">
        <w:rPr>
          <w:rStyle w:val="NoneA"/>
          <w:rFonts w:ascii="Arial" w:hAnsi="Arial" w:cs="Arial"/>
          <w:bCs/>
          <w:sz w:val="18"/>
          <w:szCs w:val="18"/>
          <w:lang w:val="en-GB"/>
        </w:rPr>
        <w:t xml:space="preserve"> should be taken with respect to</w:t>
      </w:r>
      <w:r w:rsidRPr="003818C4">
        <w:rPr>
          <w:rStyle w:val="NoneA"/>
          <w:rFonts w:ascii="Arial" w:hAnsi="Arial" w:cs="Arial"/>
          <w:bCs/>
          <w:sz w:val="18"/>
          <w:szCs w:val="18"/>
          <w:lang w:val="en-GB"/>
        </w:rPr>
        <w:t xml:space="preserve"> the central public administration reform, local public administration reform and the administrative-territorial reform, since in all three </w:t>
      </w:r>
      <w:r w:rsidR="004F53F2" w:rsidRPr="003818C4">
        <w:rPr>
          <w:rStyle w:val="NoneA"/>
          <w:rFonts w:ascii="Arial" w:hAnsi="Arial" w:cs="Arial"/>
          <w:bCs/>
          <w:sz w:val="18"/>
          <w:szCs w:val="18"/>
          <w:lang w:val="en-GB"/>
        </w:rPr>
        <w:t>have as</w:t>
      </w:r>
      <w:r w:rsidRPr="003818C4">
        <w:rPr>
          <w:rStyle w:val="NoneA"/>
          <w:rFonts w:ascii="Arial" w:hAnsi="Arial" w:cs="Arial"/>
          <w:bCs/>
          <w:sz w:val="18"/>
          <w:szCs w:val="18"/>
          <w:lang w:val="en-GB"/>
        </w:rPr>
        <w:t xml:space="preserve"> focus </w:t>
      </w:r>
      <w:r w:rsidR="004F53F2" w:rsidRPr="003818C4">
        <w:rPr>
          <w:rStyle w:val="NoneA"/>
          <w:rFonts w:ascii="Arial" w:hAnsi="Arial" w:cs="Arial"/>
          <w:bCs/>
          <w:sz w:val="18"/>
          <w:szCs w:val="18"/>
          <w:lang w:val="en-GB"/>
        </w:rPr>
        <w:t>the optimis</w:t>
      </w:r>
      <w:r w:rsidRPr="003818C4">
        <w:rPr>
          <w:rStyle w:val="NoneA"/>
          <w:rFonts w:ascii="Arial" w:hAnsi="Arial" w:cs="Arial"/>
          <w:bCs/>
          <w:sz w:val="18"/>
          <w:szCs w:val="18"/>
          <w:lang w:val="en-GB"/>
        </w:rPr>
        <w:t>ation and increase</w:t>
      </w:r>
      <w:r w:rsidR="004F53F2" w:rsidRPr="003818C4">
        <w:rPr>
          <w:rStyle w:val="NoneA"/>
          <w:rFonts w:ascii="Arial" w:hAnsi="Arial" w:cs="Arial"/>
          <w:bCs/>
          <w:sz w:val="18"/>
          <w:szCs w:val="18"/>
          <w:lang w:val="en-GB"/>
        </w:rPr>
        <w:t>d</w:t>
      </w:r>
      <w:r w:rsidRPr="003818C4">
        <w:rPr>
          <w:rStyle w:val="NoneA"/>
          <w:rFonts w:ascii="Arial" w:hAnsi="Arial" w:cs="Arial"/>
          <w:bCs/>
          <w:sz w:val="18"/>
          <w:szCs w:val="18"/>
          <w:lang w:val="en-GB"/>
        </w:rPr>
        <w:t xml:space="preserve"> efficiency of public authorities, quicker and more efficient interaction with the citizens and </w:t>
      </w:r>
      <w:r w:rsidR="004F53F2" w:rsidRPr="003818C4">
        <w:rPr>
          <w:rStyle w:val="NoneA"/>
          <w:rFonts w:ascii="Arial" w:hAnsi="Arial" w:cs="Arial"/>
          <w:bCs/>
          <w:sz w:val="18"/>
          <w:szCs w:val="18"/>
          <w:lang w:val="en-GB"/>
        </w:rPr>
        <w:t>with the entrepreneurs, closer</w:t>
      </w:r>
      <w:r w:rsidRPr="003818C4">
        <w:rPr>
          <w:rStyle w:val="NoneA"/>
          <w:rFonts w:ascii="Arial" w:hAnsi="Arial" w:cs="Arial"/>
          <w:bCs/>
          <w:sz w:val="18"/>
          <w:szCs w:val="18"/>
          <w:lang w:val="en-GB"/>
        </w:rPr>
        <w:t xml:space="preserve"> authorities to the citizens through the services they provide.</w:t>
      </w:r>
    </w:p>
    <w:p w14:paraId="60AC23B6" w14:textId="77777777" w:rsidR="00E30B6F" w:rsidRPr="003818C4" w:rsidRDefault="00E30B6F"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Development and implementation of the legal framework for the transposition of the EU directives and regulations in the area of corporate governance, audit, accounting and commercial societies.</w:t>
      </w:r>
    </w:p>
    <w:p w14:paraId="46E2F18E" w14:textId="77777777" w:rsidR="00E30B6F" w:rsidRPr="003818C4" w:rsidRDefault="00E30B6F"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Implementation of all the finance and banking sector related commitments taken by Moldova in the framework of the memorandum with the IMF.</w:t>
      </w:r>
    </w:p>
    <w:p w14:paraId="0B59B8C5" w14:textId="77777777" w:rsidR="00E30B6F" w:rsidRPr="003818C4" w:rsidRDefault="00E30B6F"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Efficient implementation of the Regional Development Strategy and provision of higher level of competences to the Regional Development Councils and to the Regional Development Agencies.</w:t>
      </w:r>
    </w:p>
    <w:p w14:paraId="0C120B6D" w14:textId="77777777" w:rsidR="00E30B6F" w:rsidRPr="003818C4" w:rsidRDefault="00E30B6F"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Systemic planning of the public policies and of the sectoral interventions by the public authorities, aimed at the synergy of </w:t>
      </w:r>
      <w:r w:rsidR="004F53F2" w:rsidRPr="003818C4">
        <w:rPr>
          <w:rStyle w:val="NoneA"/>
          <w:rFonts w:ascii="Arial" w:hAnsi="Arial" w:cs="Arial"/>
          <w:bCs/>
          <w:sz w:val="18"/>
          <w:szCs w:val="18"/>
          <w:lang w:val="en-GB"/>
        </w:rPr>
        <w:t xml:space="preserve">use of funds for </w:t>
      </w:r>
      <w:r w:rsidRPr="003818C4">
        <w:rPr>
          <w:rStyle w:val="NoneA"/>
          <w:rFonts w:ascii="Arial" w:hAnsi="Arial" w:cs="Arial"/>
          <w:bCs/>
          <w:sz w:val="18"/>
          <w:szCs w:val="18"/>
          <w:lang w:val="en-GB"/>
        </w:rPr>
        <w:t>regional development.</w:t>
      </w:r>
    </w:p>
    <w:p w14:paraId="2B4D0E5E" w14:textId="77777777" w:rsidR="00E30B6F" w:rsidRPr="003818C4" w:rsidRDefault="00E30B6F"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Adoption of the Law on energy, which provides for the reform of ANRE (National Energy Regulator), as soon as possible during the first semester of 2017.</w:t>
      </w:r>
    </w:p>
    <w:p w14:paraId="462D07B6" w14:textId="77777777" w:rsidR="00E30B6F" w:rsidRPr="003818C4" w:rsidRDefault="00E30B6F"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The Parliament of Moldov</w:t>
      </w:r>
      <w:r w:rsidR="004F53F2" w:rsidRPr="003818C4">
        <w:rPr>
          <w:rStyle w:val="NoneA"/>
          <w:rFonts w:ascii="Arial" w:hAnsi="Arial" w:cs="Arial"/>
          <w:bCs/>
          <w:sz w:val="18"/>
          <w:szCs w:val="18"/>
          <w:lang w:val="en-GB"/>
        </w:rPr>
        <w:t>a must contribute to the organis</w:t>
      </w:r>
      <w:r w:rsidRPr="003818C4">
        <w:rPr>
          <w:rStyle w:val="NoneA"/>
          <w:rFonts w:ascii="Arial" w:hAnsi="Arial" w:cs="Arial"/>
          <w:bCs/>
          <w:sz w:val="18"/>
          <w:szCs w:val="18"/>
          <w:lang w:val="en-GB"/>
        </w:rPr>
        <w:t>ation of the competition for the appointment of the new leadership of the ANRE. In this respect, it is crucial that the final draft of the law should transpose all the recommendations of the Energy Community Secretariat.</w:t>
      </w:r>
    </w:p>
    <w:p w14:paraId="488DA99B" w14:textId="77777777" w:rsidR="00E30B6F" w:rsidRPr="003818C4" w:rsidRDefault="00E30B6F"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Cons</w:t>
      </w:r>
      <w:r w:rsidR="004F53F2" w:rsidRPr="003818C4">
        <w:rPr>
          <w:rStyle w:val="NoneA"/>
          <w:rFonts w:ascii="Arial" w:hAnsi="Arial" w:cs="Arial"/>
          <w:bCs/>
          <w:sz w:val="18"/>
          <w:szCs w:val="18"/>
          <w:lang w:val="en-GB"/>
        </w:rPr>
        <w:t>idering the objective of conclusion of</w:t>
      </w:r>
      <w:r w:rsidRPr="003818C4">
        <w:rPr>
          <w:rStyle w:val="NoneA"/>
          <w:rFonts w:ascii="Arial" w:hAnsi="Arial" w:cs="Arial"/>
          <w:bCs/>
          <w:sz w:val="18"/>
          <w:szCs w:val="18"/>
          <w:lang w:val="en-GB"/>
        </w:rPr>
        <w:t xml:space="preserve"> the new energy interconne</w:t>
      </w:r>
      <w:r w:rsidR="004F53F2" w:rsidRPr="003818C4">
        <w:rPr>
          <w:rStyle w:val="NoneA"/>
          <w:rFonts w:ascii="Arial" w:hAnsi="Arial" w:cs="Arial"/>
          <w:bCs/>
          <w:sz w:val="18"/>
          <w:szCs w:val="18"/>
          <w:lang w:val="en-GB"/>
        </w:rPr>
        <w:t>ction infrastructure between</w:t>
      </w:r>
      <w:r w:rsidRPr="003818C4">
        <w:rPr>
          <w:rStyle w:val="NoneA"/>
          <w:rFonts w:ascii="Arial" w:hAnsi="Arial" w:cs="Arial"/>
          <w:bCs/>
          <w:sz w:val="18"/>
          <w:szCs w:val="18"/>
          <w:lang w:val="en-GB"/>
        </w:rPr>
        <w:t xml:space="preserve"> Moldova and Romania by 2020, the Moldovan Government should accelerate the process of</w:t>
      </w:r>
      <w:r w:rsidR="004F53F2" w:rsidRPr="003818C4">
        <w:rPr>
          <w:rStyle w:val="NoneA"/>
          <w:rFonts w:ascii="Arial" w:hAnsi="Arial" w:cs="Arial"/>
          <w:bCs/>
          <w:sz w:val="18"/>
          <w:szCs w:val="18"/>
          <w:lang w:val="en-GB"/>
        </w:rPr>
        <w:t xml:space="preserve"> conclusion of</w:t>
      </w:r>
      <w:r w:rsidRPr="003818C4">
        <w:rPr>
          <w:rStyle w:val="NoneA"/>
          <w:rFonts w:ascii="Arial" w:hAnsi="Arial" w:cs="Arial"/>
          <w:bCs/>
          <w:sz w:val="18"/>
          <w:szCs w:val="18"/>
          <w:lang w:val="en-GB"/>
        </w:rPr>
        <w:t xml:space="preserve"> th</w:t>
      </w:r>
      <w:r w:rsidR="004F53F2" w:rsidRPr="003818C4">
        <w:rPr>
          <w:rStyle w:val="NoneA"/>
          <w:rFonts w:ascii="Arial" w:hAnsi="Arial" w:cs="Arial"/>
          <w:bCs/>
          <w:sz w:val="18"/>
          <w:szCs w:val="18"/>
          <w:lang w:val="en-GB"/>
        </w:rPr>
        <w:t>e technical design papers and</w:t>
      </w:r>
      <w:r w:rsidRPr="003818C4">
        <w:rPr>
          <w:rStyle w:val="NoneA"/>
          <w:rFonts w:ascii="Arial" w:hAnsi="Arial" w:cs="Arial"/>
          <w:bCs/>
          <w:sz w:val="18"/>
          <w:szCs w:val="18"/>
          <w:lang w:val="en-GB"/>
        </w:rPr>
        <w:t xml:space="preserve"> start the construction works as soon as possible. </w:t>
      </w:r>
    </w:p>
    <w:p w14:paraId="7DB08D00" w14:textId="77777777" w:rsidR="00E30B6F" w:rsidRPr="003818C4" w:rsidRDefault="00E30B6F"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Adoption of a new Audio-visual Code in line with the EU </w:t>
      </w:r>
      <w:r w:rsidR="004F53F2" w:rsidRPr="003818C4">
        <w:rPr>
          <w:rStyle w:val="NoneA"/>
          <w:rFonts w:ascii="Arial" w:hAnsi="Arial" w:cs="Arial"/>
          <w:bCs/>
          <w:sz w:val="18"/>
          <w:szCs w:val="18"/>
          <w:lang w:val="en-GB"/>
        </w:rPr>
        <w:t xml:space="preserve">Directive </w:t>
      </w:r>
      <w:r w:rsidRPr="003818C4">
        <w:rPr>
          <w:rStyle w:val="NoneA"/>
          <w:rFonts w:ascii="Arial" w:hAnsi="Arial" w:cs="Arial"/>
          <w:bCs/>
          <w:sz w:val="18"/>
          <w:szCs w:val="18"/>
          <w:lang w:val="en-GB"/>
        </w:rPr>
        <w:t>2010/13/UE and Council of Europe</w:t>
      </w:r>
      <w:r w:rsidR="004F53F2" w:rsidRPr="003818C4">
        <w:rPr>
          <w:rStyle w:val="NoneA"/>
          <w:rFonts w:ascii="Arial" w:hAnsi="Arial" w:cs="Arial"/>
          <w:bCs/>
          <w:sz w:val="18"/>
          <w:szCs w:val="18"/>
          <w:lang w:val="en-GB"/>
        </w:rPr>
        <w:t>/OSCE recommendations offered to</w:t>
      </w:r>
      <w:r w:rsidRPr="003818C4">
        <w:rPr>
          <w:rStyle w:val="NoneA"/>
          <w:rFonts w:ascii="Arial" w:hAnsi="Arial" w:cs="Arial"/>
          <w:bCs/>
          <w:sz w:val="18"/>
          <w:szCs w:val="18"/>
          <w:lang w:val="en-GB"/>
        </w:rPr>
        <w:t xml:space="preserve"> the 2011 draft. </w:t>
      </w:r>
    </w:p>
    <w:p w14:paraId="791E3634" w14:textId="77777777" w:rsidR="00E30B6F" w:rsidRPr="003818C4" w:rsidRDefault="00E30B6F"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Drafting and adoption of a </w:t>
      </w:r>
      <w:r w:rsidR="004F53F2" w:rsidRPr="003818C4">
        <w:rPr>
          <w:rStyle w:val="NoneA"/>
          <w:rFonts w:ascii="Arial" w:hAnsi="Arial" w:cs="Arial"/>
          <w:bCs/>
          <w:sz w:val="18"/>
          <w:szCs w:val="18"/>
          <w:lang w:val="en-GB"/>
        </w:rPr>
        <w:t xml:space="preserve">Mass-Media Development </w:t>
      </w:r>
      <w:r w:rsidRPr="003818C4">
        <w:rPr>
          <w:rStyle w:val="NoneA"/>
          <w:rFonts w:ascii="Arial" w:hAnsi="Arial" w:cs="Arial"/>
          <w:bCs/>
          <w:sz w:val="18"/>
          <w:szCs w:val="18"/>
          <w:lang w:val="en-GB"/>
        </w:rPr>
        <w:t xml:space="preserve">Strategy </w:t>
      </w:r>
      <w:r w:rsidR="004F53F2" w:rsidRPr="003818C4">
        <w:rPr>
          <w:rStyle w:val="NoneA"/>
          <w:rFonts w:ascii="Arial" w:hAnsi="Arial" w:cs="Arial"/>
          <w:bCs/>
          <w:sz w:val="18"/>
          <w:szCs w:val="18"/>
          <w:lang w:val="en-GB"/>
        </w:rPr>
        <w:t>in</w:t>
      </w:r>
      <w:r w:rsidRPr="003818C4">
        <w:rPr>
          <w:rStyle w:val="NoneA"/>
          <w:rFonts w:ascii="Arial" w:hAnsi="Arial" w:cs="Arial"/>
          <w:bCs/>
          <w:sz w:val="18"/>
          <w:szCs w:val="18"/>
          <w:lang w:val="en-GB"/>
        </w:rPr>
        <w:t xml:space="preserve"> Moldova</w:t>
      </w:r>
      <w:r w:rsidR="004F53F2" w:rsidRPr="003818C4">
        <w:rPr>
          <w:rStyle w:val="NoneA"/>
          <w:rFonts w:ascii="Arial" w:hAnsi="Arial" w:cs="Arial"/>
          <w:bCs/>
          <w:sz w:val="18"/>
          <w:szCs w:val="18"/>
          <w:lang w:val="en-GB"/>
        </w:rPr>
        <w:t xml:space="preserve"> for</w:t>
      </w:r>
      <w:r w:rsidRPr="003818C4">
        <w:rPr>
          <w:rStyle w:val="NoneA"/>
          <w:rFonts w:ascii="Arial" w:hAnsi="Arial" w:cs="Arial"/>
          <w:bCs/>
          <w:sz w:val="18"/>
          <w:szCs w:val="18"/>
          <w:lang w:val="en-GB"/>
        </w:rPr>
        <w:t xml:space="preserve"> 2017-2020.</w:t>
      </w:r>
    </w:p>
    <w:p w14:paraId="171256D0" w14:textId="77777777" w:rsidR="00E30B6F" w:rsidRPr="003818C4" w:rsidRDefault="004F53F2"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Approval</w:t>
      </w:r>
      <w:r w:rsidR="00E30B6F" w:rsidRPr="003818C4">
        <w:rPr>
          <w:rStyle w:val="NoneA"/>
          <w:rFonts w:ascii="Arial" w:hAnsi="Arial" w:cs="Arial"/>
          <w:bCs/>
          <w:sz w:val="18"/>
          <w:szCs w:val="18"/>
          <w:lang w:val="en-GB"/>
        </w:rPr>
        <w:t xml:space="preserve"> and </w:t>
      </w:r>
      <w:r w:rsidRPr="003818C4">
        <w:rPr>
          <w:rStyle w:val="NoneA"/>
          <w:rFonts w:ascii="Arial" w:hAnsi="Arial" w:cs="Arial"/>
          <w:bCs/>
          <w:sz w:val="18"/>
          <w:szCs w:val="18"/>
          <w:lang w:val="en-GB"/>
        </w:rPr>
        <w:t>commencement of</w:t>
      </w:r>
      <w:r w:rsidR="00E30B6F" w:rsidRPr="003818C4">
        <w:rPr>
          <w:rStyle w:val="NoneA"/>
          <w:rFonts w:ascii="Arial" w:hAnsi="Arial" w:cs="Arial"/>
          <w:bCs/>
          <w:sz w:val="18"/>
          <w:szCs w:val="18"/>
          <w:lang w:val="en-GB"/>
        </w:rPr>
        <w:t xml:space="preserve"> implementation of the new </w:t>
      </w:r>
      <w:r w:rsidRPr="003818C4">
        <w:rPr>
          <w:rStyle w:val="NoneA"/>
          <w:rFonts w:ascii="Arial" w:hAnsi="Arial" w:cs="Arial"/>
          <w:bCs/>
          <w:sz w:val="18"/>
          <w:szCs w:val="18"/>
          <w:lang w:val="en-GB"/>
        </w:rPr>
        <w:t xml:space="preserve">Civil Society Development </w:t>
      </w:r>
      <w:r w:rsidR="00E30B6F" w:rsidRPr="003818C4">
        <w:rPr>
          <w:rStyle w:val="NoneA"/>
          <w:rFonts w:ascii="Arial" w:hAnsi="Arial" w:cs="Arial"/>
          <w:bCs/>
          <w:sz w:val="18"/>
          <w:szCs w:val="18"/>
          <w:lang w:val="en-GB"/>
        </w:rPr>
        <w:t>Strategy</w:t>
      </w:r>
      <w:r w:rsidRPr="003818C4">
        <w:rPr>
          <w:rStyle w:val="NoneA"/>
          <w:rFonts w:ascii="Arial" w:hAnsi="Arial" w:cs="Arial"/>
          <w:bCs/>
          <w:sz w:val="18"/>
          <w:szCs w:val="18"/>
          <w:lang w:val="en-GB"/>
        </w:rPr>
        <w:t xml:space="preserve"> for</w:t>
      </w:r>
      <w:r w:rsidR="00E30B6F" w:rsidRPr="003818C4">
        <w:rPr>
          <w:rStyle w:val="NoneA"/>
          <w:rFonts w:ascii="Arial" w:hAnsi="Arial" w:cs="Arial"/>
          <w:bCs/>
          <w:sz w:val="18"/>
          <w:szCs w:val="18"/>
          <w:lang w:val="en-GB"/>
        </w:rPr>
        <w:t xml:space="preserve"> 2017-2020 </w:t>
      </w:r>
    </w:p>
    <w:p w14:paraId="35992F06" w14:textId="77777777" w:rsidR="00E30B6F" w:rsidRPr="003818C4" w:rsidRDefault="00E30B6F"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Adoption and implementation of a new law on non-commercial organisations  </w:t>
      </w:r>
    </w:p>
    <w:p w14:paraId="50ADBB44" w14:textId="77777777" w:rsidR="00E30B6F" w:rsidRPr="003818C4" w:rsidRDefault="004F53F2" w:rsidP="00890C8B">
      <w:pPr>
        <w:pStyle w:val="Body"/>
        <w:numPr>
          <w:ilvl w:val="2"/>
          <w:numId w:val="36"/>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Development of a c</w:t>
      </w:r>
      <w:r w:rsidR="00E30B6F" w:rsidRPr="003818C4">
        <w:rPr>
          <w:rStyle w:val="NoneA"/>
          <w:rFonts w:ascii="Arial" w:hAnsi="Arial" w:cs="Arial"/>
          <w:bCs/>
          <w:sz w:val="18"/>
          <w:szCs w:val="18"/>
          <w:lang w:val="en-GB"/>
        </w:rPr>
        <w:t>ost-benefit analysi</w:t>
      </w:r>
      <w:r w:rsidRPr="003818C4">
        <w:rPr>
          <w:rStyle w:val="NoneA"/>
          <w:rFonts w:ascii="Arial" w:hAnsi="Arial" w:cs="Arial"/>
          <w:bCs/>
          <w:sz w:val="18"/>
          <w:szCs w:val="18"/>
          <w:lang w:val="en-GB"/>
        </w:rPr>
        <w:t>s to assess the impact of Moldova’s</w:t>
      </w:r>
      <w:r w:rsidR="00E30B6F" w:rsidRPr="003818C4">
        <w:rPr>
          <w:rStyle w:val="NoneA"/>
          <w:rFonts w:ascii="Arial" w:hAnsi="Arial" w:cs="Arial"/>
          <w:bCs/>
          <w:sz w:val="18"/>
          <w:szCs w:val="18"/>
          <w:lang w:val="en-GB"/>
        </w:rPr>
        <w:t xml:space="preserve"> participation in the framework of the EU Program</w:t>
      </w:r>
      <w:r w:rsidRPr="003818C4">
        <w:rPr>
          <w:rStyle w:val="NoneA"/>
          <w:rFonts w:ascii="Arial" w:hAnsi="Arial" w:cs="Arial"/>
          <w:bCs/>
          <w:sz w:val="18"/>
          <w:szCs w:val="18"/>
          <w:lang w:val="en-GB"/>
        </w:rPr>
        <w:t>me</w:t>
      </w:r>
      <w:r w:rsidR="00E30B6F" w:rsidRPr="003818C4">
        <w:rPr>
          <w:rStyle w:val="NoneA"/>
          <w:rFonts w:ascii="Arial" w:hAnsi="Arial" w:cs="Arial"/>
          <w:bCs/>
          <w:sz w:val="18"/>
          <w:szCs w:val="18"/>
          <w:lang w:val="en-GB"/>
        </w:rPr>
        <w:t>s.</w:t>
      </w:r>
    </w:p>
    <w:p w14:paraId="33F6017C" w14:textId="77777777" w:rsidR="00E30B6F" w:rsidRPr="003818C4" w:rsidRDefault="00E30B6F" w:rsidP="001164F1">
      <w:pPr>
        <w:spacing w:before="120" w:after="120" w:line="240" w:lineRule="auto"/>
        <w:rPr>
          <w:rStyle w:val="NoneA"/>
          <w:rFonts w:ascii="Arial" w:hAnsi="Arial" w:cs="Arial"/>
          <w:b/>
          <w:smallCaps/>
          <w:color w:val="0B5294" w:themeColor="accent1" w:themeShade="BF"/>
          <w:spacing w:val="5"/>
          <w:sz w:val="18"/>
          <w:szCs w:val="18"/>
          <w:lang w:val="en-GB"/>
        </w:rPr>
      </w:pPr>
      <w:r w:rsidRPr="003818C4">
        <w:rPr>
          <w:rStyle w:val="NoneA"/>
          <w:rFonts w:ascii="Arial" w:hAnsi="Arial" w:cs="Arial"/>
          <w:b/>
          <w:color w:val="0B5294" w:themeColor="accent1" w:themeShade="BF"/>
          <w:sz w:val="18"/>
          <w:szCs w:val="18"/>
          <w:lang w:val="en-GB"/>
        </w:rPr>
        <w:br w:type="page"/>
      </w:r>
    </w:p>
    <w:p w14:paraId="7FA3CD75" w14:textId="77777777" w:rsidR="00E30B6F" w:rsidRPr="003818C4" w:rsidRDefault="00E30B6F" w:rsidP="00890C8B">
      <w:pPr>
        <w:pStyle w:val="Heading2"/>
        <w:numPr>
          <w:ilvl w:val="1"/>
          <w:numId w:val="24"/>
        </w:numPr>
        <w:tabs>
          <w:tab w:val="left" w:pos="709"/>
        </w:tabs>
        <w:spacing w:before="120" w:after="120" w:line="240" w:lineRule="auto"/>
        <w:ind w:left="284" w:hanging="284"/>
        <w:rPr>
          <w:rStyle w:val="NoneA"/>
          <w:rFonts w:ascii="Arial" w:hAnsi="Arial" w:cs="Arial"/>
          <w:color w:val="0B5294" w:themeColor="accent1" w:themeShade="BF"/>
          <w:sz w:val="18"/>
          <w:szCs w:val="18"/>
          <w:lang w:val="en-GB"/>
        </w:rPr>
      </w:pPr>
      <w:bookmarkStart w:id="31" w:name="_Toc477762702"/>
      <w:bookmarkStart w:id="32" w:name="_Toc478028669"/>
      <w:r w:rsidRPr="003818C4">
        <w:rPr>
          <w:rStyle w:val="NoneA"/>
          <w:rFonts w:ascii="Arial" w:hAnsi="Arial" w:cs="Arial"/>
          <w:color w:val="0B5294" w:themeColor="accent1" w:themeShade="BF"/>
          <w:sz w:val="18"/>
          <w:szCs w:val="18"/>
          <w:lang w:val="en-GB"/>
        </w:rPr>
        <w:lastRenderedPageBreak/>
        <w:t>Trade and trade-related aspects - DCFTA (Title V)</w:t>
      </w:r>
      <w:bookmarkEnd w:id="31"/>
      <w:bookmarkEnd w:id="32"/>
    </w:p>
    <w:p w14:paraId="4A0DF26C" w14:textId="77777777" w:rsidR="00E30B6F" w:rsidRPr="003818C4" w:rsidRDefault="00E30B6F" w:rsidP="001164F1">
      <w:pPr>
        <w:pStyle w:val="Heading3"/>
        <w:spacing w:before="120" w:after="120" w:line="240" w:lineRule="auto"/>
        <w:rPr>
          <w:rFonts w:ascii="Arial" w:hAnsi="Arial" w:cs="Arial"/>
          <w:color w:val="0B5294" w:themeColor="accent1" w:themeShade="BF"/>
          <w:sz w:val="18"/>
          <w:szCs w:val="18"/>
          <w:lang w:val="en-GB"/>
        </w:rPr>
      </w:pPr>
      <w:bookmarkStart w:id="33" w:name="_Toc478028670"/>
      <w:r w:rsidRPr="003818C4">
        <w:rPr>
          <w:rFonts w:ascii="Arial" w:hAnsi="Arial" w:cs="Arial"/>
          <w:color w:val="0B5294" w:themeColor="accent1" w:themeShade="BF"/>
          <w:sz w:val="18"/>
          <w:szCs w:val="18"/>
          <w:lang w:val="en-GB"/>
        </w:rPr>
        <w:t>Quantitative progress assessment</w:t>
      </w:r>
      <w:bookmarkEnd w:id="33"/>
    </w:p>
    <w:p w14:paraId="1419E8E3" w14:textId="77777777" w:rsidR="00E30B6F" w:rsidRPr="003818C4" w:rsidRDefault="00E30B6F" w:rsidP="001164F1">
      <w:pPr>
        <w:pStyle w:val="Body"/>
        <w:spacing w:before="120" w:after="120" w:line="240" w:lineRule="auto"/>
        <w:rPr>
          <w:rFonts w:ascii="Arial" w:hAnsi="Arial" w:cs="Arial"/>
          <w:b/>
          <w:sz w:val="18"/>
          <w:szCs w:val="18"/>
          <w:lang w:val="en-GB"/>
        </w:rPr>
      </w:pPr>
      <w:r w:rsidRPr="003818C4">
        <w:rPr>
          <w:rFonts w:ascii="Arial" w:hAnsi="Arial" w:cs="Arial"/>
          <w:bCs/>
          <w:noProof/>
          <w:color w:val="0B5294" w:themeColor="accent1" w:themeShade="BF"/>
          <w:sz w:val="18"/>
          <w:szCs w:val="18"/>
        </w:rPr>
        <w:drawing>
          <wp:anchor distT="0" distB="0" distL="114300" distR="114300" simplePos="0" relativeHeight="251664384" behindDoc="0" locked="0" layoutInCell="1" allowOverlap="1" wp14:anchorId="66201FA8" wp14:editId="796B6358">
            <wp:simplePos x="0" y="0"/>
            <wp:positionH relativeFrom="column">
              <wp:posOffset>3391535</wp:posOffset>
            </wp:positionH>
            <wp:positionV relativeFrom="paragraph">
              <wp:posOffset>27305</wp:posOffset>
            </wp:positionV>
            <wp:extent cx="2202180" cy="1783080"/>
            <wp:effectExtent l="0" t="0" r="7620" b="7620"/>
            <wp:wrapThrough wrapText="bothSides">
              <wp:wrapPolygon edited="0">
                <wp:start x="0" y="0"/>
                <wp:lineTo x="0" y="21462"/>
                <wp:lineTo x="21488" y="21462"/>
                <wp:lineTo x="21488" y="0"/>
                <wp:lineTo x="0" y="0"/>
              </wp:wrapPolygon>
            </wp:wrapThrough>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3818C4">
        <w:rPr>
          <w:rFonts w:ascii="Arial" w:hAnsi="Arial" w:cs="Arial"/>
          <w:sz w:val="18"/>
          <w:szCs w:val="18"/>
          <w:lang w:val="en-GB"/>
        </w:rPr>
        <w:t xml:space="preserve">There were a total number of </w:t>
      </w:r>
      <w:r w:rsidRPr="003818C4">
        <w:rPr>
          <w:rFonts w:ascii="Arial" w:hAnsi="Arial" w:cs="Arial"/>
          <w:b/>
          <w:sz w:val="18"/>
          <w:szCs w:val="18"/>
          <w:lang w:val="en-GB"/>
        </w:rPr>
        <w:t>572 implementation measures</w:t>
      </w:r>
      <w:r w:rsidRPr="003818C4">
        <w:rPr>
          <w:rFonts w:ascii="Arial" w:hAnsi="Arial" w:cs="Arial"/>
          <w:sz w:val="18"/>
          <w:szCs w:val="18"/>
          <w:lang w:val="en-GB"/>
        </w:rPr>
        <w:t xml:space="preserve"> stipulated in the NAPIAA, Title V, for 2016, out of which </w:t>
      </w:r>
      <w:r w:rsidRPr="003818C4">
        <w:rPr>
          <w:rStyle w:val="NoneA"/>
          <w:rFonts w:ascii="Arial" w:hAnsi="Arial" w:cs="Arial"/>
          <w:b/>
          <w:bCs/>
          <w:sz w:val="18"/>
          <w:szCs w:val="18"/>
          <w:lang w:val="en-GB"/>
        </w:rPr>
        <w:t xml:space="preserve">339 measures </w:t>
      </w:r>
      <w:r w:rsidRPr="003818C4">
        <w:rPr>
          <w:rStyle w:val="NoneA"/>
          <w:rFonts w:ascii="Arial" w:hAnsi="Arial" w:cs="Arial"/>
          <w:bCs/>
          <w:sz w:val="18"/>
          <w:szCs w:val="18"/>
          <w:lang w:val="en-GB"/>
        </w:rPr>
        <w:t xml:space="preserve">were </w:t>
      </w:r>
      <w:r w:rsidR="00F41223" w:rsidRPr="003818C4">
        <w:rPr>
          <w:rStyle w:val="NoneA"/>
          <w:rFonts w:ascii="Arial" w:hAnsi="Arial" w:cs="Arial"/>
          <w:bCs/>
          <w:sz w:val="18"/>
          <w:szCs w:val="18"/>
          <w:lang w:val="en-GB"/>
        </w:rPr>
        <w:t>implemented</w:t>
      </w:r>
      <w:r w:rsidRPr="003818C4">
        <w:rPr>
          <w:rStyle w:val="NoneA"/>
          <w:rFonts w:ascii="Arial" w:hAnsi="Arial" w:cs="Arial"/>
          <w:bCs/>
          <w:sz w:val="18"/>
          <w:szCs w:val="18"/>
          <w:lang w:val="en-GB"/>
        </w:rPr>
        <w:t xml:space="preserve"> during the reference period</w:t>
      </w:r>
      <w:r w:rsidRPr="003818C4">
        <w:rPr>
          <w:rFonts w:ascii="Arial" w:hAnsi="Arial" w:cs="Arial"/>
          <w:b/>
          <w:sz w:val="18"/>
          <w:szCs w:val="18"/>
          <w:lang w:val="en-GB"/>
        </w:rPr>
        <w:t>,</w:t>
      </w:r>
      <w:r w:rsidRPr="003818C4">
        <w:rPr>
          <w:rFonts w:ascii="Arial" w:hAnsi="Arial" w:cs="Arial"/>
          <w:sz w:val="18"/>
          <w:szCs w:val="18"/>
          <w:lang w:val="en-GB"/>
        </w:rPr>
        <w:t xml:space="preserve"> </w:t>
      </w:r>
      <w:r w:rsidRPr="003818C4">
        <w:rPr>
          <w:rStyle w:val="NoneA"/>
          <w:rFonts w:ascii="Arial" w:hAnsi="Arial" w:cs="Arial"/>
          <w:b/>
          <w:bCs/>
          <w:sz w:val="18"/>
          <w:szCs w:val="18"/>
          <w:lang w:val="en-GB"/>
        </w:rPr>
        <w:t xml:space="preserve">including 99 measures with a continuous implementation timeline </w:t>
      </w:r>
      <w:r w:rsidRPr="003818C4">
        <w:rPr>
          <w:rStyle w:val="NoneA"/>
          <w:rFonts w:ascii="Arial" w:hAnsi="Arial" w:cs="Arial"/>
          <w:bCs/>
          <w:sz w:val="18"/>
          <w:szCs w:val="18"/>
          <w:lang w:val="en-GB"/>
        </w:rPr>
        <w:t xml:space="preserve">and </w:t>
      </w:r>
      <w:r w:rsidRPr="003818C4">
        <w:rPr>
          <w:rStyle w:val="NoneA"/>
          <w:rFonts w:ascii="Arial" w:hAnsi="Arial" w:cs="Arial"/>
          <w:b/>
          <w:bCs/>
          <w:sz w:val="18"/>
          <w:szCs w:val="18"/>
          <w:lang w:val="en-GB"/>
        </w:rPr>
        <w:t>one measure that was initially scheduled for 2017-2022</w:t>
      </w:r>
      <w:r w:rsidRPr="003818C4">
        <w:rPr>
          <w:rFonts w:ascii="Arial" w:hAnsi="Arial" w:cs="Arial"/>
          <w:b/>
          <w:sz w:val="18"/>
          <w:szCs w:val="18"/>
          <w:lang w:val="en-GB"/>
        </w:rPr>
        <w:t xml:space="preserve">. </w:t>
      </w:r>
    </w:p>
    <w:p w14:paraId="4108032A" w14:textId="662BC00B" w:rsidR="00E30B6F" w:rsidRPr="003818C4" w:rsidRDefault="00E30B6F" w:rsidP="001164F1">
      <w:pPr>
        <w:pStyle w:val="Body"/>
        <w:spacing w:before="120" w:after="120" w:line="240" w:lineRule="auto"/>
        <w:rPr>
          <w:rFonts w:ascii="Arial" w:eastAsia="Verdana" w:hAnsi="Arial" w:cs="Arial"/>
          <w:b/>
          <w:sz w:val="18"/>
          <w:szCs w:val="18"/>
          <w:lang w:val="en-GB"/>
        </w:rPr>
      </w:pPr>
      <w:r w:rsidRPr="003818C4">
        <w:rPr>
          <w:rFonts w:ascii="Arial" w:hAnsi="Arial" w:cs="Arial"/>
          <w:b/>
          <w:sz w:val="18"/>
          <w:szCs w:val="18"/>
          <w:lang w:val="en-GB"/>
        </w:rPr>
        <w:t xml:space="preserve">90 measures were partly </w:t>
      </w:r>
      <w:r w:rsidR="00F41223" w:rsidRPr="003818C4">
        <w:rPr>
          <w:rFonts w:ascii="Arial" w:hAnsi="Arial" w:cs="Arial"/>
          <w:b/>
          <w:sz w:val="18"/>
          <w:szCs w:val="18"/>
          <w:lang w:val="en-GB"/>
        </w:rPr>
        <w:t>implemented</w:t>
      </w:r>
      <w:r w:rsidRPr="003818C4">
        <w:rPr>
          <w:rFonts w:ascii="Arial" w:hAnsi="Arial" w:cs="Arial"/>
          <w:b/>
          <w:sz w:val="18"/>
          <w:szCs w:val="18"/>
          <w:lang w:val="en-GB"/>
        </w:rPr>
        <w:t xml:space="preserve">, including 76 measures </w:t>
      </w:r>
      <w:r w:rsidRPr="003818C4">
        <w:rPr>
          <w:rFonts w:ascii="Arial" w:hAnsi="Arial" w:cs="Arial"/>
          <w:sz w:val="18"/>
          <w:szCs w:val="18"/>
          <w:lang w:val="en-GB"/>
        </w:rPr>
        <w:t>that</w:t>
      </w:r>
      <w:r w:rsidRPr="003818C4">
        <w:rPr>
          <w:rFonts w:ascii="Arial" w:hAnsi="Arial" w:cs="Arial"/>
          <w:b/>
          <w:sz w:val="18"/>
          <w:szCs w:val="18"/>
          <w:lang w:val="en-GB"/>
        </w:rPr>
        <w:t xml:space="preserve"> </w:t>
      </w:r>
      <w:r w:rsidRPr="003818C4">
        <w:rPr>
          <w:rFonts w:ascii="Arial" w:hAnsi="Arial" w:cs="Arial"/>
          <w:sz w:val="18"/>
          <w:szCs w:val="18"/>
          <w:lang w:val="en-GB"/>
        </w:rPr>
        <w:t>were scheduled for 2017-2022,</w:t>
      </w:r>
      <w:r w:rsidRPr="003818C4">
        <w:rPr>
          <w:rFonts w:ascii="Arial" w:hAnsi="Arial" w:cs="Arial"/>
          <w:b/>
          <w:sz w:val="18"/>
          <w:szCs w:val="18"/>
          <w:lang w:val="en-GB"/>
        </w:rPr>
        <w:t xml:space="preserve"> </w:t>
      </w:r>
      <w:r w:rsidRPr="003818C4">
        <w:rPr>
          <w:rFonts w:ascii="Arial" w:hAnsi="Arial" w:cs="Arial"/>
          <w:sz w:val="18"/>
          <w:szCs w:val="18"/>
          <w:lang w:val="en-GB"/>
        </w:rPr>
        <w:t xml:space="preserve">while </w:t>
      </w:r>
      <w:r w:rsidRPr="003818C4">
        <w:rPr>
          <w:rFonts w:ascii="Arial" w:hAnsi="Arial" w:cs="Arial"/>
          <w:b/>
          <w:sz w:val="18"/>
          <w:szCs w:val="18"/>
          <w:lang w:val="en-GB"/>
        </w:rPr>
        <w:t xml:space="preserve">143 </w:t>
      </w:r>
      <w:r w:rsidR="004B1349" w:rsidRPr="003818C4">
        <w:rPr>
          <w:rFonts w:ascii="Arial" w:hAnsi="Arial" w:cs="Arial"/>
          <w:b/>
          <w:sz w:val="18"/>
          <w:szCs w:val="18"/>
          <w:lang w:val="en-GB"/>
        </w:rPr>
        <w:t>measures</w:t>
      </w:r>
      <w:r w:rsidRPr="003818C4">
        <w:rPr>
          <w:rFonts w:ascii="Arial" w:hAnsi="Arial" w:cs="Arial"/>
          <w:b/>
          <w:sz w:val="18"/>
          <w:szCs w:val="18"/>
          <w:lang w:val="en-GB"/>
        </w:rPr>
        <w:t xml:space="preserve"> were not implemented</w:t>
      </w:r>
      <w:r w:rsidRPr="003818C4">
        <w:rPr>
          <w:rFonts w:ascii="Arial" w:hAnsi="Arial" w:cs="Arial"/>
          <w:sz w:val="18"/>
          <w:szCs w:val="18"/>
          <w:lang w:val="en-GB"/>
        </w:rPr>
        <w:t>.</w:t>
      </w:r>
    </w:p>
    <w:p w14:paraId="6B6E2CA9" w14:textId="77777777" w:rsidR="00E30B6F" w:rsidRPr="003818C4" w:rsidRDefault="00E30B6F" w:rsidP="001164F1">
      <w:pPr>
        <w:pStyle w:val="Body"/>
        <w:spacing w:before="120" w:after="120" w:line="240" w:lineRule="auto"/>
        <w:rPr>
          <w:rStyle w:val="NoneA"/>
          <w:rFonts w:ascii="Arial" w:hAnsi="Arial" w:cs="Arial"/>
          <w:b/>
          <w:bCs/>
          <w:sz w:val="18"/>
          <w:szCs w:val="18"/>
          <w:lang w:val="en-GB"/>
        </w:rPr>
      </w:pPr>
      <w:r w:rsidRPr="003818C4">
        <w:rPr>
          <w:rFonts w:ascii="Arial" w:hAnsi="Arial" w:cs="Arial"/>
          <w:sz w:val="18"/>
          <w:szCs w:val="18"/>
          <w:lang w:val="en-GB"/>
        </w:rPr>
        <w:t xml:space="preserve">In this respect, the conclusion is that the total rate of accomplishment of Title V of the NAPIAA is </w:t>
      </w:r>
      <w:r w:rsidRPr="003818C4">
        <w:rPr>
          <w:rStyle w:val="NoneA"/>
          <w:rFonts w:ascii="Arial" w:hAnsi="Arial" w:cs="Arial"/>
          <w:b/>
          <w:bCs/>
          <w:sz w:val="18"/>
          <w:szCs w:val="18"/>
          <w:lang w:val="en-GB"/>
        </w:rPr>
        <w:t xml:space="preserve">59.3%, 15.7% were partly </w:t>
      </w:r>
      <w:r w:rsidR="00F41223" w:rsidRPr="003818C4">
        <w:rPr>
          <w:rStyle w:val="NoneA"/>
          <w:rFonts w:ascii="Arial" w:hAnsi="Arial" w:cs="Arial"/>
          <w:b/>
          <w:bCs/>
          <w:sz w:val="18"/>
          <w:szCs w:val="18"/>
          <w:lang w:val="en-GB"/>
        </w:rPr>
        <w:t>implemented</w:t>
      </w:r>
      <w:r w:rsidRPr="003818C4">
        <w:rPr>
          <w:rStyle w:val="NoneA"/>
          <w:rFonts w:ascii="Arial" w:hAnsi="Arial" w:cs="Arial"/>
          <w:b/>
          <w:bCs/>
          <w:sz w:val="18"/>
          <w:szCs w:val="18"/>
          <w:lang w:val="en-GB"/>
        </w:rPr>
        <w:t>. The rate of non-accomplishment is 25%.</w:t>
      </w:r>
    </w:p>
    <w:tbl>
      <w:tblPr>
        <w:tblpPr w:leftFromText="180" w:rightFromText="180" w:vertAnchor="text" w:horzAnchor="page" w:tblpX="1630" w:tblpY="99"/>
        <w:tblW w:w="8901" w:type="dxa"/>
        <w:tblCellMar>
          <w:left w:w="0" w:type="dxa"/>
          <w:right w:w="0" w:type="dxa"/>
        </w:tblCellMar>
        <w:tblLook w:val="04A0" w:firstRow="1" w:lastRow="0" w:firstColumn="1" w:lastColumn="0" w:noHBand="0" w:noVBand="1"/>
      </w:tblPr>
      <w:tblGrid>
        <w:gridCol w:w="4088"/>
        <w:gridCol w:w="832"/>
        <w:gridCol w:w="1327"/>
        <w:gridCol w:w="1327"/>
        <w:gridCol w:w="1327"/>
      </w:tblGrid>
      <w:tr w:rsidR="00E30B6F" w:rsidRPr="003818C4" w14:paraId="5801E712" w14:textId="77777777" w:rsidTr="00E30B6F">
        <w:trPr>
          <w:trHeight w:val="372"/>
        </w:trPr>
        <w:tc>
          <w:tcPr>
            <w:tcW w:w="436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CB43764" w14:textId="77777777" w:rsidR="00E30B6F" w:rsidRPr="003818C4" w:rsidRDefault="00E30B6F" w:rsidP="00390578">
            <w:pPr>
              <w:pStyle w:val="Body"/>
              <w:spacing w:after="0" w:line="240" w:lineRule="auto"/>
              <w:jc w:val="center"/>
              <w:rPr>
                <w:rFonts w:ascii="Arial" w:hAnsi="Arial" w:cs="Arial"/>
                <w:b/>
                <w:sz w:val="18"/>
                <w:szCs w:val="18"/>
                <w:lang w:val="en-GB"/>
              </w:rPr>
            </w:pPr>
            <w:r w:rsidRPr="003818C4">
              <w:rPr>
                <w:rFonts w:ascii="Arial" w:hAnsi="Arial" w:cs="Arial"/>
                <w:b/>
                <w:sz w:val="18"/>
                <w:szCs w:val="18"/>
                <w:lang w:val="en-GB"/>
              </w:rPr>
              <w:t>Table 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8BDFC07"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b/>
                <w:bCs/>
                <w:sz w:val="18"/>
                <w:szCs w:val="18"/>
                <w:lang w:val="en-GB"/>
              </w:rPr>
              <w:t>Total</w:t>
            </w:r>
          </w:p>
        </w:tc>
        <w:tc>
          <w:tcPr>
            <w:tcW w:w="1134" w:type="dxa"/>
            <w:tcBorders>
              <w:top w:val="single" w:sz="8" w:space="0" w:color="000000"/>
              <w:left w:val="single" w:sz="8" w:space="0" w:color="000000"/>
              <w:bottom w:val="single" w:sz="8" w:space="0" w:color="000000"/>
              <w:right w:val="single" w:sz="8" w:space="0" w:color="000000"/>
            </w:tcBorders>
            <w:shd w:val="clear" w:color="auto" w:fill="073763" w:themeFill="accent1" w:themeFillShade="80"/>
            <w:tcMar>
              <w:top w:w="13" w:type="dxa"/>
              <w:left w:w="108" w:type="dxa"/>
              <w:bottom w:w="0" w:type="dxa"/>
              <w:right w:w="108" w:type="dxa"/>
            </w:tcMar>
            <w:hideMark/>
          </w:tcPr>
          <w:p w14:paraId="1B7A6665" w14:textId="77777777" w:rsidR="00E30B6F" w:rsidRPr="003818C4" w:rsidRDefault="00F41223" w:rsidP="00390578">
            <w:pPr>
              <w:pStyle w:val="Body"/>
              <w:spacing w:after="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Implemented</w:t>
            </w:r>
          </w:p>
        </w:tc>
        <w:tc>
          <w:tcPr>
            <w:tcW w:w="1279" w:type="dxa"/>
            <w:tcBorders>
              <w:top w:val="single" w:sz="8" w:space="0" w:color="000000"/>
              <w:left w:val="single" w:sz="8" w:space="0" w:color="000000"/>
              <w:bottom w:val="single" w:sz="8" w:space="0" w:color="000000"/>
              <w:right w:val="single" w:sz="8" w:space="0" w:color="000000"/>
            </w:tcBorders>
            <w:shd w:val="clear" w:color="auto" w:fill="0B5294" w:themeFill="accent1" w:themeFillShade="BF"/>
            <w:tcMar>
              <w:top w:w="13" w:type="dxa"/>
              <w:left w:w="108" w:type="dxa"/>
              <w:bottom w:w="0" w:type="dxa"/>
              <w:right w:w="108" w:type="dxa"/>
            </w:tcMar>
            <w:hideMark/>
          </w:tcPr>
          <w:p w14:paraId="41B6FFF7" w14:textId="77777777" w:rsidR="00E30B6F" w:rsidRPr="003818C4" w:rsidRDefault="00E30B6F" w:rsidP="00390578">
            <w:pPr>
              <w:pStyle w:val="Body"/>
              <w:spacing w:after="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 xml:space="preserve">Partly </w:t>
            </w:r>
            <w:r w:rsidR="00F41223" w:rsidRPr="003818C4">
              <w:rPr>
                <w:rFonts w:ascii="Arial" w:hAnsi="Arial" w:cs="Arial"/>
                <w:b/>
                <w:bCs/>
                <w:color w:val="FFFFFF" w:themeColor="background1"/>
                <w:sz w:val="18"/>
                <w:szCs w:val="18"/>
                <w:lang w:val="en-GB"/>
              </w:rPr>
              <w:t>implemented</w:t>
            </w:r>
          </w:p>
        </w:tc>
        <w:tc>
          <w:tcPr>
            <w:tcW w:w="1273" w:type="dxa"/>
            <w:tcBorders>
              <w:top w:val="single" w:sz="8" w:space="0" w:color="000000"/>
              <w:left w:val="single" w:sz="8" w:space="0" w:color="000000"/>
              <w:bottom w:val="single" w:sz="8" w:space="0" w:color="000000"/>
              <w:right w:val="single" w:sz="8" w:space="0" w:color="000000"/>
            </w:tcBorders>
            <w:shd w:val="clear" w:color="auto" w:fill="59A9F2" w:themeFill="accent1" w:themeFillTint="99"/>
            <w:tcMar>
              <w:top w:w="13" w:type="dxa"/>
              <w:left w:w="108" w:type="dxa"/>
              <w:bottom w:w="0" w:type="dxa"/>
              <w:right w:w="108" w:type="dxa"/>
            </w:tcMar>
            <w:hideMark/>
          </w:tcPr>
          <w:p w14:paraId="24868751" w14:textId="77777777" w:rsidR="00E30B6F" w:rsidRPr="003818C4" w:rsidRDefault="00F41223" w:rsidP="00390578">
            <w:pPr>
              <w:pStyle w:val="Body"/>
              <w:spacing w:after="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Not implemented</w:t>
            </w:r>
          </w:p>
        </w:tc>
      </w:tr>
      <w:tr w:rsidR="00E30B6F" w:rsidRPr="003818C4" w14:paraId="69289276" w14:textId="77777777" w:rsidTr="00E30B6F">
        <w:trPr>
          <w:trHeight w:val="188"/>
        </w:trPr>
        <w:tc>
          <w:tcPr>
            <w:tcW w:w="4365"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5C0A83AA" w14:textId="77777777" w:rsidR="00E30B6F" w:rsidRPr="003818C4" w:rsidRDefault="00E30B6F" w:rsidP="00390578">
            <w:pPr>
              <w:pStyle w:val="Body"/>
              <w:spacing w:after="0" w:line="240" w:lineRule="auto"/>
              <w:rPr>
                <w:rFonts w:ascii="Arial" w:hAnsi="Arial" w:cs="Arial"/>
                <w:sz w:val="18"/>
                <w:szCs w:val="18"/>
                <w:lang w:val="en-GB"/>
              </w:rPr>
            </w:pPr>
            <w:r w:rsidRPr="003818C4">
              <w:rPr>
                <w:rFonts w:ascii="Arial" w:hAnsi="Arial" w:cs="Arial"/>
                <w:b/>
                <w:bCs/>
                <w:sz w:val="18"/>
                <w:szCs w:val="18"/>
                <w:lang w:val="en-GB"/>
              </w:rPr>
              <w:t xml:space="preserve">NAPIAA 2014 - 2016 </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1A6A00B4"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572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6FA9BB1A"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339</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5D7BB9BF"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90</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6E91C467"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143</w:t>
            </w:r>
          </w:p>
        </w:tc>
      </w:tr>
      <w:tr w:rsidR="00E30B6F" w:rsidRPr="003818C4" w14:paraId="10DA3F1C" w14:textId="77777777" w:rsidTr="00E30B6F">
        <w:trPr>
          <w:trHeight w:val="90"/>
        </w:trPr>
        <w:tc>
          <w:tcPr>
            <w:tcW w:w="4365"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p w14:paraId="54879A33" w14:textId="77777777" w:rsidR="00E30B6F" w:rsidRPr="003818C4" w:rsidRDefault="00E30B6F" w:rsidP="00390578">
            <w:pPr>
              <w:pStyle w:val="Body"/>
              <w:spacing w:after="0" w:line="240" w:lineRule="auto"/>
              <w:rPr>
                <w:rFonts w:ascii="Arial" w:eastAsia="Calibri" w:hAnsi="Arial" w:cs="Arial"/>
                <w:b/>
                <w:bCs/>
                <w:sz w:val="18"/>
                <w:szCs w:val="18"/>
                <w:lang w:val="en-GB"/>
              </w:rPr>
            </w:pPr>
            <w:r w:rsidRPr="003818C4">
              <w:rPr>
                <w:rFonts w:ascii="Arial" w:eastAsia="Calibri" w:hAnsi="Arial" w:cs="Arial"/>
                <w:b/>
                <w:bCs/>
                <w:sz w:val="18"/>
                <w:szCs w:val="18"/>
                <w:lang w:val="en-GB"/>
              </w:rPr>
              <w:t xml:space="preserve">To be </w:t>
            </w:r>
            <w:r w:rsidR="00F41223" w:rsidRPr="003818C4">
              <w:rPr>
                <w:rFonts w:ascii="Arial" w:eastAsia="Calibri" w:hAnsi="Arial" w:cs="Arial"/>
                <w:b/>
                <w:bCs/>
                <w:sz w:val="18"/>
                <w:szCs w:val="18"/>
                <w:lang w:val="en-GB"/>
              </w:rPr>
              <w:t>implemented</w:t>
            </w:r>
            <w:r w:rsidRPr="003818C4">
              <w:rPr>
                <w:rFonts w:ascii="Arial" w:eastAsia="Calibri" w:hAnsi="Arial" w:cs="Arial"/>
                <w:b/>
                <w:bCs/>
                <w:sz w:val="18"/>
                <w:szCs w:val="18"/>
                <w:lang w:val="en-GB"/>
              </w:rPr>
              <w:t xml:space="preserve"> by 31.12.2016</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p w14:paraId="71336E7E"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376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5D22BB0D"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239</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186ED57D"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87</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6F00E83C"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50</w:t>
            </w:r>
          </w:p>
        </w:tc>
      </w:tr>
      <w:tr w:rsidR="00E30B6F" w:rsidRPr="003818C4" w14:paraId="14F512F2" w14:textId="77777777" w:rsidTr="00E30B6F">
        <w:trPr>
          <w:trHeight w:val="243"/>
        </w:trPr>
        <w:tc>
          <w:tcPr>
            <w:tcW w:w="4365"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1FB3CBA6" w14:textId="77777777" w:rsidR="00E30B6F" w:rsidRPr="003818C4" w:rsidRDefault="00E30B6F" w:rsidP="00390578">
            <w:pPr>
              <w:pStyle w:val="Body"/>
              <w:spacing w:after="0" w:line="240" w:lineRule="auto"/>
              <w:rPr>
                <w:rFonts w:ascii="Arial" w:eastAsia="Calibri" w:hAnsi="Arial" w:cs="Arial"/>
                <w:b/>
                <w:bCs/>
                <w:sz w:val="18"/>
                <w:szCs w:val="18"/>
                <w:lang w:val="en-GB"/>
              </w:rPr>
            </w:pPr>
            <w:r w:rsidRPr="003818C4">
              <w:rPr>
                <w:rFonts w:ascii="Arial" w:eastAsia="Calibri" w:hAnsi="Arial" w:cs="Arial"/>
                <w:b/>
                <w:bCs/>
                <w:sz w:val="18"/>
                <w:szCs w:val="18"/>
                <w:lang w:val="en-GB"/>
              </w:rPr>
              <w:t xml:space="preserve">To be </w:t>
            </w:r>
            <w:r w:rsidR="00F41223" w:rsidRPr="003818C4">
              <w:rPr>
                <w:rFonts w:ascii="Arial" w:eastAsia="Calibri" w:hAnsi="Arial" w:cs="Arial"/>
                <w:b/>
                <w:bCs/>
                <w:sz w:val="18"/>
                <w:szCs w:val="18"/>
                <w:lang w:val="en-GB"/>
              </w:rPr>
              <w:t>implemented</w:t>
            </w:r>
            <w:r w:rsidRPr="003818C4">
              <w:rPr>
                <w:rFonts w:ascii="Arial" w:eastAsia="Calibri" w:hAnsi="Arial" w:cs="Arial"/>
                <w:b/>
                <w:bCs/>
                <w:sz w:val="18"/>
                <w:szCs w:val="18"/>
                <w:lang w:val="en-GB"/>
              </w:rPr>
              <w:t xml:space="preserve"> by 2017 - 2022</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4F9854CE"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77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21FA30D7"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16305EF5"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58B78EFB"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76</w:t>
            </w:r>
          </w:p>
        </w:tc>
      </w:tr>
      <w:tr w:rsidR="00E30B6F" w:rsidRPr="003818C4" w14:paraId="59DB7A08" w14:textId="77777777" w:rsidTr="00E30B6F">
        <w:trPr>
          <w:trHeight w:val="40"/>
        </w:trPr>
        <w:tc>
          <w:tcPr>
            <w:tcW w:w="4365"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p w14:paraId="18E486A3" w14:textId="77777777" w:rsidR="00E30B6F" w:rsidRPr="003818C4" w:rsidRDefault="00E30B6F" w:rsidP="00390578">
            <w:pPr>
              <w:pStyle w:val="Body"/>
              <w:spacing w:after="0" w:line="240" w:lineRule="auto"/>
              <w:rPr>
                <w:rFonts w:ascii="Arial" w:eastAsia="Calibri" w:hAnsi="Arial" w:cs="Arial"/>
                <w:b/>
                <w:bCs/>
                <w:sz w:val="18"/>
                <w:szCs w:val="18"/>
                <w:lang w:val="en-GB"/>
              </w:rPr>
            </w:pPr>
            <w:r w:rsidRPr="003818C4">
              <w:rPr>
                <w:rFonts w:ascii="Arial" w:eastAsia="Calibri" w:hAnsi="Arial" w:cs="Arial"/>
                <w:b/>
                <w:bCs/>
                <w:sz w:val="18"/>
                <w:szCs w:val="18"/>
                <w:lang w:val="en-GB"/>
              </w:rPr>
              <w:t>Continuous</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p w14:paraId="120DE1F3"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39A1ECBD"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99</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1403D0C0"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3</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716C112A" w14:textId="77777777" w:rsidR="00E30B6F" w:rsidRPr="003818C4" w:rsidRDefault="00E30B6F" w:rsidP="00390578">
            <w:pPr>
              <w:pStyle w:val="Body"/>
              <w:spacing w:after="0" w:line="240" w:lineRule="auto"/>
              <w:jc w:val="center"/>
              <w:rPr>
                <w:rFonts w:ascii="Arial" w:hAnsi="Arial" w:cs="Arial"/>
                <w:sz w:val="18"/>
                <w:szCs w:val="18"/>
                <w:lang w:val="en-GB"/>
              </w:rPr>
            </w:pPr>
            <w:r w:rsidRPr="003818C4">
              <w:rPr>
                <w:rFonts w:ascii="Arial" w:hAnsi="Arial" w:cs="Arial"/>
                <w:sz w:val="18"/>
                <w:szCs w:val="18"/>
                <w:lang w:val="en-GB"/>
              </w:rPr>
              <w:t>17</w:t>
            </w:r>
          </w:p>
        </w:tc>
      </w:tr>
    </w:tbl>
    <w:p w14:paraId="53E575D3" w14:textId="77777777" w:rsidR="00E30B6F" w:rsidRPr="003818C4" w:rsidRDefault="00E30B6F" w:rsidP="001164F1">
      <w:pPr>
        <w:pStyle w:val="Heading3"/>
        <w:spacing w:before="120" w:after="120" w:line="240" w:lineRule="auto"/>
        <w:rPr>
          <w:rFonts w:ascii="Arial" w:hAnsi="Arial" w:cs="Arial"/>
          <w:b/>
          <w:color w:val="0B5294" w:themeColor="accent1" w:themeShade="BF"/>
          <w:sz w:val="18"/>
          <w:szCs w:val="18"/>
          <w:lang w:val="en-GB"/>
        </w:rPr>
      </w:pPr>
      <w:bookmarkStart w:id="34" w:name="_Toc478028671"/>
      <w:bookmarkStart w:id="35" w:name="_Toc477762704"/>
      <w:r w:rsidRPr="003818C4">
        <w:rPr>
          <w:rFonts w:ascii="Arial" w:hAnsi="Arial" w:cs="Arial"/>
          <w:b/>
          <w:color w:val="0B5294" w:themeColor="accent1" w:themeShade="BF"/>
          <w:sz w:val="18"/>
          <w:szCs w:val="18"/>
          <w:lang w:val="en-GB"/>
        </w:rPr>
        <w:t>Conclusions (Title V)</w:t>
      </w:r>
      <w:bookmarkEnd w:id="34"/>
    </w:p>
    <w:p w14:paraId="24E5EF3A" w14:textId="77777777" w:rsidR="00E30B6F" w:rsidRPr="003818C4" w:rsidRDefault="00E30B6F" w:rsidP="00390578">
      <w:pPr>
        <w:pStyle w:val="Body"/>
        <w:numPr>
          <w:ilvl w:val="0"/>
          <w:numId w:val="48"/>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The EU is the main trading partner of Moldova. Over 63% of Moldovan experts go to the EU, and around 50% of imports are coming from the EU. Thus, the value of exports to the EU reported increased by 6.9% in 2016 compared to 2014. In real terms, the volume of exports increased of over 27% since implementation provisional DCFTA September 1, 2014 until the end of 2016. </w:t>
      </w:r>
    </w:p>
    <w:p w14:paraId="24175A2A" w14:textId="77777777" w:rsidR="00E30B6F" w:rsidRPr="003818C4" w:rsidRDefault="00E30B6F" w:rsidP="00390578">
      <w:pPr>
        <w:pStyle w:val="Body"/>
        <w:numPr>
          <w:ilvl w:val="0"/>
          <w:numId w:val="48"/>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Moldova managed to value only partially the tariff quotas offered under the DCFTA, mainly due to the poor infrastructure for certification and laboratory testing of products offered for export, lack of necessary sanitary measures in place and certain regulatory and institutional impediments.</w:t>
      </w:r>
    </w:p>
    <w:p w14:paraId="2EEACBC9" w14:textId="77777777" w:rsidR="00E30B6F" w:rsidRPr="003818C4" w:rsidRDefault="00E30B6F" w:rsidP="00390578">
      <w:pPr>
        <w:pStyle w:val="Body"/>
        <w:numPr>
          <w:ilvl w:val="0"/>
          <w:numId w:val="48"/>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Efforts are needed to increase the investment in the infrastructure for testing the conformity of Moldovan industrial goods with the EU standards.</w:t>
      </w:r>
    </w:p>
    <w:p w14:paraId="00989F49" w14:textId="77777777" w:rsidR="00E30B6F" w:rsidRPr="003818C4" w:rsidRDefault="00E30B6F" w:rsidP="00390578">
      <w:pPr>
        <w:pStyle w:val="Body"/>
        <w:numPr>
          <w:ilvl w:val="0"/>
          <w:numId w:val="48"/>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Quality verification centres at the border and customs crossing points in order to verify the quality of exported goods are still missing. It affects the efficiency of exports of animal and vegetable products.</w:t>
      </w:r>
    </w:p>
    <w:p w14:paraId="7A236F02" w14:textId="77777777" w:rsidR="00E30B6F" w:rsidRPr="003818C4" w:rsidRDefault="00E30B6F" w:rsidP="00390578">
      <w:pPr>
        <w:pStyle w:val="Body"/>
        <w:numPr>
          <w:ilvl w:val="0"/>
          <w:numId w:val="48"/>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A new law on public procurement is in place. However, its practical implementation is still an important challenge. The E-procurement is not fully operational.</w:t>
      </w:r>
    </w:p>
    <w:p w14:paraId="3C66A879" w14:textId="77777777" w:rsidR="00E30B6F" w:rsidRPr="003818C4" w:rsidRDefault="00E30B6F" w:rsidP="00390578">
      <w:pPr>
        <w:pStyle w:val="Body"/>
        <w:numPr>
          <w:ilvl w:val="0"/>
          <w:numId w:val="48"/>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A completion law is in place and is generally in line with the EU acquis. However, the law does not favour the application of leniency policy and the fines for non-competition activities are not are not sufficiently dissuasive. The efficiency and the role of the Competition Council still needs to be reinforced.</w:t>
      </w:r>
    </w:p>
    <w:p w14:paraId="4959FC01" w14:textId="77777777" w:rsidR="00E30B6F" w:rsidRPr="003818C4" w:rsidRDefault="00E30B6F" w:rsidP="001164F1">
      <w:pPr>
        <w:pStyle w:val="Heading3"/>
        <w:spacing w:before="120" w:after="120" w:line="240" w:lineRule="auto"/>
        <w:rPr>
          <w:rFonts w:ascii="Arial" w:hAnsi="Arial" w:cs="Arial"/>
          <w:b/>
          <w:color w:val="0B5294" w:themeColor="accent1" w:themeShade="BF"/>
          <w:sz w:val="18"/>
          <w:szCs w:val="18"/>
          <w:lang w:val="en-GB"/>
        </w:rPr>
      </w:pPr>
      <w:bookmarkStart w:id="36" w:name="_Toc478028672"/>
      <w:r w:rsidRPr="003818C4">
        <w:rPr>
          <w:rFonts w:ascii="Arial" w:hAnsi="Arial" w:cs="Arial"/>
          <w:b/>
          <w:color w:val="0B5294" w:themeColor="accent1" w:themeShade="BF"/>
          <w:sz w:val="18"/>
          <w:szCs w:val="18"/>
          <w:lang w:val="en-GB"/>
        </w:rPr>
        <w:t>Recommendations (Title V)</w:t>
      </w:r>
      <w:bookmarkEnd w:id="35"/>
      <w:bookmarkEnd w:id="36"/>
    </w:p>
    <w:p w14:paraId="1C25883C" w14:textId="77777777" w:rsidR="00E30B6F" w:rsidRPr="003818C4" w:rsidRDefault="00E30B6F" w:rsidP="00890C8B">
      <w:pPr>
        <w:pStyle w:val="Body"/>
        <w:numPr>
          <w:ilvl w:val="0"/>
          <w:numId w:val="37"/>
        </w:numPr>
        <w:spacing w:before="120" w:after="120" w:line="240" w:lineRule="auto"/>
        <w:ind w:left="284" w:hanging="284"/>
        <w:rPr>
          <w:rStyle w:val="NoneA"/>
          <w:rFonts w:ascii="Arial" w:hAnsi="Arial" w:cs="Arial"/>
          <w:b/>
          <w:bCs/>
          <w:sz w:val="18"/>
          <w:szCs w:val="18"/>
          <w:lang w:val="en-GB"/>
        </w:rPr>
      </w:pPr>
      <w:r w:rsidRPr="003818C4">
        <w:rPr>
          <w:rStyle w:val="NoneA"/>
          <w:rFonts w:ascii="Arial" w:hAnsi="Arial" w:cs="Arial"/>
          <w:b/>
          <w:bCs/>
          <w:sz w:val="18"/>
          <w:szCs w:val="18"/>
          <w:lang w:val="en-GB"/>
        </w:rPr>
        <w:t>Technical barriers in the trade area:</w:t>
      </w:r>
    </w:p>
    <w:p w14:paraId="66E81F6A" w14:textId="77777777" w:rsidR="00E30B6F" w:rsidRPr="003818C4" w:rsidRDefault="00E30B6F" w:rsidP="00890C8B">
      <w:pPr>
        <w:pStyle w:val="Body"/>
        <w:numPr>
          <w:ilvl w:val="0"/>
          <w:numId w:val="38"/>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Implementation of the national regulatory framework in the area of standardization, metrology, compliance assessment and market surveillance for the industrial products that have the potential of being produced and exported from Moldova;</w:t>
      </w:r>
    </w:p>
    <w:p w14:paraId="720A197E" w14:textId="77777777" w:rsidR="00E30B6F" w:rsidRPr="003818C4" w:rsidRDefault="00E30B6F" w:rsidP="00890C8B">
      <w:pPr>
        <w:pStyle w:val="Body"/>
        <w:numPr>
          <w:ilvl w:val="0"/>
          <w:numId w:val="38"/>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Infras</w:t>
      </w:r>
      <w:r w:rsidR="00F41223" w:rsidRPr="003818C4">
        <w:rPr>
          <w:rStyle w:val="NoneA"/>
          <w:rFonts w:ascii="Arial" w:hAnsi="Arial" w:cs="Arial"/>
          <w:bCs/>
          <w:sz w:val="18"/>
          <w:szCs w:val="18"/>
          <w:lang w:val="en-GB"/>
        </w:rPr>
        <w:t>tructure investments to test</w:t>
      </w:r>
      <w:r w:rsidRPr="003818C4">
        <w:rPr>
          <w:rStyle w:val="NoneA"/>
          <w:rFonts w:ascii="Arial" w:hAnsi="Arial" w:cs="Arial"/>
          <w:bCs/>
          <w:sz w:val="18"/>
          <w:szCs w:val="18"/>
          <w:lang w:val="en-GB"/>
        </w:rPr>
        <w:t xml:space="preserve"> compliance of the industrial goods with the EU standards </w:t>
      </w:r>
      <w:r w:rsidR="00F41223" w:rsidRPr="003818C4">
        <w:rPr>
          <w:rStyle w:val="NoneA"/>
          <w:rFonts w:ascii="Arial" w:hAnsi="Arial" w:cs="Arial"/>
          <w:bCs/>
          <w:sz w:val="18"/>
          <w:szCs w:val="18"/>
          <w:lang w:val="en-GB"/>
        </w:rPr>
        <w:t>implemented in Moldova; ensure</w:t>
      </w:r>
      <w:r w:rsidRPr="003818C4">
        <w:rPr>
          <w:rStyle w:val="NoneA"/>
          <w:rFonts w:ascii="Arial" w:hAnsi="Arial" w:cs="Arial"/>
          <w:bCs/>
          <w:sz w:val="18"/>
          <w:szCs w:val="18"/>
          <w:lang w:val="en-GB"/>
        </w:rPr>
        <w:t xml:space="preserve"> the due level of quality of these tests performed in the Moldovan laboratories through their cer</w:t>
      </w:r>
      <w:r w:rsidR="00F41223" w:rsidRPr="003818C4">
        <w:rPr>
          <w:rStyle w:val="NoneA"/>
          <w:rFonts w:ascii="Arial" w:hAnsi="Arial" w:cs="Arial"/>
          <w:bCs/>
          <w:sz w:val="18"/>
          <w:szCs w:val="18"/>
          <w:lang w:val="en-GB"/>
        </w:rPr>
        <w:t>tification and periodic audit of</w:t>
      </w:r>
      <w:r w:rsidRPr="003818C4">
        <w:rPr>
          <w:rStyle w:val="NoneA"/>
          <w:rFonts w:ascii="Arial" w:hAnsi="Arial" w:cs="Arial"/>
          <w:bCs/>
          <w:sz w:val="18"/>
          <w:szCs w:val="18"/>
          <w:lang w:val="en-GB"/>
        </w:rPr>
        <w:t xml:space="preserve"> compliance;</w:t>
      </w:r>
    </w:p>
    <w:p w14:paraId="0880FDDF" w14:textId="77777777" w:rsidR="00E30B6F" w:rsidRPr="003818C4" w:rsidRDefault="00E30B6F" w:rsidP="00890C8B">
      <w:pPr>
        <w:pStyle w:val="Body"/>
        <w:numPr>
          <w:ilvl w:val="0"/>
          <w:numId w:val="38"/>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Adoption and implementation of the Industrial Products’ Compliance Assessment</w:t>
      </w:r>
      <w:r w:rsidR="00F41223" w:rsidRPr="003818C4">
        <w:rPr>
          <w:rStyle w:val="NoneA"/>
          <w:rFonts w:ascii="Arial" w:hAnsi="Arial" w:cs="Arial"/>
          <w:bCs/>
          <w:sz w:val="18"/>
          <w:szCs w:val="18"/>
          <w:lang w:val="en-GB"/>
        </w:rPr>
        <w:t xml:space="preserve"> Agreement</w:t>
      </w:r>
      <w:r w:rsidRPr="003818C4">
        <w:rPr>
          <w:rStyle w:val="NoneA"/>
          <w:rFonts w:ascii="Arial" w:hAnsi="Arial" w:cs="Arial"/>
          <w:bCs/>
          <w:sz w:val="18"/>
          <w:szCs w:val="18"/>
          <w:lang w:val="en-GB"/>
        </w:rPr>
        <w:t>,</w:t>
      </w:r>
      <w:r w:rsidR="00F41223" w:rsidRPr="003818C4">
        <w:rPr>
          <w:rStyle w:val="NoneA"/>
          <w:rFonts w:ascii="Arial" w:hAnsi="Arial" w:cs="Arial"/>
          <w:bCs/>
          <w:sz w:val="18"/>
          <w:szCs w:val="18"/>
          <w:lang w:val="en-GB"/>
        </w:rPr>
        <w:t xml:space="preserve"> including the Roadmap</w:t>
      </w:r>
      <w:r w:rsidRPr="003818C4">
        <w:rPr>
          <w:rStyle w:val="NoneA"/>
          <w:rFonts w:ascii="Arial" w:hAnsi="Arial" w:cs="Arial"/>
          <w:bCs/>
          <w:sz w:val="18"/>
          <w:szCs w:val="18"/>
          <w:lang w:val="en-GB"/>
        </w:rPr>
        <w:t>.</w:t>
      </w:r>
    </w:p>
    <w:p w14:paraId="57981AAB" w14:textId="77777777" w:rsidR="00E30B6F" w:rsidRPr="003818C4" w:rsidRDefault="00E30B6F" w:rsidP="00890C8B">
      <w:pPr>
        <w:pStyle w:val="Body"/>
        <w:numPr>
          <w:ilvl w:val="0"/>
          <w:numId w:val="37"/>
        </w:numPr>
        <w:spacing w:before="120" w:after="120" w:line="240" w:lineRule="auto"/>
        <w:ind w:left="284" w:hanging="284"/>
        <w:rPr>
          <w:rStyle w:val="NoneA"/>
          <w:rFonts w:ascii="Arial" w:hAnsi="Arial" w:cs="Arial"/>
          <w:b/>
          <w:bCs/>
          <w:sz w:val="18"/>
          <w:szCs w:val="18"/>
          <w:lang w:val="en-GB"/>
        </w:rPr>
      </w:pPr>
      <w:r w:rsidRPr="003818C4">
        <w:rPr>
          <w:rStyle w:val="NoneA"/>
          <w:rFonts w:ascii="Arial" w:hAnsi="Arial" w:cs="Arial"/>
          <w:b/>
          <w:bCs/>
          <w:sz w:val="18"/>
          <w:szCs w:val="18"/>
          <w:lang w:val="en-GB"/>
        </w:rPr>
        <w:t xml:space="preserve">Sanitary and </w:t>
      </w:r>
      <w:proofErr w:type="spellStart"/>
      <w:r w:rsidRPr="003818C4">
        <w:rPr>
          <w:rStyle w:val="NoneA"/>
          <w:rFonts w:ascii="Arial" w:hAnsi="Arial" w:cs="Arial"/>
          <w:b/>
          <w:bCs/>
          <w:sz w:val="18"/>
          <w:szCs w:val="18"/>
          <w:lang w:val="en-GB"/>
        </w:rPr>
        <w:t>phyto</w:t>
      </w:r>
      <w:proofErr w:type="spellEnd"/>
      <w:r w:rsidR="00F41223" w:rsidRPr="003818C4">
        <w:rPr>
          <w:rStyle w:val="NoneA"/>
          <w:rFonts w:ascii="Arial" w:hAnsi="Arial" w:cs="Arial"/>
          <w:b/>
          <w:bCs/>
          <w:sz w:val="18"/>
          <w:szCs w:val="18"/>
          <w:lang w:val="en-GB"/>
        </w:rPr>
        <w:t>-</w:t>
      </w:r>
      <w:r w:rsidRPr="003818C4">
        <w:rPr>
          <w:rStyle w:val="NoneA"/>
          <w:rFonts w:ascii="Arial" w:hAnsi="Arial" w:cs="Arial"/>
          <w:b/>
          <w:bCs/>
          <w:sz w:val="18"/>
          <w:szCs w:val="18"/>
          <w:lang w:val="en-GB"/>
        </w:rPr>
        <w:t>sanitary measures:</w:t>
      </w:r>
    </w:p>
    <w:p w14:paraId="0143F6FB" w14:textId="77777777" w:rsidR="00E30B6F" w:rsidRPr="003818C4" w:rsidRDefault="00E30B6F" w:rsidP="00890C8B">
      <w:pPr>
        <w:pStyle w:val="Body"/>
        <w:numPr>
          <w:ilvl w:val="0"/>
          <w:numId w:val="40"/>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Establishment of control centres at the border crossing points;</w:t>
      </w:r>
    </w:p>
    <w:p w14:paraId="27669B08" w14:textId="77777777" w:rsidR="00E30B6F" w:rsidRPr="003818C4" w:rsidRDefault="00E30B6F" w:rsidP="00890C8B">
      <w:pPr>
        <w:pStyle w:val="Body"/>
        <w:numPr>
          <w:ilvl w:val="0"/>
          <w:numId w:val="40"/>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Transposition of sanitary standards for the Moldovan products with export potential;</w:t>
      </w:r>
    </w:p>
    <w:p w14:paraId="26563CF4" w14:textId="77777777" w:rsidR="00E30B6F" w:rsidRPr="003818C4" w:rsidRDefault="00E30B6F" w:rsidP="00890C8B">
      <w:pPr>
        <w:pStyle w:val="Body"/>
        <w:numPr>
          <w:ilvl w:val="0"/>
          <w:numId w:val="40"/>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Starting the export of products of animal origin (eggs, milk, meat);</w:t>
      </w:r>
    </w:p>
    <w:p w14:paraId="556D20B6" w14:textId="77777777" w:rsidR="00E30B6F" w:rsidRPr="003818C4" w:rsidRDefault="00E30B6F" w:rsidP="00890C8B">
      <w:pPr>
        <w:pStyle w:val="Body"/>
        <w:numPr>
          <w:ilvl w:val="0"/>
          <w:numId w:val="40"/>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Implementation of the animal traceability system;</w:t>
      </w:r>
    </w:p>
    <w:p w14:paraId="568CD3EC" w14:textId="77777777" w:rsidR="00E30B6F" w:rsidRPr="003818C4" w:rsidRDefault="00E30B6F" w:rsidP="00890C8B">
      <w:pPr>
        <w:pStyle w:val="Body"/>
        <w:numPr>
          <w:ilvl w:val="0"/>
          <w:numId w:val="40"/>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lastRenderedPageBreak/>
        <w:t>Functioning of the laboratories for quality checks and compliance assessment of animal and vegetal products.</w:t>
      </w:r>
    </w:p>
    <w:p w14:paraId="73AAF92C" w14:textId="77777777" w:rsidR="00E30B6F" w:rsidRPr="003818C4" w:rsidRDefault="00E30B6F" w:rsidP="00890C8B">
      <w:pPr>
        <w:pStyle w:val="Body"/>
        <w:numPr>
          <w:ilvl w:val="0"/>
          <w:numId w:val="37"/>
        </w:numPr>
        <w:spacing w:before="120" w:after="120" w:line="240" w:lineRule="auto"/>
        <w:ind w:left="284" w:hanging="284"/>
        <w:rPr>
          <w:rStyle w:val="NoneA"/>
          <w:rFonts w:ascii="Arial" w:hAnsi="Arial" w:cs="Arial"/>
          <w:b/>
          <w:bCs/>
          <w:sz w:val="18"/>
          <w:szCs w:val="18"/>
          <w:lang w:val="en-GB"/>
        </w:rPr>
      </w:pPr>
      <w:r w:rsidRPr="003818C4">
        <w:rPr>
          <w:rStyle w:val="NoneA"/>
          <w:rFonts w:ascii="Arial" w:hAnsi="Arial" w:cs="Arial"/>
          <w:b/>
          <w:bCs/>
          <w:sz w:val="18"/>
          <w:szCs w:val="18"/>
          <w:lang w:val="en-GB"/>
        </w:rPr>
        <w:t>Public procurement:</w:t>
      </w:r>
    </w:p>
    <w:p w14:paraId="0125F12B" w14:textId="77777777" w:rsidR="00E30B6F" w:rsidRPr="003818C4" w:rsidRDefault="00E30B6F" w:rsidP="00890C8B">
      <w:pPr>
        <w:pStyle w:val="Body"/>
        <w:numPr>
          <w:ilvl w:val="1"/>
          <w:numId w:val="23"/>
        </w:numPr>
        <w:spacing w:before="120" w:after="120" w:line="240" w:lineRule="auto"/>
        <w:ind w:left="567" w:hanging="357"/>
        <w:rPr>
          <w:rStyle w:val="NoneA"/>
          <w:rFonts w:ascii="Arial" w:hAnsi="Arial" w:cs="Arial"/>
          <w:bCs/>
          <w:sz w:val="18"/>
          <w:szCs w:val="18"/>
          <w:lang w:val="en-GB"/>
        </w:rPr>
      </w:pPr>
      <w:r w:rsidRPr="003818C4">
        <w:rPr>
          <w:rStyle w:val="NoneA"/>
          <w:rFonts w:ascii="Arial" w:hAnsi="Arial" w:cs="Arial"/>
          <w:bCs/>
          <w:sz w:val="18"/>
          <w:szCs w:val="18"/>
          <w:lang w:val="en-GB"/>
        </w:rPr>
        <w:t>Implemen</w:t>
      </w:r>
      <w:r w:rsidR="00F41223" w:rsidRPr="003818C4">
        <w:rPr>
          <w:rStyle w:val="NoneA"/>
          <w:rFonts w:ascii="Arial" w:hAnsi="Arial" w:cs="Arial"/>
          <w:bCs/>
          <w:sz w:val="18"/>
          <w:szCs w:val="18"/>
          <w:lang w:val="en-GB"/>
        </w:rPr>
        <w:t xml:space="preserve">tation of the National </w:t>
      </w:r>
      <w:r w:rsidRPr="003818C4">
        <w:rPr>
          <w:rStyle w:val="NoneA"/>
          <w:rFonts w:ascii="Arial" w:hAnsi="Arial" w:cs="Arial"/>
          <w:bCs/>
          <w:sz w:val="18"/>
          <w:szCs w:val="18"/>
          <w:lang w:val="en-GB"/>
        </w:rPr>
        <w:t>Public Procurement System</w:t>
      </w:r>
      <w:r w:rsidR="00F41223" w:rsidRPr="003818C4">
        <w:rPr>
          <w:rStyle w:val="NoneA"/>
          <w:rFonts w:ascii="Arial" w:hAnsi="Arial" w:cs="Arial"/>
          <w:bCs/>
          <w:sz w:val="18"/>
          <w:szCs w:val="18"/>
          <w:lang w:val="en-GB"/>
        </w:rPr>
        <w:t xml:space="preserve"> Development Strategy</w:t>
      </w:r>
      <w:r w:rsidRPr="003818C4">
        <w:rPr>
          <w:rStyle w:val="NoneA"/>
          <w:rFonts w:ascii="Arial" w:hAnsi="Arial" w:cs="Arial"/>
          <w:bCs/>
          <w:sz w:val="18"/>
          <w:szCs w:val="18"/>
          <w:lang w:val="en-GB"/>
        </w:rPr>
        <w:t>;</w:t>
      </w:r>
    </w:p>
    <w:p w14:paraId="27A1AC8E" w14:textId="77777777" w:rsidR="00E30B6F" w:rsidRPr="003818C4" w:rsidRDefault="00F41223" w:rsidP="00890C8B">
      <w:pPr>
        <w:pStyle w:val="Body"/>
        <w:numPr>
          <w:ilvl w:val="1"/>
          <w:numId w:val="23"/>
        </w:numPr>
        <w:spacing w:before="120" w:after="120" w:line="240" w:lineRule="auto"/>
        <w:ind w:left="567" w:hanging="357"/>
        <w:rPr>
          <w:rStyle w:val="NoneA"/>
          <w:rFonts w:ascii="Arial" w:hAnsi="Arial" w:cs="Arial"/>
          <w:bCs/>
          <w:sz w:val="18"/>
          <w:szCs w:val="18"/>
          <w:lang w:val="en-GB"/>
        </w:rPr>
      </w:pPr>
      <w:r w:rsidRPr="003818C4">
        <w:rPr>
          <w:rStyle w:val="NoneA"/>
          <w:rFonts w:ascii="Arial" w:hAnsi="Arial" w:cs="Arial"/>
          <w:bCs/>
          <w:sz w:val="18"/>
          <w:szCs w:val="18"/>
          <w:lang w:val="en-GB"/>
        </w:rPr>
        <w:t>Adoption and enforcement of</w:t>
      </w:r>
      <w:r w:rsidR="00E30B6F" w:rsidRPr="003818C4">
        <w:rPr>
          <w:rStyle w:val="NoneA"/>
          <w:rFonts w:ascii="Arial" w:hAnsi="Arial" w:cs="Arial"/>
          <w:bCs/>
          <w:sz w:val="18"/>
          <w:szCs w:val="18"/>
          <w:lang w:val="en-GB"/>
        </w:rPr>
        <w:t xml:space="preserve"> legislative acts </w:t>
      </w:r>
      <w:r w:rsidRPr="003818C4">
        <w:rPr>
          <w:rStyle w:val="NoneA"/>
          <w:rFonts w:ascii="Arial" w:hAnsi="Arial" w:cs="Arial"/>
          <w:bCs/>
          <w:sz w:val="18"/>
          <w:szCs w:val="18"/>
          <w:lang w:val="en-GB"/>
        </w:rPr>
        <w:t>on</w:t>
      </w:r>
      <w:r w:rsidR="00E30B6F" w:rsidRPr="003818C4">
        <w:rPr>
          <w:rStyle w:val="NoneA"/>
          <w:rFonts w:ascii="Arial" w:hAnsi="Arial" w:cs="Arial"/>
          <w:bCs/>
          <w:sz w:val="18"/>
          <w:szCs w:val="18"/>
          <w:lang w:val="en-GB"/>
        </w:rPr>
        <w:t xml:space="preserve"> sectoral public procurement contracts;</w:t>
      </w:r>
    </w:p>
    <w:p w14:paraId="00658454" w14:textId="77777777" w:rsidR="00E30B6F" w:rsidRPr="003818C4" w:rsidRDefault="00E30B6F" w:rsidP="00890C8B">
      <w:pPr>
        <w:pStyle w:val="Body"/>
        <w:numPr>
          <w:ilvl w:val="1"/>
          <w:numId w:val="23"/>
        </w:numPr>
        <w:spacing w:before="120" w:after="120" w:line="240" w:lineRule="auto"/>
        <w:ind w:left="567" w:hanging="357"/>
        <w:rPr>
          <w:rStyle w:val="NoneA"/>
          <w:rFonts w:ascii="Arial" w:hAnsi="Arial" w:cs="Arial"/>
          <w:bCs/>
          <w:sz w:val="18"/>
          <w:szCs w:val="18"/>
          <w:lang w:val="en-GB"/>
        </w:rPr>
      </w:pPr>
      <w:r w:rsidRPr="003818C4">
        <w:rPr>
          <w:rStyle w:val="NoneA"/>
          <w:rFonts w:ascii="Arial" w:hAnsi="Arial" w:cs="Arial"/>
          <w:bCs/>
          <w:sz w:val="18"/>
          <w:szCs w:val="18"/>
          <w:lang w:val="en-GB"/>
        </w:rPr>
        <w:t xml:space="preserve">Functioning of the National </w:t>
      </w:r>
      <w:r w:rsidR="00F41223" w:rsidRPr="003818C4">
        <w:rPr>
          <w:rStyle w:val="NoneA"/>
          <w:rFonts w:ascii="Arial" w:hAnsi="Arial" w:cs="Arial"/>
          <w:bCs/>
          <w:sz w:val="18"/>
          <w:szCs w:val="18"/>
          <w:lang w:val="en-GB"/>
        </w:rPr>
        <w:t>Complaints Management Agency</w:t>
      </w:r>
      <w:r w:rsidRPr="003818C4">
        <w:rPr>
          <w:rStyle w:val="NoneA"/>
          <w:rFonts w:ascii="Arial" w:hAnsi="Arial" w:cs="Arial"/>
          <w:bCs/>
          <w:sz w:val="18"/>
          <w:szCs w:val="18"/>
          <w:lang w:val="en-GB"/>
        </w:rPr>
        <w:t>.</w:t>
      </w:r>
    </w:p>
    <w:p w14:paraId="51924718" w14:textId="77777777" w:rsidR="00E30B6F" w:rsidRPr="003818C4" w:rsidRDefault="00E30B6F" w:rsidP="00890C8B">
      <w:pPr>
        <w:pStyle w:val="Body"/>
        <w:numPr>
          <w:ilvl w:val="0"/>
          <w:numId w:val="37"/>
        </w:numPr>
        <w:spacing w:before="120" w:after="120" w:line="240" w:lineRule="auto"/>
        <w:ind w:left="284" w:hanging="284"/>
        <w:rPr>
          <w:rStyle w:val="NoneA"/>
          <w:rFonts w:ascii="Arial" w:hAnsi="Arial" w:cs="Arial"/>
          <w:b/>
          <w:bCs/>
          <w:sz w:val="18"/>
          <w:szCs w:val="18"/>
          <w:lang w:val="en-GB"/>
        </w:rPr>
      </w:pPr>
      <w:r w:rsidRPr="003818C4">
        <w:rPr>
          <w:rStyle w:val="NoneA"/>
          <w:rFonts w:ascii="Arial" w:hAnsi="Arial" w:cs="Arial"/>
          <w:b/>
          <w:bCs/>
          <w:sz w:val="18"/>
          <w:szCs w:val="18"/>
          <w:lang w:val="en-GB"/>
        </w:rPr>
        <w:t>Competition and state aid:</w:t>
      </w:r>
    </w:p>
    <w:p w14:paraId="73BE4B3B" w14:textId="77777777" w:rsidR="00E30B6F" w:rsidRPr="003818C4" w:rsidRDefault="00E30B6F" w:rsidP="00890C8B">
      <w:pPr>
        <w:pStyle w:val="Body"/>
        <w:numPr>
          <w:ilvl w:val="0"/>
          <w:numId w:val="39"/>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Approval of the modifications to the legislative framework to ensure the compliance with the Law on competition;</w:t>
      </w:r>
    </w:p>
    <w:p w14:paraId="66590F5E" w14:textId="77777777" w:rsidR="00E30B6F" w:rsidRPr="003818C4" w:rsidRDefault="00E30B6F" w:rsidP="00890C8B">
      <w:pPr>
        <w:pStyle w:val="Body"/>
        <w:numPr>
          <w:ilvl w:val="0"/>
          <w:numId w:val="39"/>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 xml:space="preserve">Establishment of a mechanism </w:t>
      </w:r>
      <w:r w:rsidR="00F41223" w:rsidRPr="003818C4">
        <w:rPr>
          <w:rStyle w:val="NoneA"/>
          <w:rFonts w:ascii="Arial" w:hAnsi="Arial" w:cs="Arial"/>
          <w:bCs/>
          <w:sz w:val="18"/>
          <w:szCs w:val="18"/>
          <w:lang w:val="en-GB"/>
        </w:rPr>
        <w:t>of</w:t>
      </w:r>
      <w:r w:rsidRPr="003818C4">
        <w:rPr>
          <w:rStyle w:val="NoneA"/>
          <w:rFonts w:ascii="Arial" w:hAnsi="Arial" w:cs="Arial"/>
          <w:bCs/>
          <w:sz w:val="18"/>
          <w:szCs w:val="18"/>
          <w:lang w:val="en-GB"/>
        </w:rPr>
        <w:t xml:space="preserve"> </w:t>
      </w:r>
      <w:r w:rsidRPr="003818C4">
        <w:rPr>
          <w:rStyle w:val="NoneA"/>
          <w:rFonts w:ascii="Arial" w:hAnsi="Arial" w:cs="Arial"/>
          <w:bCs/>
          <w:i/>
          <w:sz w:val="18"/>
          <w:szCs w:val="18"/>
          <w:lang w:val="en-GB"/>
        </w:rPr>
        <w:t>ex-ante</w:t>
      </w:r>
      <w:r w:rsidRPr="003818C4">
        <w:rPr>
          <w:rStyle w:val="NoneA"/>
          <w:rFonts w:ascii="Arial" w:hAnsi="Arial" w:cs="Arial"/>
          <w:bCs/>
          <w:sz w:val="18"/>
          <w:szCs w:val="18"/>
          <w:lang w:val="en-GB"/>
        </w:rPr>
        <w:t xml:space="preserve"> evaluation of the draft legislative and normative framework in relation to competition and state aid;</w:t>
      </w:r>
    </w:p>
    <w:p w14:paraId="01AF6996" w14:textId="77777777" w:rsidR="00E30B6F" w:rsidRPr="003818C4" w:rsidRDefault="00E30B6F" w:rsidP="00890C8B">
      <w:pPr>
        <w:pStyle w:val="Body"/>
        <w:numPr>
          <w:ilvl w:val="0"/>
          <w:numId w:val="39"/>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 xml:space="preserve">Approval and implementation of the National </w:t>
      </w:r>
      <w:r w:rsidR="00F41223" w:rsidRPr="003818C4">
        <w:rPr>
          <w:rStyle w:val="NoneA"/>
          <w:rFonts w:ascii="Arial" w:hAnsi="Arial" w:cs="Arial"/>
          <w:bCs/>
          <w:sz w:val="18"/>
          <w:szCs w:val="18"/>
          <w:lang w:val="en-GB"/>
        </w:rPr>
        <w:t xml:space="preserve">Competition and State Aid </w:t>
      </w:r>
      <w:r w:rsidRPr="003818C4">
        <w:rPr>
          <w:rStyle w:val="NoneA"/>
          <w:rFonts w:ascii="Arial" w:hAnsi="Arial" w:cs="Arial"/>
          <w:bCs/>
          <w:sz w:val="18"/>
          <w:szCs w:val="18"/>
          <w:lang w:val="en-GB"/>
        </w:rPr>
        <w:t>Program</w:t>
      </w:r>
      <w:r w:rsidR="00F41223" w:rsidRPr="003818C4">
        <w:rPr>
          <w:rStyle w:val="NoneA"/>
          <w:rFonts w:ascii="Arial" w:hAnsi="Arial" w:cs="Arial"/>
          <w:bCs/>
          <w:sz w:val="18"/>
          <w:szCs w:val="18"/>
          <w:lang w:val="en-GB"/>
        </w:rPr>
        <w:t>me for</w:t>
      </w:r>
      <w:r w:rsidRPr="003818C4">
        <w:rPr>
          <w:rStyle w:val="NoneA"/>
          <w:rFonts w:ascii="Arial" w:hAnsi="Arial" w:cs="Arial"/>
          <w:bCs/>
          <w:sz w:val="18"/>
          <w:szCs w:val="18"/>
          <w:lang w:val="en-GB"/>
        </w:rPr>
        <w:t xml:space="preserve"> 2016-2020;</w:t>
      </w:r>
    </w:p>
    <w:p w14:paraId="41724A34" w14:textId="77777777" w:rsidR="00E30B6F" w:rsidRPr="003818C4" w:rsidRDefault="00E30B6F" w:rsidP="00890C8B">
      <w:pPr>
        <w:pStyle w:val="Body"/>
        <w:numPr>
          <w:ilvl w:val="0"/>
          <w:numId w:val="39"/>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Analysis of the competition environment on the priority markets that</w:t>
      </w:r>
      <w:r w:rsidR="00F41223" w:rsidRPr="003818C4">
        <w:rPr>
          <w:rStyle w:val="NoneA"/>
          <w:rFonts w:ascii="Arial" w:hAnsi="Arial" w:cs="Arial"/>
          <w:bCs/>
          <w:sz w:val="18"/>
          <w:szCs w:val="18"/>
          <w:lang w:val="en-GB"/>
        </w:rPr>
        <w:t xml:space="preserve"> have an increased impact on consumers, on</w:t>
      </w:r>
      <w:r w:rsidR="00F74E6A" w:rsidRPr="003818C4">
        <w:rPr>
          <w:rStyle w:val="NoneA"/>
          <w:rFonts w:ascii="Arial" w:hAnsi="Arial" w:cs="Arial"/>
          <w:bCs/>
          <w:sz w:val="18"/>
          <w:szCs w:val="18"/>
          <w:lang w:val="en-GB"/>
        </w:rPr>
        <w:t xml:space="preserve"> business environment and on</w:t>
      </w:r>
      <w:r w:rsidRPr="003818C4">
        <w:rPr>
          <w:rStyle w:val="NoneA"/>
          <w:rFonts w:ascii="Arial" w:hAnsi="Arial" w:cs="Arial"/>
          <w:bCs/>
          <w:sz w:val="18"/>
          <w:szCs w:val="18"/>
          <w:lang w:val="en-GB"/>
        </w:rPr>
        <w:t xml:space="preserve"> society</w:t>
      </w:r>
      <w:r w:rsidR="00F74E6A" w:rsidRPr="003818C4">
        <w:rPr>
          <w:rStyle w:val="NoneA"/>
          <w:rFonts w:ascii="Arial" w:hAnsi="Arial" w:cs="Arial"/>
          <w:bCs/>
          <w:sz w:val="18"/>
          <w:szCs w:val="18"/>
          <w:lang w:val="en-GB"/>
        </w:rPr>
        <w:t xml:space="preserve"> at large</w:t>
      </w:r>
      <w:r w:rsidRPr="003818C4">
        <w:rPr>
          <w:rStyle w:val="NoneA"/>
          <w:rFonts w:ascii="Arial" w:hAnsi="Arial" w:cs="Arial"/>
          <w:bCs/>
          <w:sz w:val="18"/>
          <w:szCs w:val="18"/>
          <w:lang w:val="en-GB"/>
        </w:rPr>
        <w:t>;</w:t>
      </w:r>
    </w:p>
    <w:p w14:paraId="589574E6" w14:textId="77777777" w:rsidR="00E30B6F" w:rsidRPr="003818C4" w:rsidRDefault="00F74E6A" w:rsidP="00890C8B">
      <w:pPr>
        <w:pStyle w:val="Body"/>
        <w:numPr>
          <w:ilvl w:val="0"/>
          <w:numId w:val="39"/>
        </w:numPr>
        <w:spacing w:before="120" w:after="120" w:line="240" w:lineRule="auto"/>
        <w:ind w:left="567"/>
        <w:rPr>
          <w:rStyle w:val="NoneA"/>
          <w:rFonts w:ascii="Arial" w:hAnsi="Arial" w:cs="Arial"/>
          <w:bCs/>
          <w:sz w:val="18"/>
          <w:szCs w:val="18"/>
          <w:lang w:val="en-GB"/>
        </w:rPr>
      </w:pPr>
      <w:r w:rsidRPr="003818C4">
        <w:rPr>
          <w:rStyle w:val="NoneA"/>
          <w:rFonts w:ascii="Arial" w:hAnsi="Arial" w:cs="Arial"/>
          <w:bCs/>
          <w:sz w:val="18"/>
          <w:szCs w:val="18"/>
          <w:lang w:val="en-GB"/>
        </w:rPr>
        <w:t>Strengthen</w:t>
      </w:r>
      <w:r w:rsidR="00E30B6F" w:rsidRPr="003818C4">
        <w:rPr>
          <w:rStyle w:val="NoneA"/>
          <w:rFonts w:ascii="Arial" w:hAnsi="Arial" w:cs="Arial"/>
          <w:bCs/>
          <w:sz w:val="18"/>
          <w:szCs w:val="18"/>
          <w:lang w:val="en-GB"/>
        </w:rPr>
        <w:t xml:space="preserve"> control and sanctioning </w:t>
      </w:r>
      <w:r w:rsidRPr="003818C4">
        <w:rPr>
          <w:rStyle w:val="NoneA"/>
          <w:rFonts w:ascii="Arial" w:hAnsi="Arial" w:cs="Arial"/>
          <w:bCs/>
          <w:sz w:val="18"/>
          <w:szCs w:val="18"/>
          <w:lang w:val="en-GB"/>
        </w:rPr>
        <w:t>mechanisms for disbursement</w:t>
      </w:r>
      <w:r w:rsidR="00E30B6F" w:rsidRPr="003818C4">
        <w:rPr>
          <w:rStyle w:val="NoneA"/>
          <w:rFonts w:ascii="Arial" w:hAnsi="Arial" w:cs="Arial"/>
          <w:bCs/>
          <w:sz w:val="18"/>
          <w:szCs w:val="18"/>
          <w:lang w:val="en-GB"/>
        </w:rPr>
        <w:t xml:space="preserve"> of</w:t>
      </w:r>
      <w:r w:rsidRPr="003818C4">
        <w:rPr>
          <w:rStyle w:val="NoneA"/>
          <w:rFonts w:ascii="Arial" w:hAnsi="Arial" w:cs="Arial"/>
          <w:bCs/>
          <w:sz w:val="18"/>
          <w:szCs w:val="18"/>
          <w:lang w:val="en-GB"/>
        </w:rPr>
        <w:t xml:space="preserve"> illegal</w:t>
      </w:r>
      <w:r w:rsidR="00E30B6F" w:rsidRPr="003818C4">
        <w:rPr>
          <w:rStyle w:val="NoneA"/>
          <w:rFonts w:ascii="Arial" w:hAnsi="Arial" w:cs="Arial"/>
          <w:bCs/>
          <w:sz w:val="18"/>
          <w:szCs w:val="18"/>
          <w:lang w:val="en-GB"/>
        </w:rPr>
        <w:t xml:space="preserve"> state aid.</w:t>
      </w:r>
    </w:p>
    <w:p w14:paraId="78B27B63" w14:textId="77777777" w:rsidR="00E30B6F" w:rsidRPr="003818C4" w:rsidRDefault="00E30B6F" w:rsidP="001164F1">
      <w:pPr>
        <w:pStyle w:val="Body"/>
        <w:spacing w:before="120" w:after="120" w:line="240" w:lineRule="auto"/>
        <w:ind w:left="567"/>
        <w:rPr>
          <w:rStyle w:val="NoneA"/>
          <w:rFonts w:ascii="Arial" w:hAnsi="Arial" w:cs="Arial"/>
          <w:bCs/>
          <w:sz w:val="18"/>
          <w:szCs w:val="18"/>
          <w:lang w:val="en-GB"/>
        </w:rPr>
      </w:pPr>
    </w:p>
    <w:p w14:paraId="72346B04" w14:textId="77777777" w:rsidR="00E30B6F" w:rsidRPr="003818C4" w:rsidRDefault="00E30B6F" w:rsidP="001164F1">
      <w:pPr>
        <w:spacing w:before="120" w:after="120" w:line="240" w:lineRule="auto"/>
        <w:rPr>
          <w:rFonts w:ascii="Arial" w:eastAsia="Times New Roman" w:hAnsi="Arial" w:cs="Arial"/>
          <w:color w:val="000000"/>
          <w:sz w:val="18"/>
          <w:szCs w:val="18"/>
          <w:u w:color="000000"/>
          <w:lang w:val="en-GB"/>
        </w:rPr>
      </w:pPr>
    </w:p>
    <w:p w14:paraId="5FFA6193" w14:textId="77777777" w:rsidR="00E30B6F" w:rsidRPr="003818C4" w:rsidRDefault="00E30B6F" w:rsidP="001164F1">
      <w:pPr>
        <w:pStyle w:val="Body"/>
        <w:spacing w:before="120" w:after="120" w:line="240" w:lineRule="auto"/>
        <w:rPr>
          <w:rFonts w:ascii="Arial" w:hAnsi="Arial" w:cs="Arial"/>
          <w:sz w:val="18"/>
          <w:szCs w:val="18"/>
          <w:lang w:val="en-GB"/>
        </w:rPr>
      </w:pPr>
    </w:p>
    <w:p w14:paraId="237E3E9D" w14:textId="77777777" w:rsidR="00E30B6F" w:rsidRPr="003818C4" w:rsidRDefault="00E30B6F" w:rsidP="001164F1">
      <w:pPr>
        <w:spacing w:before="120" w:after="120"/>
        <w:rPr>
          <w:rStyle w:val="NoneA"/>
          <w:rFonts w:ascii="Arial" w:hAnsi="Arial" w:cs="Arial"/>
          <w:smallCaps/>
          <w:color w:val="0B5294" w:themeColor="accent1" w:themeShade="BF"/>
          <w:spacing w:val="5"/>
          <w:sz w:val="18"/>
          <w:szCs w:val="18"/>
          <w:lang w:val="en-GB"/>
        </w:rPr>
      </w:pPr>
      <w:bookmarkStart w:id="37" w:name="_Toc477762705"/>
      <w:r w:rsidRPr="003818C4">
        <w:rPr>
          <w:rStyle w:val="NoneA"/>
          <w:rFonts w:ascii="Arial" w:hAnsi="Arial" w:cs="Arial"/>
          <w:color w:val="0B5294" w:themeColor="accent1" w:themeShade="BF"/>
          <w:sz w:val="18"/>
          <w:szCs w:val="18"/>
          <w:lang w:val="en-GB"/>
        </w:rPr>
        <w:br w:type="page"/>
      </w:r>
    </w:p>
    <w:p w14:paraId="3D34CA54" w14:textId="77777777" w:rsidR="00E30B6F" w:rsidRPr="003818C4" w:rsidRDefault="00E30B6F" w:rsidP="00890C8B">
      <w:pPr>
        <w:pStyle w:val="Heading2"/>
        <w:numPr>
          <w:ilvl w:val="1"/>
          <w:numId w:val="24"/>
        </w:numPr>
        <w:tabs>
          <w:tab w:val="left" w:pos="709"/>
        </w:tabs>
        <w:spacing w:before="120" w:after="120" w:line="240" w:lineRule="auto"/>
        <w:ind w:left="284" w:hanging="284"/>
        <w:rPr>
          <w:rStyle w:val="NoneA"/>
          <w:rFonts w:ascii="Arial" w:hAnsi="Arial" w:cs="Arial"/>
          <w:color w:val="0B5294" w:themeColor="accent1" w:themeShade="BF"/>
          <w:sz w:val="18"/>
          <w:szCs w:val="18"/>
          <w:lang w:val="en-GB"/>
        </w:rPr>
      </w:pPr>
      <w:bookmarkStart w:id="38" w:name="_Toc478028673"/>
      <w:r w:rsidRPr="003818C4">
        <w:rPr>
          <w:rStyle w:val="NoneA"/>
          <w:rFonts w:ascii="Arial" w:hAnsi="Arial" w:cs="Arial"/>
          <w:color w:val="0B5294" w:themeColor="accent1" w:themeShade="BF"/>
          <w:sz w:val="18"/>
          <w:szCs w:val="18"/>
          <w:lang w:val="en-GB"/>
        </w:rPr>
        <w:lastRenderedPageBreak/>
        <w:t>Financial assistance and antifraud and control provisions (Title VI)</w:t>
      </w:r>
      <w:bookmarkEnd w:id="37"/>
      <w:bookmarkEnd w:id="38"/>
    </w:p>
    <w:p w14:paraId="2D42C252" w14:textId="77777777" w:rsidR="00E30B6F" w:rsidRPr="003818C4" w:rsidRDefault="00E30B6F" w:rsidP="001164F1">
      <w:pPr>
        <w:pStyle w:val="Heading3"/>
        <w:spacing w:before="120" w:after="120" w:line="240" w:lineRule="auto"/>
        <w:rPr>
          <w:rFonts w:ascii="Arial" w:hAnsi="Arial" w:cs="Arial"/>
          <w:color w:val="0B5294" w:themeColor="accent1" w:themeShade="BF"/>
          <w:sz w:val="18"/>
          <w:szCs w:val="18"/>
          <w:lang w:val="en-GB"/>
        </w:rPr>
      </w:pPr>
      <w:bookmarkStart w:id="39" w:name="_Toc477762706"/>
      <w:bookmarkStart w:id="40" w:name="_Toc478028674"/>
      <w:r w:rsidRPr="003818C4">
        <w:rPr>
          <w:rFonts w:ascii="Arial" w:hAnsi="Arial" w:cs="Arial"/>
          <w:bCs/>
          <w:noProof/>
          <w:color w:val="0B5294" w:themeColor="accent1" w:themeShade="BF"/>
          <w:sz w:val="18"/>
          <w:szCs w:val="18"/>
        </w:rPr>
        <w:drawing>
          <wp:anchor distT="0" distB="0" distL="114300" distR="114300" simplePos="0" relativeHeight="251662336" behindDoc="0" locked="0" layoutInCell="1" allowOverlap="1" wp14:anchorId="27CF15B7" wp14:editId="4E80D2F0">
            <wp:simplePos x="0" y="0"/>
            <wp:positionH relativeFrom="column">
              <wp:posOffset>3401969</wp:posOffset>
            </wp:positionH>
            <wp:positionV relativeFrom="paragraph">
              <wp:posOffset>75105</wp:posOffset>
            </wp:positionV>
            <wp:extent cx="2210190" cy="2045335"/>
            <wp:effectExtent l="0" t="0" r="0" b="12065"/>
            <wp:wrapThrough wrapText="bothSides">
              <wp:wrapPolygon edited="0">
                <wp:start x="0" y="0"/>
                <wp:lineTo x="0" y="21526"/>
                <wp:lineTo x="21414" y="21526"/>
                <wp:lineTo x="21414" y="0"/>
                <wp:lineTo x="0" y="0"/>
              </wp:wrapPolygon>
            </wp:wrapThrough>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bookmarkEnd w:id="39"/>
      <w:r w:rsidRPr="003818C4">
        <w:rPr>
          <w:rFonts w:ascii="Arial" w:hAnsi="Arial" w:cs="Arial"/>
          <w:bCs/>
          <w:noProof/>
          <w:color w:val="0B5294" w:themeColor="accent1" w:themeShade="BF"/>
          <w:sz w:val="18"/>
          <w:szCs w:val="18"/>
          <w:lang w:val="en-GB"/>
        </w:rPr>
        <w:t>Quantitative progress assessment</w:t>
      </w:r>
      <w:bookmarkEnd w:id="40"/>
    </w:p>
    <w:p w14:paraId="75259A67" w14:textId="77777777" w:rsidR="00E30B6F" w:rsidRPr="003818C4" w:rsidRDefault="00E30B6F" w:rsidP="001164F1">
      <w:pPr>
        <w:pStyle w:val="Body"/>
        <w:spacing w:before="120" w:after="120" w:line="240" w:lineRule="auto"/>
        <w:rPr>
          <w:rFonts w:ascii="Arial" w:hAnsi="Arial" w:cs="Arial"/>
          <w:sz w:val="18"/>
          <w:szCs w:val="18"/>
          <w:lang w:val="en-GB"/>
        </w:rPr>
      </w:pPr>
      <w:r w:rsidRPr="003818C4">
        <w:rPr>
          <w:rFonts w:ascii="Arial" w:hAnsi="Arial" w:cs="Arial"/>
          <w:sz w:val="18"/>
          <w:szCs w:val="18"/>
          <w:lang w:val="en-GB"/>
        </w:rPr>
        <w:t xml:space="preserve">A total number of </w:t>
      </w:r>
      <w:r w:rsidRPr="003818C4">
        <w:rPr>
          <w:rFonts w:ascii="Arial" w:hAnsi="Arial" w:cs="Arial"/>
          <w:b/>
          <w:sz w:val="18"/>
          <w:szCs w:val="18"/>
          <w:lang w:val="en-GB"/>
        </w:rPr>
        <w:t>42 implementation measures</w:t>
      </w:r>
      <w:r w:rsidRPr="003818C4">
        <w:rPr>
          <w:rFonts w:ascii="Arial" w:hAnsi="Arial" w:cs="Arial"/>
          <w:sz w:val="18"/>
          <w:szCs w:val="18"/>
          <w:lang w:val="en-GB"/>
        </w:rPr>
        <w:t xml:space="preserve"> were provided for Title VI in the NAPIAA for the period 2014-2016, out of which </w:t>
      </w:r>
      <w:r w:rsidRPr="003818C4">
        <w:rPr>
          <w:rStyle w:val="NoneA"/>
          <w:rFonts w:ascii="Arial" w:hAnsi="Arial" w:cs="Arial"/>
          <w:b/>
          <w:bCs/>
          <w:sz w:val="18"/>
          <w:szCs w:val="18"/>
          <w:lang w:val="en-GB"/>
        </w:rPr>
        <w:t xml:space="preserve">27 measures were </w:t>
      </w:r>
      <w:r w:rsidR="00F41223" w:rsidRPr="003818C4">
        <w:rPr>
          <w:rStyle w:val="NoneA"/>
          <w:rFonts w:ascii="Arial" w:hAnsi="Arial" w:cs="Arial"/>
          <w:b/>
          <w:bCs/>
          <w:sz w:val="18"/>
          <w:szCs w:val="18"/>
          <w:lang w:val="en-GB"/>
        </w:rPr>
        <w:t>implemented</w:t>
      </w:r>
      <w:r w:rsidRPr="003818C4">
        <w:rPr>
          <w:rFonts w:ascii="Arial" w:hAnsi="Arial" w:cs="Arial"/>
          <w:sz w:val="18"/>
          <w:szCs w:val="18"/>
          <w:lang w:val="en-GB"/>
        </w:rPr>
        <w:t xml:space="preserve">, including 6 measures with a continuous implementation timeline. </w:t>
      </w:r>
    </w:p>
    <w:p w14:paraId="3EA160B9" w14:textId="77777777" w:rsidR="00E30B6F" w:rsidRPr="003818C4" w:rsidRDefault="00E30B6F" w:rsidP="001164F1">
      <w:pPr>
        <w:pStyle w:val="Body"/>
        <w:spacing w:before="120" w:after="120" w:line="240" w:lineRule="auto"/>
        <w:rPr>
          <w:rFonts w:ascii="Arial" w:eastAsia="Verdana" w:hAnsi="Arial" w:cs="Arial"/>
          <w:sz w:val="18"/>
          <w:szCs w:val="18"/>
          <w:lang w:val="en-GB"/>
        </w:rPr>
      </w:pPr>
      <w:r w:rsidRPr="003818C4">
        <w:rPr>
          <w:rFonts w:ascii="Arial" w:hAnsi="Arial" w:cs="Arial"/>
          <w:sz w:val="18"/>
          <w:szCs w:val="18"/>
          <w:lang w:val="en-GB"/>
        </w:rPr>
        <w:t xml:space="preserve">At the same time, 10 measures were partly </w:t>
      </w:r>
      <w:r w:rsidR="00F41223" w:rsidRPr="003818C4">
        <w:rPr>
          <w:rFonts w:ascii="Arial" w:hAnsi="Arial" w:cs="Arial"/>
          <w:sz w:val="18"/>
          <w:szCs w:val="18"/>
          <w:lang w:val="en-GB"/>
        </w:rPr>
        <w:t>implemented</w:t>
      </w:r>
      <w:r w:rsidRPr="003818C4">
        <w:rPr>
          <w:rFonts w:ascii="Arial" w:hAnsi="Arial" w:cs="Arial"/>
          <w:sz w:val="18"/>
          <w:szCs w:val="18"/>
          <w:lang w:val="en-GB"/>
        </w:rPr>
        <w:t xml:space="preserve">, while </w:t>
      </w:r>
      <w:r w:rsidR="00F41223" w:rsidRPr="003818C4">
        <w:rPr>
          <w:rFonts w:ascii="Arial" w:hAnsi="Arial" w:cs="Arial"/>
          <w:b/>
          <w:sz w:val="18"/>
          <w:szCs w:val="18"/>
          <w:lang w:val="en-GB"/>
        </w:rPr>
        <w:t>5 measures remained not implemented</w:t>
      </w:r>
      <w:r w:rsidRPr="003818C4">
        <w:rPr>
          <w:rFonts w:ascii="Arial" w:hAnsi="Arial" w:cs="Arial"/>
          <w:sz w:val="18"/>
          <w:szCs w:val="18"/>
          <w:lang w:val="en-GB"/>
        </w:rPr>
        <w:t>.</w:t>
      </w:r>
    </w:p>
    <w:p w14:paraId="5008640F" w14:textId="77777777" w:rsidR="00E30B6F" w:rsidRPr="003818C4" w:rsidRDefault="00E30B6F" w:rsidP="001164F1">
      <w:pPr>
        <w:pStyle w:val="Body"/>
        <w:spacing w:before="120" w:after="120" w:line="240" w:lineRule="auto"/>
        <w:rPr>
          <w:rFonts w:ascii="Arial" w:eastAsia="Verdana" w:hAnsi="Arial" w:cs="Arial"/>
          <w:sz w:val="18"/>
          <w:szCs w:val="18"/>
          <w:lang w:val="en-GB"/>
        </w:rPr>
      </w:pPr>
      <w:r w:rsidRPr="003818C4">
        <w:rPr>
          <w:rFonts w:ascii="Arial" w:hAnsi="Arial" w:cs="Arial"/>
          <w:sz w:val="18"/>
          <w:szCs w:val="18"/>
          <w:lang w:val="en-GB"/>
        </w:rPr>
        <w:t xml:space="preserve">Thus, the conclusion is that the </w:t>
      </w:r>
      <w:r w:rsidRPr="003818C4">
        <w:rPr>
          <w:rFonts w:ascii="Arial" w:hAnsi="Arial" w:cs="Arial"/>
          <w:b/>
          <w:sz w:val="18"/>
          <w:szCs w:val="18"/>
          <w:lang w:val="en-GB"/>
        </w:rPr>
        <w:t>total rate of accomplishment of Title VI is</w:t>
      </w:r>
      <w:r w:rsidRPr="003818C4">
        <w:rPr>
          <w:rFonts w:ascii="Arial" w:hAnsi="Arial" w:cs="Arial"/>
          <w:sz w:val="18"/>
          <w:szCs w:val="18"/>
          <w:lang w:val="en-GB"/>
        </w:rPr>
        <w:t xml:space="preserve"> </w:t>
      </w:r>
      <w:r w:rsidRPr="003818C4">
        <w:rPr>
          <w:rStyle w:val="NoneA"/>
          <w:rFonts w:ascii="Arial" w:hAnsi="Arial" w:cs="Arial"/>
          <w:b/>
          <w:bCs/>
          <w:sz w:val="18"/>
          <w:szCs w:val="18"/>
          <w:lang w:val="en-GB"/>
        </w:rPr>
        <w:t>64.3%</w:t>
      </w:r>
      <w:r w:rsidRPr="003818C4">
        <w:rPr>
          <w:rFonts w:ascii="Arial" w:hAnsi="Arial" w:cs="Arial"/>
          <w:sz w:val="18"/>
          <w:szCs w:val="18"/>
          <w:lang w:val="en-GB"/>
        </w:rPr>
        <w:t xml:space="preserve">, </w:t>
      </w:r>
      <w:r w:rsidRPr="003818C4">
        <w:rPr>
          <w:rFonts w:ascii="Arial" w:hAnsi="Arial" w:cs="Arial"/>
          <w:b/>
          <w:sz w:val="18"/>
          <w:szCs w:val="18"/>
          <w:lang w:val="en-GB"/>
        </w:rPr>
        <w:t xml:space="preserve">23.8% </w:t>
      </w:r>
      <w:r w:rsidRPr="003818C4">
        <w:rPr>
          <w:rFonts w:ascii="Arial" w:hAnsi="Arial" w:cs="Arial"/>
          <w:sz w:val="18"/>
          <w:szCs w:val="18"/>
          <w:lang w:val="en-GB"/>
        </w:rPr>
        <w:t>of the measures</w:t>
      </w:r>
      <w:r w:rsidRPr="003818C4">
        <w:rPr>
          <w:rFonts w:ascii="Arial" w:hAnsi="Arial" w:cs="Arial"/>
          <w:b/>
          <w:sz w:val="18"/>
          <w:szCs w:val="18"/>
          <w:lang w:val="en-GB"/>
        </w:rPr>
        <w:t xml:space="preserve"> are partly </w:t>
      </w:r>
      <w:r w:rsidR="00F41223" w:rsidRPr="003818C4">
        <w:rPr>
          <w:rFonts w:ascii="Arial" w:hAnsi="Arial" w:cs="Arial"/>
          <w:b/>
          <w:sz w:val="18"/>
          <w:szCs w:val="18"/>
          <w:lang w:val="en-GB"/>
        </w:rPr>
        <w:t>implemented</w:t>
      </w:r>
      <w:r w:rsidRPr="003818C4">
        <w:rPr>
          <w:rFonts w:ascii="Arial" w:hAnsi="Arial" w:cs="Arial"/>
          <w:sz w:val="18"/>
          <w:szCs w:val="18"/>
          <w:lang w:val="en-GB"/>
        </w:rPr>
        <w:t>, while 11.9% of the measures are non-</w:t>
      </w:r>
      <w:r w:rsidR="00F41223" w:rsidRPr="003818C4">
        <w:rPr>
          <w:rFonts w:ascii="Arial" w:hAnsi="Arial" w:cs="Arial"/>
          <w:sz w:val="18"/>
          <w:szCs w:val="18"/>
          <w:lang w:val="en-GB"/>
        </w:rPr>
        <w:t>implemented</w:t>
      </w:r>
      <w:r w:rsidRPr="003818C4">
        <w:rPr>
          <w:rFonts w:ascii="Arial" w:hAnsi="Arial" w:cs="Arial"/>
          <w:sz w:val="18"/>
          <w:szCs w:val="18"/>
          <w:lang w:val="en-GB"/>
        </w:rPr>
        <w:t>.</w:t>
      </w:r>
    </w:p>
    <w:p w14:paraId="6CF37EE5" w14:textId="77777777" w:rsidR="00E30B6F" w:rsidRPr="003818C4" w:rsidRDefault="00E30B6F" w:rsidP="001164F1">
      <w:pPr>
        <w:pStyle w:val="Body"/>
        <w:spacing w:before="120" w:after="120" w:line="240" w:lineRule="auto"/>
        <w:rPr>
          <w:rStyle w:val="NoneA"/>
          <w:rFonts w:ascii="Arial" w:hAnsi="Arial" w:cs="Arial"/>
          <w:b/>
          <w:bCs/>
          <w:sz w:val="18"/>
          <w:szCs w:val="18"/>
          <w:lang w:val="en-GB"/>
        </w:rPr>
      </w:pPr>
    </w:p>
    <w:tbl>
      <w:tblPr>
        <w:tblpPr w:leftFromText="180" w:rightFromText="180" w:vertAnchor="text" w:horzAnchor="margin" w:tblpX="158" w:tblpY="4"/>
        <w:tblW w:w="8755" w:type="dxa"/>
        <w:tblCellMar>
          <w:left w:w="0" w:type="dxa"/>
          <w:right w:w="0" w:type="dxa"/>
        </w:tblCellMar>
        <w:tblLook w:val="04A0" w:firstRow="1" w:lastRow="0" w:firstColumn="1" w:lastColumn="0" w:noHBand="0" w:noVBand="1"/>
      </w:tblPr>
      <w:tblGrid>
        <w:gridCol w:w="3996"/>
        <w:gridCol w:w="701"/>
        <w:gridCol w:w="1327"/>
        <w:gridCol w:w="1327"/>
        <w:gridCol w:w="1404"/>
      </w:tblGrid>
      <w:tr w:rsidR="00E30B6F" w:rsidRPr="003818C4" w14:paraId="5A841023" w14:textId="77777777" w:rsidTr="00F41223">
        <w:trPr>
          <w:trHeight w:val="345"/>
        </w:trPr>
        <w:tc>
          <w:tcPr>
            <w:tcW w:w="39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458032A" w14:textId="77777777" w:rsidR="00E30B6F" w:rsidRPr="003818C4" w:rsidRDefault="00E30B6F" w:rsidP="001164F1">
            <w:pPr>
              <w:pStyle w:val="Body"/>
              <w:spacing w:before="120" w:after="120" w:line="240" w:lineRule="auto"/>
              <w:jc w:val="center"/>
              <w:rPr>
                <w:rFonts w:ascii="Arial" w:hAnsi="Arial" w:cs="Arial"/>
                <w:b/>
                <w:sz w:val="18"/>
                <w:szCs w:val="18"/>
                <w:lang w:val="en-GB"/>
              </w:rPr>
            </w:pPr>
            <w:r w:rsidRPr="003818C4">
              <w:rPr>
                <w:rFonts w:ascii="Arial" w:hAnsi="Arial" w:cs="Arial"/>
                <w:b/>
                <w:sz w:val="18"/>
                <w:szCs w:val="18"/>
                <w:lang w:val="en-GB"/>
              </w:rPr>
              <w:t>Table 6.</w:t>
            </w:r>
          </w:p>
        </w:tc>
        <w:tc>
          <w:tcPr>
            <w:tcW w:w="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F7E325B" w14:textId="77777777" w:rsidR="00E30B6F" w:rsidRPr="003818C4" w:rsidRDefault="00E30B6F" w:rsidP="001164F1">
            <w:pPr>
              <w:pStyle w:val="Body"/>
              <w:spacing w:before="120" w:after="120" w:line="240" w:lineRule="auto"/>
              <w:jc w:val="center"/>
              <w:rPr>
                <w:rFonts w:ascii="Arial" w:hAnsi="Arial" w:cs="Arial"/>
                <w:sz w:val="18"/>
                <w:szCs w:val="18"/>
                <w:lang w:val="en-GB"/>
              </w:rPr>
            </w:pPr>
            <w:r w:rsidRPr="003818C4">
              <w:rPr>
                <w:rFonts w:ascii="Arial" w:hAnsi="Arial" w:cs="Arial"/>
                <w:b/>
                <w:bCs/>
                <w:sz w:val="18"/>
                <w:szCs w:val="18"/>
                <w:lang w:val="en-GB"/>
              </w:rPr>
              <w:t>Total</w:t>
            </w:r>
          </w:p>
        </w:tc>
        <w:tc>
          <w:tcPr>
            <w:tcW w:w="1327" w:type="dxa"/>
            <w:tcBorders>
              <w:top w:val="single" w:sz="8" w:space="0" w:color="000000"/>
              <w:left w:val="single" w:sz="8" w:space="0" w:color="000000"/>
              <w:bottom w:val="single" w:sz="8" w:space="0" w:color="000000"/>
              <w:right w:val="single" w:sz="8" w:space="0" w:color="000000"/>
            </w:tcBorders>
            <w:shd w:val="clear" w:color="auto" w:fill="073763" w:themeFill="accent1" w:themeFillShade="80"/>
            <w:tcMar>
              <w:top w:w="13" w:type="dxa"/>
              <w:left w:w="108" w:type="dxa"/>
              <w:bottom w:w="0" w:type="dxa"/>
              <w:right w:w="108" w:type="dxa"/>
            </w:tcMar>
            <w:hideMark/>
          </w:tcPr>
          <w:p w14:paraId="375EAD91" w14:textId="77777777" w:rsidR="00E30B6F" w:rsidRPr="003818C4" w:rsidRDefault="00F41223" w:rsidP="001164F1">
            <w:pPr>
              <w:pStyle w:val="Body"/>
              <w:spacing w:before="120" w:after="12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Implemented</w:t>
            </w:r>
          </w:p>
        </w:tc>
        <w:tc>
          <w:tcPr>
            <w:tcW w:w="1327" w:type="dxa"/>
            <w:tcBorders>
              <w:top w:val="single" w:sz="8" w:space="0" w:color="000000"/>
              <w:left w:val="single" w:sz="8" w:space="0" w:color="000000"/>
              <w:bottom w:val="single" w:sz="8" w:space="0" w:color="000000"/>
              <w:right w:val="single" w:sz="8" w:space="0" w:color="000000"/>
            </w:tcBorders>
            <w:shd w:val="clear" w:color="auto" w:fill="0B5294" w:themeFill="accent1" w:themeFillShade="BF"/>
            <w:tcMar>
              <w:top w:w="13" w:type="dxa"/>
              <w:left w:w="108" w:type="dxa"/>
              <w:bottom w:w="0" w:type="dxa"/>
              <w:right w:w="108" w:type="dxa"/>
            </w:tcMar>
            <w:hideMark/>
          </w:tcPr>
          <w:p w14:paraId="46356BB7" w14:textId="77777777" w:rsidR="00E30B6F" w:rsidRPr="003818C4" w:rsidRDefault="00E30B6F" w:rsidP="001164F1">
            <w:pPr>
              <w:pStyle w:val="Body"/>
              <w:spacing w:before="120" w:after="12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 xml:space="preserve">Partly </w:t>
            </w:r>
            <w:r w:rsidR="00F41223" w:rsidRPr="003818C4">
              <w:rPr>
                <w:rFonts w:ascii="Arial" w:hAnsi="Arial" w:cs="Arial"/>
                <w:b/>
                <w:bCs/>
                <w:color w:val="FFFFFF" w:themeColor="background1"/>
                <w:sz w:val="18"/>
                <w:szCs w:val="18"/>
                <w:lang w:val="en-GB"/>
              </w:rPr>
              <w:t>implemented</w:t>
            </w:r>
          </w:p>
        </w:tc>
        <w:tc>
          <w:tcPr>
            <w:tcW w:w="1404" w:type="dxa"/>
            <w:tcBorders>
              <w:top w:val="single" w:sz="8" w:space="0" w:color="000000"/>
              <w:left w:val="single" w:sz="8" w:space="0" w:color="000000"/>
              <w:bottom w:val="single" w:sz="8" w:space="0" w:color="000000"/>
              <w:right w:val="single" w:sz="8" w:space="0" w:color="000000"/>
            </w:tcBorders>
            <w:shd w:val="clear" w:color="auto" w:fill="59A9F2" w:themeFill="accent1" w:themeFillTint="99"/>
            <w:tcMar>
              <w:top w:w="13" w:type="dxa"/>
              <w:left w:w="108" w:type="dxa"/>
              <w:bottom w:w="0" w:type="dxa"/>
              <w:right w:w="108" w:type="dxa"/>
            </w:tcMar>
            <w:hideMark/>
          </w:tcPr>
          <w:p w14:paraId="0A7235BB" w14:textId="77777777" w:rsidR="00E30B6F" w:rsidRPr="003818C4" w:rsidRDefault="00F41223" w:rsidP="001164F1">
            <w:pPr>
              <w:pStyle w:val="Body"/>
              <w:spacing w:before="120" w:after="120" w:line="240" w:lineRule="auto"/>
              <w:jc w:val="center"/>
              <w:rPr>
                <w:rFonts w:ascii="Arial" w:hAnsi="Arial" w:cs="Arial"/>
                <w:color w:val="FFFFFF" w:themeColor="background1"/>
                <w:sz w:val="18"/>
                <w:szCs w:val="18"/>
                <w:lang w:val="en-GB"/>
              </w:rPr>
            </w:pPr>
            <w:r w:rsidRPr="003818C4">
              <w:rPr>
                <w:rFonts w:ascii="Arial" w:hAnsi="Arial" w:cs="Arial"/>
                <w:b/>
                <w:bCs/>
                <w:color w:val="FFFFFF" w:themeColor="background1"/>
                <w:sz w:val="18"/>
                <w:szCs w:val="18"/>
                <w:lang w:val="en-GB"/>
              </w:rPr>
              <w:t>Not implemented</w:t>
            </w:r>
          </w:p>
        </w:tc>
      </w:tr>
      <w:tr w:rsidR="00E30B6F" w:rsidRPr="003818C4" w14:paraId="703A794A" w14:textId="77777777" w:rsidTr="00F41223">
        <w:trPr>
          <w:trHeight w:val="199"/>
        </w:trPr>
        <w:tc>
          <w:tcPr>
            <w:tcW w:w="3996"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176BFA51" w14:textId="77777777" w:rsidR="00E30B6F" w:rsidRPr="003818C4" w:rsidRDefault="00E30B6F" w:rsidP="001164F1">
            <w:pPr>
              <w:pStyle w:val="Body"/>
              <w:spacing w:before="120" w:after="120" w:line="240" w:lineRule="auto"/>
              <w:rPr>
                <w:rFonts w:ascii="Arial" w:hAnsi="Arial" w:cs="Arial"/>
                <w:sz w:val="18"/>
                <w:szCs w:val="18"/>
                <w:lang w:val="en-GB"/>
              </w:rPr>
            </w:pPr>
            <w:r w:rsidRPr="003818C4">
              <w:rPr>
                <w:rFonts w:ascii="Arial" w:hAnsi="Arial" w:cs="Arial"/>
                <w:b/>
                <w:bCs/>
                <w:sz w:val="18"/>
                <w:szCs w:val="18"/>
                <w:lang w:val="en-GB"/>
              </w:rPr>
              <w:t xml:space="preserve">NAPIAA 2014 - 2016 </w:t>
            </w:r>
          </w:p>
        </w:tc>
        <w:tc>
          <w:tcPr>
            <w:tcW w:w="701"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246EA29C" w14:textId="77777777" w:rsidR="00E30B6F" w:rsidRPr="003818C4" w:rsidRDefault="00E30B6F" w:rsidP="001164F1">
            <w:pPr>
              <w:pStyle w:val="Body"/>
              <w:spacing w:before="120" w:after="120" w:line="240" w:lineRule="auto"/>
              <w:jc w:val="center"/>
              <w:rPr>
                <w:rFonts w:ascii="Arial" w:hAnsi="Arial" w:cs="Arial"/>
                <w:sz w:val="18"/>
                <w:szCs w:val="18"/>
                <w:lang w:val="en-GB"/>
              </w:rPr>
            </w:pPr>
            <w:r w:rsidRPr="003818C4">
              <w:rPr>
                <w:rFonts w:ascii="Arial" w:hAnsi="Arial" w:cs="Arial"/>
                <w:sz w:val="18"/>
                <w:szCs w:val="18"/>
                <w:lang w:val="en-GB"/>
              </w:rPr>
              <w:t>42</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43610274" w14:textId="77777777" w:rsidR="00E30B6F" w:rsidRPr="003818C4" w:rsidRDefault="00E30B6F" w:rsidP="001164F1">
            <w:pPr>
              <w:pStyle w:val="Body"/>
              <w:spacing w:before="120" w:after="120" w:line="240" w:lineRule="auto"/>
              <w:jc w:val="center"/>
              <w:rPr>
                <w:rFonts w:ascii="Arial" w:hAnsi="Arial" w:cs="Arial"/>
                <w:sz w:val="18"/>
                <w:szCs w:val="18"/>
                <w:lang w:val="en-GB"/>
              </w:rPr>
            </w:pPr>
            <w:r w:rsidRPr="003818C4">
              <w:rPr>
                <w:rFonts w:ascii="Arial" w:hAnsi="Arial" w:cs="Arial"/>
                <w:sz w:val="18"/>
                <w:szCs w:val="18"/>
                <w:lang w:val="en-GB"/>
              </w:rPr>
              <w:t>27</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7BA7F66D" w14:textId="77777777" w:rsidR="00E30B6F" w:rsidRPr="003818C4" w:rsidRDefault="00E30B6F" w:rsidP="001164F1">
            <w:pPr>
              <w:pStyle w:val="Body"/>
              <w:spacing w:before="120" w:after="120" w:line="240" w:lineRule="auto"/>
              <w:jc w:val="center"/>
              <w:rPr>
                <w:rFonts w:ascii="Arial" w:hAnsi="Arial" w:cs="Arial"/>
                <w:color w:val="auto"/>
                <w:sz w:val="18"/>
                <w:szCs w:val="18"/>
                <w:lang w:val="en-GB"/>
              </w:rPr>
            </w:pPr>
            <w:r w:rsidRPr="003818C4">
              <w:rPr>
                <w:rFonts w:ascii="Arial" w:hAnsi="Arial" w:cs="Arial"/>
                <w:color w:val="auto"/>
                <w:sz w:val="18"/>
                <w:szCs w:val="18"/>
                <w:lang w:val="en-GB"/>
              </w:rPr>
              <w:t>10</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75A5AF14" w14:textId="77777777" w:rsidR="00E30B6F" w:rsidRPr="003818C4" w:rsidRDefault="00E30B6F" w:rsidP="001164F1">
            <w:pPr>
              <w:pStyle w:val="Body"/>
              <w:spacing w:before="120" w:after="120" w:line="240" w:lineRule="auto"/>
              <w:jc w:val="center"/>
              <w:rPr>
                <w:rFonts w:ascii="Arial" w:hAnsi="Arial" w:cs="Arial"/>
                <w:color w:val="auto"/>
                <w:sz w:val="18"/>
                <w:szCs w:val="18"/>
                <w:lang w:val="en-GB"/>
              </w:rPr>
            </w:pPr>
            <w:r w:rsidRPr="003818C4">
              <w:rPr>
                <w:rFonts w:ascii="Arial" w:hAnsi="Arial" w:cs="Arial"/>
                <w:color w:val="auto"/>
                <w:sz w:val="18"/>
                <w:szCs w:val="18"/>
                <w:lang w:val="en-GB"/>
              </w:rPr>
              <w:t>5</w:t>
            </w:r>
          </w:p>
        </w:tc>
      </w:tr>
      <w:tr w:rsidR="00E30B6F" w:rsidRPr="003818C4" w14:paraId="34AFBC58" w14:textId="77777777" w:rsidTr="00F41223">
        <w:trPr>
          <w:trHeight w:val="186"/>
        </w:trPr>
        <w:tc>
          <w:tcPr>
            <w:tcW w:w="3996"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0E4C02CC" w14:textId="77777777" w:rsidR="00E30B6F" w:rsidRPr="003818C4" w:rsidRDefault="00E30B6F" w:rsidP="001164F1">
            <w:pPr>
              <w:pStyle w:val="Body"/>
              <w:spacing w:before="120" w:after="120" w:line="240" w:lineRule="auto"/>
              <w:rPr>
                <w:rFonts w:ascii="Arial" w:eastAsia="Calibri" w:hAnsi="Arial" w:cs="Arial"/>
                <w:sz w:val="18"/>
                <w:szCs w:val="18"/>
                <w:lang w:val="en-GB"/>
              </w:rPr>
            </w:pPr>
            <w:r w:rsidRPr="003818C4">
              <w:rPr>
                <w:rFonts w:ascii="Arial" w:eastAsia="Calibri" w:hAnsi="Arial" w:cs="Arial"/>
                <w:b/>
                <w:bCs/>
                <w:sz w:val="18"/>
                <w:szCs w:val="18"/>
                <w:lang w:val="en-GB"/>
              </w:rPr>
              <w:t xml:space="preserve">To be </w:t>
            </w:r>
            <w:r w:rsidR="00F41223" w:rsidRPr="003818C4">
              <w:rPr>
                <w:rFonts w:ascii="Arial" w:eastAsia="Calibri" w:hAnsi="Arial" w:cs="Arial"/>
                <w:b/>
                <w:bCs/>
                <w:sz w:val="18"/>
                <w:szCs w:val="18"/>
                <w:lang w:val="en-GB"/>
              </w:rPr>
              <w:t>implemented</w:t>
            </w:r>
            <w:r w:rsidRPr="003818C4">
              <w:rPr>
                <w:rFonts w:ascii="Arial" w:eastAsia="Calibri" w:hAnsi="Arial" w:cs="Arial"/>
                <w:b/>
                <w:bCs/>
                <w:sz w:val="18"/>
                <w:szCs w:val="18"/>
                <w:lang w:val="en-GB"/>
              </w:rPr>
              <w:t xml:space="preserve"> by 31.12.2016</w:t>
            </w:r>
          </w:p>
        </w:tc>
        <w:tc>
          <w:tcPr>
            <w:tcW w:w="701"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tcPr>
          <w:p w14:paraId="151409C7" w14:textId="77777777" w:rsidR="00E30B6F" w:rsidRPr="003818C4" w:rsidRDefault="00E30B6F" w:rsidP="001164F1">
            <w:pPr>
              <w:pStyle w:val="Body"/>
              <w:spacing w:before="120" w:after="120" w:line="240" w:lineRule="auto"/>
              <w:jc w:val="center"/>
              <w:rPr>
                <w:rFonts w:ascii="Arial" w:hAnsi="Arial" w:cs="Arial"/>
                <w:color w:val="auto"/>
                <w:sz w:val="18"/>
                <w:szCs w:val="18"/>
                <w:lang w:val="en-GB"/>
              </w:rPr>
            </w:pPr>
            <w:r w:rsidRPr="003818C4">
              <w:rPr>
                <w:rFonts w:ascii="Arial" w:hAnsi="Arial" w:cs="Arial"/>
                <w:color w:val="auto"/>
                <w:sz w:val="18"/>
                <w:szCs w:val="18"/>
                <w:lang w:val="en-GB"/>
              </w:rPr>
              <w:t>35</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3CC7DD94" w14:textId="77777777" w:rsidR="00E30B6F" w:rsidRPr="003818C4" w:rsidRDefault="00E30B6F" w:rsidP="001164F1">
            <w:pPr>
              <w:pStyle w:val="Body"/>
              <w:spacing w:before="120" w:after="120" w:line="240" w:lineRule="auto"/>
              <w:jc w:val="center"/>
              <w:rPr>
                <w:rFonts w:ascii="Arial" w:hAnsi="Arial" w:cs="Arial"/>
                <w:color w:val="auto"/>
                <w:sz w:val="18"/>
                <w:szCs w:val="18"/>
                <w:lang w:val="en-GB"/>
              </w:rPr>
            </w:pPr>
            <w:r w:rsidRPr="003818C4">
              <w:rPr>
                <w:rFonts w:ascii="Arial" w:hAnsi="Arial" w:cs="Arial"/>
                <w:color w:val="auto"/>
                <w:sz w:val="18"/>
                <w:szCs w:val="18"/>
                <w:lang w:val="en-GB"/>
              </w:rPr>
              <w:t>21</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5A8C38C7" w14:textId="77777777" w:rsidR="00E30B6F" w:rsidRPr="003818C4" w:rsidRDefault="00E30B6F" w:rsidP="001164F1">
            <w:pPr>
              <w:pStyle w:val="Body"/>
              <w:spacing w:before="120" w:after="120" w:line="240" w:lineRule="auto"/>
              <w:jc w:val="center"/>
              <w:rPr>
                <w:rFonts w:ascii="Arial" w:hAnsi="Arial" w:cs="Arial"/>
                <w:color w:val="auto"/>
                <w:sz w:val="18"/>
                <w:szCs w:val="18"/>
                <w:lang w:val="en-GB"/>
              </w:rPr>
            </w:pPr>
            <w:r w:rsidRPr="003818C4">
              <w:rPr>
                <w:rFonts w:ascii="Arial" w:hAnsi="Arial" w:cs="Arial"/>
                <w:color w:val="auto"/>
                <w:sz w:val="18"/>
                <w:szCs w:val="18"/>
                <w:lang w:val="en-GB"/>
              </w:rPr>
              <w:t>9</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14:paraId="506B051B" w14:textId="77777777" w:rsidR="00E30B6F" w:rsidRPr="003818C4" w:rsidRDefault="00E30B6F" w:rsidP="001164F1">
            <w:pPr>
              <w:pStyle w:val="Body"/>
              <w:spacing w:before="120" w:after="120" w:line="240" w:lineRule="auto"/>
              <w:jc w:val="center"/>
              <w:rPr>
                <w:rFonts w:ascii="Arial" w:hAnsi="Arial" w:cs="Arial"/>
                <w:color w:val="auto"/>
                <w:sz w:val="18"/>
                <w:szCs w:val="18"/>
                <w:lang w:val="en-GB"/>
              </w:rPr>
            </w:pPr>
            <w:r w:rsidRPr="003818C4">
              <w:rPr>
                <w:rFonts w:ascii="Arial" w:hAnsi="Arial" w:cs="Arial"/>
                <w:color w:val="auto"/>
                <w:sz w:val="18"/>
                <w:szCs w:val="18"/>
                <w:lang w:val="en-GB"/>
              </w:rPr>
              <w:t>5</w:t>
            </w:r>
          </w:p>
        </w:tc>
      </w:tr>
      <w:tr w:rsidR="00E30B6F" w:rsidRPr="003818C4" w14:paraId="4BCCAA11" w14:textId="77777777" w:rsidTr="00F41223">
        <w:trPr>
          <w:trHeight w:val="101"/>
        </w:trPr>
        <w:tc>
          <w:tcPr>
            <w:tcW w:w="3996"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p w14:paraId="54D94626" w14:textId="77777777" w:rsidR="00E30B6F" w:rsidRPr="003818C4" w:rsidRDefault="00E30B6F" w:rsidP="001164F1">
            <w:pPr>
              <w:pStyle w:val="Body"/>
              <w:spacing w:before="120" w:after="120" w:line="240" w:lineRule="auto"/>
              <w:rPr>
                <w:rFonts w:ascii="Arial" w:eastAsia="Calibri" w:hAnsi="Arial" w:cs="Arial"/>
                <w:b/>
                <w:bCs/>
                <w:sz w:val="18"/>
                <w:szCs w:val="18"/>
                <w:lang w:val="en-GB"/>
              </w:rPr>
            </w:pPr>
            <w:r w:rsidRPr="003818C4">
              <w:rPr>
                <w:rFonts w:ascii="Arial" w:eastAsia="Calibri" w:hAnsi="Arial" w:cs="Arial"/>
                <w:b/>
                <w:bCs/>
                <w:sz w:val="18"/>
                <w:szCs w:val="18"/>
                <w:lang w:val="en-GB"/>
              </w:rPr>
              <w:t>Continuous</w:t>
            </w:r>
          </w:p>
        </w:tc>
        <w:tc>
          <w:tcPr>
            <w:tcW w:w="701"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p w14:paraId="2E64F2E7" w14:textId="77777777" w:rsidR="00E30B6F" w:rsidRPr="003818C4" w:rsidRDefault="00E30B6F" w:rsidP="001164F1">
            <w:pPr>
              <w:pStyle w:val="Body"/>
              <w:spacing w:before="120" w:after="120" w:line="240" w:lineRule="auto"/>
              <w:jc w:val="center"/>
              <w:rPr>
                <w:rFonts w:ascii="Arial" w:hAnsi="Arial" w:cs="Arial"/>
                <w:sz w:val="18"/>
                <w:szCs w:val="18"/>
                <w:lang w:val="en-GB"/>
              </w:rPr>
            </w:pPr>
            <w:r w:rsidRPr="003818C4">
              <w:rPr>
                <w:rFonts w:ascii="Arial" w:hAnsi="Arial" w:cs="Arial"/>
                <w:sz w:val="18"/>
                <w:szCs w:val="18"/>
                <w:lang w:val="en-GB"/>
              </w:rPr>
              <w:t>7</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1C74C40" w14:textId="77777777" w:rsidR="00E30B6F" w:rsidRPr="003818C4" w:rsidRDefault="00E30B6F" w:rsidP="001164F1">
            <w:pPr>
              <w:pStyle w:val="Body"/>
              <w:spacing w:before="120" w:after="120" w:line="240" w:lineRule="auto"/>
              <w:jc w:val="center"/>
              <w:rPr>
                <w:rFonts w:ascii="Arial" w:hAnsi="Arial" w:cs="Arial"/>
                <w:sz w:val="18"/>
                <w:szCs w:val="18"/>
                <w:lang w:val="en-GB"/>
              </w:rPr>
            </w:pPr>
            <w:r w:rsidRPr="003818C4">
              <w:rPr>
                <w:rFonts w:ascii="Arial" w:hAnsi="Arial" w:cs="Arial"/>
                <w:sz w:val="18"/>
                <w:szCs w:val="18"/>
                <w:lang w:val="en-GB"/>
              </w:rPr>
              <w:t>6</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5C52645" w14:textId="77777777" w:rsidR="00E30B6F" w:rsidRPr="003818C4" w:rsidRDefault="00E30B6F" w:rsidP="001164F1">
            <w:pPr>
              <w:pStyle w:val="Body"/>
              <w:spacing w:before="120" w:after="120" w:line="240" w:lineRule="auto"/>
              <w:jc w:val="center"/>
              <w:rPr>
                <w:rFonts w:ascii="Arial" w:hAnsi="Arial" w:cs="Arial"/>
                <w:sz w:val="18"/>
                <w:szCs w:val="18"/>
                <w:lang w:val="en-GB"/>
              </w:rPr>
            </w:pPr>
            <w:r w:rsidRPr="003818C4">
              <w:rPr>
                <w:rFonts w:ascii="Arial" w:hAnsi="Arial" w:cs="Arial"/>
                <w:sz w:val="18"/>
                <w:szCs w:val="18"/>
                <w:lang w:val="en-GB"/>
              </w:rPr>
              <w:t>1</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759D1A5" w14:textId="77777777" w:rsidR="00E30B6F" w:rsidRPr="003818C4" w:rsidRDefault="00E30B6F" w:rsidP="001164F1">
            <w:pPr>
              <w:pStyle w:val="Body"/>
              <w:spacing w:before="120" w:after="120" w:line="240" w:lineRule="auto"/>
              <w:jc w:val="center"/>
              <w:rPr>
                <w:rFonts w:ascii="Arial" w:hAnsi="Arial" w:cs="Arial"/>
                <w:sz w:val="18"/>
                <w:szCs w:val="18"/>
                <w:lang w:val="en-GB"/>
              </w:rPr>
            </w:pPr>
            <w:r w:rsidRPr="003818C4">
              <w:rPr>
                <w:rFonts w:ascii="Arial" w:hAnsi="Arial" w:cs="Arial"/>
                <w:sz w:val="18"/>
                <w:szCs w:val="18"/>
                <w:lang w:val="en-GB"/>
              </w:rPr>
              <w:t>0</w:t>
            </w:r>
          </w:p>
        </w:tc>
      </w:tr>
    </w:tbl>
    <w:p w14:paraId="05A52339" w14:textId="77777777" w:rsidR="00E30B6F" w:rsidRPr="003818C4" w:rsidRDefault="00E30B6F" w:rsidP="001164F1">
      <w:pPr>
        <w:pStyle w:val="Heading3"/>
        <w:spacing w:before="120" w:after="120" w:line="240" w:lineRule="auto"/>
        <w:rPr>
          <w:rFonts w:ascii="Arial" w:hAnsi="Arial" w:cs="Arial"/>
          <w:b/>
          <w:color w:val="0B5294" w:themeColor="accent1" w:themeShade="BF"/>
          <w:sz w:val="18"/>
          <w:szCs w:val="18"/>
          <w:lang w:val="en-GB"/>
        </w:rPr>
      </w:pPr>
      <w:bookmarkStart w:id="41" w:name="_Toc478028675"/>
      <w:bookmarkStart w:id="42" w:name="_Toc477762707"/>
      <w:r w:rsidRPr="003818C4">
        <w:rPr>
          <w:rFonts w:ascii="Arial" w:hAnsi="Arial" w:cs="Arial"/>
          <w:b/>
          <w:color w:val="0B5294" w:themeColor="accent1" w:themeShade="BF"/>
          <w:sz w:val="18"/>
          <w:szCs w:val="18"/>
          <w:lang w:val="en-GB"/>
        </w:rPr>
        <w:t>Conclusions (Title VI)</w:t>
      </w:r>
      <w:bookmarkEnd w:id="41"/>
    </w:p>
    <w:p w14:paraId="2B44FB67" w14:textId="77777777" w:rsidR="00E30B6F" w:rsidRPr="003818C4" w:rsidRDefault="00E30B6F" w:rsidP="00390578">
      <w:pPr>
        <w:pStyle w:val="Body"/>
        <w:numPr>
          <w:ilvl w:val="0"/>
          <w:numId w:val="49"/>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During 2014-2016 the European Union offered to Moldova an amount of EUR 310 million in the framework of bilateral financial support program</w:t>
      </w:r>
      <w:r w:rsidR="00F74E6A" w:rsidRPr="003818C4">
        <w:rPr>
          <w:rStyle w:val="NoneA"/>
          <w:rFonts w:ascii="Arial" w:hAnsi="Arial" w:cs="Arial"/>
          <w:bCs/>
          <w:sz w:val="18"/>
          <w:szCs w:val="18"/>
          <w:lang w:val="en-GB"/>
        </w:rPr>
        <w:t>me</w:t>
      </w:r>
      <w:r w:rsidRPr="003818C4">
        <w:rPr>
          <w:rStyle w:val="NoneA"/>
          <w:rFonts w:ascii="Arial" w:hAnsi="Arial" w:cs="Arial"/>
          <w:bCs/>
          <w:sz w:val="18"/>
          <w:szCs w:val="18"/>
          <w:lang w:val="en-GB"/>
        </w:rPr>
        <w:t xml:space="preserve">s and EUR 62 million as investment grants through the Neighbourhood Investment Fund (NIF). </w:t>
      </w:r>
    </w:p>
    <w:p w14:paraId="106D7304" w14:textId="51DA34B8" w:rsidR="00E30B6F" w:rsidRPr="003818C4" w:rsidRDefault="00E30B6F" w:rsidP="00390578">
      <w:pPr>
        <w:pStyle w:val="Body"/>
        <w:numPr>
          <w:ilvl w:val="0"/>
          <w:numId w:val="49"/>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The EU direct </w:t>
      </w:r>
      <w:r w:rsidR="00F74E6A" w:rsidRPr="003818C4">
        <w:rPr>
          <w:rStyle w:val="NoneA"/>
          <w:rFonts w:ascii="Arial" w:hAnsi="Arial" w:cs="Arial"/>
          <w:bCs/>
          <w:sz w:val="18"/>
          <w:szCs w:val="18"/>
          <w:lang w:val="en-GB"/>
        </w:rPr>
        <w:t xml:space="preserve">budget </w:t>
      </w:r>
      <w:r w:rsidRPr="003818C4">
        <w:rPr>
          <w:rStyle w:val="NoneA"/>
          <w:rFonts w:ascii="Arial" w:hAnsi="Arial" w:cs="Arial"/>
          <w:bCs/>
          <w:sz w:val="18"/>
          <w:szCs w:val="18"/>
          <w:lang w:val="en-GB"/>
        </w:rPr>
        <w:t>support was suspended in June 2015, due to the lack of progress in the investigation of the banking system fraud. However, after the IMF support program</w:t>
      </w:r>
      <w:r w:rsidR="00F74E6A" w:rsidRPr="003818C4">
        <w:rPr>
          <w:rStyle w:val="NoneA"/>
          <w:rFonts w:ascii="Arial" w:hAnsi="Arial" w:cs="Arial"/>
          <w:bCs/>
          <w:sz w:val="18"/>
          <w:szCs w:val="18"/>
          <w:lang w:val="en-GB"/>
        </w:rPr>
        <w:t>me</w:t>
      </w:r>
      <w:r w:rsidRPr="003818C4">
        <w:rPr>
          <w:rStyle w:val="NoneA"/>
          <w:rFonts w:ascii="Arial" w:hAnsi="Arial" w:cs="Arial"/>
          <w:bCs/>
          <w:sz w:val="18"/>
          <w:szCs w:val="18"/>
          <w:lang w:val="en-GB"/>
        </w:rPr>
        <w:t xml:space="preserve"> was agreed with the Moldovan Government in late 2016, the European Commission has resumed its support by transferring 43.5 </w:t>
      </w:r>
      <w:proofErr w:type="spellStart"/>
      <w:r w:rsidRPr="003818C4">
        <w:rPr>
          <w:rStyle w:val="NoneA"/>
          <w:rFonts w:ascii="Arial" w:hAnsi="Arial" w:cs="Arial"/>
          <w:bCs/>
          <w:sz w:val="18"/>
          <w:szCs w:val="18"/>
          <w:lang w:val="en-GB"/>
        </w:rPr>
        <w:t>mln</w:t>
      </w:r>
      <w:proofErr w:type="spellEnd"/>
      <w:r w:rsidRPr="003818C4">
        <w:rPr>
          <w:rStyle w:val="NoneA"/>
          <w:rFonts w:ascii="Arial" w:hAnsi="Arial" w:cs="Arial"/>
          <w:bCs/>
          <w:sz w:val="18"/>
          <w:szCs w:val="18"/>
          <w:lang w:val="en-GB"/>
        </w:rPr>
        <w:t xml:space="preserve">. </w:t>
      </w:r>
      <w:r w:rsidR="001E7A79">
        <w:rPr>
          <w:rStyle w:val="NoneA"/>
          <w:rFonts w:ascii="Arial" w:hAnsi="Arial" w:cs="Arial"/>
          <w:bCs/>
          <w:sz w:val="18"/>
          <w:szCs w:val="18"/>
          <w:lang w:val="en-GB"/>
        </w:rPr>
        <w:t xml:space="preserve">EUR </w:t>
      </w:r>
      <w:r w:rsidRPr="003818C4">
        <w:rPr>
          <w:rStyle w:val="NoneA"/>
          <w:rFonts w:ascii="Arial" w:hAnsi="Arial" w:cs="Arial"/>
          <w:bCs/>
          <w:sz w:val="18"/>
          <w:szCs w:val="18"/>
          <w:lang w:val="en-GB"/>
        </w:rPr>
        <w:t>in December 2016.</w:t>
      </w:r>
    </w:p>
    <w:p w14:paraId="51E216B3" w14:textId="77777777" w:rsidR="00E30B6F" w:rsidRPr="003818C4" w:rsidRDefault="00E30B6F" w:rsidP="00390578">
      <w:pPr>
        <w:pStyle w:val="Body"/>
        <w:numPr>
          <w:ilvl w:val="0"/>
          <w:numId w:val="49"/>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The most important accomplishment during the reference period is the adoption of the Penal Code amendments setting penalties for the fraudulent use of the EU funds or for any actions causing prejudice to the EU funds. </w:t>
      </w:r>
    </w:p>
    <w:p w14:paraId="698DBE58" w14:textId="77777777" w:rsidR="00E30B6F" w:rsidRPr="003818C4" w:rsidRDefault="00F74E6A" w:rsidP="00390578">
      <w:pPr>
        <w:pStyle w:val="Body"/>
        <w:numPr>
          <w:ilvl w:val="0"/>
          <w:numId w:val="49"/>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T</w:t>
      </w:r>
      <w:r w:rsidR="00E30B6F" w:rsidRPr="003818C4">
        <w:rPr>
          <w:rStyle w:val="NoneA"/>
          <w:rFonts w:ascii="Arial" w:hAnsi="Arial" w:cs="Arial"/>
          <w:bCs/>
          <w:sz w:val="18"/>
          <w:szCs w:val="18"/>
          <w:lang w:val="en-GB"/>
        </w:rPr>
        <w:t xml:space="preserve">he Administrative Agreement between </w:t>
      </w:r>
      <w:r w:rsidRPr="003818C4">
        <w:rPr>
          <w:rStyle w:val="NoneA"/>
          <w:rFonts w:ascii="Arial" w:hAnsi="Arial" w:cs="Arial"/>
          <w:bCs/>
          <w:sz w:val="18"/>
          <w:szCs w:val="18"/>
          <w:lang w:val="en-GB"/>
        </w:rPr>
        <w:t>NAC</w:t>
      </w:r>
      <w:r w:rsidR="00E30B6F" w:rsidRPr="003818C4">
        <w:rPr>
          <w:rStyle w:val="NoneA"/>
          <w:rFonts w:ascii="Arial" w:hAnsi="Arial" w:cs="Arial"/>
          <w:bCs/>
          <w:sz w:val="18"/>
          <w:szCs w:val="18"/>
          <w:lang w:val="en-GB"/>
        </w:rPr>
        <w:t xml:space="preserve"> and OLAF </w:t>
      </w:r>
      <w:r w:rsidRPr="003818C4">
        <w:rPr>
          <w:rStyle w:val="NoneA"/>
          <w:rFonts w:ascii="Arial" w:hAnsi="Arial" w:cs="Arial"/>
          <w:bCs/>
          <w:sz w:val="18"/>
          <w:szCs w:val="18"/>
          <w:lang w:val="en-GB"/>
        </w:rPr>
        <w:t>on</w:t>
      </w:r>
      <w:r w:rsidR="00E30B6F" w:rsidRPr="003818C4">
        <w:rPr>
          <w:rStyle w:val="NoneA"/>
          <w:rFonts w:ascii="Arial" w:hAnsi="Arial" w:cs="Arial"/>
          <w:bCs/>
          <w:sz w:val="18"/>
          <w:szCs w:val="18"/>
          <w:lang w:val="en-GB"/>
        </w:rPr>
        <w:t xml:space="preserve"> the operational cooperation and data exchange in the anti-fraud area</w:t>
      </w:r>
      <w:r w:rsidRPr="003818C4">
        <w:rPr>
          <w:rStyle w:val="NoneA"/>
          <w:rFonts w:ascii="Arial" w:hAnsi="Arial" w:cs="Arial"/>
          <w:bCs/>
          <w:sz w:val="18"/>
          <w:szCs w:val="18"/>
          <w:lang w:val="en-GB"/>
        </w:rPr>
        <w:t xml:space="preserve"> was signed. At the end of 2016 the NAC</w:t>
      </w:r>
      <w:r w:rsidR="00E30B6F" w:rsidRPr="003818C4">
        <w:rPr>
          <w:rStyle w:val="NoneA"/>
          <w:rFonts w:ascii="Arial" w:hAnsi="Arial" w:cs="Arial"/>
          <w:bCs/>
          <w:sz w:val="18"/>
          <w:szCs w:val="18"/>
          <w:lang w:val="en-GB"/>
        </w:rPr>
        <w:t xml:space="preserve"> was assigned by the Government as the national liaison point with OLAF. </w:t>
      </w:r>
    </w:p>
    <w:p w14:paraId="7DCC36B1" w14:textId="77777777" w:rsidR="00E30B6F" w:rsidRPr="003818C4" w:rsidRDefault="00F74E6A" w:rsidP="00390578">
      <w:pPr>
        <w:pStyle w:val="Body"/>
        <w:numPr>
          <w:ilvl w:val="0"/>
          <w:numId w:val="49"/>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However, in the light of the Report of the European Court of Auditors from September 2016, which highlighted a series of issues in the implementation of the EU funds in Moldova, the European Commission will most probably re-think the mechanism of direct budget support.</w:t>
      </w:r>
      <w:r w:rsidR="00E30B6F" w:rsidRPr="003818C4">
        <w:rPr>
          <w:rStyle w:val="NoneA"/>
          <w:rFonts w:ascii="Arial" w:hAnsi="Arial" w:cs="Arial"/>
          <w:bCs/>
          <w:sz w:val="18"/>
          <w:szCs w:val="18"/>
          <w:lang w:val="en-GB"/>
        </w:rPr>
        <w:t xml:space="preserve">  </w:t>
      </w:r>
    </w:p>
    <w:p w14:paraId="1E5B26C1" w14:textId="77777777" w:rsidR="00E30B6F" w:rsidRPr="003818C4" w:rsidRDefault="00E30B6F" w:rsidP="001164F1">
      <w:pPr>
        <w:pStyle w:val="Heading3"/>
        <w:spacing w:before="120" w:after="120" w:line="240" w:lineRule="auto"/>
        <w:rPr>
          <w:rFonts w:ascii="Arial" w:hAnsi="Arial" w:cs="Arial"/>
          <w:b/>
          <w:color w:val="0B5294" w:themeColor="accent1" w:themeShade="BF"/>
          <w:sz w:val="18"/>
          <w:szCs w:val="18"/>
          <w:lang w:val="en-GB"/>
        </w:rPr>
      </w:pPr>
      <w:bookmarkStart w:id="43" w:name="_Toc478028676"/>
      <w:r w:rsidRPr="003818C4">
        <w:rPr>
          <w:rFonts w:ascii="Arial" w:hAnsi="Arial" w:cs="Arial"/>
          <w:b/>
          <w:color w:val="0B5294" w:themeColor="accent1" w:themeShade="BF"/>
          <w:sz w:val="18"/>
          <w:szCs w:val="18"/>
          <w:lang w:val="en-GB"/>
        </w:rPr>
        <w:t>Recommendations (Title VI)</w:t>
      </w:r>
      <w:bookmarkEnd w:id="42"/>
      <w:bookmarkEnd w:id="43"/>
    </w:p>
    <w:p w14:paraId="29EA76BB" w14:textId="77777777" w:rsidR="00E30B6F" w:rsidRPr="003818C4" w:rsidRDefault="00E30B6F" w:rsidP="00390578">
      <w:pPr>
        <w:pStyle w:val="Body"/>
        <w:numPr>
          <w:ilvl w:val="0"/>
          <w:numId w:val="50"/>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Efficient implementation of the mechanism </w:t>
      </w:r>
      <w:r w:rsidR="00F74E6A" w:rsidRPr="003818C4">
        <w:rPr>
          <w:rStyle w:val="NoneA"/>
          <w:rFonts w:ascii="Arial" w:hAnsi="Arial" w:cs="Arial"/>
          <w:bCs/>
          <w:sz w:val="18"/>
          <w:szCs w:val="18"/>
          <w:lang w:val="en-GB"/>
        </w:rPr>
        <w:t>of</w:t>
      </w:r>
      <w:r w:rsidRPr="003818C4">
        <w:rPr>
          <w:rStyle w:val="NoneA"/>
          <w:rFonts w:ascii="Arial" w:hAnsi="Arial" w:cs="Arial"/>
          <w:bCs/>
          <w:sz w:val="18"/>
          <w:szCs w:val="18"/>
          <w:lang w:val="en-GB"/>
        </w:rPr>
        <w:t xml:space="preserve"> technical assistance coordination.</w:t>
      </w:r>
    </w:p>
    <w:p w14:paraId="22D9BBC0" w14:textId="77777777" w:rsidR="00E30B6F" w:rsidRPr="003818C4" w:rsidRDefault="00E30B6F" w:rsidP="00390578">
      <w:pPr>
        <w:pStyle w:val="Body"/>
        <w:numPr>
          <w:ilvl w:val="0"/>
          <w:numId w:val="50"/>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Coordination with the development partners the intervention areas and priorities to ensure the synergy and efficiency of funds.</w:t>
      </w:r>
    </w:p>
    <w:p w14:paraId="16048A19" w14:textId="77777777" w:rsidR="00E30B6F" w:rsidRPr="003818C4" w:rsidRDefault="00E30B6F" w:rsidP="00390578">
      <w:pPr>
        <w:pStyle w:val="Body"/>
        <w:numPr>
          <w:ilvl w:val="0"/>
          <w:numId w:val="50"/>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Promotion of the Draft law on recovery of proceeds of crime and of the Draft law on the establishment of the Assets Recovery Agency.</w:t>
      </w:r>
    </w:p>
    <w:p w14:paraId="47329049" w14:textId="77777777" w:rsidR="00E30B6F" w:rsidRPr="003818C4" w:rsidRDefault="00E30B6F" w:rsidP="00390578">
      <w:pPr>
        <w:pStyle w:val="Body"/>
        <w:numPr>
          <w:ilvl w:val="0"/>
          <w:numId w:val="50"/>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Efficient cooperation between OLAF and NAC, Anticorruption Prosecution Office and Court of Accounts in detecting the cases of fraudulent use of the EU funds.</w:t>
      </w:r>
    </w:p>
    <w:p w14:paraId="2818FED6" w14:textId="0E1CA1A4" w:rsidR="00E30B6F" w:rsidRPr="003818C4" w:rsidRDefault="00E30B6F" w:rsidP="00390578">
      <w:pPr>
        <w:pStyle w:val="Body"/>
        <w:numPr>
          <w:ilvl w:val="0"/>
          <w:numId w:val="50"/>
        </w:numPr>
        <w:spacing w:before="120" w:after="120" w:line="240" w:lineRule="auto"/>
        <w:ind w:left="284" w:hanging="284"/>
        <w:rPr>
          <w:rStyle w:val="NoneA"/>
          <w:rFonts w:ascii="Arial" w:hAnsi="Arial" w:cs="Arial"/>
          <w:bCs/>
          <w:sz w:val="18"/>
          <w:szCs w:val="18"/>
          <w:lang w:val="en-GB"/>
        </w:rPr>
      </w:pPr>
      <w:r w:rsidRPr="003818C4">
        <w:rPr>
          <w:rStyle w:val="NoneA"/>
          <w:rFonts w:ascii="Arial" w:hAnsi="Arial" w:cs="Arial"/>
          <w:bCs/>
          <w:sz w:val="18"/>
          <w:szCs w:val="18"/>
          <w:lang w:val="en-GB"/>
        </w:rPr>
        <w:t xml:space="preserve">Consolidation of the Court of Accounts’ capacities </w:t>
      </w:r>
      <w:r w:rsidR="00F74E6A" w:rsidRPr="003818C4">
        <w:rPr>
          <w:rStyle w:val="NoneA"/>
          <w:rFonts w:ascii="Arial" w:hAnsi="Arial" w:cs="Arial"/>
          <w:bCs/>
          <w:sz w:val="18"/>
          <w:szCs w:val="18"/>
          <w:lang w:val="en-GB"/>
        </w:rPr>
        <w:t>to audit</w:t>
      </w:r>
      <w:r w:rsidRPr="003818C4">
        <w:rPr>
          <w:rStyle w:val="NoneA"/>
          <w:rFonts w:ascii="Arial" w:hAnsi="Arial" w:cs="Arial"/>
          <w:bCs/>
          <w:sz w:val="18"/>
          <w:szCs w:val="18"/>
          <w:lang w:val="en-GB"/>
        </w:rPr>
        <w:t xml:space="preserve"> EU funds implemented in Moldova, in line with the EU requirements in this area.</w:t>
      </w:r>
    </w:p>
    <w:sectPr w:rsidR="00E30B6F" w:rsidRPr="003818C4" w:rsidSect="008D3FF4">
      <w:headerReference w:type="even" r:id="rId18"/>
      <w:headerReference w:type="default" r:id="rId19"/>
      <w:footerReference w:type="default" r:id="rId20"/>
      <w:pgSz w:w="11900" w:h="16840"/>
      <w:pgMar w:top="451" w:right="1551" w:bottom="1016" w:left="1560" w:header="709" w:footer="696"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1D2A8" w14:textId="77777777" w:rsidR="00897B83" w:rsidRDefault="00897B83">
      <w:r>
        <w:separator/>
      </w:r>
    </w:p>
  </w:endnote>
  <w:endnote w:type="continuationSeparator" w:id="0">
    <w:p w14:paraId="4BAB4362" w14:textId="77777777" w:rsidR="00897B83" w:rsidRDefault="0089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GｺﾞｼｯｸM">
    <w:altName w:val="Times New Roman"/>
    <w:panose1 w:val="00000000000000000000"/>
    <w:charset w:val="00"/>
    <w:family w:val="roman"/>
    <w:notTrueType/>
    <w:pitch w:val="default"/>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1429A" w14:textId="77777777" w:rsidR="00897B83" w:rsidRDefault="00897B83" w:rsidP="008D3FF4">
    <w:pPr>
      <w:pStyle w:val="HeaderFooterA"/>
      <w:tabs>
        <w:tab w:val="clear" w:pos="9020"/>
        <w:tab w:val="center" w:pos="4819"/>
        <w:tab w:val="right" w:pos="9613"/>
      </w:tabs>
      <w:spacing w:after="0" w:line="240" w:lineRule="auto"/>
      <w:rPr>
        <w:rStyle w:val="NoneA"/>
        <w:rFonts w:ascii="Arial" w:hAnsi="Arial" w:cs="Arial"/>
        <w:b/>
        <w:color w:val="17406D" w:themeColor="text2"/>
        <w:sz w:val="18"/>
        <w:szCs w:val="18"/>
      </w:rPr>
    </w:pPr>
    <w:r>
      <w:rPr>
        <w:rFonts w:ascii="Arial" w:hAnsi="Arial" w:cs="Arial"/>
        <w:b/>
        <w:noProof/>
        <w:color w:val="0F6FC6" w:themeColor="accent1"/>
        <w:spacing w:val="20"/>
        <w:sz w:val="16"/>
        <w:szCs w:val="16"/>
      </w:rPr>
      <mc:AlternateContent>
        <mc:Choice Requires="wps">
          <w:drawing>
            <wp:anchor distT="0" distB="0" distL="114300" distR="114300" simplePos="0" relativeHeight="251661312" behindDoc="0" locked="0" layoutInCell="1" allowOverlap="1" wp14:anchorId="3F07B320" wp14:editId="256FB24F">
              <wp:simplePos x="0" y="0"/>
              <wp:positionH relativeFrom="column">
                <wp:posOffset>27016</wp:posOffset>
              </wp:positionH>
              <wp:positionV relativeFrom="paragraph">
                <wp:posOffset>37350</wp:posOffset>
              </wp:positionV>
              <wp:extent cx="5588000" cy="0"/>
              <wp:effectExtent l="0" t="0" r="25400" b="25400"/>
              <wp:wrapNone/>
              <wp:docPr id="38" name="Straight Connector 38"/>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40BC3EA" id="Straight Connector 3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5pt,2.95pt" to="44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muQEAAMUDAAAOAAAAZHJzL2Uyb0RvYy54bWysU8Fu2zAMvQ/YPwi6L3Y6dAiMOD2k6C7D&#10;FqzbB6gyFQuQRIHSEufvRymJO6wDhg29yKLIR/I90uu7yTtxAEoWQy+Xi1YKCBoHG/a9/P7t4d1K&#10;ipRVGJTDAL08QZJ3m7dv1sfYwQ2O6AYgwUlC6o6xl2POsWuapEfwKi0wQmCnQfIqs0n7ZiB15Oze&#10;NTdt+6E5Ig2RUENK/Hp/dspNzW8M6PzFmARZuF5yb7meVM+ncjabter2pOJo9aUN9R9deGUDF51T&#10;3ausxA+yL1J5qwkTmrzQ6Bs0xmqoHJjNsv2NzeOoIlQuLE6Ks0zp9dLqz4cdCTv08j1PKijPM3rM&#10;pOx+zGKLIbCCSIKdrNQxpo4B27Cji5XijgrtyZAvXyYkpqruaVYXpiw0P97erlZty0PQV1/zDIyU&#10;8kdAL8qll86GQlx16vApZS7GodcQNkoj59L1lk8OSrALX8EwGS62rOi6RrB1JA6KF0BpDSEvCxXO&#10;V6MLzFjnZmD7d+AlvkChrti/gGdErYwhz2BvA9Kfqufp2rI5x18VOPMuEjzhcKpDqdLwrlSGl70u&#10;y/irXeHPf9/mJwAAAP//AwBQSwMEFAAGAAgAAAAhABuod+TbAAAABQEAAA8AAABkcnMvZG93bnJl&#10;di54bWxMjk1Lw0AURfeC/2F4gjs7sX4QYyalFMRaKKWtUJevmWcSzbwJM9Mm/fdO3ejycC/3nnwy&#10;mFYcyfnGsoLbUQKCuLS64UrB+/blJgXhA7LG1jIpOJGHSXF5kWOmbc9rOm5CJeII+wwV1CF0mZS+&#10;rMmgH9mOOGaf1hkMEV0ltcM+jptWjpPkURpsOD7U2NGspvJ7czAKlm4+n00Xpy9efZh+N17sVm/D&#10;q1LXV8P0GUSgIfyV4awf1aGITnt7YO1Fq+D+LhYVPDyBiGmannn/y7LI5X/74gcAAP//AwBQSwEC&#10;LQAUAAYACAAAACEAtoM4kv4AAADhAQAAEwAAAAAAAAAAAAAAAAAAAAAAW0NvbnRlbnRfVHlwZXNd&#10;LnhtbFBLAQItABQABgAIAAAAIQA4/SH/1gAAAJQBAAALAAAAAAAAAAAAAAAAAC8BAABfcmVscy8u&#10;cmVsc1BLAQItABQABgAIAAAAIQC/6jMmuQEAAMUDAAAOAAAAAAAAAAAAAAAAAC4CAABkcnMvZTJv&#10;RG9jLnhtbFBLAQItABQABgAIAAAAIQAbqHfk2wAAAAUBAAAPAAAAAAAAAAAAAAAAABMEAABkcnMv&#10;ZG93bnJldi54bWxQSwUGAAAAAAQABADzAAAAGwUAAAAA&#10;" strokecolor="#0f6fc6 [3204]" strokeweight=".5pt">
              <v:stroke joinstyle="miter"/>
            </v:line>
          </w:pict>
        </mc:Fallback>
      </mc:AlternateContent>
    </w:r>
  </w:p>
  <w:p w14:paraId="77F51590" w14:textId="77777777" w:rsidR="00897B83" w:rsidRPr="009212E1" w:rsidRDefault="00897B83" w:rsidP="008D3FF4">
    <w:pPr>
      <w:pStyle w:val="HeaderFooterA"/>
      <w:tabs>
        <w:tab w:val="clear" w:pos="9020"/>
        <w:tab w:val="center" w:pos="4819"/>
        <w:tab w:val="right" w:pos="9613"/>
      </w:tabs>
      <w:spacing w:after="0" w:line="240" w:lineRule="auto"/>
      <w:rPr>
        <w:rFonts w:ascii="Arial" w:hAnsi="Arial" w:cs="Arial"/>
        <w:b/>
        <w:color w:val="17406D" w:themeColor="text2"/>
        <w:sz w:val="16"/>
        <w:szCs w:val="16"/>
      </w:rPr>
    </w:pPr>
    <w:r w:rsidRPr="009212E1">
      <w:rPr>
        <w:rFonts w:ascii="Arial" w:hAnsi="Arial" w:cs="Arial"/>
        <w:b/>
        <w:noProof/>
        <w:color w:val="17406D" w:themeColor="text2"/>
        <w:sz w:val="16"/>
        <w:szCs w:val="16"/>
      </w:rPr>
      <w:drawing>
        <wp:inline distT="0" distB="0" distL="0" distR="0" wp14:anchorId="491858D1" wp14:editId="461414C7">
          <wp:extent cx="243960" cy="238760"/>
          <wp:effectExtent l="0" t="0" r="1016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2576" cy="247193"/>
                  </a:xfrm>
                  <a:prstGeom prst="rect">
                    <a:avLst/>
                  </a:prstGeom>
                </pic:spPr>
              </pic:pic>
            </a:graphicData>
          </a:graphic>
        </wp:inline>
      </w:drawing>
    </w:r>
    <w:r w:rsidRPr="009212E1">
      <w:rPr>
        <w:rStyle w:val="NoneA"/>
        <w:rFonts w:ascii="Arial" w:hAnsi="Arial" w:cs="Arial"/>
        <w:b/>
        <w:color w:val="17406D" w:themeColor="text2"/>
        <w:sz w:val="16"/>
        <w:szCs w:val="16"/>
      </w:rPr>
      <w:t xml:space="preserve">   </w:t>
    </w:r>
    <w:r w:rsidRPr="009212E1">
      <w:rPr>
        <w:rStyle w:val="NoneA"/>
        <w:rFonts w:ascii="Arial" w:hAnsi="Arial" w:cs="Arial"/>
        <w:b/>
        <w:color w:val="0070C0"/>
        <w:sz w:val="16"/>
        <w:szCs w:val="16"/>
      </w:rPr>
      <w:t xml:space="preserve">www.ipre.md                          </w:t>
    </w:r>
    <w:r w:rsidRPr="009212E1">
      <w:rPr>
        <w:rStyle w:val="NoneA"/>
        <w:rFonts w:ascii="Arial" w:hAnsi="Arial" w:cs="Arial"/>
        <w:b/>
        <w:color w:val="17406D" w:themeColor="text2"/>
        <w:sz w:val="16"/>
        <w:szCs w:val="16"/>
      </w:rPr>
      <w:t xml:space="preserve">                                                                                                                  </w:t>
    </w:r>
    <w:r>
      <w:rPr>
        <w:rStyle w:val="NoneA"/>
        <w:rFonts w:ascii="Arial" w:hAnsi="Arial" w:cs="Arial"/>
        <w:b/>
        <w:color w:val="17406D" w:themeColor="text2"/>
        <w:sz w:val="16"/>
        <w:szCs w:val="16"/>
      </w:rPr>
      <w:t xml:space="preserve">                   </w:t>
    </w:r>
    <w:r w:rsidRPr="009212E1">
      <w:rPr>
        <w:rStyle w:val="NoneA"/>
        <w:rFonts w:ascii="Arial" w:hAnsi="Arial" w:cs="Arial"/>
        <w:b/>
        <w:color w:val="17406D" w:themeColor="text2"/>
        <w:sz w:val="16"/>
        <w:szCs w:val="16"/>
      </w:rPr>
      <w:fldChar w:fldCharType="begin"/>
    </w:r>
    <w:r w:rsidRPr="009212E1">
      <w:rPr>
        <w:rStyle w:val="NoneA"/>
        <w:rFonts w:ascii="Arial" w:hAnsi="Arial" w:cs="Arial"/>
        <w:b/>
        <w:color w:val="17406D" w:themeColor="text2"/>
        <w:sz w:val="16"/>
        <w:szCs w:val="16"/>
      </w:rPr>
      <w:instrText xml:space="preserve"> PAGE </w:instrText>
    </w:r>
    <w:r w:rsidRPr="009212E1">
      <w:rPr>
        <w:rStyle w:val="NoneA"/>
        <w:rFonts w:ascii="Arial" w:hAnsi="Arial" w:cs="Arial"/>
        <w:b/>
        <w:color w:val="17406D" w:themeColor="text2"/>
        <w:sz w:val="16"/>
        <w:szCs w:val="16"/>
      </w:rPr>
      <w:fldChar w:fldCharType="separate"/>
    </w:r>
    <w:r w:rsidR="00D04808">
      <w:rPr>
        <w:rStyle w:val="NoneA"/>
        <w:rFonts w:ascii="Arial" w:hAnsi="Arial" w:cs="Arial"/>
        <w:b/>
        <w:noProof/>
        <w:color w:val="17406D" w:themeColor="text2"/>
        <w:sz w:val="16"/>
        <w:szCs w:val="16"/>
      </w:rPr>
      <w:t>2</w:t>
    </w:r>
    <w:r w:rsidRPr="009212E1">
      <w:rPr>
        <w:rStyle w:val="NoneA"/>
        <w:rFonts w:ascii="Arial" w:hAnsi="Arial" w:cs="Arial"/>
        <w:b/>
        <w:color w:val="17406D" w:themeColor="text2"/>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EF5AE" w14:textId="77777777" w:rsidR="00897B83" w:rsidRDefault="00897B83">
      <w:r>
        <w:separator/>
      </w:r>
    </w:p>
  </w:footnote>
  <w:footnote w:type="continuationSeparator" w:id="0">
    <w:p w14:paraId="1DDCAE63" w14:textId="77777777" w:rsidR="00897B83" w:rsidRDefault="00897B83">
      <w:r>
        <w:continuationSeparator/>
      </w:r>
    </w:p>
  </w:footnote>
  <w:footnote w:type="continuationNotice" w:id="1">
    <w:p w14:paraId="3C2C1858" w14:textId="77777777" w:rsidR="00897B83" w:rsidRDefault="00897B8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3F44" w14:textId="77777777" w:rsidR="00897B83" w:rsidRPr="008D3FF4" w:rsidRDefault="00897B83" w:rsidP="008D3FF4">
    <w:pPr>
      <w:pStyle w:val="Header"/>
      <w:spacing w:after="0" w:line="240" w:lineRule="auto"/>
      <w:jc w:val="right"/>
      <w:rPr>
        <w:rFonts w:ascii="Arial" w:hAnsi="Arial" w:cs="Arial"/>
        <w:b/>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E3D9E" w14:textId="77777777" w:rsidR="00897B83" w:rsidRPr="008D3FF4" w:rsidRDefault="00897B83" w:rsidP="00B52E9B">
    <w:pPr>
      <w:pStyle w:val="Header"/>
      <w:spacing w:after="0" w:line="240" w:lineRule="auto"/>
      <w:rPr>
        <w:rFonts w:ascii="Arial" w:hAnsi="Arial" w:cs="Arial"/>
        <w:color w:val="0F6FC6" w:themeColor="accent1"/>
        <w:spacing w:val="20"/>
        <w:sz w:val="16"/>
        <w:szCs w:val="16"/>
      </w:rPr>
    </w:pPr>
    <w:r w:rsidRPr="008D3FF4">
      <w:rPr>
        <w:rFonts w:ascii="Arial" w:hAnsi="Arial" w:cs="Arial"/>
        <w:b/>
        <w:noProof/>
        <w:color w:val="0F6FC6" w:themeColor="accent1"/>
        <w:spacing w:val="20"/>
        <w:sz w:val="16"/>
        <w:szCs w:val="16"/>
      </w:rPr>
      <w:drawing>
        <wp:inline distT="0" distB="0" distL="0" distR="0" wp14:anchorId="3568EA12" wp14:editId="14E8798D">
          <wp:extent cx="350724" cy="318237"/>
          <wp:effectExtent l="0" t="0" r="508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4427" cy="321597"/>
                  </a:xfrm>
                  <a:prstGeom prst="rect">
                    <a:avLst/>
                  </a:prstGeom>
                </pic:spPr>
              </pic:pic>
            </a:graphicData>
          </a:graphic>
        </wp:inline>
      </w:drawing>
    </w:r>
    <w:r>
      <w:rPr>
        <w:rFonts w:ascii="Arial" w:hAnsi="Arial" w:cs="Arial"/>
        <w:b/>
        <w:color w:val="0F6FC6" w:themeColor="accent1"/>
        <w:spacing w:val="20"/>
        <w:sz w:val="16"/>
        <w:szCs w:val="16"/>
      </w:rPr>
      <w:t xml:space="preserve">   Shadow progress report </w:t>
    </w:r>
    <w:r w:rsidRPr="008D3FF4">
      <w:rPr>
        <w:rFonts w:ascii="Arial" w:hAnsi="Arial" w:cs="Arial"/>
        <w:color w:val="0F6FC6" w:themeColor="accent1"/>
        <w:spacing w:val="20"/>
        <w:sz w:val="16"/>
        <w:szCs w:val="16"/>
      </w:rPr>
      <w:t xml:space="preserve">– </w:t>
    </w:r>
    <w:r>
      <w:rPr>
        <w:rFonts w:ascii="Arial" w:hAnsi="Arial" w:cs="Arial"/>
        <w:color w:val="0F6FC6" w:themeColor="accent1"/>
        <w:spacing w:val="20"/>
        <w:sz w:val="16"/>
        <w:szCs w:val="16"/>
      </w:rPr>
      <w:t>EU – Moldova Association Agreement (2014-2016)</w:t>
    </w:r>
    <w:r w:rsidRPr="008D3FF4">
      <w:rPr>
        <w:rFonts w:ascii="Arial" w:hAnsi="Arial" w:cs="Arial"/>
        <w:color w:val="0F6FC6" w:themeColor="accent1"/>
        <w:spacing w:val="20"/>
        <w:sz w:val="16"/>
        <w:szCs w:val="16"/>
      </w:rPr>
      <w:t xml:space="preserve"> </w:t>
    </w:r>
    <w:r>
      <w:rPr>
        <w:rFonts w:ascii="Arial" w:hAnsi="Arial" w:cs="Arial"/>
        <w:color w:val="0F6FC6" w:themeColor="accent1"/>
        <w:spacing w:val="20"/>
        <w:sz w:val="16"/>
        <w:szCs w:val="16"/>
      </w:rPr>
      <w:t xml:space="preserve">           </w:t>
    </w:r>
  </w:p>
  <w:p w14:paraId="1ABEA4B3" w14:textId="77777777" w:rsidR="00897B83" w:rsidRPr="008D3FF4" w:rsidRDefault="00897B83" w:rsidP="008D3FF4">
    <w:pPr>
      <w:pStyle w:val="Header"/>
      <w:spacing w:after="0" w:line="240" w:lineRule="auto"/>
      <w:jc w:val="right"/>
      <w:rPr>
        <w:rFonts w:ascii="Arial" w:hAnsi="Arial" w:cs="Arial"/>
        <w:b/>
        <w:color w:val="0F6FC6" w:themeColor="accent1"/>
        <w:spacing w:val="20"/>
        <w:sz w:val="16"/>
        <w:szCs w:val="16"/>
      </w:rPr>
    </w:pPr>
    <w:r>
      <w:rPr>
        <w:rFonts w:ascii="Arial" w:hAnsi="Arial" w:cs="Arial"/>
        <w:b/>
        <w:noProof/>
        <w:color w:val="0F6FC6" w:themeColor="accent1"/>
        <w:spacing w:val="20"/>
        <w:sz w:val="16"/>
        <w:szCs w:val="16"/>
      </w:rPr>
      <mc:AlternateContent>
        <mc:Choice Requires="wps">
          <w:drawing>
            <wp:anchor distT="0" distB="0" distL="114300" distR="114300" simplePos="0" relativeHeight="251650048" behindDoc="0" locked="0" layoutInCell="1" allowOverlap="1" wp14:anchorId="358BD4DD" wp14:editId="5071F66E">
              <wp:simplePos x="0" y="0"/>
              <wp:positionH relativeFrom="column">
                <wp:posOffset>27882</wp:posOffset>
              </wp:positionH>
              <wp:positionV relativeFrom="paragraph">
                <wp:posOffset>23495</wp:posOffset>
              </wp:positionV>
              <wp:extent cx="5588000" cy="0"/>
              <wp:effectExtent l="0" t="0" r="25400" b="25400"/>
              <wp:wrapNone/>
              <wp:docPr id="37" name="Straight Connector 37"/>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B43677C" id="Straight Connector 3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2pt,1.85pt" to="44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W7uQEAAMUDAAAOAAAAZHJzL2Uyb0RvYy54bWysU8GOEzEMvSPxD1HudKaLFqpRp3voarkg&#10;qFj4gGzG6URK4sgJnfbvcdJ2FgESAu3FE8d+tt+LZ3139E4cgJLF0MvlopUCgsbBhn0vv319eLOS&#10;ImUVBuUwQC9PkOTd5vWr9RQ7uMER3QAkuEhI3RR7OeYcu6ZJegSv0gIjBA4aJK8yu7RvBlITV/eu&#10;uWnbd82ENERCDSnx7f05KDe1vjGg82djEmThesmz5Wqp2qdim81adXtScbT6Mob6jym8soGbzqXu&#10;VVbiO9nfSnmrCROavNDoGzTGaqgcmM2y/YXN46giVC4sToqzTOnlyupPhx0JO/Ty7XspgvL8Ro+Z&#10;lN2PWWwxBFYQSXCQlZpi6hiwDTu6eCnuqNA+GvLly4TEsap7mtWFYxaaL29vV6u25UfQ11jzDIyU&#10;8gdAL8qhl86GQlx16vAxZW7GqdcUdsog59b1lE8OSrILX8AwGW62rOi6RrB1JA6KF0BpDSEvCxWu&#10;V7MLzFjnZmD7d+Alv0Chrti/gGdE7Ywhz2BvA9KfuufjdWRzzr8qcOZdJHjC4VQfpUrDu1IZXva6&#10;LOPPfoU//32bHwAAAP//AwBQSwMEFAAGAAgAAAAhAPzm9jLbAAAABQEAAA8AAABkcnMvZG93bnJl&#10;di54bWxMjlFLwzAUhd8F/0O4gm8udQ4tXdMxBuIcyNgUtsesubbV5qYk2dr9e+980cePczjny2eD&#10;bcUJfWgcKbgfJSCQSmcaqhR8vD/fpSBC1GR06wgVnDHArLi+ynVmXE8bPG1jJXiEQqYV1DF2mZSh&#10;rNHqMHIdEmefzlsdGX0ljdc9j9tWjpPkUVrdED/UusNFjeX39mgVvPnlcjFfnb9ovbf9brzarV+H&#10;F6Vub4b5FETEIf6V4aLP6lCw08EdyQTRKphMuKjg4QkEp2l64cMvyyKX/+2LHwAAAP//AwBQSwEC&#10;LQAUAAYACAAAACEAtoM4kv4AAADhAQAAEwAAAAAAAAAAAAAAAAAAAAAAW0NvbnRlbnRfVHlwZXNd&#10;LnhtbFBLAQItABQABgAIAAAAIQA4/SH/1gAAAJQBAAALAAAAAAAAAAAAAAAAAC8BAABfcmVscy8u&#10;cmVsc1BLAQItABQABgAIAAAAIQABBQW7uQEAAMUDAAAOAAAAAAAAAAAAAAAAAC4CAABkcnMvZTJv&#10;RG9jLnhtbFBLAQItABQABgAIAAAAIQD85vYy2wAAAAUBAAAPAAAAAAAAAAAAAAAAABMEAABkcnMv&#10;ZG93bnJldi54bWxQSwUGAAAAAAQABADzAAAAGwUAAAAA&#10;" strokecolor="#0f6fc6 [3204]" strokeweight=".5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2E7"/>
    <w:multiLevelType w:val="hybridMultilevel"/>
    <w:tmpl w:val="1A720CEC"/>
    <w:lvl w:ilvl="0" w:tplc="3E0A8F2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A7979"/>
    <w:multiLevelType w:val="hybridMultilevel"/>
    <w:tmpl w:val="E8AEE410"/>
    <w:styleLink w:val="ImportedStyle20"/>
    <w:lvl w:ilvl="0" w:tplc="C388BA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B422F6">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BB789708">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FD8C18C">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A9CA3B74">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5B0C7070">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52863C">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7BA4E68">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46EAED1C">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96D4633"/>
    <w:multiLevelType w:val="hybridMultilevel"/>
    <w:tmpl w:val="AA3E88F0"/>
    <w:styleLink w:val="ImportedStyle1"/>
    <w:lvl w:ilvl="0" w:tplc="E45673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067E8C">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22DA8C94">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AB4311C">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444A56EA">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D6F27EEE">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D885E80">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BE6CB3EC">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E3F033D0">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A077042"/>
    <w:multiLevelType w:val="hybridMultilevel"/>
    <w:tmpl w:val="ADDEAD2E"/>
    <w:styleLink w:val="ImportedStyle18"/>
    <w:lvl w:ilvl="0" w:tplc="2A1E3DC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860856">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34F4E0E4">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2284952">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65ACE22E">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B54826B4">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2600606">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947CC4FC">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68F85134">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AD3728C"/>
    <w:multiLevelType w:val="hybridMultilevel"/>
    <w:tmpl w:val="7A2E9BF6"/>
    <w:styleLink w:val="ImportedStyle11"/>
    <w:lvl w:ilvl="0" w:tplc="D69837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7CA208">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9894DEF0">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5485D28">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29D89392">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0DAA494">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EF8FE4E">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82461D1A">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F3BE7C0C">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B1F4A8B"/>
    <w:multiLevelType w:val="hybridMultilevel"/>
    <w:tmpl w:val="DE749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72DA5"/>
    <w:multiLevelType w:val="hybridMultilevel"/>
    <w:tmpl w:val="7F9ABD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EE405B"/>
    <w:multiLevelType w:val="hybridMultilevel"/>
    <w:tmpl w:val="A750391A"/>
    <w:lvl w:ilvl="0" w:tplc="606A4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D3E1F"/>
    <w:multiLevelType w:val="hybridMultilevel"/>
    <w:tmpl w:val="F26811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5D4323"/>
    <w:multiLevelType w:val="hybridMultilevel"/>
    <w:tmpl w:val="A0D45560"/>
    <w:styleLink w:val="ImportedStyle2"/>
    <w:lvl w:ilvl="0" w:tplc="DCCC15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509870">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A08E0314">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A4E4BBC">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FA3C6A70">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A208B880">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E8E6ADC">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E048E766">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E4DED200">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42E4D5E"/>
    <w:multiLevelType w:val="hybridMultilevel"/>
    <w:tmpl w:val="CA1E764A"/>
    <w:styleLink w:val="ImportedStyle3"/>
    <w:lvl w:ilvl="0" w:tplc="8E78FA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8F81C">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EF1456AA">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8CE6E34">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2C2A9D36">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A5227FF6">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9DC6542C">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AB30FC8E">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B54DF0C">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4F41B1D"/>
    <w:multiLevelType w:val="hybridMultilevel"/>
    <w:tmpl w:val="D076FB9C"/>
    <w:styleLink w:val="ImportedStyle13"/>
    <w:lvl w:ilvl="0" w:tplc="4F42F0E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0A548">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31642EFA">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72E7D3E">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1D8CD35E">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4F6A0D08">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47C9A30">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97D8D2A4">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5C4A0FE4">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5B14B16"/>
    <w:multiLevelType w:val="hybridMultilevel"/>
    <w:tmpl w:val="C4A0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63F82"/>
    <w:multiLevelType w:val="hybridMultilevel"/>
    <w:tmpl w:val="1A720CEC"/>
    <w:lvl w:ilvl="0" w:tplc="3E0A8F2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FD7A19"/>
    <w:multiLevelType w:val="hybridMultilevel"/>
    <w:tmpl w:val="C4A0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8178D5"/>
    <w:multiLevelType w:val="hybridMultilevel"/>
    <w:tmpl w:val="ACC8F18E"/>
    <w:styleLink w:val="ImportedStyle19"/>
    <w:lvl w:ilvl="0" w:tplc="80967CA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18BDBA">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3E4C7C26">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E04EA68">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158CF00E">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05E20F4E">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9EF212AE">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09C74E6">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F10FD4C">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D363ABB"/>
    <w:multiLevelType w:val="hybridMultilevel"/>
    <w:tmpl w:val="E8AEE410"/>
    <w:lvl w:ilvl="0" w:tplc="C388BA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B422F6">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BB789708">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FD8C18C">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A9CA3B74">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5B0C7070">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52863C">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7BA4E68">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46EAED1C">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F70180C"/>
    <w:multiLevelType w:val="hybridMultilevel"/>
    <w:tmpl w:val="9A10DC60"/>
    <w:lvl w:ilvl="0" w:tplc="D1C85C20">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F191E"/>
    <w:multiLevelType w:val="hybridMultilevel"/>
    <w:tmpl w:val="AAF4CD3C"/>
    <w:styleLink w:val="ImportedStyle15"/>
    <w:lvl w:ilvl="0" w:tplc="1C8A274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CC516">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7AA23FB6">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C2008DC">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3C1C5D62">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020253F4">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83A65F2">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92CE7BCE">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F2FEA06C">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3643F78"/>
    <w:multiLevelType w:val="hybridMultilevel"/>
    <w:tmpl w:val="2FB22D34"/>
    <w:styleLink w:val="Dash"/>
    <w:lvl w:ilvl="0" w:tplc="7E0ADCB6">
      <w:start w:val="1"/>
      <w:numFmt w:val="bullet"/>
      <w:lvlText w:val="-"/>
      <w:lvlJc w:val="left"/>
      <w:pPr>
        <w:ind w:left="218" w:hanging="2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3EC412">
      <w:start w:val="1"/>
      <w:numFmt w:val="bullet"/>
      <w:lvlText w:val="-"/>
      <w:lvlJc w:val="left"/>
      <w:pPr>
        <w:ind w:left="457" w:hanging="2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E0DE4C">
      <w:start w:val="1"/>
      <w:numFmt w:val="bullet"/>
      <w:lvlText w:val="-"/>
      <w:lvlJc w:val="left"/>
      <w:pPr>
        <w:ind w:left="696"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0802D8">
      <w:start w:val="1"/>
      <w:numFmt w:val="bullet"/>
      <w:lvlText w:val="-"/>
      <w:lvlJc w:val="left"/>
      <w:pPr>
        <w:ind w:left="936"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3E5632">
      <w:start w:val="1"/>
      <w:numFmt w:val="bullet"/>
      <w:lvlText w:val="-"/>
      <w:lvlJc w:val="left"/>
      <w:pPr>
        <w:ind w:left="1177"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9A8864A">
      <w:start w:val="1"/>
      <w:numFmt w:val="bullet"/>
      <w:lvlText w:val="-"/>
      <w:lvlJc w:val="left"/>
      <w:pPr>
        <w:ind w:left="1417"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3CE6012">
      <w:start w:val="1"/>
      <w:numFmt w:val="bullet"/>
      <w:lvlText w:val="-"/>
      <w:lvlJc w:val="left"/>
      <w:pPr>
        <w:ind w:left="1657"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3AB2B2">
      <w:start w:val="1"/>
      <w:numFmt w:val="bullet"/>
      <w:lvlText w:val="-"/>
      <w:lvlJc w:val="left"/>
      <w:pPr>
        <w:ind w:left="1897"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7465D6">
      <w:start w:val="1"/>
      <w:numFmt w:val="bullet"/>
      <w:lvlText w:val="-"/>
      <w:lvlJc w:val="left"/>
      <w:pPr>
        <w:ind w:left="2137"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358F6142"/>
    <w:multiLevelType w:val="hybridMultilevel"/>
    <w:tmpl w:val="C2CA371E"/>
    <w:styleLink w:val="ImportedStyle10"/>
    <w:lvl w:ilvl="0" w:tplc="CDEEAE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D498FE">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C1C2E4B6">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BD04EEF6">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1878F9E0">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9CD65FEC">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A6AFE44">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0A1C55AC">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15908058">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6033F8D"/>
    <w:multiLevelType w:val="hybridMultilevel"/>
    <w:tmpl w:val="B034576E"/>
    <w:styleLink w:val="ImportedStyle7"/>
    <w:lvl w:ilvl="0" w:tplc="926006F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7A8E28">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1338D0EE">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EB69C84">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11623EA8">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218652E0">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E8054C4">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649C27CE">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6F94FF06">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E370E2C"/>
    <w:multiLevelType w:val="hybridMultilevel"/>
    <w:tmpl w:val="9C563DD0"/>
    <w:styleLink w:val="ImportedStyle21"/>
    <w:lvl w:ilvl="0" w:tplc="DCBEF4C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58F3BE">
      <w:start w:val="1"/>
      <w:numFmt w:val="lowerLetter"/>
      <w:lvlText w:val="%2."/>
      <w:lvlJc w:val="left"/>
      <w:pPr>
        <w:ind w:left="1182"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62B069E2">
      <w:start w:val="1"/>
      <w:numFmt w:val="lowerRoman"/>
      <w:lvlText w:val="%3."/>
      <w:lvlJc w:val="left"/>
      <w:pPr>
        <w:ind w:left="1894"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3241BDA">
      <w:start w:val="1"/>
      <w:numFmt w:val="decimal"/>
      <w:lvlText w:val="%4."/>
      <w:lvlJc w:val="left"/>
      <w:pPr>
        <w:ind w:left="2622"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0376174C">
      <w:start w:val="1"/>
      <w:numFmt w:val="lowerLetter"/>
      <w:lvlText w:val="%5."/>
      <w:lvlJc w:val="left"/>
      <w:pPr>
        <w:ind w:left="3342"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007263DA">
      <w:start w:val="1"/>
      <w:numFmt w:val="lowerRoman"/>
      <w:lvlText w:val="%6."/>
      <w:lvlJc w:val="left"/>
      <w:pPr>
        <w:ind w:left="4054"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8606134">
      <w:start w:val="1"/>
      <w:numFmt w:val="decimal"/>
      <w:lvlText w:val="%7."/>
      <w:lvlJc w:val="left"/>
      <w:pPr>
        <w:ind w:left="4782"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9F4C9D76">
      <w:start w:val="1"/>
      <w:numFmt w:val="lowerLetter"/>
      <w:lvlText w:val="%8."/>
      <w:lvlJc w:val="left"/>
      <w:pPr>
        <w:ind w:left="5502"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669244D8">
      <w:start w:val="1"/>
      <w:numFmt w:val="lowerRoman"/>
      <w:lvlText w:val="%9."/>
      <w:lvlJc w:val="left"/>
      <w:pPr>
        <w:ind w:left="6214"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0B75CE1"/>
    <w:multiLevelType w:val="hybridMultilevel"/>
    <w:tmpl w:val="06485106"/>
    <w:lvl w:ilvl="0" w:tplc="C5E8FA38">
      <w:start w:val="1"/>
      <w:numFmt w:val="decimal"/>
      <w:lvlText w:val="%1."/>
      <w:lvlJc w:val="left"/>
      <w:pPr>
        <w:ind w:left="720" w:hanging="360"/>
      </w:pPr>
      <w:rPr>
        <w:rFonts w:hint="default"/>
        <w:b w:val="0"/>
      </w:rPr>
    </w:lvl>
    <w:lvl w:ilvl="1" w:tplc="CC18634C">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96988"/>
    <w:multiLevelType w:val="hybridMultilevel"/>
    <w:tmpl w:val="8A5A37BE"/>
    <w:styleLink w:val="ImportedStyle12"/>
    <w:lvl w:ilvl="0" w:tplc="BE229B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5CED30">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CCC2BC2A">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D3200D4">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1346C7B0">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630884E0">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F587B50">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130B83E">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AEFA2E38">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5464C4E"/>
    <w:multiLevelType w:val="hybridMultilevel"/>
    <w:tmpl w:val="1A720CEC"/>
    <w:lvl w:ilvl="0" w:tplc="3E0A8F2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35C75"/>
    <w:multiLevelType w:val="hybridMultilevel"/>
    <w:tmpl w:val="7C401300"/>
    <w:lvl w:ilvl="0" w:tplc="81FE5BF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86E44"/>
    <w:multiLevelType w:val="hybridMultilevel"/>
    <w:tmpl w:val="F45C271C"/>
    <w:styleLink w:val="ImportedStyle6"/>
    <w:lvl w:ilvl="0" w:tplc="BB948D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72A6AC">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7D5A8252">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668A7B0">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8BB04386">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C72263C">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83217EC">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9864076">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3CD0504C">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8871587"/>
    <w:multiLevelType w:val="hybridMultilevel"/>
    <w:tmpl w:val="023E5A86"/>
    <w:styleLink w:val="ImportedStyle14"/>
    <w:lvl w:ilvl="0" w:tplc="1AB883D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6A35EE">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4966824">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15EC94A">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36887B4">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84E6FC64">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0406256">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06C03240">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49A826C2">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8DE3540"/>
    <w:multiLevelType w:val="hybridMultilevel"/>
    <w:tmpl w:val="3372FCEA"/>
    <w:styleLink w:val="ImportedStyle5"/>
    <w:lvl w:ilvl="0" w:tplc="646A9BFC">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60E0E8">
      <w:start w:val="1"/>
      <w:numFmt w:val="lowerLetter"/>
      <w:lvlText w:val="%2."/>
      <w:lvlJc w:val="left"/>
      <w:pPr>
        <w:ind w:left="1182"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C122E70C">
      <w:start w:val="1"/>
      <w:numFmt w:val="lowerRoman"/>
      <w:lvlText w:val="%3."/>
      <w:lvlJc w:val="left"/>
      <w:pPr>
        <w:ind w:left="1894"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3D24B30">
      <w:start w:val="1"/>
      <w:numFmt w:val="decimal"/>
      <w:lvlText w:val="%4."/>
      <w:lvlJc w:val="left"/>
      <w:pPr>
        <w:ind w:left="2622"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EE34E80C">
      <w:start w:val="1"/>
      <w:numFmt w:val="lowerLetter"/>
      <w:lvlText w:val="%5."/>
      <w:lvlJc w:val="left"/>
      <w:pPr>
        <w:ind w:left="3342"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A1E0B8F6">
      <w:start w:val="1"/>
      <w:numFmt w:val="lowerRoman"/>
      <w:lvlText w:val="%6."/>
      <w:lvlJc w:val="left"/>
      <w:pPr>
        <w:ind w:left="4054"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E689774">
      <w:start w:val="1"/>
      <w:numFmt w:val="decimal"/>
      <w:lvlText w:val="%7."/>
      <w:lvlJc w:val="left"/>
      <w:pPr>
        <w:ind w:left="4782"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D3A26D4E">
      <w:start w:val="1"/>
      <w:numFmt w:val="lowerLetter"/>
      <w:lvlText w:val="%8."/>
      <w:lvlJc w:val="left"/>
      <w:pPr>
        <w:ind w:left="5502"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B98CC0E8">
      <w:start w:val="1"/>
      <w:numFmt w:val="lowerRoman"/>
      <w:lvlText w:val="%9."/>
      <w:lvlJc w:val="left"/>
      <w:pPr>
        <w:ind w:left="6214"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4BE42718"/>
    <w:multiLevelType w:val="hybridMultilevel"/>
    <w:tmpl w:val="1A720CEC"/>
    <w:lvl w:ilvl="0" w:tplc="3E0A8F2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92E1C"/>
    <w:multiLevelType w:val="hybridMultilevel"/>
    <w:tmpl w:val="35568FE2"/>
    <w:styleLink w:val="ImportedStyle17"/>
    <w:lvl w:ilvl="0" w:tplc="492463F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28F026">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6550315A">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0448CBE">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DA3CEFB2">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25BAAC30">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8EE37E2">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4BA6860E">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661C9B12">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548F4115"/>
    <w:multiLevelType w:val="hybridMultilevel"/>
    <w:tmpl w:val="E7D2F2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B257AA"/>
    <w:multiLevelType w:val="hybridMultilevel"/>
    <w:tmpl w:val="D37613B0"/>
    <w:styleLink w:val="ImportedStyle4"/>
    <w:lvl w:ilvl="0" w:tplc="AD144B1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069DFE">
      <w:start w:val="1"/>
      <w:numFmt w:val="lowerLetter"/>
      <w:lvlText w:val="%2."/>
      <w:lvlJc w:val="left"/>
      <w:pPr>
        <w:ind w:left="1182"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B858BA80">
      <w:start w:val="1"/>
      <w:numFmt w:val="lowerRoman"/>
      <w:lvlText w:val="%3."/>
      <w:lvlJc w:val="left"/>
      <w:pPr>
        <w:ind w:left="1894"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A36FDAC">
      <w:start w:val="1"/>
      <w:numFmt w:val="decimal"/>
      <w:lvlText w:val="%4."/>
      <w:lvlJc w:val="left"/>
      <w:pPr>
        <w:ind w:left="2622"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5936C4A2">
      <w:start w:val="1"/>
      <w:numFmt w:val="lowerLetter"/>
      <w:lvlText w:val="%5."/>
      <w:lvlJc w:val="left"/>
      <w:pPr>
        <w:ind w:left="3342"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D38EB1E">
      <w:start w:val="1"/>
      <w:numFmt w:val="lowerRoman"/>
      <w:lvlText w:val="%6."/>
      <w:lvlJc w:val="left"/>
      <w:pPr>
        <w:ind w:left="4054"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996EB2BE">
      <w:start w:val="1"/>
      <w:numFmt w:val="decimal"/>
      <w:lvlText w:val="%7."/>
      <w:lvlJc w:val="left"/>
      <w:pPr>
        <w:ind w:left="4782"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B2A27048">
      <w:start w:val="1"/>
      <w:numFmt w:val="lowerLetter"/>
      <w:lvlText w:val="%8."/>
      <w:lvlJc w:val="left"/>
      <w:pPr>
        <w:ind w:left="5502"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DF0A4810">
      <w:start w:val="1"/>
      <w:numFmt w:val="lowerRoman"/>
      <w:lvlText w:val="%9."/>
      <w:lvlJc w:val="left"/>
      <w:pPr>
        <w:ind w:left="6214"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8BB4498"/>
    <w:multiLevelType w:val="hybridMultilevel"/>
    <w:tmpl w:val="98BC071E"/>
    <w:lvl w:ilvl="0" w:tplc="19DA30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3B331B"/>
    <w:multiLevelType w:val="hybridMultilevel"/>
    <w:tmpl w:val="C1460AD2"/>
    <w:styleLink w:val="ImportedStyle9"/>
    <w:lvl w:ilvl="0" w:tplc="73F273CC">
      <w:start w:val="1"/>
      <w:numFmt w:val="decimal"/>
      <w:lvlText w:val="%1."/>
      <w:lvlJc w:val="left"/>
      <w:pPr>
        <w:tabs>
          <w:tab w:val="left" w:pos="7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88268A">
      <w:start w:val="1"/>
      <w:numFmt w:val="lowerLetter"/>
      <w:lvlText w:val="%2."/>
      <w:lvlJc w:val="left"/>
      <w:pPr>
        <w:tabs>
          <w:tab w:val="left" w:pos="7080"/>
        </w:tabs>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D722EF28">
      <w:start w:val="1"/>
      <w:numFmt w:val="lowerRoman"/>
      <w:lvlText w:val="%3."/>
      <w:lvlJc w:val="left"/>
      <w:pPr>
        <w:tabs>
          <w:tab w:val="left" w:pos="7080"/>
        </w:tabs>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F84B808">
      <w:start w:val="1"/>
      <w:numFmt w:val="decimal"/>
      <w:lvlText w:val="%4."/>
      <w:lvlJc w:val="left"/>
      <w:pPr>
        <w:tabs>
          <w:tab w:val="left" w:pos="7080"/>
        </w:tabs>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8CB6BD24">
      <w:start w:val="1"/>
      <w:numFmt w:val="lowerLetter"/>
      <w:lvlText w:val="%5."/>
      <w:lvlJc w:val="left"/>
      <w:pPr>
        <w:tabs>
          <w:tab w:val="left" w:pos="7080"/>
        </w:tabs>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834EE008">
      <w:start w:val="1"/>
      <w:numFmt w:val="lowerRoman"/>
      <w:lvlText w:val="%6."/>
      <w:lvlJc w:val="left"/>
      <w:pPr>
        <w:tabs>
          <w:tab w:val="left" w:pos="7080"/>
        </w:tabs>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A60BE48">
      <w:start w:val="1"/>
      <w:numFmt w:val="decimal"/>
      <w:lvlText w:val="%7."/>
      <w:lvlJc w:val="left"/>
      <w:pPr>
        <w:tabs>
          <w:tab w:val="left" w:pos="7080"/>
        </w:tabs>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5D5E4C64">
      <w:start w:val="1"/>
      <w:numFmt w:val="lowerLetter"/>
      <w:lvlText w:val="%8."/>
      <w:lvlJc w:val="left"/>
      <w:pPr>
        <w:tabs>
          <w:tab w:val="left" w:pos="7080"/>
        </w:tabs>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6A0158A">
      <w:start w:val="1"/>
      <w:numFmt w:val="lowerRoman"/>
      <w:lvlText w:val="%9."/>
      <w:lvlJc w:val="left"/>
      <w:pPr>
        <w:tabs>
          <w:tab w:val="left" w:pos="7080"/>
        </w:tabs>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9BE715F"/>
    <w:multiLevelType w:val="hybridMultilevel"/>
    <w:tmpl w:val="2BB88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82E00"/>
    <w:multiLevelType w:val="hybridMultilevel"/>
    <w:tmpl w:val="74F418F4"/>
    <w:lvl w:ilvl="0" w:tplc="04090019">
      <w:start w:val="1"/>
      <w:numFmt w:val="lowerLetter"/>
      <w:lvlText w:val="%1."/>
      <w:lvlJc w:val="left"/>
      <w:pPr>
        <w:ind w:left="720" w:hanging="360"/>
      </w:pPr>
      <w:rPr>
        <w:rFonts w:hint="default"/>
      </w:rPr>
    </w:lvl>
    <w:lvl w:ilvl="1" w:tplc="A9AA58C0">
      <w:start w:val="1"/>
      <w:numFmt w:val="decimal"/>
      <w:lvlText w:val="%2."/>
      <w:lvlJc w:val="left"/>
      <w:pPr>
        <w:ind w:left="1440" w:hanging="360"/>
      </w:pPr>
      <w:rPr>
        <w:rFonts w:hint="default"/>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F93244"/>
    <w:multiLevelType w:val="hybridMultilevel"/>
    <w:tmpl w:val="405A34CA"/>
    <w:styleLink w:val="ImportedStyle8"/>
    <w:lvl w:ilvl="0" w:tplc="9E524C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9CF426">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E032A390">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E284F16">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6E4E24AA">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D8E6A722">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D703F0A">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C3B8FB80">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398F26A">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6CB80CD5"/>
    <w:multiLevelType w:val="hybridMultilevel"/>
    <w:tmpl w:val="EE54BF84"/>
    <w:styleLink w:val="ImportedStyle16"/>
    <w:lvl w:ilvl="0" w:tplc="AB78901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8C52CA">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EBE26A2">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BC6D0BC">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4D4E39BC">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36166C52">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D86EF72">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760AED36">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EEDC286C">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6CF71D69"/>
    <w:multiLevelType w:val="hybridMultilevel"/>
    <w:tmpl w:val="0942A208"/>
    <w:lvl w:ilvl="0" w:tplc="742C5036">
      <w:start w:val="1"/>
      <w:numFmt w:val="lowerLetter"/>
      <w:lvlText w:val="%1."/>
      <w:lvlJc w:val="left"/>
      <w:pPr>
        <w:ind w:left="720" w:hanging="360"/>
      </w:pPr>
      <w:rPr>
        <w:rFonts w:hint="default"/>
        <w:b w:val="0"/>
      </w:rPr>
    </w:lvl>
    <w:lvl w:ilvl="1" w:tplc="CC18634C">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EB28C7"/>
    <w:multiLevelType w:val="hybridMultilevel"/>
    <w:tmpl w:val="1400AADE"/>
    <w:lvl w:ilvl="0" w:tplc="86501C1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F16068"/>
    <w:multiLevelType w:val="hybridMultilevel"/>
    <w:tmpl w:val="6CAEA9C2"/>
    <w:lvl w:ilvl="0" w:tplc="81FE5BF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482D1EA">
      <w:start w:val="1"/>
      <w:numFmt w:val="lowerLetter"/>
      <w:lvlText w:val="%3."/>
      <w:lvlJc w:val="left"/>
      <w:pPr>
        <w:ind w:left="234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A12772"/>
    <w:multiLevelType w:val="hybridMultilevel"/>
    <w:tmpl w:val="ED80FE9C"/>
    <w:lvl w:ilvl="0" w:tplc="86501C1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9C215C"/>
    <w:multiLevelType w:val="hybridMultilevel"/>
    <w:tmpl w:val="78FAAA18"/>
    <w:lvl w:ilvl="0" w:tplc="E80E27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667A5D"/>
    <w:multiLevelType w:val="hybridMultilevel"/>
    <w:tmpl w:val="576404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9DA3082">
      <w:start w:val="1"/>
      <w:numFmt w:val="decimal"/>
      <w:lvlText w:val="%3."/>
      <w:lvlJc w:val="left"/>
      <w:pPr>
        <w:ind w:left="2340" w:hanging="360"/>
      </w:pPr>
      <w:rPr>
        <w:rFonts w:hint="default"/>
      </w:rPr>
    </w:lvl>
    <w:lvl w:ilvl="3" w:tplc="A0D24ABA">
      <w:start w:val="1"/>
      <w:numFmt w:val="bullet"/>
      <w:lvlText w:val="-"/>
      <w:lvlJc w:val="left"/>
      <w:pPr>
        <w:ind w:left="2880" w:hanging="360"/>
      </w:pPr>
      <w:rPr>
        <w:rFonts w:ascii="Arial" w:eastAsiaTheme="minorEastAsia"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7F0500"/>
    <w:multiLevelType w:val="hybridMultilevel"/>
    <w:tmpl w:val="2A682586"/>
    <w:lvl w:ilvl="0" w:tplc="0409000F">
      <w:start w:val="1"/>
      <w:numFmt w:val="decimal"/>
      <w:lvlText w:val="%1."/>
      <w:lvlJc w:val="left"/>
      <w:pPr>
        <w:ind w:left="720" w:hanging="360"/>
      </w:pPr>
      <w:rPr>
        <w:rFonts w:hint="default"/>
      </w:rPr>
    </w:lvl>
    <w:lvl w:ilvl="1" w:tplc="CC18634C">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074143"/>
    <w:multiLevelType w:val="hybridMultilevel"/>
    <w:tmpl w:val="4A2275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0EEC03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555D30"/>
    <w:multiLevelType w:val="multilevel"/>
    <w:tmpl w:val="6846D66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F6E7F84"/>
    <w:multiLevelType w:val="hybridMultilevel"/>
    <w:tmpl w:val="87B6BC96"/>
    <w:lvl w:ilvl="0" w:tplc="86501C1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9"/>
  </w:num>
  <w:num w:numId="4">
    <w:abstractNumId w:val="10"/>
  </w:num>
  <w:num w:numId="5">
    <w:abstractNumId w:val="33"/>
  </w:num>
  <w:num w:numId="6">
    <w:abstractNumId w:val="29"/>
  </w:num>
  <w:num w:numId="7">
    <w:abstractNumId w:val="27"/>
  </w:num>
  <w:num w:numId="8">
    <w:abstractNumId w:val="21"/>
  </w:num>
  <w:num w:numId="9">
    <w:abstractNumId w:val="38"/>
  </w:num>
  <w:num w:numId="10">
    <w:abstractNumId w:val="35"/>
  </w:num>
  <w:num w:numId="11">
    <w:abstractNumId w:val="20"/>
  </w:num>
  <w:num w:numId="12">
    <w:abstractNumId w:val="4"/>
  </w:num>
  <w:num w:numId="13">
    <w:abstractNumId w:val="24"/>
  </w:num>
  <w:num w:numId="14">
    <w:abstractNumId w:val="11"/>
  </w:num>
  <w:num w:numId="15">
    <w:abstractNumId w:val="28"/>
  </w:num>
  <w:num w:numId="16">
    <w:abstractNumId w:val="18"/>
  </w:num>
  <w:num w:numId="17">
    <w:abstractNumId w:val="39"/>
  </w:num>
  <w:num w:numId="18">
    <w:abstractNumId w:val="31"/>
  </w:num>
  <w:num w:numId="19">
    <w:abstractNumId w:val="3"/>
  </w:num>
  <w:num w:numId="20">
    <w:abstractNumId w:val="15"/>
  </w:num>
  <w:num w:numId="21">
    <w:abstractNumId w:val="1"/>
  </w:num>
  <w:num w:numId="22">
    <w:abstractNumId w:val="22"/>
  </w:num>
  <w:num w:numId="23">
    <w:abstractNumId w:val="17"/>
  </w:num>
  <w:num w:numId="24">
    <w:abstractNumId w:val="48"/>
  </w:num>
  <w:num w:numId="25">
    <w:abstractNumId w:val="43"/>
  </w:num>
  <w:num w:numId="26">
    <w:abstractNumId w:val="49"/>
  </w:num>
  <w:num w:numId="27">
    <w:abstractNumId w:val="41"/>
  </w:num>
  <w:num w:numId="28">
    <w:abstractNumId w:val="37"/>
  </w:num>
  <w:num w:numId="29">
    <w:abstractNumId w:val="26"/>
  </w:num>
  <w:num w:numId="30">
    <w:abstractNumId w:val="42"/>
  </w:num>
  <w:num w:numId="31">
    <w:abstractNumId w:val="46"/>
  </w:num>
  <w:num w:numId="32">
    <w:abstractNumId w:val="36"/>
  </w:num>
  <w:num w:numId="33">
    <w:abstractNumId w:val="40"/>
  </w:num>
  <w:num w:numId="34">
    <w:abstractNumId w:val="47"/>
  </w:num>
  <w:num w:numId="35">
    <w:abstractNumId w:val="5"/>
  </w:num>
  <w:num w:numId="36">
    <w:abstractNumId w:val="45"/>
  </w:num>
  <w:num w:numId="37">
    <w:abstractNumId w:val="23"/>
  </w:num>
  <w:num w:numId="38">
    <w:abstractNumId w:val="32"/>
  </w:num>
  <w:num w:numId="39">
    <w:abstractNumId w:val="8"/>
  </w:num>
  <w:num w:numId="40">
    <w:abstractNumId w:val="6"/>
  </w:num>
  <w:num w:numId="41">
    <w:abstractNumId w:val="14"/>
  </w:num>
  <w:num w:numId="42">
    <w:abstractNumId w:val="44"/>
  </w:num>
  <w:num w:numId="43">
    <w:abstractNumId w:val="13"/>
  </w:num>
  <w:num w:numId="44">
    <w:abstractNumId w:val="7"/>
  </w:num>
  <w:num w:numId="45">
    <w:abstractNumId w:val="12"/>
  </w:num>
  <w:num w:numId="46">
    <w:abstractNumId w:val="25"/>
  </w:num>
  <w:num w:numId="47">
    <w:abstractNumId w:val="16"/>
  </w:num>
  <w:num w:numId="48">
    <w:abstractNumId w:val="34"/>
  </w:num>
  <w:num w:numId="49">
    <w:abstractNumId w:val="30"/>
  </w:num>
  <w:num w:numId="50">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
  <w:rsids>
    <w:rsidRoot w:val="00E637C7"/>
    <w:rsid w:val="00000BDC"/>
    <w:rsid w:val="00001116"/>
    <w:rsid w:val="000029F0"/>
    <w:rsid w:val="0000644E"/>
    <w:rsid w:val="00010374"/>
    <w:rsid w:val="0001063C"/>
    <w:rsid w:val="0001080D"/>
    <w:rsid w:val="00012556"/>
    <w:rsid w:val="00013E31"/>
    <w:rsid w:val="000162DE"/>
    <w:rsid w:val="00016556"/>
    <w:rsid w:val="00024D4D"/>
    <w:rsid w:val="00025961"/>
    <w:rsid w:val="00027C61"/>
    <w:rsid w:val="00027F57"/>
    <w:rsid w:val="00030AA0"/>
    <w:rsid w:val="00031A04"/>
    <w:rsid w:val="00034C14"/>
    <w:rsid w:val="000374D6"/>
    <w:rsid w:val="00040F32"/>
    <w:rsid w:val="00041441"/>
    <w:rsid w:val="000431BB"/>
    <w:rsid w:val="00047B0C"/>
    <w:rsid w:val="00047E3D"/>
    <w:rsid w:val="00050987"/>
    <w:rsid w:val="00051700"/>
    <w:rsid w:val="00054CDE"/>
    <w:rsid w:val="00055362"/>
    <w:rsid w:val="000604E7"/>
    <w:rsid w:val="00060E2A"/>
    <w:rsid w:val="00061F19"/>
    <w:rsid w:val="0006329E"/>
    <w:rsid w:val="000637CF"/>
    <w:rsid w:val="000652CF"/>
    <w:rsid w:val="00066678"/>
    <w:rsid w:val="00066D73"/>
    <w:rsid w:val="00067FE8"/>
    <w:rsid w:val="000708C3"/>
    <w:rsid w:val="00072204"/>
    <w:rsid w:val="00076523"/>
    <w:rsid w:val="0008500D"/>
    <w:rsid w:val="00085DC1"/>
    <w:rsid w:val="00085F85"/>
    <w:rsid w:val="00091337"/>
    <w:rsid w:val="00093FE3"/>
    <w:rsid w:val="00094E08"/>
    <w:rsid w:val="000955FE"/>
    <w:rsid w:val="000A23E6"/>
    <w:rsid w:val="000A2E51"/>
    <w:rsid w:val="000A3CD5"/>
    <w:rsid w:val="000A4EDC"/>
    <w:rsid w:val="000A7996"/>
    <w:rsid w:val="000B1036"/>
    <w:rsid w:val="000B1322"/>
    <w:rsid w:val="000B1468"/>
    <w:rsid w:val="000B2859"/>
    <w:rsid w:val="000B3633"/>
    <w:rsid w:val="000B3CEC"/>
    <w:rsid w:val="000B42A5"/>
    <w:rsid w:val="000B482F"/>
    <w:rsid w:val="000B5C03"/>
    <w:rsid w:val="000C11C9"/>
    <w:rsid w:val="000C1EA4"/>
    <w:rsid w:val="000C1EB7"/>
    <w:rsid w:val="000C3622"/>
    <w:rsid w:val="000C49AE"/>
    <w:rsid w:val="000C63C7"/>
    <w:rsid w:val="000C642C"/>
    <w:rsid w:val="000C7F01"/>
    <w:rsid w:val="000D1320"/>
    <w:rsid w:val="000D18B9"/>
    <w:rsid w:val="000D444A"/>
    <w:rsid w:val="000D6592"/>
    <w:rsid w:val="000E0DA9"/>
    <w:rsid w:val="000E0F1D"/>
    <w:rsid w:val="000E1F24"/>
    <w:rsid w:val="000E4C40"/>
    <w:rsid w:val="000E6F19"/>
    <w:rsid w:val="000E6F41"/>
    <w:rsid w:val="000E73C1"/>
    <w:rsid w:val="000E7FDB"/>
    <w:rsid w:val="000F1E00"/>
    <w:rsid w:val="000F3D1D"/>
    <w:rsid w:val="000F58D3"/>
    <w:rsid w:val="000F5A9B"/>
    <w:rsid w:val="000F632E"/>
    <w:rsid w:val="000F6C44"/>
    <w:rsid w:val="00100435"/>
    <w:rsid w:val="00100FDE"/>
    <w:rsid w:val="00102BE1"/>
    <w:rsid w:val="00103F12"/>
    <w:rsid w:val="00104560"/>
    <w:rsid w:val="00105A6F"/>
    <w:rsid w:val="0010649E"/>
    <w:rsid w:val="00107307"/>
    <w:rsid w:val="001079EA"/>
    <w:rsid w:val="00111D2C"/>
    <w:rsid w:val="0011270F"/>
    <w:rsid w:val="00113B4E"/>
    <w:rsid w:val="00113CAF"/>
    <w:rsid w:val="00115269"/>
    <w:rsid w:val="001164F1"/>
    <w:rsid w:val="001211CE"/>
    <w:rsid w:val="001222F3"/>
    <w:rsid w:val="00122622"/>
    <w:rsid w:val="00123D2B"/>
    <w:rsid w:val="0012688F"/>
    <w:rsid w:val="00127430"/>
    <w:rsid w:val="00130ABB"/>
    <w:rsid w:val="00131D75"/>
    <w:rsid w:val="0013596C"/>
    <w:rsid w:val="00136256"/>
    <w:rsid w:val="0013668E"/>
    <w:rsid w:val="00136EF8"/>
    <w:rsid w:val="00140681"/>
    <w:rsid w:val="00142EAF"/>
    <w:rsid w:val="00143543"/>
    <w:rsid w:val="00144DA6"/>
    <w:rsid w:val="00145F83"/>
    <w:rsid w:val="00147382"/>
    <w:rsid w:val="0015215C"/>
    <w:rsid w:val="00152AB8"/>
    <w:rsid w:val="00153BCE"/>
    <w:rsid w:val="001566E5"/>
    <w:rsid w:val="00156C31"/>
    <w:rsid w:val="0015783F"/>
    <w:rsid w:val="001626E7"/>
    <w:rsid w:val="00162C8E"/>
    <w:rsid w:val="00164F56"/>
    <w:rsid w:val="0016562D"/>
    <w:rsid w:val="00165D90"/>
    <w:rsid w:val="00167EC8"/>
    <w:rsid w:val="001715AA"/>
    <w:rsid w:val="00174C88"/>
    <w:rsid w:val="00174F35"/>
    <w:rsid w:val="00176409"/>
    <w:rsid w:val="001768C7"/>
    <w:rsid w:val="001800F0"/>
    <w:rsid w:val="00181DC0"/>
    <w:rsid w:val="001832E9"/>
    <w:rsid w:val="0018446E"/>
    <w:rsid w:val="001857B4"/>
    <w:rsid w:val="0019000F"/>
    <w:rsid w:val="00192067"/>
    <w:rsid w:val="00194D7B"/>
    <w:rsid w:val="001957A6"/>
    <w:rsid w:val="00196F6F"/>
    <w:rsid w:val="00197BC7"/>
    <w:rsid w:val="001A1FE5"/>
    <w:rsid w:val="001A6DDD"/>
    <w:rsid w:val="001A702B"/>
    <w:rsid w:val="001B1CF7"/>
    <w:rsid w:val="001B2055"/>
    <w:rsid w:val="001B2B08"/>
    <w:rsid w:val="001B4A75"/>
    <w:rsid w:val="001B51A4"/>
    <w:rsid w:val="001B6BE2"/>
    <w:rsid w:val="001C4709"/>
    <w:rsid w:val="001C6ACC"/>
    <w:rsid w:val="001C7EBC"/>
    <w:rsid w:val="001D0966"/>
    <w:rsid w:val="001D0991"/>
    <w:rsid w:val="001D220F"/>
    <w:rsid w:val="001D2893"/>
    <w:rsid w:val="001D28BE"/>
    <w:rsid w:val="001D2945"/>
    <w:rsid w:val="001D3C26"/>
    <w:rsid w:val="001D3DA4"/>
    <w:rsid w:val="001D4C12"/>
    <w:rsid w:val="001D582A"/>
    <w:rsid w:val="001D756B"/>
    <w:rsid w:val="001E2912"/>
    <w:rsid w:val="001E4325"/>
    <w:rsid w:val="001E53F2"/>
    <w:rsid w:val="001E56C5"/>
    <w:rsid w:val="001E6224"/>
    <w:rsid w:val="001E6425"/>
    <w:rsid w:val="001E6794"/>
    <w:rsid w:val="001E6ECB"/>
    <w:rsid w:val="001E75EE"/>
    <w:rsid w:val="001E7A79"/>
    <w:rsid w:val="001F0A7D"/>
    <w:rsid w:val="001F1E45"/>
    <w:rsid w:val="001F2294"/>
    <w:rsid w:val="001F409B"/>
    <w:rsid w:val="001F5848"/>
    <w:rsid w:val="001F5C79"/>
    <w:rsid w:val="001F7362"/>
    <w:rsid w:val="001F762B"/>
    <w:rsid w:val="001F7A1C"/>
    <w:rsid w:val="001F7CAA"/>
    <w:rsid w:val="0020169C"/>
    <w:rsid w:val="00201D43"/>
    <w:rsid w:val="002024BC"/>
    <w:rsid w:val="0020393C"/>
    <w:rsid w:val="00206994"/>
    <w:rsid w:val="00207555"/>
    <w:rsid w:val="00211CCC"/>
    <w:rsid w:val="00214389"/>
    <w:rsid w:val="002154B0"/>
    <w:rsid w:val="002205E2"/>
    <w:rsid w:val="00220C8E"/>
    <w:rsid w:val="00221147"/>
    <w:rsid w:val="00223C47"/>
    <w:rsid w:val="00224DA2"/>
    <w:rsid w:val="00225680"/>
    <w:rsid w:val="00226727"/>
    <w:rsid w:val="0023357D"/>
    <w:rsid w:val="00233CC4"/>
    <w:rsid w:val="00235AFC"/>
    <w:rsid w:val="002373FC"/>
    <w:rsid w:val="00241E1A"/>
    <w:rsid w:val="002428FD"/>
    <w:rsid w:val="00243756"/>
    <w:rsid w:val="00243D71"/>
    <w:rsid w:val="0024401C"/>
    <w:rsid w:val="00245D81"/>
    <w:rsid w:val="002473A3"/>
    <w:rsid w:val="0024765D"/>
    <w:rsid w:val="00250A06"/>
    <w:rsid w:val="00256468"/>
    <w:rsid w:val="002623DB"/>
    <w:rsid w:val="002636F8"/>
    <w:rsid w:val="002638F6"/>
    <w:rsid w:val="00264B2F"/>
    <w:rsid w:val="00266743"/>
    <w:rsid w:val="002676BF"/>
    <w:rsid w:val="00270673"/>
    <w:rsid w:val="0027169B"/>
    <w:rsid w:val="002732CA"/>
    <w:rsid w:val="00274819"/>
    <w:rsid w:val="00284EDD"/>
    <w:rsid w:val="00285131"/>
    <w:rsid w:val="002902AE"/>
    <w:rsid w:val="002915EE"/>
    <w:rsid w:val="00291EBB"/>
    <w:rsid w:val="00292A87"/>
    <w:rsid w:val="002950BB"/>
    <w:rsid w:val="00297679"/>
    <w:rsid w:val="002A3F8B"/>
    <w:rsid w:val="002A6C66"/>
    <w:rsid w:val="002A706D"/>
    <w:rsid w:val="002B27B1"/>
    <w:rsid w:val="002B551B"/>
    <w:rsid w:val="002B64F2"/>
    <w:rsid w:val="002C0C27"/>
    <w:rsid w:val="002C259E"/>
    <w:rsid w:val="002C44AF"/>
    <w:rsid w:val="002C4D20"/>
    <w:rsid w:val="002C5BF4"/>
    <w:rsid w:val="002D0C96"/>
    <w:rsid w:val="002D48F0"/>
    <w:rsid w:val="002D4E73"/>
    <w:rsid w:val="002D799F"/>
    <w:rsid w:val="002E098C"/>
    <w:rsid w:val="002E144F"/>
    <w:rsid w:val="002F0311"/>
    <w:rsid w:val="002F047C"/>
    <w:rsid w:val="002F1B80"/>
    <w:rsid w:val="002F26E3"/>
    <w:rsid w:val="002F2793"/>
    <w:rsid w:val="002F41F2"/>
    <w:rsid w:val="002F4217"/>
    <w:rsid w:val="002F5213"/>
    <w:rsid w:val="00300D44"/>
    <w:rsid w:val="00302DFD"/>
    <w:rsid w:val="00306C09"/>
    <w:rsid w:val="00306DAF"/>
    <w:rsid w:val="00310A17"/>
    <w:rsid w:val="00312C19"/>
    <w:rsid w:val="00313E22"/>
    <w:rsid w:val="00314415"/>
    <w:rsid w:val="00314E42"/>
    <w:rsid w:val="0031566D"/>
    <w:rsid w:val="00315796"/>
    <w:rsid w:val="003175CB"/>
    <w:rsid w:val="003176F8"/>
    <w:rsid w:val="00317E72"/>
    <w:rsid w:val="003213BE"/>
    <w:rsid w:val="003225A6"/>
    <w:rsid w:val="0032266F"/>
    <w:rsid w:val="00322B47"/>
    <w:rsid w:val="003247F9"/>
    <w:rsid w:val="003256B0"/>
    <w:rsid w:val="00325D8A"/>
    <w:rsid w:val="00330310"/>
    <w:rsid w:val="00330CBD"/>
    <w:rsid w:val="00330FD6"/>
    <w:rsid w:val="003343EE"/>
    <w:rsid w:val="003347CA"/>
    <w:rsid w:val="00336F09"/>
    <w:rsid w:val="00342BC4"/>
    <w:rsid w:val="003434BB"/>
    <w:rsid w:val="00344D61"/>
    <w:rsid w:val="0034769D"/>
    <w:rsid w:val="00354520"/>
    <w:rsid w:val="00355A84"/>
    <w:rsid w:val="00355F9C"/>
    <w:rsid w:val="003566CD"/>
    <w:rsid w:val="00357D55"/>
    <w:rsid w:val="0036266E"/>
    <w:rsid w:val="00363F56"/>
    <w:rsid w:val="00366915"/>
    <w:rsid w:val="0036725B"/>
    <w:rsid w:val="00367FF5"/>
    <w:rsid w:val="00370632"/>
    <w:rsid w:val="0037067F"/>
    <w:rsid w:val="00370E61"/>
    <w:rsid w:val="00371136"/>
    <w:rsid w:val="00373418"/>
    <w:rsid w:val="003740AC"/>
    <w:rsid w:val="00376F5E"/>
    <w:rsid w:val="00377970"/>
    <w:rsid w:val="003802D0"/>
    <w:rsid w:val="00380561"/>
    <w:rsid w:val="00380757"/>
    <w:rsid w:val="00381646"/>
    <w:rsid w:val="003818C4"/>
    <w:rsid w:val="003818CF"/>
    <w:rsid w:val="00384DC2"/>
    <w:rsid w:val="00390578"/>
    <w:rsid w:val="00392580"/>
    <w:rsid w:val="003972AD"/>
    <w:rsid w:val="00397EA9"/>
    <w:rsid w:val="003A0831"/>
    <w:rsid w:val="003A1112"/>
    <w:rsid w:val="003A14A8"/>
    <w:rsid w:val="003A2167"/>
    <w:rsid w:val="003A31D8"/>
    <w:rsid w:val="003A589A"/>
    <w:rsid w:val="003A5A38"/>
    <w:rsid w:val="003B6AC3"/>
    <w:rsid w:val="003C6050"/>
    <w:rsid w:val="003C79AB"/>
    <w:rsid w:val="003D00BE"/>
    <w:rsid w:val="003E08DC"/>
    <w:rsid w:val="003E2579"/>
    <w:rsid w:val="003E27EE"/>
    <w:rsid w:val="003E6133"/>
    <w:rsid w:val="003E747E"/>
    <w:rsid w:val="003E7704"/>
    <w:rsid w:val="003E7E4F"/>
    <w:rsid w:val="003F1AED"/>
    <w:rsid w:val="003F2859"/>
    <w:rsid w:val="003F3613"/>
    <w:rsid w:val="003F3D44"/>
    <w:rsid w:val="003F77C4"/>
    <w:rsid w:val="00406659"/>
    <w:rsid w:val="004141E7"/>
    <w:rsid w:val="00416C50"/>
    <w:rsid w:val="00420D47"/>
    <w:rsid w:val="00422202"/>
    <w:rsid w:val="0042401C"/>
    <w:rsid w:val="0042461A"/>
    <w:rsid w:val="00425A8C"/>
    <w:rsid w:val="00425C5C"/>
    <w:rsid w:val="00426058"/>
    <w:rsid w:val="0042778A"/>
    <w:rsid w:val="00430C0C"/>
    <w:rsid w:val="0043362A"/>
    <w:rsid w:val="0043508A"/>
    <w:rsid w:val="004429A1"/>
    <w:rsid w:val="00446E44"/>
    <w:rsid w:val="00446FD1"/>
    <w:rsid w:val="0045058A"/>
    <w:rsid w:val="00451424"/>
    <w:rsid w:val="00454192"/>
    <w:rsid w:val="004548EE"/>
    <w:rsid w:val="00456F03"/>
    <w:rsid w:val="0046063C"/>
    <w:rsid w:val="00460BEC"/>
    <w:rsid w:val="004618A1"/>
    <w:rsid w:val="00465916"/>
    <w:rsid w:val="00466565"/>
    <w:rsid w:val="004668D2"/>
    <w:rsid w:val="004669F9"/>
    <w:rsid w:val="00470BE0"/>
    <w:rsid w:val="004720CC"/>
    <w:rsid w:val="0047251E"/>
    <w:rsid w:val="0047512C"/>
    <w:rsid w:val="00477B39"/>
    <w:rsid w:val="004814F5"/>
    <w:rsid w:val="0048157E"/>
    <w:rsid w:val="00481892"/>
    <w:rsid w:val="00481ADD"/>
    <w:rsid w:val="00481C81"/>
    <w:rsid w:val="004863F8"/>
    <w:rsid w:val="00486511"/>
    <w:rsid w:val="004869F3"/>
    <w:rsid w:val="004870AD"/>
    <w:rsid w:val="00487F7C"/>
    <w:rsid w:val="00491040"/>
    <w:rsid w:val="004926C8"/>
    <w:rsid w:val="0049311A"/>
    <w:rsid w:val="00493C83"/>
    <w:rsid w:val="00495539"/>
    <w:rsid w:val="00495F4C"/>
    <w:rsid w:val="00496C1D"/>
    <w:rsid w:val="004A59C9"/>
    <w:rsid w:val="004A6E91"/>
    <w:rsid w:val="004B0E5E"/>
    <w:rsid w:val="004B1349"/>
    <w:rsid w:val="004B2469"/>
    <w:rsid w:val="004B2E10"/>
    <w:rsid w:val="004B36EA"/>
    <w:rsid w:val="004B52C2"/>
    <w:rsid w:val="004B62B6"/>
    <w:rsid w:val="004B66A7"/>
    <w:rsid w:val="004B75D2"/>
    <w:rsid w:val="004C2318"/>
    <w:rsid w:val="004C2893"/>
    <w:rsid w:val="004D0546"/>
    <w:rsid w:val="004D26F5"/>
    <w:rsid w:val="004D3B64"/>
    <w:rsid w:val="004D69D9"/>
    <w:rsid w:val="004E076F"/>
    <w:rsid w:val="004E1765"/>
    <w:rsid w:val="004E1CA1"/>
    <w:rsid w:val="004E488F"/>
    <w:rsid w:val="004E510B"/>
    <w:rsid w:val="004E7A6A"/>
    <w:rsid w:val="004F124A"/>
    <w:rsid w:val="004F1D5D"/>
    <w:rsid w:val="004F3019"/>
    <w:rsid w:val="004F38CC"/>
    <w:rsid w:val="004F3C9B"/>
    <w:rsid w:val="004F53F2"/>
    <w:rsid w:val="004F6A72"/>
    <w:rsid w:val="0050073F"/>
    <w:rsid w:val="00501020"/>
    <w:rsid w:val="00501D74"/>
    <w:rsid w:val="00502781"/>
    <w:rsid w:val="00502EC3"/>
    <w:rsid w:val="005049CF"/>
    <w:rsid w:val="005114F9"/>
    <w:rsid w:val="00513904"/>
    <w:rsid w:val="00515555"/>
    <w:rsid w:val="0051633F"/>
    <w:rsid w:val="0051782C"/>
    <w:rsid w:val="00520D02"/>
    <w:rsid w:val="00520FA0"/>
    <w:rsid w:val="005215DA"/>
    <w:rsid w:val="00526729"/>
    <w:rsid w:val="00527A1A"/>
    <w:rsid w:val="00527A90"/>
    <w:rsid w:val="00530164"/>
    <w:rsid w:val="005306BB"/>
    <w:rsid w:val="005322FE"/>
    <w:rsid w:val="00534AA5"/>
    <w:rsid w:val="005367E2"/>
    <w:rsid w:val="00540EE8"/>
    <w:rsid w:val="00541807"/>
    <w:rsid w:val="00543396"/>
    <w:rsid w:val="00550410"/>
    <w:rsid w:val="00550778"/>
    <w:rsid w:val="00550D45"/>
    <w:rsid w:val="00551B12"/>
    <w:rsid w:val="00552800"/>
    <w:rsid w:val="005549FF"/>
    <w:rsid w:val="00555E06"/>
    <w:rsid w:val="00556EF1"/>
    <w:rsid w:val="00557386"/>
    <w:rsid w:val="005577F5"/>
    <w:rsid w:val="005631DE"/>
    <w:rsid w:val="00564C90"/>
    <w:rsid w:val="00565D00"/>
    <w:rsid w:val="0057200A"/>
    <w:rsid w:val="005745B8"/>
    <w:rsid w:val="00575F69"/>
    <w:rsid w:val="005764E9"/>
    <w:rsid w:val="00577F20"/>
    <w:rsid w:val="00580838"/>
    <w:rsid w:val="00581A21"/>
    <w:rsid w:val="00582910"/>
    <w:rsid w:val="0058643B"/>
    <w:rsid w:val="005874EE"/>
    <w:rsid w:val="0059170E"/>
    <w:rsid w:val="005919C0"/>
    <w:rsid w:val="00592E48"/>
    <w:rsid w:val="00593F71"/>
    <w:rsid w:val="005A1295"/>
    <w:rsid w:val="005A4500"/>
    <w:rsid w:val="005A489E"/>
    <w:rsid w:val="005A4D07"/>
    <w:rsid w:val="005A5FEA"/>
    <w:rsid w:val="005A74E7"/>
    <w:rsid w:val="005A7665"/>
    <w:rsid w:val="005A7B99"/>
    <w:rsid w:val="005C0587"/>
    <w:rsid w:val="005C0BBB"/>
    <w:rsid w:val="005C1512"/>
    <w:rsid w:val="005C1F0D"/>
    <w:rsid w:val="005C40DE"/>
    <w:rsid w:val="005C4DA1"/>
    <w:rsid w:val="005C65EF"/>
    <w:rsid w:val="005C6641"/>
    <w:rsid w:val="005C6C79"/>
    <w:rsid w:val="005C6D6F"/>
    <w:rsid w:val="005D13A1"/>
    <w:rsid w:val="005D1E5B"/>
    <w:rsid w:val="005D336D"/>
    <w:rsid w:val="005D4281"/>
    <w:rsid w:val="005D4574"/>
    <w:rsid w:val="005D6825"/>
    <w:rsid w:val="005D6FBD"/>
    <w:rsid w:val="005E1A23"/>
    <w:rsid w:val="005E453B"/>
    <w:rsid w:val="005E4926"/>
    <w:rsid w:val="005E6F9A"/>
    <w:rsid w:val="005F3B1A"/>
    <w:rsid w:val="005F571F"/>
    <w:rsid w:val="005F5818"/>
    <w:rsid w:val="005F5C18"/>
    <w:rsid w:val="005F60C5"/>
    <w:rsid w:val="005F64E1"/>
    <w:rsid w:val="005F6FC4"/>
    <w:rsid w:val="005F76F2"/>
    <w:rsid w:val="0060003C"/>
    <w:rsid w:val="00601103"/>
    <w:rsid w:val="0060466C"/>
    <w:rsid w:val="0060529A"/>
    <w:rsid w:val="00605AF4"/>
    <w:rsid w:val="00606B3E"/>
    <w:rsid w:val="00607568"/>
    <w:rsid w:val="00607F33"/>
    <w:rsid w:val="0061045B"/>
    <w:rsid w:val="0061138A"/>
    <w:rsid w:val="006118FD"/>
    <w:rsid w:val="006159A8"/>
    <w:rsid w:val="00615B16"/>
    <w:rsid w:val="00616093"/>
    <w:rsid w:val="00617F0B"/>
    <w:rsid w:val="00620588"/>
    <w:rsid w:val="00622646"/>
    <w:rsid w:val="00623549"/>
    <w:rsid w:val="00624592"/>
    <w:rsid w:val="006255B2"/>
    <w:rsid w:val="006263B0"/>
    <w:rsid w:val="0062662E"/>
    <w:rsid w:val="00627B46"/>
    <w:rsid w:val="006303D6"/>
    <w:rsid w:val="00637081"/>
    <w:rsid w:val="006372CF"/>
    <w:rsid w:val="00642AF8"/>
    <w:rsid w:val="006472D8"/>
    <w:rsid w:val="00647521"/>
    <w:rsid w:val="0065110A"/>
    <w:rsid w:val="0065198E"/>
    <w:rsid w:val="00653ECB"/>
    <w:rsid w:val="006542BD"/>
    <w:rsid w:val="00654410"/>
    <w:rsid w:val="00654DFB"/>
    <w:rsid w:val="00655B6F"/>
    <w:rsid w:val="0065774D"/>
    <w:rsid w:val="00660CBE"/>
    <w:rsid w:val="00661494"/>
    <w:rsid w:val="00661E58"/>
    <w:rsid w:val="00662192"/>
    <w:rsid w:val="00662AD4"/>
    <w:rsid w:val="006660E7"/>
    <w:rsid w:val="00667D17"/>
    <w:rsid w:val="00667DBB"/>
    <w:rsid w:val="00670831"/>
    <w:rsid w:val="006724AF"/>
    <w:rsid w:val="00674596"/>
    <w:rsid w:val="00676562"/>
    <w:rsid w:val="0068122D"/>
    <w:rsid w:val="00682F7F"/>
    <w:rsid w:val="0068590B"/>
    <w:rsid w:val="006863DF"/>
    <w:rsid w:val="006879A4"/>
    <w:rsid w:val="00690934"/>
    <w:rsid w:val="006934ED"/>
    <w:rsid w:val="00695281"/>
    <w:rsid w:val="006960CF"/>
    <w:rsid w:val="006A1CA6"/>
    <w:rsid w:val="006A4E8C"/>
    <w:rsid w:val="006A76D4"/>
    <w:rsid w:val="006B0155"/>
    <w:rsid w:val="006B1811"/>
    <w:rsid w:val="006B19C5"/>
    <w:rsid w:val="006B5670"/>
    <w:rsid w:val="006B6494"/>
    <w:rsid w:val="006B705B"/>
    <w:rsid w:val="006C0060"/>
    <w:rsid w:val="006C3563"/>
    <w:rsid w:val="006C61C2"/>
    <w:rsid w:val="006C62A0"/>
    <w:rsid w:val="006C6931"/>
    <w:rsid w:val="006D13B2"/>
    <w:rsid w:val="006D1B8C"/>
    <w:rsid w:val="006D38FC"/>
    <w:rsid w:val="006D3F7E"/>
    <w:rsid w:val="006D4CC5"/>
    <w:rsid w:val="006D5214"/>
    <w:rsid w:val="006D583B"/>
    <w:rsid w:val="006D5EA3"/>
    <w:rsid w:val="006D6D03"/>
    <w:rsid w:val="006D7798"/>
    <w:rsid w:val="006D7BE5"/>
    <w:rsid w:val="006E07D9"/>
    <w:rsid w:val="006E150F"/>
    <w:rsid w:val="006E4677"/>
    <w:rsid w:val="006E4FBC"/>
    <w:rsid w:val="006E7306"/>
    <w:rsid w:val="006F2054"/>
    <w:rsid w:val="006F2497"/>
    <w:rsid w:val="006F429A"/>
    <w:rsid w:val="006F7517"/>
    <w:rsid w:val="006F7932"/>
    <w:rsid w:val="006F7A58"/>
    <w:rsid w:val="007005B7"/>
    <w:rsid w:val="0070207D"/>
    <w:rsid w:val="00703DAE"/>
    <w:rsid w:val="0070525F"/>
    <w:rsid w:val="00706C28"/>
    <w:rsid w:val="0070702C"/>
    <w:rsid w:val="00707935"/>
    <w:rsid w:val="00711918"/>
    <w:rsid w:val="00712BEE"/>
    <w:rsid w:val="00715001"/>
    <w:rsid w:val="00717205"/>
    <w:rsid w:val="007177BF"/>
    <w:rsid w:val="00717F70"/>
    <w:rsid w:val="00721DA3"/>
    <w:rsid w:val="00723118"/>
    <w:rsid w:val="00724B27"/>
    <w:rsid w:val="007252CA"/>
    <w:rsid w:val="00725549"/>
    <w:rsid w:val="0072555B"/>
    <w:rsid w:val="00730F27"/>
    <w:rsid w:val="00731612"/>
    <w:rsid w:val="00732765"/>
    <w:rsid w:val="00733097"/>
    <w:rsid w:val="007330BD"/>
    <w:rsid w:val="00740933"/>
    <w:rsid w:val="00740D5A"/>
    <w:rsid w:val="007415DA"/>
    <w:rsid w:val="00741DE3"/>
    <w:rsid w:val="00747BB6"/>
    <w:rsid w:val="007517B4"/>
    <w:rsid w:val="00752508"/>
    <w:rsid w:val="007527A4"/>
    <w:rsid w:val="0075361C"/>
    <w:rsid w:val="00754220"/>
    <w:rsid w:val="00754762"/>
    <w:rsid w:val="007570CF"/>
    <w:rsid w:val="00757FE2"/>
    <w:rsid w:val="00761FEB"/>
    <w:rsid w:val="007620E4"/>
    <w:rsid w:val="00762FD4"/>
    <w:rsid w:val="00763208"/>
    <w:rsid w:val="00763683"/>
    <w:rsid w:val="00765685"/>
    <w:rsid w:val="0076745D"/>
    <w:rsid w:val="007704E3"/>
    <w:rsid w:val="0077061B"/>
    <w:rsid w:val="00772F79"/>
    <w:rsid w:val="007737EB"/>
    <w:rsid w:val="00774246"/>
    <w:rsid w:val="007760F3"/>
    <w:rsid w:val="00777EB8"/>
    <w:rsid w:val="00781266"/>
    <w:rsid w:val="00784744"/>
    <w:rsid w:val="00784A27"/>
    <w:rsid w:val="007859F7"/>
    <w:rsid w:val="00786877"/>
    <w:rsid w:val="00786C73"/>
    <w:rsid w:val="007951A4"/>
    <w:rsid w:val="00795C81"/>
    <w:rsid w:val="007A6081"/>
    <w:rsid w:val="007A6F0F"/>
    <w:rsid w:val="007A786F"/>
    <w:rsid w:val="007B01A1"/>
    <w:rsid w:val="007B077D"/>
    <w:rsid w:val="007B0F0C"/>
    <w:rsid w:val="007B30DB"/>
    <w:rsid w:val="007B68C8"/>
    <w:rsid w:val="007B7392"/>
    <w:rsid w:val="007C2897"/>
    <w:rsid w:val="007C2BF1"/>
    <w:rsid w:val="007C4672"/>
    <w:rsid w:val="007C5CBC"/>
    <w:rsid w:val="007C7F0B"/>
    <w:rsid w:val="007D224B"/>
    <w:rsid w:val="007D2739"/>
    <w:rsid w:val="007D4742"/>
    <w:rsid w:val="007D6637"/>
    <w:rsid w:val="007E306F"/>
    <w:rsid w:val="007E4320"/>
    <w:rsid w:val="007E4EDC"/>
    <w:rsid w:val="007E77E7"/>
    <w:rsid w:val="007F2F37"/>
    <w:rsid w:val="007F3799"/>
    <w:rsid w:val="007F400A"/>
    <w:rsid w:val="008001D1"/>
    <w:rsid w:val="00806EBE"/>
    <w:rsid w:val="00807A1F"/>
    <w:rsid w:val="00810118"/>
    <w:rsid w:val="00812EBB"/>
    <w:rsid w:val="0081442D"/>
    <w:rsid w:val="008145DB"/>
    <w:rsid w:val="0081582D"/>
    <w:rsid w:val="008161F8"/>
    <w:rsid w:val="0081630D"/>
    <w:rsid w:val="008176BE"/>
    <w:rsid w:val="00817A0C"/>
    <w:rsid w:val="0082147F"/>
    <w:rsid w:val="00821B57"/>
    <w:rsid w:val="008254FA"/>
    <w:rsid w:val="0083240D"/>
    <w:rsid w:val="00833AAE"/>
    <w:rsid w:val="00834A31"/>
    <w:rsid w:val="008360EF"/>
    <w:rsid w:val="00836B90"/>
    <w:rsid w:val="00837098"/>
    <w:rsid w:val="008448CD"/>
    <w:rsid w:val="00844D42"/>
    <w:rsid w:val="008453D6"/>
    <w:rsid w:val="00845807"/>
    <w:rsid w:val="008473A6"/>
    <w:rsid w:val="00850F0D"/>
    <w:rsid w:val="00851A69"/>
    <w:rsid w:val="008530FF"/>
    <w:rsid w:val="008541F4"/>
    <w:rsid w:val="00854D6C"/>
    <w:rsid w:val="00855444"/>
    <w:rsid w:val="008561D8"/>
    <w:rsid w:val="00857E80"/>
    <w:rsid w:val="0086078A"/>
    <w:rsid w:val="0086300C"/>
    <w:rsid w:val="008639D5"/>
    <w:rsid w:val="00864949"/>
    <w:rsid w:val="00864B2F"/>
    <w:rsid w:val="00870C4E"/>
    <w:rsid w:val="008713E7"/>
    <w:rsid w:val="00871F50"/>
    <w:rsid w:val="008729AF"/>
    <w:rsid w:val="00873FEF"/>
    <w:rsid w:val="00877D74"/>
    <w:rsid w:val="008816CE"/>
    <w:rsid w:val="00882347"/>
    <w:rsid w:val="00884A4C"/>
    <w:rsid w:val="008850FB"/>
    <w:rsid w:val="00887B83"/>
    <w:rsid w:val="0089003F"/>
    <w:rsid w:val="00890B6E"/>
    <w:rsid w:val="00890C8B"/>
    <w:rsid w:val="00893458"/>
    <w:rsid w:val="008935D8"/>
    <w:rsid w:val="00897B83"/>
    <w:rsid w:val="008A1E1D"/>
    <w:rsid w:val="008A32B8"/>
    <w:rsid w:val="008A42A8"/>
    <w:rsid w:val="008A4793"/>
    <w:rsid w:val="008A4ECD"/>
    <w:rsid w:val="008B147D"/>
    <w:rsid w:val="008B1BE6"/>
    <w:rsid w:val="008B29CF"/>
    <w:rsid w:val="008B434E"/>
    <w:rsid w:val="008B748E"/>
    <w:rsid w:val="008C171C"/>
    <w:rsid w:val="008C2885"/>
    <w:rsid w:val="008C2993"/>
    <w:rsid w:val="008C52BF"/>
    <w:rsid w:val="008C7811"/>
    <w:rsid w:val="008D3C66"/>
    <w:rsid w:val="008D3FF4"/>
    <w:rsid w:val="008D40A0"/>
    <w:rsid w:val="008D66E8"/>
    <w:rsid w:val="008E27B8"/>
    <w:rsid w:val="008E3251"/>
    <w:rsid w:val="008E4513"/>
    <w:rsid w:val="008E5569"/>
    <w:rsid w:val="008E68CB"/>
    <w:rsid w:val="008F3778"/>
    <w:rsid w:val="008F3CB5"/>
    <w:rsid w:val="00902C7B"/>
    <w:rsid w:val="00902E44"/>
    <w:rsid w:val="009048F2"/>
    <w:rsid w:val="00904B49"/>
    <w:rsid w:val="0090629A"/>
    <w:rsid w:val="009105EF"/>
    <w:rsid w:val="009130D6"/>
    <w:rsid w:val="00913AA8"/>
    <w:rsid w:val="009143C2"/>
    <w:rsid w:val="0091488A"/>
    <w:rsid w:val="00914E0A"/>
    <w:rsid w:val="00917099"/>
    <w:rsid w:val="009212E1"/>
    <w:rsid w:val="00924C33"/>
    <w:rsid w:val="00925CDB"/>
    <w:rsid w:val="00926695"/>
    <w:rsid w:val="009276A0"/>
    <w:rsid w:val="00927B31"/>
    <w:rsid w:val="00930AD9"/>
    <w:rsid w:val="00932320"/>
    <w:rsid w:val="009325B3"/>
    <w:rsid w:val="00935F1E"/>
    <w:rsid w:val="009369BA"/>
    <w:rsid w:val="00937638"/>
    <w:rsid w:val="0094068A"/>
    <w:rsid w:val="00942CB2"/>
    <w:rsid w:val="009437B3"/>
    <w:rsid w:val="00943F85"/>
    <w:rsid w:val="009503B9"/>
    <w:rsid w:val="00950C6E"/>
    <w:rsid w:val="009527DB"/>
    <w:rsid w:val="00955D25"/>
    <w:rsid w:val="009561AB"/>
    <w:rsid w:val="00957742"/>
    <w:rsid w:val="00957B2D"/>
    <w:rsid w:val="00965E38"/>
    <w:rsid w:val="0096742A"/>
    <w:rsid w:val="00970A08"/>
    <w:rsid w:val="0097245F"/>
    <w:rsid w:val="00974AB2"/>
    <w:rsid w:val="00981A7B"/>
    <w:rsid w:val="00981C96"/>
    <w:rsid w:val="00986E46"/>
    <w:rsid w:val="0098783A"/>
    <w:rsid w:val="009908F7"/>
    <w:rsid w:val="00991732"/>
    <w:rsid w:val="009932F5"/>
    <w:rsid w:val="009941E0"/>
    <w:rsid w:val="00994204"/>
    <w:rsid w:val="00994F01"/>
    <w:rsid w:val="0099648C"/>
    <w:rsid w:val="00996E32"/>
    <w:rsid w:val="009973F9"/>
    <w:rsid w:val="009A3EB6"/>
    <w:rsid w:val="009A4AE9"/>
    <w:rsid w:val="009A7593"/>
    <w:rsid w:val="009B15CC"/>
    <w:rsid w:val="009B2072"/>
    <w:rsid w:val="009B26C2"/>
    <w:rsid w:val="009B33DF"/>
    <w:rsid w:val="009B5677"/>
    <w:rsid w:val="009B5AAB"/>
    <w:rsid w:val="009B6475"/>
    <w:rsid w:val="009B6784"/>
    <w:rsid w:val="009C1BA8"/>
    <w:rsid w:val="009C251F"/>
    <w:rsid w:val="009C2563"/>
    <w:rsid w:val="009C30B3"/>
    <w:rsid w:val="009C346E"/>
    <w:rsid w:val="009C68BE"/>
    <w:rsid w:val="009D108E"/>
    <w:rsid w:val="009D5DA9"/>
    <w:rsid w:val="009E07D3"/>
    <w:rsid w:val="009E7224"/>
    <w:rsid w:val="009E7312"/>
    <w:rsid w:val="009F015D"/>
    <w:rsid w:val="009F10D2"/>
    <w:rsid w:val="009F115F"/>
    <w:rsid w:val="009F2188"/>
    <w:rsid w:val="009F3A19"/>
    <w:rsid w:val="009F3D97"/>
    <w:rsid w:val="009F4264"/>
    <w:rsid w:val="009F624E"/>
    <w:rsid w:val="00A00558"/>
    <w:rsid w:val="00A01693"/>
    <w:rsid w:val="00A026C9"/>
    <w:rsid w:val="00A02842"/>
    <w:rsid w:val="00A02863"/>
    <w:rsid w:val="00A03BBA"/>
    <w:rsid w:val="00A04C3A"/>
    <w:rsid w:val="00A05C9E"/>
    <w:rsid w:val="00A064AE"/>
    <w:rsid w:val="00A06A9D"/>
    <w:rsid w:val="00A14541"/>
    <w:rsid w:val="00A14615"/>
    <w:rsid w:val="00A14B2D"/>
    <w:rsid w:val="00A14ED8"/>
    <w:rsid w:val="00A15AC6"/>
    <w:rsid w:val="00A16254"/>
    <w:rsid w:val="00A16EC0"/>
    <w:rsid w:val="00A17F1E"/>
    <w:rsid w:val="00A20D45"/>
    <w:rsid w:val="00A20E7D"/>
    <w:rsid w:val="00A23D0A"/>
    <w:rsid w:val="00A24741"/>
    <w:rsid w:val="00A316B3"/>
    <w:rsid w:val="00A31D0F"/>
    <w:rsid w:val="00A340CF"/>
    <w:rsid w:val="00A36608"/>
    <w:rsid w:val="00A36E94"/>
    <w:rsid w:val="00A36F4F"/>
    <w:rsid w:val="00A378A5"/>
    <w:rsid w:val="00A415A6"/>
    <w:rsid w:val="00A42B95"/>
    <w:rsid w:val="00A44A04"/>
    <w:rsid w:val="00A45C50"/>
    <w:rsid w:val="00A465A3"/>
    <w:rsid w:val="00A477DE"/>
    <w:rsid w:val="00A47ED6"/>
    <w:rsid w:val="00A50C38"/>
    <w:rsid w:val="00A626AB"/>
    <w:rsid w:val="00A6393A"/>
    <w:rsid w:val="00A64718"/>
    <w:rsid w:val="00A65368"/>
    <w:rsid w:val="00A65755"/>
    <w:rsid w:val="00A664D4"/>
    <w:rsid w:val="00A66E18"/>
    <w:rsid w:val="00A66E2E"/>
    <w:rsid w:val="00A6701D"/>
    <w:rsid w:val="00A67F8F"/>
    <w:rsid w:val="00A72A86"/>
    <w:rsid w:val="00A76322"/>
    <w:rsid w:val="00A82E77"/>
    <w:rsid w:val="00A83363"/>
    <w:rsid w:val="00A83D03"/>
    <w:rsid w:val="00A8734A"/>
    <w:rsid w:val="00A90E22"/>
    <w:rsid w:val="00A912DF"/>
    <w:rsid w:val="00A92011"/>
    <w:rsid w:val="00A92529"/>
    <w:rsid w:val="00A92A80"/>
    <w:rsid w:val="00A9516F"/>
    <w:rsid w:val="00A96646"/>
    <w:rsid w:val="00A96860"/>
    <w:rsid w:val="00AA175C"/>
    <w:rsid w:val="00AA1909"/>
    <w:rsid w:val="00AA279D"/>
    <w:rsid w:val="00AA29E5"/>
    <w:rsid w:val="00AA34B4"/>
    <w:rsid w:val="00AA3668"/>
    <w:rsid w:val="00AA5059"/>
    <w:rsid w:val="00AA7056"/>
    <w:rsid w:val="00AA7D34"/>
    <w:rsid w:val="00AB0888"/>
    <w:rsid w:val="00AB090B"/>
    <w:rsid w:val="00AB1D0E"/>
    <w:rsid w:val="00AB348D"/>
    <w:rsid w:val="00AB3827"/>
    <w:rsid w:val="00AB3E1A"/>
    <w:rsid w:val="00AC0C90"/>
    <w:rsid w:val="00AC0F13"/>
    <w:rsid w:val="00AC210D"/>
    <w:rsid w:val="00AC28E2"/>
    <w:rsid w:val="00AC3062"/>
    <w:rsid w:val="00AC3E38"/>
    <w:rsid w:val="00AC7A5C"/>
    <w:rsid w:val="00AD01A3"/>
    <w:rsid w:val="00AD08D6"/>
    <w:rsid w:val="00AD33B7"/>
    <w:rsid w:val="00AD65B7"/>
    <w:rsid w:val="00AD6A65"/>
    <w:rsid w:val="00AE03A0"/>
    <w:rsid w:val="00AE1CF7"/>
    <w:rsid w:val="00AE6DAC"/>
    <w:rsid w:val="00AF2C95"/>
    <w:rsid w:val="00AF623A"/>
    <w:rsid w:val="00AF6D43"/>
    <w:rsid w:val="00B02620"/>
    <w:rsid w:val="00B050F6"/>
    <w:rsid w:val="00B05F55"/>
    <w:rsid w:val="00B062BC"/>
    <w:rsid w:val="00B06449"/>
    <w:rsid w:val="00B06F24"/>
    <w:rsid w:val="00B10B0B"/>
    <w:rsid w:val="00B1155C"/>
    <w:rsid w:val="00B14659"/>
    <w:rsid w:val="00B1555A"/>
    <w:rsid w:val="00B15A41"/>
    <w:rsid w:val="00B1675C"/>
    <w:rsid w:val="00B168AB"/>
    <w:rsid w:val="00B16FE3"/>
    <w:rsid w:val="00B17199"/>
    <w:rsid w:val="00B171AF"/>
    <w:rsid w:val="00B17957"/>
    <w:rsid w:val="00B21288"/>
    <w:rsid w:val="00B21A8E"/>
    <w:rsid w:val="00B21F6D"/>
    <w:rsid w:val="00B224DD"/>
    <w:rsid w:val="00B23494"/>
    <w:rsid w:val="00B23FDB"/>
    <w:rsid w:val="00B3215E"/>
    <w:rsid w:val="00B32428"/>
    <w:rsid w:val="00B33C8E"/>
    <w:rsid w:val="00B40BBB"/>
    <w:rsid w:val="00B41354"/>
    <w:rsid w:val="00B42FBC"/>
    <w:rsid w:val="00B43EB3"/>
    <w:rsid w:val="00B44D7C"/>
    <w:rsid w:val="00B45CCD"/>
    <w:rsid w:val="00B47796"/>
    <w:rsid w:val="00B50513"/>
    <w:rsid w:val="00B52E9B"/>
    <w:rsid w:val="00B540B0"/>
    <w:rsid w:val="00B543A5"/>
    <w:rsid w:val="00B54511"/>
    <w:rsid w:val="00B65B8F"/>
    <w:rsid w:val="00B67EF7"/>
    <w:rsid w:val="00B70274"/>
    <w:rsid w:val="00B71035"/>
    <w:rsid w:val="00B72418"/>
    <w:rsid w:val="00B732CB"/>
    <w:rsid w:val="00B7410B"/>
    <w:rsid w:val="00B7477E"/>
    <w:rsid w:val="00B74B33"/>
    <w:rsid w:val="00B77005"/>
    <w:rsid w:val="00B81237"/>
    <w:rsid w:val="00B825F5"/>
    <w:rsid w:val="00B84CCE"/>
    <w:rsid w:val="00B850F9"/>
    <w:rsid w:val="00B906C8"/>
    <w:rsid w:val="00B91523"/>
    <w:rsid w:val="00B91B3F"/>
    <w:rsid w:val="00B920EC"/>
    <w:rsid w:val="00B92D6D"/>
    <w:rsid w:val="00B93328"/>
    <w:rsid w:val="00B9513B"/>
    <w:rsid w:val="00B963E8"/>
    <w:rsid w:val="00B968BB"/>
    <w:rsid w:val="00B96EC1"/>
    <w:rsid w:val="00B9727A"/>
    <w:rsid w:val="00BA1DA4"/>
    <w:rsid w:val="00BA50C8"/>
    <w:rsid w:val="00BA7A6A"/>
    <w:rsid w:val="00BA7F67"/>
    <w:rsid w:val="00BB0CFD"/>
    <w:rsid w:val="00BB21D1"/>
    <w:rsid w:val="00BB539C"/>
    <w:rsid w:val="00BC13D5"/>
    <w:rsid w:val="00BC1401"/>
    <w:rsid w:val="00BC2346"/>
    <w:rsid w:val="00BC2DFE"/>
    <w:rsid w:val="00BC4920"/>
    <w:rsid w:val="00BC5FAC"/>
    <w:rsid w:val="00BC75CA"/>
    <w:rsid w:val="00BD0A58"/>
    <w:rsid w:val="00BD29D8"/>
    <w:rsid w:val="00BD3101"/>
    <w:rsid w:val="00BD3E21"/>
    <w:rsid w:val="00BD40A9"/>
    <w:rsid w:val="00BD64B2"/>
    <w:rsid w:val="00BD7CEB"/>
    <w:rsid w:val="00BE202B"/>
    <w:rsid w:val="00BE3DBA"/>
    <w:rsid w:val="00BE4FAA"/>
    <w:rsid w:val="00BE7034"/>
    <w:rsid w:val="00BE79DF"/>
    <w:rsid w:val="00BF02E7"/>
    <w:rsid w:val="00BF3482"/>
    <w:rsid w:val="00C00BB4"/>
    <w:rsid w:val="00C01361"/>
    <w:rsid w:val="00C01AA6"/>
    <w:rsid w:val="00C020D7"/>
    <w:rsid w:val="00C02ECA"/>
    <w:rsid w:val="00C04B5E"/>
    <w:rsid w:val="00C055A5"/>
    <w:rsid w:val="00C065B0"/>
    <w:rsid w:val="00C1320E"/>
    <w:rsid w:val="00C137D2"/>
    <w:rsid w:val="00C16556"/>
    <w:rsid w:val="00C2148C"/>
    <w:rsid w:val="00C232F1"/>
    <w:rsid w:val="00C233A2"/>
    <w:rsid w:val="00C23F5E"/>
    <w:rsid w:val="00C24E40"/>
    <w:rsid w:val="00C26239"/>
    <w:rsid w:val="00C30BB6"/>
    <w:rsid w:val="00C319CA"/>
    <w:rsid w:val="00C3261C"/>
    <w:rsid w:val="00C34B2B"/>
    <w:rsid w:val="00C37BF6"/>
    <w:rsid w:val="00C40BCC"/>
    <w:rsid w:val="00C42546"/>
    <w:rsid w:val="00C45172"/>
    <w:rsid w:val="00C45CBB"/>
    <w:rsid w:val="00C514A4"/>
    <w:rsid w:val="00C514EA"/>
    <w:rsid w:val="00C51B73"/>
    <w:rsid w:val="00C52513"/>
    <w:rsid w:val="00C53FC6"/>
    <w:rsid w:val="00C54B65"/>
    <w:rsid w:val="00C552A7"/>
    <w:rsid w:val="00C57D82"/>
    <w:rsid w:val="00C57EBE"/>
    <w:rsid w:val="00C604E4"/>
    <w:rsid w:val="00C622D7"/>
    <w:rsid w:val="00C63EAE"/>
    <w:rsid w:val="00C64EEE"/>
    <w:rsid w:val="00C659C6"/>
    <w:rsid w:val="00C65B35"/>
    <w:rsid w:val="00C7391C"/>
    <w:rsid w:val="00C769CB"/>
    <w:rsid w:val="00C77064"/>
    <w:rsid w:val="00C80D42"/>
    <w:rsid w:val="00C8218A"/>
    <w:rsid w:val="00C837BD"/>
    <w:rsid w:val="00C83F56"/>
    <w:rsid w:val="00C83FB6"/>
    <w:rsid w:val="00C8612F"/>
    <w:rsid w:val="00C90668"/>
    <w:rsid w:val="00C9090D"/>
    <w:rsid w:val="00C90B84"/>
    <w:rsid w:val="00C91664"/>
    <w:rsid w:val="00C92856"/>
    <w:rsid w:val="00C93F9B"/>
    <w:rsid w:val="00C96066"/>
    <w:rsid w:val="00C97044"/>
    <w:rsid w:val="00CA1693"/>
    <w:rsid w:val="00CA4B9B"/>
    <w:rsid w:val="00CA61D1"/>
    <w:rsid w:val="00CA62F9"/>
    <w:rsid w:val="00CA65B2"/>
    <w:rsid w:val="00CA673B"/>
    <w:rsid w:val="00CB0FE7"/>
    <w:rsid w:val="00CB2E2F"/>
    <w:rsid w:val="00CB4221"/>
    <w:rsid w:val="00CB49C2"/>
    <w:rsid w:val="00CB51CE"/>
    <w:rsid w:val="00CB55FD"/>
    <w:rsid w:val="00CB5DF9"/>
    <w:rsid w:val="00CB6E43"/>
    <w:rsid w:val="00CB7B8F"/>
    <w:rsid w:val="00CC0CB3"/>
    <w:rsid w:val="00CC2404"/>
    <w:rsid w:val="00CC29BA"/>
    <w:rsid w:val="00CC2DAD"/>
    <w:rsid w:val="00CC4298"/>
    <w:rsid w:val="00CC4469"/>
    <w:rsid w:val="00CC6D97"/>
    <w:rsid w:val="00CC786F"/>
    <w:rsid w:val="00CD0A10"/>
    <w:rsid w:val="00CD0A99"/>
    <w:rsid w:val="00CD1698"/>
    <w:rsid w:val="00CD2E42"/>
    <w:rsid w:val="00CD30DB"/>
    <w:rsid w:val="00CD384B"/>
    <w:rsid w:val="00CD5DC5"/>
    <w:rsid w:val="00CD689E"/>
    <w:rsid w:val="00CE2C89"/>
    <w:rsid w:val="00CE3467"/>
    <w:rsid w:val="00CE52F8"/>
    <w:rsid w:val="00CF2105"/>
    <w:rsid w:val="00CF51D7"/>
    <w:rsid w:val="00CF603F"/>
    <w:rsid w:val="00D00DEE"/>
    <w:rsid w:val="00D04808"/>
    <w:rsid w:val="00D0572F"/>
    <w:rsid w:val="00D062BC"/>
    <w:rsid w:val="00D064EF"/>
    <w:rsid w:val="00D10623"/>
    <w:rsid w:val="00D11143"/>
    <w:rsid w:val="00D1119B"/>
    <w:rsid w:val="00D2013B"/>
    <w:rsid w:val="00D20C35"/>
    <w:rsid w:val="00D20E56"/>
    <w:rsid w:val="00D243F6"/>
    <w:rsid w:val="00D26655"/>
    <w:rsid w:val="00D268AA"/>
    <w:rsid w:val="00D311A8"/>
    <w:rsid w:val="00D31FA9"/>
    <w:rsid w:val="00D36068"/>
    <w:rsid w:val="00D36284"/>
    <w:rsid w:val="00D379D2"/>
    <w:rsid w:val="00D40132"/>
    <w:rsid w:val="00D5096F"/>
    <w:rsid w:val="00D5101D"/>
    <w:rsid w:val="00D564E3"/>
    <w:rsid w:val="00D57243"/>
    <w:rsid w:val="00D57555"/>
    <w:rsid w:val="00D60408"/>
    <w:rsid w:val="00D6108B"/>
    <w:rsid w:val="00D6147C"/>
    <w:rsid w:val="00D64CD1"/>
    <w:rsid w:val="00D65125"/>
    <w:rsid w:val="00D67344"/>
    <w:rsid w:val="00D67BAF"/>
    <w:rsid w:val="00D7062C"/>
    <w:rsid w:val="00D70A7B"/>
    <w:rsid w:val="00D715C3"/>
    <w:rsid w:val="00D760B1"/>
    <w:rsid w:val="00D813C5"/>
    <w:rsid w:val="00D81BF7"/>
    <w:rsid w:val="00D84403"/>
    <w:rsid w:val="00D85282"/>
    <w:rsid w:val="00D867C0"/>
    <w:rsid w:val="00D86A65"/>
    <w:rsid w:val="00D86E01"/>
    <w:rsid w:val="00D8702E"/>
    <w:rsid w:val="00D9128E"/>
    <w:rsid w:val="00D96E93"/>
    <w:rsid w:val="00DA01F9"/>
    <w:rsid w:val="00DA1B5A"/>
    <w:rsid w:val="00DA35CE"/>
    <w:rsid w:val="00DA77D7"/>
    <w:rsid w:val="00DA7CC5"/>
    <w:rsid w:val="00DB05FC"/>
    <w:rsid w:val="00DB131F"/>
    <w:rsid w:val="00DB3AA6"/>
    <w:rsid w:val="00DB4F34"/>
    <w:rsid w:val="00DB5411"/>
    <w:rsid w:val="00DB542F"/>
    <w:rsid w:val="00DB7460"/>
    <w:rsid w:val="00DC0FB4"/>
    <w:rsid w:val="00DC4F8A"/>
    <w:rsid w:val="00DC7DE5"/>
    <w:rsid w:val="00DD29D8"/>
    <w:rsid w:val="00DD710D"/>
    <w:rsid w:val="00DE1206"/>
    <w:rsid w:val="00DE1932"/>
    <w:rsid w:val="00DE19DC"/>
    <w:rsid w:val="00DE1D10"/>
    <w:rsid w:val="00DE1E49"/>
    <w:rsid w:val="00DE2304"/>
    <w:rsid w:val="00DE5710"/>
    <w:rsid w:val="00DE65A1"/>
    <w:rsid w:val="00DE6E56"/>
    <w:rsid w:val="00DE7C9A"/>
    <w:rsid w:val="00DF02B2"/>
    <w:rsid w:val="00DF079D"/>
    <w:rsid w:val="00DF12EC"/>
    <w:rsid w:val="00DF390A"/>
    <w:rsid w:val="00DF5E15"/>
    <w:rsid w:val="00DF619F"/>
    <w:rsid w:val="00E00CB4"/>
    <w:rsid w:val="00E02F00"/>
    <w:rsid w:val="00E143BD"/>
    <w:rsid w:val="00E15427"/>
    <w:rsid w:val="00E169B7"/>
    <w:rsid w:val="00E17EFF"/>
    <w:rsid w:val="00E20904"/>
    <w:rsid w:val="00E211C3"/>
    <w:rsid w:val="00E21281"/>
    <w:rsid w:val="00E21470"/>
    <w:rsid w:val="00E21B6C"/>
    <w:rsid w:val="00E22556"/>
    <w:rsid w:val="00E226E0"/>
    <w:rsid w:val="00E23BBB"/>
    <w:rsid w:val="00E25D0E"/>
    <w:rsid w:val="00E262A4"/>
    <w:rsid w:val="00E27654"/>
    <w:rsid w:val="00E30B6F"/>
    <w:rsid w:val="00E310D6"/>
    <w:rsid w:val="00E326A8"/>
    <w:rsid w:val="00E3430E"/>
    <w:rsid w:val="00E364CF"/>
    <w:rsid w:val="00E3718B"/>
    <w:rsid w:val="00E41D43"/>
    <w:rsid w:val="00E45197"/>
    <w:rsid w:val="00E45B62"/>
    <w:rsid w:val="00E51405"/>
    <w:rsid w:val="00E5266F"/>
    <w:rsid w:val="00E55BC8"/>
    <w:rsid w:val="00E568A4"/>
    <w:rsid w:val="00E57A9D"/>
    <w:rsid w:val="00E637C7"/>
    <w:rsid w:val="00E64BA5"/>
    <w:rsid w:val="00E65439"/>
    <w:rsid w:val="00E669EC"/>
    <w:rsid w:val="00E67B12"/>
    <w:rsid w:val="00E70B09"/>
    <w:rsid w:val="00E73004"/>
    <w:rsid w:val="00E739A6"/>
    <w:rsid w:val="00E74ECF"/>
    <w:rsid w:val="00E75651"/>
    <w:rsid w:val="00E76C4C"/>
    <w:rsid w:val="00E77489"/>
    <w:rsid w:val="00E77786"/>
    <w:rsid w:val="00E8010B"/>
    <w:rsid w:val="00E80436"/>
    <w:rsid w:val="00E80767"/>
    <w:rsid w:val="00E825AB"/>
    <w:rsid w:val="00E83896"/>
    <w:rsid w:val="00E83D31"/>
    <w:rsid w:val="00E83F86"/>
    <w:rsid w:val="00E84128"/>
    <w:rsid w:val="00E85E8D"/>
    <w:rsid w:val="00E91198"/>
    <w:rsid w:val="00E91909"/>
    <w:rsid w:val="00E92D2A"/>
    <w:rsid w:val="00E9327E"/>
    <w:rsid w:val="00E937C6"/>
    <w:rsid w:val="00E975B7"/>
    <w:rsid w:val="00EA1335"/>
    <w:rsid w:val="00EA208E"/>
    <w:rsid w:val="00EA26BD"/>
    <w:rsid w:val="00EA4161"/>
    <w:rsid w:val="00EA54AE"/>
    <w:rsid w:val="00EA565C"/>
    <w:rsid w:val="00EA764D"/>
    <w:rsid w:val="00EB1C79"/>
    <w:rsid w:val="00EB3689"/>
    <w:rsid w:val="00EB60A5"/>
    <w:rsid w:val="00EC0EE6"/>
    <w:rsid w:val="00EC251B"/>
    <w:rsid w:val="00EC66B8"/>
    <w:rsid w:val="00EC7391"/>
    <w:rsid w:val="00ED10EE"/>
    <w:rsid w:val="00ED1831"/>
    <w:rsid w:val="00ED2FC8"/>
    <w:rsid w:val="00ED3882"/>
    <w:rsid w:val="00ED5209"/>
    <w:rsid w:val="00EE1620"/>
    <w:rsid w:val="00EE21BF"/>
    <w:rsid w:val="00EE6136"/>
    <w:rsid w:val="00EF0355"/>
    <w:rsid w:val="00EF0906"/>
    <w:rsid w:val="00EF2E1A"/>
    <w:rsid w:val="00EF2E1E"/>
    <w:rsid w:val="00EF4338"/>
    <w:rsid w:val="00F01766"/>
    <w:rsid w:val="00F0327A"/>
    <w:rsid w:val="00F03C6F"/>
    <w:rsid w:val="00F04A54"/>
    <w:rsid w:val="00F04BAE"/>
    <w:rsid w:val="00F0551F"/>
    <w:rsid w:val="00F06E23"/>
    <w:rsid w:val="00F07741"/>
    <w:rsid w:val="00F07C19"/>
    <w:rsid w:val="00F12FF0"/>
    <w:rsid w:val="00F1350E"/>
    <w:rsid w:val="00F1599B"/>
    <w:rsid w:val="00F17352"/>
    <w:rsid w:val="00F1754F"/>
    <w:rsid w:val="00F21785"/>
    <w:rsid w:val="00F23772"/>
    <w:rsid w:val="00F25A78"/>
    <w:rsid w:val="00F2604D"/>
    <w:rsid w:val="00F305F9"/>
    <w:rsid w:val="00F30864"/>
    <w:rsid w:val="00F33B06"/>
    <w:rsid w:val="00F37A68"/>
    <w:rsid w:val="00F40221"/>
    <w:rsid w:val="00F41223"/>
    <w:rsid w:val="00F43FB6"/>
    <w:rsid w:val="00F45852"/>
    <w:rsid w:val="00F46E8C"/>
    <w:rsid w:val="00F50676"/>
    <w:rsid w:val="00F50732"/>
    <w:rsid w:val="00F53998"/>
    <w:rsid w:val="00F5446C"/>
    <w:rsid w:val="00F55214"/>
    <w:rsid w:val="00F6029C"/>
    <w:rsid w:val="00F61622"/>
    <w:rsid w:val="00F62D80"/>
    <w:rsid w:val="00F63AC3"/>
    <w:rsid w:val="00F6427C"/>
    <w:rsid w:val="00F70742"/>
    <w:rsid w:val="00F7096C"/>
    <w:rsid w:val="00F70DF6"/>
    <w:rsid w:val="00F72C68"/>
    <w:rsid w:val="00F7491C"/>
    <w:rsid w:val="00F74E6A"/>
    <w:rsid w:val="00F75159"/>
    <w:rsid w:val="00F752FA"/>
    <w:rsid w:val="00F76434"/>
    <w:rsid w:val="00F77F55"/>
    <w:rsid w:val="00F80951"/>
    <w:rsid w:val="00F81E6B"/>
    <w:rsid w:val="00F834FA"/>
    <w:rsid w:val="00F8546F"/>
    <w:rsid w:val="00F86DA0"/>
    <w:rsid w:val="00F86DDA"/>
    <w:rsid w:val="00F91649"/>
    <w:rsid w:val="00F92003"/>
    <w:rsid w:val="00F92D8A"/>
    <w:rsid w:val="00F9526A"/>
    <w:rsid w:val="00F95D41"/>
    <w:rsid w:val="00F9706B"/>
    <w:rsid w:val="00F97A7B"/>
    <w:rsid w:val="00FA0A92"/>
    <w:rsid w:val="00FA49F0"/>
    <w:rsid w:val="00FA62DC"/>
    <w:rsid w:val="00FB4073"/>
    <w:rsid w:val="00FB4403"/>
    <w:rsid w:val="00FC0A02"/>
    <w:rsid w:val="00FC216F"/>
    <w:rsid w:val="00FC28EE"/>
    <w:rsid w:val="00FC4D2A"/>
    <w:rsid w:val="00FC5E12"/>
    <w:rsid w:val="00FC6862"/>
    <w:rsid w:val="00FC7047"/>
    <w:rsid w:val="00FD2172"/>
    <w:rsid w:val="00FD34D6"/>
    <w:rsid w:val="00FD508E"/>
    <w:rsid w:val="00FE0237"/>
    <w:rsid w:val="00FE058E"/>
    <w:rsid w:val="00FE149F"/>
    <w:rsid w:val="00FE232D"/>
    <w:rsid w:val="00FE5C24"/>
    <w:rsid w:val="00FF0125"/>
    <w:rsid w:val="00FF09EF"/>
    <w:rsid w:val="00FF2163"/>
    <w:rsid w:val="00FF2616"/>
    <w:rsid w:val="00FF2AEE"/>
    <w:rsid w:val="00FF3EC2"/>
    <w:rsid w:val="00FF4373"/>
    <w:rsid w:val="00FF4FF7"/>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F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33"/>
  </w:style>
  <w:style w:type="paragraph" w:styleId="Heading1">
    <w:name w:val="heading 1"/>
    <w:basedOn w:val="Normal"/>
    <w:next w:val="Normal"/>
    <w:link w:val="Heading1Char"/>
    <w:autoRedefine/>
    <w:uiPriority w:val="9"/>
    <w:qFormat/>
    <w:rsid w:val="00B44D7C"/>
    <w:pPr>
      <w:spacing w:before="300" w:after="40"/>
      <w:jc w:val="left"/>
      <w:outlineLvl w:val="0"/>
    </w:pPr>
    <w:rPr>
      <w:rFonts w:ascii="Arial" w:hAnsi="Arial" w:cs="Arial"/>
      <w:smallCaps/>
      <w:color w:val="0B5294" w:themeColor="accent1" w:themeShade="BF"/>
      <w:spacing w:val="5"/>
      <w:sz w:val="24"/>
      <w:szCs w:val="24"/>
      <w:u w:color="000000"/>
      <w:lang w:val="ro-RO"/>
    </w:rPr>
  </w:style>
  <w:style w:type="paragraph" w:styleId="Heading2">
    <w:name w:val="heading 2"/>
    <w:basedOn w:val="Normal"/>
    <w:next w:val="Normal"/>
    <w:link w:val="Heading2Char"/>
    <w:uiPriority w:val="9"/>
    <w:unhideWhenUsed/>
    <w:qFormat/>
    <w:rsid w:val="0074093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40933"/>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74093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40933"/>
    <w:pPr>
      <w:spacing w:before="200" w:after="0"/>
      <w:jc w:val="left"/>
      <w:outlineLvl w:val="4"/>
    </w:pPr>
    <w:rPr>
      <w:smallCaps/>
      <w:color w:val="0075A2" w:themeColor="accent2" w:themeShade="BF"/>
      <w:spacing w:val="10"/>
      <w:sz w:val="22"/>
      <w:szCs w:val="26"/>
    </w:rPr>
  </w:style>
  <w:style w:type="paragraph" w:styleId="Heading6">
    <w:name w:val="heading 6"/>
    <w:basedOn w:val="Normal"/>
    <w:next w:val="Normal"/>
    <w:link w:val="Heading6Char"/>
    <w:uiPriority w:val="9"/>
    <w:semiHidden/>
    <w:unhideWhenUsed/>
    <w:qFormat/>
    <w:rsid w:val="00740933"/>
    <w:pPr>
      <w:spacing w:after="0"/>
      <w:jc w:val="left"/>
      <w:outlineLvl w:val="5"/>
    </w:pPr>
    <w:rPr>
      <w:smallCaps/>
      <w:color w:val="009DD9" w:themeColor="accent2"/>
      <w:spacing w:val="5"/>
      <w:sz w:val="22"/>
    </w:rPr>
  </w:style>
  <w:style w:type="paragraph" w:styleId="Heading7">
    <w:name w:val="heading 7"/>
    <w:basedOn w:val="Normal"/>
    <w:next w:val="Normal"/>
    <w:link w:val="Heading7Char"/>
    <w:uiPriority w:val="9"/>
    <w:semiHidden/>
    <w:unhideWhenUsed/>
    <w:qFormat/>
    <w:rsid w:val="00740933"/>
    <w:pPr>
      <w:spacing w:after="0"/>
      <w:jc w:val="left"/>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rsid w:val="00740933"/>
    <w:pPr>
      <w:spacing w:after="0"/>
      <w:jc w:val="left"/>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rsid w:val="00740933"/>
    <w:pPr>
      <w:spacing w:after="0"/>
      <w:jc w:val="left"/>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A">
    <w:name w:val="Header &amp; Footer A"/>
    <w:pPr>
      <w:tabs>
        <w:tab w:val="right" w:pos="9020"/>
      </w:tabs>
    </w:pPr>
    <w:rPr>
      <w:rFonts w:ascii="Helvetica" w:hAnsi="Helvetica" w:cs="Arial Unicode MS"/>
      <w:color w:val="000000"/>
      <w:u w:color="000000"/>
    </w:rPr>
  </w:style>
  <w:style w:type="character" w:customStyle="1" w:styleId="NoneA">
    <w:name w:val="None A"/>
  </w:style>
  <w:style w:type="paragraph" w:customStyle="1" w:styleId="BodyA">
    <w:name w:val="Body A"/>
    <w:rPr>
      <w:rFonts w:ascii="Helvetica" w:hAnsi="Helvetica" w:cs="Arial Unicode MS"/>
      <w:color w:val="000000"/>
      <w:u w:color="000000"/>
    </w:rPr>
  </w:style>
  <w:style w:type="paragraph" w:styleId="NoSpacing">
    <w:name w:val="No Spacing"/>
    <w:basedOn w:val="Normal"/>
    <w:link w:val="NoSpacingChar"/>
    <w:uiPriority w:val="1"/>
    <w:qFormat/>
    <w:rsid w:val="00740933"/>
    <w:pPr>
      <w:spacing w:after="0" w:line="240" w:lineRule="auto"/>
    </w:pPr>
  </w:style>
  <w:style w:type="paragraph" w:customStyle="1" w:styleId="Default">
    <w:name w:val="Default"/>
    <w:rPr>
      <w:rFonts w:ascii="Helvetica" w:hAnsi="Helvetica" w:cs="Arial Unicode MS"/>
      <w:color w:val="000000"/>
      <w:u w:color="000000"/>
    </w:rPr>
  </w:style>
  <w:style w:type="paragraph" w:styleId="TOCHeading">
    <w:name w:val="TOC Heading"/>
    <w:basedOn w:val="Heading1"/>
    <w:next w:val="Normal"/>
    <w:uiPriority w:val="39"/>
    <w:unhideWhenUsed/>
    <w:qFormat/>
    <w:rsid w:val="00740933"/>
    <w:pPr>
      <w:outlineLvl w:val="9"/>
    </w:pPr>
  </w:style>
  <w:style w:type="paragraph" w:customStyle="1" w:styleId="BodyB">
    <w:name w:val="Body B"/>
    <w:rPr>
      <w:rFonts w:cs="Arial Unicode MS"/>
      <w:color w:val="000000"/>
      <w:sz w:val="24"/>
      <w:szCs w:val="24"/>
      <w:u w:color="000000"/>
    </w:rPr>
  </w:style>
  <w:style w:type="paragraph" w:styleId="TOC2">
    <w:name w:val="toc 2"/>
    <w:uiPriority w:val="39"/>
    <w:pPr>
      <w:spacing w:after="0"/>
      <w:jc w:val="left"/>
    </w:pPr>
    <w:rPr>
      <w:b/>
      <w:bCs/>
      <w:smallCaps/>
      <w:sz w:val="22"/>
      <w:szCs w:val="22"/>
    </w:rPr>
  </w:style>
  <w:style w:type="paragraph" w:styleId="TOC3">
    <w:name w:val="toc 3"/>
    <w:uiPriority w:val="39"/>
    <w:pPr>
      <w:spacing w:after="0"/>
      <w:jc w:val="left"/>
    </w:pPr>
    <w:rPr>
      <w:smallCaps/>
      <w:sz w:val="22"/>
      <w:szCs w:val="22"/>
    </w:rPr>
  </w:style>
  <w:style w:type="paragraph" w:customStyle="1" w:styleId="Body">
    <w:name w:val="Body"/>
    <w:rPr>
      <w:rFonts w:eastAsia="Times New Roman"/>
      <w:color w:val="000000"/>
      <w:sz w:val="24"/>
      <w:szCs w:val="24"/>
      <w:u w:color="000000"/>
    </w:rPr>
  </w:style>
  <w:style w:type="paragraph" w:customStyle="1" w:styleId="Heading">
    <w:name w:val="Heading"/>
    <w:next w:val="BodyA"/>
    <w:pPr>
      <w:keepNext/>
      <w:outlineLvl w:val="2"/>
    </w:pPr>
    <w:rPr>
      <w:rFonts w:ascii="Helvetica" w:eastAsia="Helvetica" w:hAnsi="Helvetica" w:cs="Helvetica"/>
      <w:b/>
      <w:bCs/>
      <w:color w:val="000000"/>
      <w:sz w:val="36"/>
      <w:szCs w:val="36"/>
      <w:u w:color="000000"/>
    </w:rPr>
  </w:style>
  <w:style w:type="paragraph" w:styleId="TOC4">
    <w:name w:val="toc 4"/>
    <w:uiPriority w:val="39"/>
    <w:pPr>
      <w:spacing w:after="0"/>
      <w:jc w:val="left"/>
    </w:pPr>
    <w:rPr>
      <w:sz w:val="22"/>
      <w:szCs w:val="22"/>
    </w:rPr>
  </w:style>
  <w:style w:type="paragraph" w:customStyle="1" w:styleId="BodyAA">
    <w:name w:val="Body A A"/>
    <w:rPr>
      <w:rFonts w:ascii="Calibri" w:hAnsi="Calibri" w:cs="Arial Unicode MS"/>
      <w:color w:val="000000"/>
      <w:u w:color="000000"/>
      <w:lang w:val="es-ES_tradnl"/>
    </w:rPr>
  </w:style>
  <w:style w:type="character" w:styleId="FootnoteReference">
    <w:name w:val="footnote reference"/>
    <w:basedOn w:val="NoneA"/>
    <w:rPr>
      <w:vertAlign w:val="superscript"/>
    </w:rPr>
  </w:style>
  <w:style w:type="paragraph" w:customStyle="1" w:styleId="Footnote">
    <w:name w:val="Footnote"/>
    <w:rPr>
      <w:rFonts w:ascii="Helvetica" w:eastAsia="Helvetica" w:hAnsi="Helvetica" w:cs="Helvetica"/>
      <w:color w:val="000000"/>
      <w:u w:color="000000"/>
    </w:rPr>
  </w:style>
  <w:style w:type="character" w:customStyle="1" w:styleId="Hyperlink0">
    <w:name w:val="Hyperlink.0"/>
    <w:basedOn w:val="NoneA"/>
    <w:rPr>
      <w:color w:val="0000FF"/>
      <w:sz w:val="16"/>
      <w:szCs w:val="16"/>
      <w:u w:val="single" w:color="0000FF"/>
    </w:rPr>
  </w:style>
  <w:style w:type="numbering" w:customStyle="1" w:styleId="Dash">
    <w:name w:val="Dash"/>
    <w:pPr>
      <w:numPr>
        <w:numId w:val="1"/>
      </w:numPr>
    </w:pPr>
  </w:style>
  <w:style w:type="paragraph" w:styleId="FootnoteText">
    <w:name w:val="footnote text"/>
    <w:link w:val="FootnoteTextChar"/>
    <w:rPr>
      <w:rFonts w:eastAsia="Times New Roman"/>
      <w:color w:val="000000"/>
      <w:u w:color="000000"/>
    </w:rPr>
  </w:style>
  <w:style w:type="character" w:customStyle="1" w:styleId="Hyperlink1">
    <w:name w:val="Hyperlink.1"/>
    <w:basedOn w:val="NoneA"/>
    <w:rPr>
      <w:sz w:val="16"/>
      <w:szCs w:val="16"/>
      <w:u w:val="single"/>
    </w:rPr>
  </w:style>
  <w:style w:type="character" w:customStyle="1" w:styleId="Link">
    <w:name w:val="Link"/>
    <w:rPr>
      <w:color w:val="0000FF"/>
      <w:u w:val="single" w:color="0000FF"/>
    </w:rPr>
  </w:style>
  <w:style w:type="character" w:customStyle="1" w:styleId="Hyperlink2">
    <w:name w:val="Hyperlink.2"/>
    <w:basedOn w:val="Link"/>
    <w:rPr>
      <w:rFonts w:ascii="Verdana" w:eastAsia="Verdana" w:hAnsi="Verdana" w:cs="Verdana"/>
      <w:color w:val="0000FF"/>
      <w:sz w:val="22"/>
      <w:szCs w:val="22"/>
      <w:u w:val="single" w:color="0000FF"/>
    </w:rPr>
  </w:style>
  <w:style w:type="paragraph" w:styleId="ListParagraph">
    <w:name w:val="List Paragraph"/>
    <w:aliases w:val="Scriptoria bullet points,List Paragraph 1"/>
    <w:basedOn w:val="Normal"/>
    <w:link w:val="ListParagraphChar"/>
    <w:uiPriority w:val="34"/>
    <w:qFormat/>
    <w:rsid w:val="00740933"/>
    <w:pPr>
      <w:ind w:left="720"/>
      <w:contextualSpacing/>
    </w:pPr>
  </w:style>
  <w:style w:type="numbering" w:customStyle="1" w:styleId="ImportedStyle1">
    <w:name w:val="Imported Style 1"/>
    <w:pPr>
      <w:numPr>
        <w:numId w:val="2"/>
      </w:numPr>
    </w:pPr>
  </w:style>
  <w:style w:type="character" w:customStyle="1" w:styleId="Hyperlink3">
    <w:name w:val="Hyperlink.3"/>
    <w:basedOn w:val="NoneA"/>
    <w:rPr>
      <w:sz w:val="16"/>
      <w:szCs w:val="16"/>
    </w:rPr>
  </w:style>
  <w:style w:type="character" w:customStyle="1" w:styleId="Hyperlink4">
    <w:name w:val="Hyperlink.4"/>
    <w:basedOn w:val="Link"/>
    <w:rPr>
      <w:color w:val="0000FF"/>
      <w:sz w:val="16"/>
      <w:szCs w:val="16"/>
      <w:u w:val="single" w:color="0000FF"/>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character" w:customStyle="1" w:styleId="Hyperlink5">
    <w:name w:val="Hyperlink.5"/>
    <w:basedOn w:val="Link"/>
    <w:rPr>
      <w:color w:val="0000FF"/>
      <w:sz w:val="16"/>
      <w:szCs w:val="16"/>
      <w:u w:val="single" w:color="0000FF"/>
      <w:shd w:val="clear" w:color="auto" w:fill="F5F5F5"/>
    </w:rPr>
  </w:style>
  <w:style w:type="numbering" w:customStyle="1" w:styleId="ImportedStyle10">
    <w:name w:val="Imported Style 10"/>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3"/>
      </w:numPr>
    </w:pPr>
  </w:style>
  <w:style w:type="numbering" w:customStyle="1" w:styleId="ImportedStyle13">
    <w:name w:val="Imported Style 13"/>
    <w:pPr>
      <w:numPr>
        <w:numId w:val="14"/>
      </w:numPr>
    </w:pPr>
  </w:style>
  <w:style w:type="numbering" w:customStyle="1" w:styleId="ImportedStyle14">
    <w:name w:val="Imported Style 14"/>
    <w:pPr>
      <w:numPr>
        <w:numId w:val="15"/>
      </w:numPr>
    </w:pPr>
  </w:style>
  <w:style w:type="numbering" w:customStyle="1" w:styleId="ImportedStyle15">
    <w:name w:val="Imported Style 15"/>
    <w:pPr>
      <w:numPr>
        <w:numId w:val="16"/>
      </w:numPr>
    </w:pPr>
  </w:style>
  <w:style w:type="numbering" w:customStyle="1" w:styleId="ImportedStyle16">
    <w:name w:val="Imported Style 16"/>
    <w:pPr>
      <w:numPr>
        <w:numId w:val="17"/>
      </w:numPr>
    </w:pPr>
  </w:style>
  <w:style w:type="numbering" w:customStyle="1" w:styleId="ImportedStyle17">
    <w:name w:val="Imported Style 17"/>
    <w:pPr>
      <w:numPr>
        <w:numId w:val="18"/>
      </w:numPr>
    </w:pPr>
  </w:style>
  <w:style w:type="numbering" w:customStyle="1" w:styleId="ImportedStyle18">
    <w:name w:val="Imported Style 18"/>
    <w:pPr>
      <w:numPr>
        <w:numId w:val="19"/>
      </w:numPr>
    </w:pPr>
  </w:style>
  <w:style w:type="numbering" w:customStyle="1" w:styleId="ImportedStyle19">
    <w:name w:val="Imported Style 19"/>
    <w:pPr>
      <w:numPr>
        <w:numId w:val="20"/>
      </w:numPr>
    </w:pPr>
  </w:style>
  <w:style w:type="numbering" w:customStyle="1" w:styleId="ImportedStyle20">
    <w:name w:val="Imported Style 20"/>
    <w:pPr>
      <w:numPr>
        <w:numId w:val="21"/>
      </w:numPr>
    </w:pPr>
  </w:style>
  <w:style w:type="numbering" w:customStyle="1" w:styleId="ImportedStyle21">
    <w:name w:val="Imported Style 21"/>
    <w:pPr>
      <w:numPr>
        <w:numId w:val="22"/>
      </w:numPr>
    </w:pPr>
  </w:style>
  <w:style w:type="paragraph" w:styleId="BalloonText">
    <w:name w:val="Balloon Text"/>
    <w:basedOn w:val="Normal"/>
    <w:link w:val="BalloonTextChar"/>
    <w:uiPriority w:val="99"/>
    <w:semiHidden/>
    <w:unhideWhenUsed/>
    <w:rsid w:val="009323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320"/>
    <w:rPr>
      <w:rFonts w:ascii="Lucida Grande" w:hAnsi="Lucida Grande" w:cs="Lucida Grande"/>
      <w:sz w:val="18"/>
      <w:szCs w:val="18"/>
    </w:rPr>
  </w:style>
  <w:style w:type="character" w:customStyle="1" w:styleId="ListParagraphChar">
    <w:name w:val="List Paragraph Char"/>
    <w:aliases w:val="Scriptoria bullet points Char,List Paragraph 1 Char"/>
    <w:basedOn w:val="DefaultParagraphFont"/>
    <w:link w:val="ListParagraph"/>
    <w:uiPriority w:val="34"/>
    <w:locked/>
    <w:rsid w:val="00B91B3F"/>
  </w:style>
  <w:style w:type="paragraph" w:styleId="Header">
    <w:name w:val="header"/>
    <w:basedOn w:val="Normal"/>
    <w:link w:val="HeaderChar"/>
    <w:uiPriority w:val="99"/>
    <w:unhideWhenUsed/>
    <w:rsid w:val="0065774D"/>
    <w:pPr>
      <w:tabs>
        <w:tab w:val="center" w:pos="4680"/>
        <w:tab w:val="right" w:pos="9360"/>
      </w:tabs>
    </w:pPr>
  </w:style>
  <w:style w:type="character" w:customStyle="1" w:styleId="HeaderChar">
    <w:name w:val="Header Char"/>
    <w:basedOn w:val="DefaultParagraphFont"/>
    <w:link w:val="Header"/>
    <w:uiPriority w:val="99"/>
    <w:rsid w:val="0065774D"/>
    <w:rPr>
      <w:sz w:val="24"/>
      <w:szCs w:val="24"/>
    </w:rPr>
  </w:style>
  <w:style w:type="paragraph" w:styleId="Footer">
    <w:name w:val="footer"/>
    <w:basedOn w:val="Normal"/>
    <w:link w:val="FooterChar"/>
    <w:uiPriority w:val="99"/>
    <w:unhideWhenUsed/>
    <w:rsid w:val="0065774D"/>
    <w:pPr>
      <w:tabs>
        <w:tab w:val="center" w:pos="4680"/>
        <w:tab w:val="right" w:pos="9360"/>
      </w:tabs>
    </w:pPr>
  </w:style>
  <w:style w:type="character" w:customStyle="1" w:styleId="FooterChar">
    <w:name w:val="Footer Char"/>
    <w:basedOn w:val="DefaultParagraphFont"/>
    <w:link w:val="Footer"/>
    <w:uiPriority w:val="99"/>
    <w:rsid w:val="0065774D"/>
    <w:rPr>
      <w:sz w:val="24"/>
      <w:szCs w:val="24"/>
    </w:rPr>
  </w:style>
  <w:style w:type="character" w:styleId="BookTitle">
    <w:name w:val="Book Title"/>
    <w:uiPriority w:val="33"/>
    <w:qFormat/>
    <w:rsid w:val="00740933"/>
    <w:rPr>
      <w:rFonts w:asciiTheme="majorHAnsi" w:eastAsiaTheme="majorEastAsia" w:hAnsiTheme="majorHAnsi" w:cstheme="majorBidi"/>
      <w:i/>
      <w:iCs/>
      <w:sz w:val="20"/>
      <w:szCs w:val="20"/>
    </w:rPr>
  </w:style>
  <w:style w:type="character" w:styleId="IntenseReference">
    <w:name w:val="Intense Reference"/>
    <w:uiPriority w:val="32"/>
    <w:qFormat/>
    <w:rsid w:val="00740933"/>
    <w:rPr>
      <w:b/>
      <w:bCs/>
      <w:smallCaps/>
      <w:spacing w:val="5"/>
      <w:sz w:val="22"/>
      <w:szCs w:val="22"/>
      <w:u w:val="single"/>
    </w:rPr>
  </w:style>
  <w:style w:type="character" w:styleId="SubtleReference">
    <w:name w:val="Subtle Reference"/>
    <w:uiPriority w:val="31"/>
    <w:qFormat/>
    <w:rsid w:val="00740933"/>
    <w:rPr>
      <w:b/>
    </w:rPr>
  </w:style>
  <w:style w:type="paragraph" w:styleId="IntenseQuote">
    <w:name w:val="Intense Quote"/>
    <w:basedOn w:val="Normal"/>
    <w:next w:val="Normal"/>
    <w:link w:val="IntenseQuoteChar"/>
    <w:uiPriority w:val="30"/>
    <w:qFormat/>
    <w:rsid w:val="00740933"/>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40933"/>
    <w:rPr>
      <w:b/>
      <w:i/>
      <w:color w:val="FFFFFF" w:themeColor="background1"/>
      <w:shd w:val="clear" w:color="auto" w:fill="009DD9" w:themeFill="accent2"/>
    </w:rPr>
  </w:style>
  <w:style w:type="paragraph" w:styleId="Title">
    <w:name w:val="Title"/>
    <w:basedOn w:val="Normal"/>
    <w:next w:val="Normal"/>
    <w:link w:val="TitleChar"/>
    <w:uiPriority w:val="10"/>
    <w:qFormat/>
    <w:rsid w:val="00740933"/>
    <w:pPr>
      <w:pBdr>
        <w:top w:val="single" w:sz="12" w:space="1" w:color="009DD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40933"/>
    <w:rPr>
      <w:smallCaps/>
      <w:sz w:val="48"/>
      <w:szCs w:val="48"/>
    </w:rPr>
  </w:style>
  <w:style w:type="character" w:customStyle="1" w:styleId="Heading1Char">
    <w:name w:val="Heading 1 Char"/>
    <w:basedOn w:val="DefaultParagraphFont"/>
    <w:link w:val="Heading1"/>
    <w:uiPriority w:val="9"/>
    <w:rsid w:val="00B44D7C"/>
    <w:rPr>
      <w:rFonts w:ascii="Arial" w:hAnsi="Arial" w:cs="Arial"/>
      <w:smallCaps/>
      <w:color w:val="0B5294" w:themeColor="accent1" w:themeShade="BF"/>
      <w:spacing w:val="5"/>
      <w:sz w:val="24"/>
      <w:szCs w:val="24"/>
      <w:u w:color="000000"/>
      <w:lang w:val="ro-RO"/>
    </w:rPr>
  </w:style>
  <w:style w:type="character" w:customStyle="1" w:styleId="Heading2Char">
    <w:name w:val="Heading 2 Char"/>
    <w:basedOn w:val="DefaultParagraphFont"/>
    <w:link w:val="Heading2"/>
    <w:uiPriority w:val="9"/>
    <w:rsid w:val="00740933"/>
    <w:rPr>
      <w:smallCaps/>
      <w:spacing w:val="5"/>
      <w:sz w:val="28"/>
      <w:szCs w:val="28"/>
    </w:rPr>
  </w:style>
  <w:style w:type="character" w:customStyle="1" w:styleId="Heading3Char">
    <w:name w:val="Heading 3 Char"/>
    <w:basedOn w:val="DefaultParagraphFont"/>
    <w:link w:val="Heading3"/>
    <w:uiPriority w:val="9"/>
    <w:rsid w:val="00740933"/>
    <w:rPr>
      <w:smallCaps/>
      <w:spacing w:val="5"/>
      <w:sz w:val="24"/>
      <w:szCs w:val="24"/>
    </w:rPr>
  </w:style>
  <w:style w:type="character" w:customStyle="1" w:styleId="Heading4Char">
    <w:name w:val="Heading 4 Char"/>
    <w:basedOn w:val="DefaultParagraphFont"/>
    <w:link w:val="Heading4"/>
    <w:uiPriority w:val="9"/>
    <w:rsid w:val="00740933"/>
    <w:rPr>
      <w:smallCaps/>
      <w:spacing w:val="10"/>
      <w:sz w:val="22"/>
      <w:szCs w:val="22"/>
    </w:rPr>
  </w:style>
  <w:style w:type="character" w:customStyle="1" w:styleId="Heading5Char">
    <w:name w:val="Heading 5 Char"/>
    <w:basedOn w:val="DefaultParagraphFont"/>
    <w:link w:val="Heading5"/>
    <w:uiPriority w:val="9"/>
    <w:semiHidden/>
    <w:rsid w:val="00740933"/>
    <w:rPr>
      <w:smallCaps/>
      <w:color w:val="0075A2" w:themeColor="accent2" w:themeShade="BF"/>
      <w:spacing w:val="10"/>
      <w:sz w:val="22"/>
      <w:szCs w:val="26"/>
    </w:rPr>
  </w:style>
  <w:style w:type="character" w:customStyle="1" w:styleId="Heading6Char">
    <w:name w:val="Heading 6 Char"/>
    <w:basedOn w:val="DefaultParagraphFont"/>
    <w:link w:val="Heading6"/>
    <w:uiPriority w:val="9"/>
    <w:semiHidden/>
    <w:rsid w:val="00740933"/>
    <w:rPr>
      <w:smallCaps/>
      <w:color w:val="009DD9" w:themeColor="accent2"/>
      <w:spacing w:val="5"/>
      <w:sz w:val="22"/>
    </w:rPr>
  </w:style>
  <w:style w:type="character" w:customStyle="1" w:styleId="Heading7Char">
    <w:name w:val="Heading 7 Char"/>
    <w:basedOn w:val="DefaultParagraphFont"/>
    <w:link w:val="Heading7"/>
    <w:uiPriority w:val="9"/>
    <w:semiHidden/>
    <w:rsid w:val="00740933"/>
    <w:rPr>
      <w:b/>
      <w:smallCaps/>
      <w:color w:val="009DD9" w:themeColor="accent2"/>
      <w:spacing w:val="10"/>
    </w:rPr>
  </w:style>
  <w:style w:type="character" w:customStyle="1" w:styleId="Heading8Char">
    <w:name w:val="Heading 8 Char"/>
    <w:basedOn w:val="DefaultParagraphFont"/>
    <w:link w:val="Heading8"/>
    <w:uiPriority w:val="9"/>
    <w:semiHidden/>
    <w:rsid w:val="00740933"/>
    <w:rPr>
      <w:b/>
      <w:i/>
      <w:smallCaps/>
      <w:color w:val="0075A2" w:themeColor="accent2" w:themeShade="BF"/>
    </w:rPr>
  </w:style>
  <w:style w:type="character" w:customStyle="1" w:styleId="Heading9Char">
    <w:name w:val="Heading 9 Char"/>
    <w:basedOn w:val="DefaultParagraphFont"/>
    <w:link w:val="Heading9"/>
    <w:uiPriority w:val="9"/>
    <w:semiHidden/>
    <w:rsid w:val="00740933"/>
    <w:rPr>
      <w:b/>
      <w:i/>
      <w:smallCaps/>
      <w:color w:val="004D6C" w:themeColor="accent2" w:themeShade="7F"/>
    </w:rPr>
  </w:style>
  <w:style w:type="paragraph" w:styleId="Caption">
    <w:name w:val="caption"/>
    <w:basedOn w:val="Normal"/>
    <w:next w:val="Normal"/>
    <w:uiPriority w:val="35"/>
    <w:semiHidden/>
    <w:unhideWhenUsed/>
    <w:qFormat/>
    <w:rsid w:val="00740933"/>
    <w:rPr>
      <w:b/>
      <w:bCs/>
      <w:caps/>
      <w:sz w:val="16"/>
      <w:szCs w:val="18"/>
    </w:rPr>
  </w:style>
  <w:style w:type="paragraph" w:styleId="Subtitle">
    <w:name w:val="Subtitle"/>
    <w:basedOn w:val="Normal"/>
    <w:next w:val="Normal"/>
    <w:link w:val="SubtitleChar"/>
    <w:uiPriority w:val="11"/>
    <w:qFormat/>
    <w:rsid w:val="0074093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40933"/>
    <w:rPr>
      <w:rFonts w:asciiTheme="majorHAnsi" w:eastAsiaTheme="majorEastAsia" w:hAnsiTheme="majorHAnsi" w:cstheme="majorBidi"/>
      <w:szCs w:val="22"/>
    </w:rPr>
  </w:style>
  <w:style w:type="character" w:styleId="Strong">
    <w:name w:val="Strong"/>
    <w:uiPriority w:val="22"/>
    <w:qFormat/>
    <w:rsid w:val="00740933"/>
    <w:rPr>
      <w:b/>
      <w:color w:val="009DD9" w:themeColor="accent2"/>
    </w:rPr>
  </w:style>
  <w:style w:type="character" w:styleId="Emphasis">
    <w:name w:val="Emphasis"/>
    <w:uiPriority w:val="20"/>
    <w:qFormat/>
    <w:rsid w:val="00740933"/>
    <w:rPr>
      <w:b/>
      <w:i/>
      <w:spacing w:val="10"/>
    </w:rPr>
  </w:style>
  <w:style w:type="character" w:customStyle="1" w:styleId="NoSpacingChar">
    <w:name w:val="No Spacing Char"/>
    <w:basedOn w:val="DefaultParagraphFont"/>
    <w:link w:val="NoSpacing"/>
    <w:uiPriority w:val="1"/>
    <w:rsid w:val="00740933"/>
  </w:style>
  <w:style w:type="paragraph" w:styleId="Quote">
    <w:name w:val="Quote"/>
    <w:basedOn w:val="Normal"/>
    <w:next w:val="Normal"/>
    <w:link w:val="QuoteChar"/>
    <w:uiPriority w:val="29"/>
    <w:qFormat/>
    <w:rsid w:val="00740933"/>
    <w:rPr>
      <w:i/>
    </w:rPr>
  </w:style>
  <w:style w:type="character" w:customStyle="1" w:styleId="QuoteChar">
    <w:name w:val="Quote Char"/>
    <w:basedOn w:val="DefaultParagraphFont"/>
    <w:link w:val="Quote"/>
    <w:uiPriority w:val="29"/>
    <w:rsid w:val="00740933"/>
    <w:rPr>
      <w:i/>
    </w:rPr>
  </w:style>
  <w:style w:type="character" w:styleId="SubtleEmphasis">
    <w:name w:val="Subtle Emphasis"/>
    <w:uiPriority w:val="19"/>
    <w:qFormat/>
    <w:rsid w:val="00740933"/>
    <w:rPr>
      <w:i/>
    </w:rPr>
  </w:style>
  <w:style w:type="character" w:styleId="IntenseEmphasis">
    <w:name w:val="Intense Emphasis"/>
    <w:uiPriority w:val="21"/>
    <w:qFormat/>
    <w:rsid w:val="00740933"/>
    <w:rPr>
      <w:b/>
      <w:i/>
      <w:color w:val="009DD9" w:themeColor="accent2"/>
      <w:spacing w:val="10"/>
    </w:rPr>
  </w:style>
  <w:style w:type="paragraph" w:customStyle="1" w:styleId="PersonalName">
    <w:name w:val="Personal Name"/>
    <w:basedOn w:val="Title"/>
    <w:rsid w:val="00EA764D"/>
    <w:rPr>
      <w:b/>
      <w:caps/>
      <w:color w:val="000000"/>
      <w:sz w:val="28"/>
      <w:szCs w:val="28"/>
    </w:rPr>
  </w:style>
  <w:style w:type="table" w:styleId="TableGrid">
    <w:name w:val="Table Grid"/>
    <w:basedOn w:val="TableNormal"/>
    <w:uiPriority w:val="59"/>
    <w:rsid w:val="00CB4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50D45"/>
    <w:rPr>
      <w:color w:val="85DFD0" w:themeColor="followedHyperlink"/>
      <w:u w:val="single"/>
    </w:rPr>
  </w:style>
  <w:style w:type="character" w:customStyle="1" w:styleId="None">
    <w:name w:val="None"/>
    <w:rsid w:val="00142EAF"/>
  </w:style>
  <w:style w:type="paragraph" w:styleId="NormalWeb">
    <w:name w:val="Normal (Web)"/>
    <w:basedOn w:val="Normal"/>
    <w:uiPriority w:val="99"/>
    <w:semiHidden/>
    <w:unhideWhenUsed/>
    <w:rsid w:val="004D69D9"/>
    <w:pPr>
      <w:spacing w:before="100" w:beforeAutospacing="1" w:after="100" w:afterAutospacing="1" w:line="240" w:lineRule="auto"/>
      <w:jc w:val="left"/>
    </w:pPr>
    <w:rPr>
      <w:rFonts w:ascii="Times New Roman" w:hAnsi="Times New Roman" w:cs="Times New Roman"/>
      <w:sz w:val="24"/>
      <w:szCs w:val="24"/>
    </w:rPr>
  </w:style>
  <w:style w:type="paragraph" w:customStyle="1" w:styleId="p1">
    <w:name w:val="p1"/>
    <w:basedOn w:val="Normal"/>
    <w:rsid w:val="00A912DF"/>
    <w:pPr>
      <w:spacing w:after="0" w:line="240" w:lineRule="auto"/>
      <w:ind w:left="720" w:hanging="720"/>
    </w:pPr>
    <w:rPr>
      <w:rFonts w:ascii="Times New Roman" w:hAnsi="Times New Roman" w:cs="Times New Roman"/>
      <w:sz w:val="26"/>
      <w:szCs w:val="26"/>
    </w:rPr>
  </w:style>
  <w:style w:type="character" w:customStyle="1" w:styleId="s1">
    <w:name w:val="s1"/>
    <w:basedOn w:val="DefaultParagraphFont"/>
    <w:rsid w:val="00A912DF"/>
  </w:style>
  <w:style w:type="character" w:styleId="PageNumber">
    <w:name w:val="page number"/>
    <w:rsid w:val="005745B8"/>
    <w:rPr>
      <w:lang w:val="es-ES_tradnl"/>
    </w:rPr>
  </w:style>
  <w:style w:type="character" w:customStyle="1" w:styleId="apple-converted-space">
    <w:name w:val="apple-converted-space"/>
    <w:basedOn w:val="DefaultParagraphFont"/>
    <w:rsid w:val="00FE0237"/>
  </w:style>
  <w:style w:type="character" w:customStyle="1" w:styleId="s2">
    <w:name w:val="s2"/>
    <w:basedOn w:val="DefaultParagraphFont"/>
    <w:rsid w:val="00194D7B"/>
    <w:rPr>
      <w:rFonts w:ascii="Helvetica" w:hAnsi="Helvetica" w:hint="default"/>
      <w:spacing w:val="15"/>
      <w:sz w:val="15"/>
      <w:szCs w:val="15"/>
    </w:rPr>
  </w:style>
  <w:style w:type="character" w:customStyle="1" w:styleId="docheader">
    <w:name w:val="doc_header"/>
    <w:basedOn w:val="DefaultParagraphFont"/>
    <w:rsid w:val="00E21281"/>
  </w:style>
  <w:style w:type="character" w:customStyle="1" w:styleId="FootnoteTextChar">
    <w:name w:val="Footnote Text Char"/>
    <w:basedOn w:val="DefaultParagraphFont"/>
    <w:link w:val="FootnoteText"/>
    <w:rsid w:val="00E30B6F"/>
    <w:rPr>
      <w:rFonts w:eastAsia="Times New Roman"/>
      <w:color w:val="000000"/>
      <w:u w:color="000000"/>
    </w:rPr>
  </w:style>
  <w:style w:type="paragraph" w:styleId="TOC1">
    <w:name w:val="toc 1"/>
    <w:basedOn w:val="Normal"/>
    <w:next w:val="Normal"/>
    <w:autoRedefine/>
    <w:uiPriority w:val="39"/>
    <w:semiHidden/>
    <w:unhideWhenUsed/>
    <w:rsid w:val="00E30B6F"/>
    <w:pPr>
      <w:spacing w:before="240" w:after="120"/>
      <w:jc w:val="left"/>
    </w:pPr>
    <w:rPr>
      <w:b/>
      <w:bCs/>
      <w:caps/>
      <w:sz w:val="22"/>
      <w:szCs w:val="22"/>
      <w:u w:val="single"/>
    </w:rPr>
  </w:style>
  <w:style w:type="paragraph" w:styleId="TOC5">
    <w:name w:val="toc 5"/>
    <w:basedOn w:val="Normal"/>
    <w:next w:val="Normal"/>
    <w:autoRedefine/>
    <w:uiPriority w:val="39"/>
    <w:semiHidden/>
    <w:unhideWhenUsed/>
    <w:rsid w:val="00E30B6F"/>
    <w:pPr>
      <w:spacing w:after="0"/>
      <w:jc w:val="left"/>
    </w:pPr>
    <w:rPr>
      <w:sz w:val="22"/>
      <w:szCs w:val="22"/>
    </w:rPr>
  </w:style>
  <w:style w:type="paragraph" w:styleId="TOC6">
    <w:name w:val="toc 6"/>
    <w:basedOn w:val="Normal"/>
    <w:next w:val="Normal"/>
    <w:autoRedefine/>
    <w:uiPriority w:val="39"/>
    <w:semiHidden/>
    <w:unhideWhenUsed/>
    <w:rsid w:val="00E30B6F"/>
    <w:pPr>
      <w:spacing w:after="0"/>
      <w:jc w:val="left"/>
    </w:pPr>
    <w:rPr>
      <w:sz w:val="22"/>
      <w:szCs w:val="22"/>
    </w:rPr>
  </w:style>
  <w:style w:type="paragraph" w:styleId="TOC7">
    <w:name w:val="toc 7"/>
    <w:basedOn w:val="Normal"/>
    <w:next w:val="Normal"/>
    <w:autoRedefine/>
    <w:uiPriority w:val="39"/>
    <w:semiHidden/>
    <w:unhideWhenUsed/>
    <w:rsid w:val="00E30B6F"/>
    <w:pPr>
      <w:spacing w:after="0"/>
      <w:jc w:val="left"/>
    </w:pPr>
    <w:rPr>
      <w:sz w:val="22"/>
      <w:szCs w:val="22"/>
    </w:rPr>
  </w:style>
  <w:style w:type="paragraph" w:styleId="TOC8">
    <w:name w:val="toc 8"/>
    <w:basedOn w:val="Normal"/>
    <w:next w:val="Normal"/>
    <w:autoRedefine/>
    <w:uiPriority w:val="39"/>
    <w:semiHidden/>
    <w:unhideWhenUsed/>
    <w:rsid w:val="00E30B6F"/>
    <w:pPr>
      <w:spacing w:after="0"/>
      <w:jc w:val="left"/>
    </w:pPr>
    <w:rPr>
      <w:sz w:val="22"/>
      <w:szCs w:val="22"/>
    </w:rPr>
  </w:style>
  <w:style w:type="paragraph" w:styleId="TOC9">
    <w:name w:val="toc 9"/>
    <w:basedOn w:val="Normal"/>
    <w:next w:val="Normal"/>
    <w:autoRedefine/>
    <w:uiPriority w:val="39"/>
    <w:semiHidden/>
    <w:unhideWhenUsed/>
    <w:rsid w:val="00E30B6F"/>
    <w:pPr>
      <w:spacing w:after="0"/>
      <w:jc w:val="left"/>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33"/>
  </w:style>
  <w:style w:type="paragraph" w:styleId="Heading1">
    <w:name w:val="heading 1"/>
    <w:basedOn w:val="Normal"/>
    <w:next w:val="Normal"/>
    <w:link w:val="Heading1Char"/>
    <w:autoRedefine/>
    <w:uiPriority w:val="9"/>
    <w:qFormat/>
    <w:rsid w:val="00B44D7C"/>
    <w:pPr>
      <w:spacing w:before="300" w:after="40"/>
      <w:jc w:val="left"/>
      <w:outlineLvl w:val="0"/>
    </w:pPr>
    <w:rPr>
      <w:rFonts w:ascii="Arial" w:hAnsi="Arial" w:cs="Arial"/>
      <w:smallCaps/>
      <w:color w:val="0B5294" w:themeColor="accent1" w:themeShade="BF"/>
      <w:spacing w:val="5"/>
      <w:sz w:val="24"/>
      <w:szCs w:val="24"/>
      <w:u w:color="000000"/>
      <w:lang w:val="ro-RO"/>
    </w:rPr>
  </w:style>
  <w:style w:type="paragraph" w:styleId="Heading2">
    <w:name w:val="heading 2"/>
    <w:basedOn w:val="Normal"/>
    <w:next w:val="Normal"/>
    <w:link w:val="Heading2Char"/>
    <w:uiPriority w:val="9"/>
    <w:unhideWhenUsed/>
    <w:qFormat/>
    <w:rsid w:val="0074093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40933"/>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74093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40933"/>
    <w:pPr>
      <w:spacing w:before="200" w:after="0"/>
      <w:jc w:val="left"/>
      <w:outlineLvl w:val="4"/>
    </w:pPr>
    <w:rPr>
      <w:smallCaps/>
      <w:color w:val="0075A2" w:themeColor="accent2" w:themeShade="BF"/>
      <w:spacing w:val="10"/>
      <w:sz w:val="22"/>
      <w:szCs w:val="26"/>
    </w:rPr>
  </w:style>
  <w:style w:type="paragraph" w:styleId="Heading6">
    <w:name w:val="heading 6"/>
    <w:basedOn w:val="Normal"/>
    <w:next w:val="Normal"/>
    <w:link w:val="Heading6Char"/>
    <w:uiPriority w:val="9"/>
    <w:semiHidden/>
    <w:unhideWhenUsed/>
    <w:qFormat/>
    <w:rsid w:val="00740933"/>
    <w:pPr>
      <w:spacing w:after="0"/>
      <w:jc w:val="left"/>
      <w:outlineLvl w:val="5"/>
    </w:pPr>
    <w:rPr>
      <w:smallCaps/>
      <w:color w:val="009DD9" w:themeColor="accent2"/>
      <w:spacing w:val="5"/>
      <w:sz w:val="22"/>
    </w:rPr>
  </w:style>
  <w:style w:type="paragraph" w:styleId="Heading7">
    <w:name w:val="heading 7"/>
    <w:basedOn w:val="Normal"/>
    <w:next w:val="Normal"/>
    <w:link w:val="Heading7Char"/>
    <w:uiPriority w:val="9"/>
    <w:semiHidden/>
    <w:unhideWhenUsed/>
    <w:qFormat/>
    <w:rsid w:val="00740933"/>
    <w:pPr>
      <w:spacing w:after="0"/>
      <w:jc w:val="left"/>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rsid w:val="00740933"/>
    <w:pPr>
      <w:spacing w:after="0"/>
      <w:jc w:val="left"/>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rsid w:val="00740933"/>
    <w:pPr>
      <w:spacing w:after="0"/>
      <w:jc w:val="left"/>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A">
    <w:name w:val="Header &amp; Footer A"/>
    <w:pPr>
      <w:tabs>
        <w:tab w:val="right" w:pos="9020"/>
      </w:tabs>
    </w:pPr>
    <w:rPr>
      <w:rFonts w:ascii="Helvetica" w:hAnsi="Helvetica" w:cs="Arial Unicode MS"/>
      <w:color w:val="000000"/>
      <w:u w:color="000000"/>
    </w:rPr>
  </w:style>
  <w:style w:type="character" w:customStyle="1" w:styleId="NoneA">
    <w:name w:val="None A"/>
  </w:style>
  <w:style w:type="paragraph" w:customStyle="1" w:styleId="BodyA">
    <w:name w:val="Body A"/>
    <w:rPr>
      <w:rFonts w:ascii="Helvetica" w:hAnsi="Helvetica" w:cs="Arial Unicode MS"/>
      <w:color w:val="000000"/>
      <w:u w:color="000000"/>
    </w:rPr>
  </w:style>
  <w:style w:type="paragraph" w:styleId="NoSpacing">
    <w:name w:val="No Spacing"/>
    <w:basedOn w:val="Normal"/>
    <w:link w:val="NoSpacingChar"/>
    <w:uiPriority w:val="1"/>
    <w:qFormat/>
    <w:rsid w:val="00740933"/>
    <w:pPr>
      <w:spacing w:after="0" w:line="240" w:lineRule="auto"/>
    </w:pPr>
  </w:style>
  <w:style w:type="paragraph" w:customStyle="1" w:styleId="Default">
    <w:name w:val="Default"/>
    <w:rPr>
      <w:rFonts w:ascii="Helvetica" w:hAnsi="Helvetica" w:cs="Arial Unicode MS"/>
      <w:color w:val="000000"/>
      <w:u w:color="000000"/>
    </w:rPr>
  </w:style>
  <w:style w:type="paragraph" w:styleId="TOCHeading">
    <w:name w:val="TOC Heading"/>
    <w:basedOn w:val="Heading1"/>
    <w:next w:val="Normal"/>
    <w:uiPriority w:val="39"/>
    <w:unhideWhenUsed/>
    <w:qFormat/>
    <w:rsid w:val="00740933"/>
    <w:pPr>
      <w:outlineLvl w:val="9"/>
    </w:pPr>
  </w:style>
  <w:style w:type="paragraph" w:customStyle="1" w:styleId="BodyB">
    <w:name w:val="Body B"/>
    <w:rPr>
      <w:rFonts w:cs="Arial Unicode MS"/>
      <w:color w:val="000000"/>
      <w:sz w:val="24"/>
      <w:szCs w:val="24"/>
      <w:u w:color="000000"/>
    </w:rPr>
  </w:style>
  <w:style w:type="paragraph" w:styleId="TOC2">
    <w:name w:val="toc 2"/>
    <w:uiPriority w:val="39"/>
    <w:pPr>
      <w:spacing w:after="0"/>
      <w:jc w:val="left"/>
    </w:pPr>
    <w:rPr>
      <w:b/>
      <w:bCs/>
      <w:smallCaps/>
      <w:sz w:val="22"/>
      <w:szCs w:val="22"/>
    </w:rPr>
  </w:style>
  <w:style w:type="paragraph" w:styleId="TOC3">
    <w:name w:val="toc 3"/>
    <w:uiPriority w:val="39"/>
    <w:pPr>
      <w:spacing w:after="0"/>
      <w:jc w:val="left"/>
    </w:pPr>
    <w:rPr>
      <w:smallCaps/>
      <w:sz w:val="22"/>
      <w:szCs w:val="22"/>
    </w:rPr>
  </w:style>
  <w:style w:type="paragraph" w:customStyle="1" w:styleId="Body">
    <w:name w:val="Body"/>
    <w:rPr>
      <w:rFonts w:eastAsia="Times New Roman"/>
      <w:color w:val="000000"/>
      <w:sz w:val="24"/>
      <w:szCs w:val="24"/>
      <w:u w:color="000000"/>
    </w:rPr>
  </w:style>
  <w:style w:type="paragraph" w:customStyle="1" w:styleId="Heading">
    <w:name w:val="Heading"/>
    <w:next w:val="BodyA"/>
    <w:pPr>
      <w:keepNext/>
      <w:outlineLvl w:val="2"/>
    </w:pPr>
    <w:rPr>
      <w:rFonts w:ascii="Helvetica" w:eastAsia="Helvetica" w:hAnsi="Helvetica" w:cs="Helvetica"/>
      <w:b/>
      <w:bCs/>
      <w:color w:val="000000"/>
      <w:sz w:val="36"/>
      <w:szCs w:val="36"/>
      <w:u w:color="000000"/>
    </w:rPr>
  </w:style>
  <w:style w:type="paragraph" w:styleId="TOC4">
    <w:name w:val="toc 4"/>
    <w:uiPriority w:val="39"/>
    <w:pPr>
      <w:spacing w:after="0"/>
      <w:jc w:val="left"/>
    </w:pPr>
    <w:rPr>
      <w:sz w:val="22"/>
      <w:szCs w:val="22"/>
    </w:rPr>
  </w:style>
  <w:style w:type="paragraph" w:customStyle="1" w:styleId="BodyAA">
    <w:name w:val="Body A A"/>
    <w:rPr>
      <w:rFonts w:ascii="Calibri" w:hAnsi="Calibri" w:cs="Arial Unicode MS"/>
      <w:color w:val="000000"/>
      <w:u w:color="000000"/>
      <w:lang w:val="es-ES_tradnl"/>
    </w:rPr>
  </w:style>
  <w:style w:type="character" w:styleId="FootnoteReference">
    <w:name w:val="footnote reference"/>
    <w:basedOn w:val="NoneA"/>
    <w:rPr>
      <w:vertAlign w:val="superscript"/>
    </w:rPr>
  </w:style>
  <w:style w:type="paragraph" w:customStyle="1" w:styleId="Footnote">
    <w:name w:val="Footnote"/>
    <w:rPr>
      <w:rFonts w:ascii="Helvetica" w:eastAsia="Helvetica" w:hAnsi="Helvetica" w:cs="Helvetica"/>
      <w:color w:val="000000"/>
      <w:u w:color="000000"/>
    </w:rPr>
  </w:style>
  <w:style w:type="character" w:customStyle="1" w:styleId="Hyperlink0">
    <w:name w:val="Hyperlink.0"/>
    <w:basedOn w:val="NoneA"/>
    <w:rPr>
      <w:color w:val="0000FF"/>
      <w:sz w:val="16"/>
      <w:szCs w:val="16"/>
      <w:u w:val="single" w:color="0000FF"/>
    </w:rPr>
  </w:style>
  <w:style w:type="numbering" w:customStyle="1" w:styleId="Dash">
    <w:name w:val="Dash"/>
    <w:pPr>
      <w:numPr>
        <w:numId w:val="1"/>
      </w:numPr>
    </w:pPr>
  </w:style>
  <w:style w:type="paragraph" w:styleId="FootnoteText">
    <w:name w:val="footnote text"/>
    <w:link w:val="FootnoteTextChar"/>
    <w:rPr>
      <w:rFonts w:eastAsia="Times New Roman"/>
      <w:color w:val="000000"/>
      <w:u w:color="000000"/>
    </w:rPr>
  </w:style>
  <w:style w:type="character" w:customStyle="1" w:styleId="Hyperlink1">
    <w:name w:val="Hyperlink.1"/>
    <w:basedOn w:val="NoneA"/>
    <w:rPr>
      <w:sz w:val="16"/>
      <w:szCs w:val="16"/>
      <w:u w:val="single"/>
    </w:rPr>
  </w:style>
  <w:style w:type="character" w:customStyle="1" w:styleId="Link">
    <w:name w:val="Link"/>
    <w:rPr>
      <w:color w:val="0000FF"/>
      <w:u w:val="single" w:color="0000FF"/>
    </w:rPr>
  </w:style>
  <w:style w:type="character" w:customStyle="1" w:styleId="Hyperlink2">
    <w:name w:val="Hyperlink.2"/>
    <w:basedOn w:val="Link"/>
    <w:rPr>
      <w:rFonts w:ascii="Verdana" w:eastAsia="Verdana" w:hAnsi="Verdana" w:cs="Verdana"/>
      <w:color w:val="0000FF"/>
      <w:sz w:val="22"/>
      <w:szCs w:val="22"/>
      <w:u w:val="single" w:color="0000FF"/>
    </w:rPr>
  </w:style>
  <w:style w:type="paragraph" w:styleId="ListParagraph">
    <w:name w:val="List Paragraph"/>
    <w:aliases w:val="Scriptoria bullet points,List Paragraph 1"/>
    <w:basedOn w:val="Normal"/>
    <w:link w:val="ListParagraphChar"/>
    <w:uiPriority w:val="34"/>
    <w:qFormat/>
    <w:rsid w:val="00740933"/>
    <w:pPr>
      <w:ind w:left="720"/>
      <w:contextualSpacing/>
    </w:pPr>
  </w:style>
  <w:style w:type="numbering" w:customStyle="1" w:styleId="ImportedStyle1">
    <w:name w:val="Imported Style 1"/>
    <w:pPr>
      <w:numPr>
        <w:numId w:val="2"/>
      </w:numPr>
    </w:pPr>
  </w:style>
  <w:style w:type="character" w:customStyle="1" w:styleId="Hyperlink3">
    <w:name w:val="Hyperlink.3"/>
    <w:basedOn w:val="NoneA"/>
    <w:rPr>
      <w:sz w:val="16"/>
      <w:szCs w:val="16"/>
    </w:rPr>
  </w:style>
  <w:style w:type="character" w:customStyle="1" w:styleId="Hyperlink4">
    <w:name w:val="Hyperlink.4"/>
    <w:basedOn w:val="Link"/>
    <w:rPr>
      <w:color w:val="0000FF"/>
      <w:sz w:val="16"/>
      <w:szCs w:val="16"/>
      <w:u w:val="single" w:color="0000FF"/>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character" w:customStyle="1" w:styleId="Hyperlink5">
    <w:name w:val="Hyperlink.5"/>
    <w:basedOn w:val="Link"/>
    <w:rPr>
      <w:color w:val="0000FF"/>
      <w:sz w:val="16"/>
      <w:szCs w:val="16"/>
      <w:u w:val="single" w:color="0000FF"/>
      <w:shd w:val="clear" w:color="auto" w:fill="F5F5F5"/>
    </w:rPr>
  </w:style>
  <w:style w:type="numbering" w:customStyle="1" w:styleId="ImportedStyle10">
    <w:name w:val="Imported Style 10"/>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3"/>
      </w:numPr>
    </w:pPr>
  </w:style>
  <w:style w:type="numbering" w:customStyle="1" w:styleId="ImportedStyle13">
    <w:name w:val="Imported Style 13"/>
    <w:pPr>
      <w:numPr>
        <w:numId w:val="14"/>
      </w:numPr>
    </w:pPr>
  </w:style>
  <w:style w:type="numbering" w:customStyle="1" w:styleId="ImportedStyle14">
    <w:name w:val="Imported Style 14"/>
    <w:pPr>
      <w:numPr>
        <w:numId w:val="15"/>
      </w:numPr>
    </w:pPr>
  </w:style>
  <w:style w:type="numbering" w:customStyle="1" w:styleId="ImportedStyle15">
    <w:name w:val="Imported Style 15"/>
    <w:pPr>
      <w:numPr>
        <w:numId w:val="16"/>
      </w:numPr>
    </w:pPr>
  </w:style>
  <w:style w:type="numbering" w:customStyle="1" w:styleId="ImportedStyle16">
    <w:name w:val="Imported Style 16"/>
    <w:pPr>
      <w:numPr>
        <w:numId w:val="17"/>
      </w:numPr>
    </w:pPr>
  </w:style>
  <w:style w:type="numbering" w:customStyle="1" w:styleId="ImportedStyle17">
    <w:name w:val="Imported Style 17"/>
    <w:pPr>
      <w:numPr>
        <w:numId w:val="18"/>
      </w:numPr>
    </w:pPr>
  </w:style>
  <w:style w:type="numbering" w:customStyle="1" w:styleId="ImportedStyle18">
    <w:name w:val="Imported Style 18"/>
    <w:pPr>
      <w:numPr>
        <w:numId w:val="19"/>
      </w:numPr>
    </w:pPr>
  </w:style>
  <w:style w:type="numbering" w:customStyle="1" w:styleId="ImportedStyle19">
    <w:name w:val="Imported Style 19"/>
    <w:pPr>
      <w:numPr>
        <w:numId w:val="20"/>
      </w:numPr>
    </w:pPr>
  </w:style>
  <w:style w:type="numbering" w:customStyle="1" w:styleId="ImportedStyle20">
    <w:name w:val="Imported Style 20"/>
    <w:pPr>
      <w:numPr>
        <w:numId w:val="21"/>
      </w:numPr>
    </w:pPr>
  </w:style>
  <w:style w:type="numbering" w:customStyle="1" w:styleId="ImportedStyle21">
    <w:name w:val="Imported Style 21"/>
    <w:pPr>
      <w:numPr>
        <w:numId w:val="22"/>
      </w:numPr>
    </w:pPr>
  </w:style>
  <w:style w:type="paragraph" w:styleId="BalloonText">
    <w:name w:val="Balloon Text"/>
    <w:basedOn w:val="Normal"/>
    <w:link w:val="BalloonTextChar"/>
    <w:uiPriority w:val="99"/>
    <w:semiHidden/>
    <w:unhideWhenUsed/>
    <w:rsid w:val="009323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320"/>
    <w:rPr>
      <w:rFonts w:ascii="Lucida Grande" w:hAnsi="Lucida Grande" w:cs="Lucida Grande"/>
      <w:sz w:val="18"/>
      <w:szCs w:val="18"/>
    </w:rPr>
  </w:style>
  <w:style w:type="character" w:customStyle="1" w:styleId="ListParagraphChar">
    <w:name w:val="List Paragraph Char"/>
    <w:aliases w:val="Scriptoria bullet points Char,List Paragraph 1 Char"/>
    <w:basedOn w:val="DefaultParagraphFont"/>
    <w:link w:val="ListParagraph"/>
    <w:uiPriority w:val="34"/>
    <w:locked/>
    <w:rsid w:val="00B91B3F"/>
  </w:style>
  <w:style w:type="paragraph" w:styleId="Header">
    <w:name w:val="header"/>
    <w:basedOn w:val="Normal"/>
    <w:link w:val="HeaderChar"/>
    <w:uiPriority w:val="99"/>
    <w:unhideWhenUsed/>
    <w:rsid w:val="0065774D"/>
    <w:pPr>
      <w:tabs>
        <w:tab w:val="center" w:pos="4680"/>
        <w:tab w:val="right" w:pos="9360"/>
      </w:tabs>
    </w:pPr>
  </w:style>
  <w:style w:type="character" w:customStyle="1" w:styleId="HeaderChar">
    <w:name w:val="Header Char"/>
    <w:basedOn w:val="DefaultParagraphFont"/>
    <w:link w:val="Header"/>
    <w:uiPriority w:val="99"/>
    <w:rsid w:val="0065774D"/>
    <w:rPr>
      <w:sz w:val="24"/>
      <w:szCs w:val="24"/>
    </w:rPr>
  </w:style>
  <w:style w:type="paragraph" w:styleId="Footer">
    <w:name w:val="footer"/>
    <w:basedOn w:val="Normal"/>
    <w:link w:val="FooterChar"/>
    <w:uiPriority w:val="99"/>
    <w:unhideWhenUsed/>
    <w:rsid w:val="0065774D"/>
    <w:pPr>
      <w:tabs>
        <w:tab w:val="center" w:pos="4680"/>
        <w:tab w:val="right" w:pos="9360"/>
      </w:tabs>
    </w:pPr>
  </w:style>
  <w:style w:type="character" w:customStyle="1" w:styleId="FooterChar">
    <w:name w:val="Footer Char"/>
    <w:basedOn w:val="DefaultParagraphFont"/>
    <w:link w:val="Footer"/>
    <w:uiPriority w:val="99"/>
    <w:rsid w:val="0065774D"/>
    <w:rPr>
      <w:sz w:val="24"/>
      <w:szCs w:val="24"/>
    </w:rPr>
  </w:style>
  <w:style w:type="character" w:styleId="BookTitle">
    <w:name w:val="Book Title"/>
    <w:uiPriority w:val="33"/>
    <w:qFormat/>
    <w:rsid w:val="00740933"/>
    <w:rPr>
      <w:rFonts w:asciiTheme="majorHAnsi" w:eastAsiaTheme="majorEastAsia" w:hAnsiTheme="majorHAnsi" w:cstheme="majorBidi"/>
      <w:i/>
      <w:iCs/>
      <w:sz w:val="20"/>
      <w:szCs w:val="20"/>
    </w:rPr>
  </w:style>
  <w:style w:type="character" w:styleId="IntenseReference">
    <w:name w:val="Intense Reference"/>
    <w:uiPriority w:val="32"/>
    <w:qFormat/>
    <w:rsid w:val="00740933"/>
    <w:rPr>
      <w:b/>
      <w:bCs/>
      <w:smallCaps/>
      <w:spacing w:val="5"/>
      <w:sz w:val="22"/>
      <w:szCs w:val="22"/>
      <w:u w:val="single"/>
    </w:rPr>
  </w:style>
  <w:style w:type="character" w:styleId="SubtleReference">
    <w:name w:val="Subtle Reference"/>
    <w:uiPriority w:val="31"/>
    <w:qFormat/>
    <w:rsid w:val="00740933"/>
    <w:rPr>
      <w:b/>
    </w:rPr>
  </w:style>
  <w:style w:type="paragraph" w:styleId="IntenseQuote">
    <w:name w:val="Intense Quote"/>
    <w:basedOn w:val="Normal"/>
    <w:next w:val="Normal"/>
    <w:link w:val="IntenseQuoteChar"/>
    <w:uiPriority w:val="30"/>
    <w:qFormat/>
    <w:rsid w:val="00740933"/>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40933"/>
    <w:rPr>
      <w:b/>
      <w:i/>
      <w:color w:val="FFFFFF" w:themeColor="background1"/>
      <w:shd w:val="clear" w:color="auto" w:fill="009DD9" w:themeFill="accent2"/>
    </w:rPr>
  </w:style>
  <w:style w:type="paragraph" w:styleId="Title">
    <w:name w:val="Title"/>
    <w:basedOn w:val="Normal"/>
    <w:next w:val="Normal"/>
    <w:link w:val="TitleChar"/>
    <w:uiPriority w:val="10"/>
    <w:qFormat/>
    <w:rsid w:val="00740933"/>
    <w:pPr>
      <w:pBdr>
        <w:top w:val="single" w:sz="12" w:space="1" w:color="009DD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40933"/>
    <w:rPr>
      <w:smallCaps/>
      <w:sz w:val="48"/>
      <w:szCs w:val="48"/>
    </w:rPr>
  </w:style>
  <w:style w:type="character" w:customStyle="1" w:styleId="Heading1Char">
    <w:name w:val="Heading 1 Char"/>
    <w:basedOn w:val="DefaultParagraphFont"/>
    <w:link w:val="Heading1"/>
    <w:uiPriority w:val="9"/>
    <w:rsid w:val="00B44D7C"/>
    <w:rPr>
      <w:rFonts w:ascii="Arial" w:hAnsi="Arial" w:cs="Arial"/>
      <w:smallCaps/>
      <w:color w:val="0B5294" w:themeColor="accent1" w:themeShade="BF"/>
      <w:spacing w:val="5"/>
      <w:sz w:val="24"/>
      <w:szCs w:val="24"/>
      <w:u w:color="000000"/>
      <w:lang w:val="ro-RO"/>
    </w:rPr>
  </w:style>
  <w:style w:type="character" w:customStyle="1" w:styleId="Heading2Char">
    <w:name w:val="Heading 2 Char"/>
    <w:basedOn w:val="DefaultParagraphFont"/>
    <w:link w:val="Heading2"/>
    <w:uiPriority w:val="9"/>
    <w:rsid w:val="00740933"/>
    <w:rPr>
      <w:smallCaps/>
      <w:spacing w:val="5"/>
      <w:sz w:val="28"/>
      <w:szCs w:val="28"/>
    </w:rPr>
  </w:style>
  <w:style w:type="character" w:customStyle="1" w:styleId="Heading3Char">
    <w:name w:val="Heading 3 Char"/>
    <w:basedOn w:val="DefaultParagraphFont"/>
    <w:link w:val="Heading3"/>
    <w:uiPriority w:val="9"/>
    <w:rsid w:val="00740933"/>
    <w:rPr>
      <w:smallCaps/>
      <w:spacing w:val="5"/>
      <w:sz w:val="24"/>
      <w:szCs w:val="24"/>
    </w:rPr>
  </w:style>
  <w:style w:type="character" w:customStyle="1" w:styleId="Heading4Char">
    <w:name w:val="Heading 4 Char"/>
    <w:basedOn w:val="DefaultParagraphFont"/>
    <w:link w:val="Heading4"/>
    <w:uiPriority w:val="9"/>
    <w:rsid w:val="00740933"/>
    <w:rPr>
      <w:smallCaps/>
      <w:spacing w:val="10"/>
      <w:sz w:val="22"/>
      <w:szCs w:val="22"/>
    </w:rPr>
  </w:style>
  <w:style w:type="character" w:customStyle="1" w:styleId="Heading5Char">
    <w:name w:val="Heading 5 Char"/>
    <w:basedOn w:val="DefaultParagraphFont"/>
    <w:link w:val="Heading5"/>
    <w:uiPriority w:val="9"/>
    <w:semiHidden/>
    <w:rsid w:val="00740933"/>
    <w:rPr>
      <w:smallCaps/>
      <w:color w:val="0075A2" w:themeColor="accent2" w:themeShade="BF"/>
      <w:spacing w:val="10"/>
      <w:sz w:val="22"/>
      <w:szCs w:val="26"/>
    </w:rPr>
  </w:style>
  <w:style w:type="character" w:customStyle="1" w:styleId="Heading6Char">
    <w:name w:val="Heading 6 Char"/>
    <w:basedOn w:val="DefaultParagraphFont"/>
    <w:link w:val="Heading6"/>
    <w:uiPriority w:val="9"/>
    <w:semiHidden/>
    <w:rsid w:val="00740933"/>
    <w:rPr>
      <w:smallCaps/>
      <w:color w:val="009DD9" w:themeColor="accent2"/>
      <w:spacing w:val="5"/>
      <w:sz w:val="22"/>
    </w:rPr>
  </w:style>
  <w:style w:type="character" w:customStyle="1" w:styleId="Heading7Char">
    <w:name w:val="Heading 7 Char"/>
    <w:basedOn w:val="DefaultParagraphFont"/>
    <w:link w:val="Heading7"/>
    <w:uiPriority w:val="9"/>
    <w:semiHidden/>
    <w:rsid w:val="00740933"/>
    <w:rPr>
      <w:b/>
      <w:smallCaps/>
      <w:color w:val="009DD9" w:themeColor="accent2"/>
      <w:spacing w:val="10"/>
    </w:rPr>
  </w:style>
  <w:style w:type="character" w:customStyle="1" w:styleId="Heading8Char">
    <w:name w:val="Heading 8 Char"/>
    <w:basedOn w:val="DefaultParagraphFont"/>
    <w:link w:val="Heading8"/>
    <w:uiPriority w:val="9"/>
    <w:semiHidden/>
    <w:rsid w:val="00740933"/>
    <w:rPr>
      <w:b/>
      <w:i/>
      <w:smallCaps/>
      <w:color w:val="0075A2" w:themeColor="accent2" w:themeShade="BF"/>
    </w:rPr>
  </w:style>
  <w:style w:type="character" w:customStyle="1" w:styleId="Heading9Char">
    <w:name w:val="Heading 9 Char"/>
    <w:basedOn w:val="DefaultParagraphFont"/>
    <w:link w:val="Heading9"/>
    <w:uiPriority w:val="9"/>
    <w:semiHidden/>
    <w:rsid w:val="00740933"/>
    <w:rPr>
      <w:b/>
      <w:i/>
      <w:smallCaps/>
      <w:color w:val="004D6C" w:themeColor="accent2" w:themeShade="7F"/>
    </w:rPr>
  </w:style>
  <w:style w:type="paragraph" w:styleId="Caption">
    <w:name w:val="caption"/>
    <w:basedOn w:val="Normal"/>
    <w:next w:val="Normal"/>
    <w:uiPriority w:val="35"/>
    <w:semiHidden/>
    <w:unhideWhenUsed/>
    <w:qFormat/>
    <w:rsid w:val="00740933"/>
    <w:rPr>
      <w:b/>
      <w:bCs/>
      <w:caps/>
      <w:sz w:val="16"/>
      <w:szCs w:val="18"/>
    </w:rPr>
  </w:style>
  <w:style w:type="paragraph" w:styleId="Subtitle">
    <w:name w:val="Subtitle"/>
    <w:basedOn w:val="Normal"/>
    <w:next w:val="Normal"/>
    <w:link w:val="SubtitleChar"/>
    <w:uiPriority w:val="11"/>
    <w:qFormat/>
    <w:rsid w:val="0074093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40933"/>
    <w:rPr>
      <w:rFonts w:asciiTheme="majorHAnsi" w:eastAsiaTheme="majorEastAsia" w:hAnsiTheme="majorHAnsi" w:cstheme="majorBidi"/>
      <w:szCs w:val="22"/>
    </w:rPr>
  </w:style>
  <w:style w:type="character" w:styleId="Strong">
    <w:name w:val="Strong"/>
    <w:uiPriority w:val="22"/>
    <w:qFormat/>
    <w:rsid w:val="00740933"/>
    <w:rPr>
      <w:b/>
      <w:color w:val="009DD9" w:themeColor="accent2"/>
    </w:rPr>
  </w:style>
  <w:style w:type="character" w:styleId="Emphasis">
    <w:name w:val="Emphasis"/>
    <w:uiPriority w:val="20"/>
    <w:qFormat/>
    <w:rsid w:val="00740933"/>
    <w:rPr>
      <w:b/>
      <w:i/>
      <w:spacing w:val="10"/>
    </w:rPr>
  </w:style>
  <w:style w:type="character" w:customStyle="1" w:styleId="NoSpacingChar">
    <w:name w:val="No Spacing Char"/>
    <w:basedOn w:val="DefaultParagraphFont"/>
    <w:link w:val="NoSpacing"/>
    <w:uiPriority w:val="1"/>
    <w:rsid w:val="00740933"/>
  </w:style>
  <w:style w:type="paragraph" w:styleId="Quote">
    <w:name w:val="Quote"/>
    <w:basedOn w:val="Normal"/>
    <w:next w:val="Normal"/>
    <w:link w:val="QuoteChar"/>
    <w:uiPriority w:val="29"/>
    <w:qFormat/>
    <w:rsid w:val="00740933"/>
    <w:rPr>
      <w:i/>
    </w:rPr>
  </w:style>
  <w:style w:type="character" w:customStyle="1" w:styleId="QuoteChar">
    <w:name w:val="Quote Char"/>
    <w:basedOn w:val="DefaultParagraphFont"/>
    <w:link w:val="Quote"/>
    <w:uiPriority w:val="29"/>
    <w:rsid w:val="00740933"/>
    <w:rPr>
      <w:i/>
    </w:rPr>
  </w:style>
  <w:style w:type="character" w:styleId="SubtleEmphasis">
    <w:name w:val="Subtle Emphasis"/>
    <w:uiPriority w:val="19"/>
    <w:qFormat/>
    <w:rsid w:val="00740933"/>
    <w:rPr>
      <w:i/>
    </w:rPr>
  </w:style>
  <w:style w:type="character" w:styleId="IntenseEmphasis">
    <w:name w:val="Intense Emphasis"/>
    <w:uiPriority w:val="21"/>
    <w:qFormat/>
    <w:rsid w:val="00740933"/>
    <w:rPr>
      <w:b/>
      <w:i/>
      <w:color w:val="009DD9" w:themeColor="accent2"/>
      <w:spacing w:val="10"/>
    </w:rPr>
  </w:style>
  <w:style w:type="paragraph" w:customStyle="1" w:styleId="PersonalName">
    <w:name w:val="Personal Name"/>
    <w:basedOn w:val="Title"/>
    <w:rsid w:val="00EA764D"/>
    <w:rPr>
      <w:b/>
      <w:caps/>
      <w:color w:val="000000"/>
      <w:sz w:val="28"/>
      <w:szCs w:val="28"/>
    </w:rPr>
  </w:style>
  <w:style w:type="table" w:styleId="TableGrid">
    <w:name w:val="Table Grid"/>
    <w:basedOn w:val="TableNormal"/>
    <w:uiPriority w:val="59"/>
    <w:rsid w:val="00CB4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50D45"/>
    <w:rPr>
      <w:color w:val="85DFD0" w:themeColor="followedHyperlink"/>
      <w:u w:val="single"/>
    </w:rPr>
  </w:style>
  <w:style w:type="character" w:customStyle="1" w:styleId="None">
    <w:name w:val="None"/>
    <w:rsid w:val="00142EAF"/>
  </w:style>
  <w:style w:type="paragraph" w:styleId="NormalWeb">
    <w:name w:val="Normal (Web)"/>
    <w:basedOn w:val="Normal"/>
    <w:uiPriority w:val="99"/>
    <w:semiHidden/>
    <w:unhideWhenUsed/>
    <w:rsid w:val="004D69D9"/>
    <w:pPr>
      <w:spacing w:before="100" w:beforeAutospacing="1" w:after="100" w:afterAutospacing="1" w:line="240" w:lineRule="auto"/>
      <w:jc w:val="left"/>
    </w:pPr>
    <w:rPr>
      <w:rFonts w:ascii="Times New Roman" w:hAnsi="Times New Roman" w:cs="Times New Roman"/>
      <w:sz w:val="24"/>
      <w:szCs w:val="24"/>
    </w:rPr>
  </w:style>
  <w:style w:type="paragraph" w:customStyle="1" w:styleId="p1">
    <w:name w:val="p1"/>
    <w:basedOn w:val="Normal"/>
    <w:rsid w:val="00A912DF"/>
    <w:pPr>
      <w:spacing w:after="0" w:line="240" w:lineRule="auto"/>
      <w:ind w:left="720" w:hanging="720"/>
    </w:pPr>
    <w:rPr>
      <w:rFonts w:ascii="Times New Roman" w:hAnsi="Times New Roman" w:cs="Times New Roman"/>
      <w:sz w:val="26"/>
      <w:szCs w:val="26"/>
    </w:rPr>
  </w:style>
  <w:style w:type="character" w:customStyle="1" w:styleId="s1">
    <w:name w:val="s1"/>
    <w:basedOn w:val="DefaultParagraphFont"/>
    <w:rsid w:val="00A912DF"/>
  </w:style>
  <w:style w:type="character" w:styleId="PageNumber">
    <w:name w:val="page number"/>
    <w:rsid w:val="005745B8"/>
    <w:rPr>
      <w:lang w:val="es-ES_tradnl"/>
    </w:rPr>
  </w:style>
  <w:style w:type="character" w:customStyle="1" w:styleId="apple-converted-space">
    <w:name w:val="apple-converted-space"/>
    <w:basedOn w:val="DefaultParagraphFont"/>
    <w:rsid w:val="00FE0237"/>
  </w:style>
  <w:style w:type="character" w:customStyle="1" w:styleId="s2">
    <w:name w:val="s2"/>
    <w:basedOn w:val="DefaultParagraphFont"/>
    <w:rsid w:val="00194D7B"/>
    <w:rPr>
      <w:rFonts w:ascii="Helvetica" w:hAnsi="Helvetica" w:hint="default"/>
      <w:spacing w:val="15"/>
      <w:sz w:val="15"/>
      <w:szCs w:val="15"/>
    </w:rPr>
  </w:style>
  <w:style w:type="character" w:customStyle="1" w:styleId="docheader">
    <w:name w:val="doc_header"/>
    <w:basedOn w:val="DefaultParagraphFont"/>
    <w:rsid w:val="00E21281"/>
  </w:style>
  <w:style w:type="character" w:customStyle="1" w:styleId="FootnoteTextChar">
    <w:name w:val="Footnote Text Char"/>
    <w:basedOn w:val="DefaultParagraphFont"/>
    <w:link w:val="FootnoteText"/>
    <w:rsid w:val="00E30B6F"/>
    <w:rPr>
      <w:rFonts w:eastAsia="Times New Roman"/>
      <w:color w:val="000000"/>
      <w:u w:color="000000"/>
    </w:rPr>
  </w:style>
  <w:style w:type="paragraph" w:styleId="TOC1">
    <w:name w:val="toc 1"/>
    <w:basedOn w:val="Normal"/>
    <w:next w:val="Normal"/>
    <w:autoRedefine/>
    <w:uiPriority w:val="39"/>
    <w:semiHidden/>
    <w:unhideWhenUsed/>
    <w:rsid w:val="00E30B6F"/>
    <w:pPr>
      <w:spacing w:before="240" w:after="120"/>
      <w:jc w:val="left"/>
    </w:pPr>
    <w:rPr>
      <w:b/>
      <w:bCs/>
      <w:caps/>
      <w:sz w:val="22"/>
      <w:szCs w:val="22"/>
      <w:u w:val="single"/>
    </w:rPr>
  </w:style>
  <w:style w:type="paragraph" w:styleId="TOC5">
    <w:name w:val="toc 5"/>
    <w:basedOn w:val="Normal"/>
    <w:next w:val="Normal"/>
    <w:autoRedefine/>
    <w:uiPriority w:val="39"/>
    <w:semiHidden/>
    <w:unhideWhenUsed/>
    <w:rsid w:val="00E30B6F"/>
    <w:pPr>
      <w:spacing w:after="0"/>
      <w:jc w:val="left"/>
    </w:pPr>
    <w:rPr>
      <w:sz w:val="22"/>
      <w:szCs w:val="22"/>
    </w:rPr>
  </w:style>
  <w:style w:type="paragraph" w:styleId="TOC6">
    <w:name w:val="toc 6"/>
    <w:basedOn w:val="Normal"/>
    <w:next w:val="Normal"/>
    <w:autoRedefine/>
    <w:uiPriority w:val="39"/>
    <w:semiHidden/>
    <w:unhideWhenUsed/>
    <w:rsid w:val="00E30B6F"/>
    <w:pPr>
      <w:spacing w:after="0"/>
      <w:jc w:val="left"/>
    </w:pPr>
    <w:rPr>
      <w:sz w:val="22"/>
      <w:szCs w:val="22"/>
    </w:rPr>
  </w:style>
  <w:style w:type="paragraph" w:styleId="TOC7">
    <w:name w:val="toc 7"/>
    <w:basedOn w:val="Normal"/>
    <w:next w:val="Normal"/>
    <w:autoRedefine/>
    <w:uiPriority w:val="39"/>
    <w:semiHidden/>
    <w:unhideWhenUsed/>
    <w:rsid w:val="00E30B6F"/>
    <w:pPr>
      <w:spacing w:after="0"/>
      <w:jc w:val="left"/>
    </w:pPr>
    <w:rPr>
      <w:sz w:val="22"/>
      <w:szCs w:val="22"/>
    </w:rPr>
  </w:style>
  <w:style w:type="paragraph" w:styleId="TOC8">
    <w:name w:val="toc 8"/>
    <w:basedOn w:val="Normal"/>
    <w:next w:val="Normal"/>
    <w:autoRedefine/>
    <w:uiPriority w:val="39"/>
    <w:semiHidden/>
    <w:unhideWhenUsed/>
    <w:rsid w:val="00E30B6F"/>
    <w:pPr>
      <w:spacing w:after="0"/>
      <w:jc w:val="left"/>
    </w:pPr>
    <w:rPr>
      <w:sz w:val="22"/>
      <w:szCs w:val="22"/>
    </w:rPr>
  </w:style>
  <w:style w:type="paragraph" w:styleId="TOC9">
    <w:name w:val="toc 9"/>
    <w:basedOn w:val="Normal"/>
    <w:next w:val="Normal"/>
    <w:autoRedefine/>
    <w:uiPriority w:val="39"/>
    <w:semiHidden/>
    <w:unhideWhenUsed/>
    <w:rsid w:val="00E30B6F"/>
    <w:pPr>
      <w:spacing w:after="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1836">
      <w:bodyDiv w:val="1"/>
      <w:marLeft w:val="0"/>
      <w:marRight w:val="0"/>
      <w:marTop w:val="0"/>
      <w:marBottom w:val="0"/>
      <w:divBdr>
        <w:top w:val="none" w:sz="0" w:space="0" w:color="auto"/>
        <w:left w:val="none" w:sz="0" w:space="0" w:color="auto"/>
        <w:bottom w:val="none" w:sz="0" w:space="0" w:color="auto"/>
        <w:right w:val="none" w:sz="0" w:space="0" w:color="auto"/>
      </w:divBdr>
    </w:div>
    <w:div w:id="289827522">
      <w:bodyDiv w:val="1"/>
      <w:marLeft w:val="0"/>
      <w:marRight w:val="0"/>
      <w:marTop w:val="0"/>
      <w:marBottom w:val="0"/>
      <w:divBdr>
        <w:top w:val="none" w:sz="0" w:space="0" w:color="auto"/>
        <w:left w:val="none" w:sz="0" w:space="0" w:color="auto"/>
        <w:bottom w:val="none" w:sz="0" w:space="0" w:color="auto"/>
        <w:right w:val="none" w:sz="0" w:space="0" w:color="auto"/>
      </w:divBdr>
    </w:div>
    <w:div w:id="313993686">
      <w:bodyDiv w:val="1"/>
      <w:marLeft w:val="0"/>
      <w:marRight w:val="0"/>
      <w:marTop w:val="0"/>
      <w:marBottom w:val="0"/>
      <w:divBdr>
        <w:top w:val="none" w:sz="0" w:space="0" w:color="auto"/>
        <w:left w:val="none" w:sz="0" w:space="0" w:color="auto"/>
        <w:bottom w:val="none" w:sz="0" w:space="0" w:color="auto"/>
        <w:right w:val="none" w:sz="0" w:space="0" w:color="auto"/>
      </w:divBdr>
    </w:div>
    <w:div w:id="356780572">
      <w:bodyDiv w:val="1"/>
      <w:marLeft w:val="0"/>
      <w:marRight w:val="0"/>
      <w:marTop w:val="0"/>
      <w:marBottom w:val="0"/>
      <w:divBdr>
        <w:top w:val="none" w:sz="0" w:space="0" w:color="auto"/>
        <w:left w:val="none" w:sz="0" w:space="0" w:color="auto"/>
        <w:bottom w:val="none" w:sz="0" w:space="0" w:color="auto"/>
        <w:right w:val="none" w:sz="0" w:space="0" w:color="auto"/>
      </w:divBdr>
    </w:div>
    <w:div w:id="377365486">
      <w:bodyDiv w:val="1"/>
      <w:marLeft w:val="0"/>
      <w:marRight w:val="0"/>
      <w:marTop w:val="0"/>
      <w:marBottom w:val="0"/>
      <w:divBdr>
        <w:top w:val="none" w:sz="0" w:space="0" w:color="auto"/>
        <w:left w:val="none" w:sz="0" w:space="0" w:color="auto"/>
        <w:bottom w:val="none" w:sz="0" w:space="0" w:color="auto"/>
        <w:right w:val="none" w:sz="0" w:space="0" w:color="auto"/>
      </w:divBdr>
    </w:div>
    <w:div w:id="379549704">
      <w:bodyDiv w:val="1"/>
      <w:marLeft w:val="0"/>
      <w:marRight w:val="0"/>
      <w:marTop w:val="0"/>
      <w:marBottom w:val="0"/>
      <w:divBdr>
        <w:top w:val="none" w:sz="0" w:space="0" w:color="auto"/>
        <w:left w:val="none" w:sz="0" w:space="0" w:color="auto"/>
        <w:bottom w:val="none" w:sz="0" w:space="0" w:color="auto"/>
        <w:right w:val="none" w:sz="0" w:space="0" w:color="auto"/>
      </w:divBdr>
    </w:div>
    <w:div w:id="413168213">
      <w:bodyDiv w:val="1"/>
      <w:marLeft w:val="0"/>
      <w:marRight w:val="0"/>
      <w:marTop w:val="0"/>
      <w:marBottom w:val="0"/>
      <w:divBdr>
        <w:top w:val="none" w:sz="0" w:space="0" w:color="auto"/>
        <w:left w:val="none" w:sz="0" w:space="0" w:color="auto"/>
        <w:bottom w:val="none" w:sz="0" w:space="0" w:color="auto"/>
        <w:right w:val="none" w:sz="0" w:space="0" w:color="auto"/>
      </w:divBdr>
    </w:div>
    <w:div w:id="540477152">
      <w:bodyDiv w:val="1"/>
      <w:marLeft w:val="0"/>
      <w:marRight w:val="0"/>
      <w:marTop w:val="0"/>
      <w:marBottom w:val="0"/>
      <w:divBdr>
        <w:top w:val="none" w:sz="0" w:space="0" w:color="auto"/>
        <w:left w:val="none" w:sz="0" w:space="0" w:color="auto"/>
        <w:bottom w:val="none" w:sz="0" w:space="0" w:color="auto"/>
        <w:right w:val="none" w:sz="0" w:space="0" w:color="auto"/>
      </w:divBdr>
    </w:div>
    <w:div w:id="566034722">
      <w:bodyDiv w:val="1"/>
      <w:marLeft w:val="0"/>
      <w:marRight w:val="0"/>
      <w:marTop w:val="0"/>
      <w:marBottom w:val="0"/>
      <w:divBdr>
        <w:top w:val="none" w:sz="0" w:space="0" w:color="auto"/>
        <w:left w:val="none" w:sz="0" w:space="0" w:color="auto"/>
        <w:bottom w:val="none" w:sz="0" w:space="0" w:color="auto"/>
        <w:right w:val="none" w:sz="0" w:space="0" w:color="auto"/>
      </w:divBdr>
    </w:div>
    <w:div w:id="581916699">
      <w:bodyDiv w:val="1"/>
      <w:marLeft w:val="0"/>
      <w:marRight w:val="0"/>
      <w:marTop w:val="0"/>
      <w:marBottom w:val="0"/>
      <w:divBdr>
        <w:top w:val="none" w:sz="0" w:space="0" w:color="auto"/>
        <w:left w:val="none" w:sz="0" w:space="0" w:color="auto"/>
        <w:bottom w:val="none" w:sz="0" w:space="0" w:color="auto"/>
        <w:right w:val="none" w:sz="0" w:space="0" w:color="auto"/>
      </w:divBdr>
    </w:div>
    <w:div w:id="718168350">
      <w:bodyDiv w:val="1"/>
      <w:marLeft w:val="0"/>
      <w:marRight w:val="0"/>
      <w:marTop w:val="0"/>
      <w:marBottom w:val="0"/>
      <w:divBdr>
        <w:top w:val="none" w:sz="0" w:space="0" w:color="auto"/>
        <w:left w:val="none" w:sz="0" w:space="0" w:color="auto"/>
        <w:bottom w:val="none" w:sz="0" w:space="0" w:color="auto"/>
        <w:right w:val="none" w:sz="0" w:space="0" w:color="auto"/>
      </w:divBdr>
    </w:div>
    <w:div w:id="780420553">
      <w:bodyDiv w:val="1"/>
      <w:marLeft w:val="0"/>
      <w:marRight w:val="0"/>
      <w:marTop w:val="0"/>
      <w:marBottom w:val="0"/>
      <w:divBdr>
        <w:top w:val="none" w:sz="0" w:space="0" w:color="auto"/>
        <w:left w:val="none" w:sz="0" w:space="0" w:color="auto"/>
        <w:bottom w:val="none" w:sz="0" w:space="0" w:color="auto"/>
        <w:right w:val="none" w:sz="0" w:space="0" w:color="auto"/>
      </w:divBdr>
    </w:div>
    <w:div w:id="868224964">
      <w:bodyDiv w:val="1"/>
      <w:marLeft w:val="0"/>
      <w:marRight w:val="0"/>
      <w:marTop w:val="0"/>
      <w:marBottom w:val="0"/>
      <w:divBdr>
        <w:top w:val="none" w:sz="0" w:space="0" w:color="auto"/>
        <w:left w:val="none" w:sz="0" w:space="0" w:color="auto"/>
        <w:bottom w:val="none" w:sz="0" w:space="0" w:color="auto"/>
        <w:right w:val="none" w:sz="0" w:space="0" w:color="auto"/>
      </w:divBdr>
    </w:div>
    <w:div w:id="908927008">
      <w:bodyDiv w:val="1"/>
      <w:marLeft w:val="0"/>
      <w:marRight w:val="0"/>
      <w:marTop w:val="0"/>
      <w:marBottom w:val="0"/>
      <w:divBdr>
        <w:top w:val="none" w:sz="0" w:space="0" w:color="auto"/>
        <w:left w:val="none" w:sz="0" w:space="0" w:color="auto"/>
        <w:bottom w:val="none" w:sz="0" w:space="0" w:color="auto"/>
        <w:right w:val="none" w:sz="0" w:space="0" w:color="auto"/>
      </w:divBdr>
    </w:div>
    <w:div w:id="920453405">
      <w:bodyDiv w:val="1"/>
      <w:marLeft w:val="0"/>
      <w:marRight w:val="0"/>
      <w:marTop w:val="0"/>
      <w:marBottom w:val="0"/>
      <w:divBdr>
        <w:top w:val="none" w:sz="0" w:space="0" w:color="auto"/>
        <w:left w:val="none" w:sz="0" w:space="0" w:color="auto"/>
        <w:bottom w:val="none" w:sz="0" w:space="0" w:color="auto"/>
        <w:right w:val="none" w:sz="0" w:space="0" w:color="auto"/>
      </w:divBdr>
    </w:div>
    <w:div w:id="966282062">
      <w:bodyDiv w:val="1"/>
      <w:marLeft w:val="0"/>
      <w:marRight w:val="0"/>
      <w:marTop w:val="0"/>
      <w:marBottom w:val="0"/>
      <w:divBdr>
        <w:top w:val="none" w:sz="0" w:space="0" w:color="auto"/>
        <w:left w:val="none" w:sz="0" w:space="0" w:color="auto"/>
        <w:bottom w:val="none" w:sz="0" w:space="0" w:color="auto"/>
        <w:right w:val="none" w:sz="0" w:space="0" w:color="auto"/>
      </w:divBdr>
    </w:div>
    <w:div w:id="973869617">
      <w:bodyDiv w:val="1"/>
      <w:marLeft w:val="0"/>
      <w:marRight w:val="0"/>
      <w:marTop w:val="0"/>
      <w:marBottom w:val="0"/>
      <w:divBdr>
        <w:top w:val="none" w:sz="0" w:space="0" w:color="auto"/>
        <w:left w:val="none" w:sz="0" w:space="0" w:color="auto"/>
        <w:bottom w:val="none" w:sz="0" w:space="0" w:color="auto"/>
        <w:right w:val="none" w:sz="0" w:space="0" w:color="auto"/>
      </w:divBdr>
    </w:div>
    <w:div w:id="1021127805">
      <w:bodyDiv w:val="1"/>
      <w:marLeft w:val="0"/>
      <w:marRight w:val="0"/>
      <w:marTop w:val="0"/>
      <w:marBottom w:val="0"/>
      <w:divBdr>
        <w:top w:val="none" w:sz="0" w:space="0" w:color="auto"/>
        <w:left w:val="none" w:sz="0" w:space="0" w:color="auto"/>
        <w:bottom w:val="none" w:sz="0" w:space="0" w:color="auto"/>
        <w:right w:val="none" w:sz="0" w:space="0" w:color="auto"/>
      </w:divBdr>
    </w:div>
    <w:div w:id="1085685189">
      <w:bodyDiv w:val="1"/>
      <w:marLeft w:val="0"/>
      <w:marRight w:val="0"/>
      <w:marTop w:val="0"/>
      <w:marBottom w:val="0"/>
      <w:divBdr>
        <w:top w:val="none" w:sz="0" w:space="0" w:color="auto"/>
        <w:left w:val="none" w:sz="0" w:space="0" w:color="auto"/>
        <w:bottom w:val="none" w:sz="0" w:space="0" w:color="auto"/>
        <w:right w:val="none" w:sz="0" w:space="0" w:color="auto"/>
      </w:divBdr>
    </w:div>
    <w:div w:id="1089348856">
      <w:bodyDiv w:val="1"/>
      <w:marLeft w:val="0"/>
      <w:marRight w:val="0"/>
      <w:marTop w:val="0"/>
      <w:marBottom w:val="0"/>
      <w:divBdr>
        <w:top w:val="none" w:sz="0" w:space="0" w:color="auto"/>
        <w:left w:val="none" w:sz="0" w:space="0" w:color="auto"/>
        <w:bottom w:val="none" w:sz="0" w:space="0" w:color="auto"/>
        <w:right w:val="none" w:sz="0" w:space="0" w:color="auto"/>
      </w:divBdr>
    </w:div>
    <w:div w:id="1168407241">
      <w:bodyDiv w:val="1"/>
      <w:marLeft w:val="0"/>
      <w:marRight w:val="0"/>
      <w:marTop w:val="0"/>
      <w:marBottom w:val="0"/>
      <w:divBdr>
        <w:top w:val="none" w:sz="0" w:space="0" w:color="auto"/>
        <w:left w:val="none" w:sz="0" w:space="0" w:color="auto"/>
        <w:bottom w:val="none" w:sz="0" w:space="0" w:color="auto"/>
        <w:right w:val="none" w:sz="0" w:space="0" w:color="auto"/>
      </w:divBdr>
    </w:div>
    <w:div w:id="1266495006">
      <w:bodyDiv w:val="1"/>
      <w:marLeft w:val="0"/>
      <w:marRight w:val="0"/>
      <w:marTop w:val="0"/>
      <w:marBottom w:val="0"/>
      <w:divBdr>
        <w:top w:val="none" w:sz="0" w:space="0" w:color="auto"/>
        <w:left w:val="none" w:sz="0" w:space="0" w:color="auto"/>
        <w:bottom w:val="none" w:sz="0" w:space="0" w:color="auto"/>
        <w:right w:val="none" w:sz="0" w:space="0" w:color="auto"/>
      </w:divBdr>
    </w:div>
    <w:div w:id="1385133863">
      <w:bodyDiv w:val="1"/>
      <w:marLeft w:val="0"/>
      <w:marRight w:val="0"/>
      <w:marTop w:val="0"/>
      <w:marBottom w:val="0"/>
      <w:divBdr>
        <w:top w:val="none" w:sz="0" w:space="0" w:color="auto"/>
        <w:left w:val="none" w:sz="0" w:space="0" w:color="auto"/>
        <w:bottom w:val="none" w:sz="0" w:space="0" w:color="auto"/>
        <w:right w:val="none" w:sz="0" w:space="0" w:color="auto"/>
      </w:divBdr>
    </w:div>
    <w:div w:id="1448040258">
      <w:bodyDiv w:val="1"/>
      <w:marLeft w:val="0"/>
      <w:marRight w:val="0"/>
      <w:marTop w:val="0"/>
      <w:marBottom w:val="0"/>
      <w:divBdr>
        <w:top w:val="none" w:sz="0" w:space="0" w:color="auto"/>
        <w:left w:val="none" w:sz="0" w:space="0" w:color="auto"/>
        <w:bottom w:val="none" w:sz="0" w:space="0" w:color="auto"/>
        <w:right w:val="none" w:sz="0" w:space="0" w:color="auto"/>
      </w:divBdr>
    </w:div>
    <w:div w:id="1472019923">
      <w:bodyDiv w:val="1"/>
      <w:marLeft w:val="0"/>
      <w:marRight w:val="0"/>
      <w:marTop w:val="0"/>
      <w:marBottom w:val="0"/>
      <w:divBdr>
        <w:top w:val="none" w:sz="0" w:space="0" w:color="auto"/>
        <w:left w:val="none" w:sz="0" w:space="0" w:color="auto"/>
        <w:bottom w:val="none" w:sz="0" w:space="0" w:color="auto"/>
        <w:right w:val="none" w:sz="0" w:space="0" w:color="auto"/>
      </w:divBdr>
    </w:div>
    <w:div w:id="1529173024">
      <w:bodyDiv w:val="1"/>
      <w:marLeft w:val="0"/>
      <w:marRight w:val="0"/>
      <w:marTop w:val="0"/>
      <w:marBottom w:val="0"/>
      <w:divBdr>
        <w:top w:val="none" w:sz="0" w:space="0" w:color="auto"/>
        <w:left w:val="none" w:sz="0" w:space="0" w:color="auto"/>
        <w:bottom w:val="none" w:sz="0" w:space="0" w:color="auto"/>
        <w:right w:val="none" w:sz="0" w:space="0" w:color="auto"/>
      </w:divBdr>
    </w:div>
    <w:div w:id="1630088822">
      <w:bodyDiv w:val="1"/>
      <w:marLeft w:val="0"/>
      <w:marRight w:val="0"/>
      <w:marTop w:val="0"/>
      <w:marBottom w:val="0"/>
      <w:divBdr>
        <w:top w:val="none" w:sz="0" w:space="0" w:color="auto"/>
        <w:left w:val="none" w:sz="0" w:space="0" w:color="auto"/>
        <w:bottom w:val="none" w:sz="0" w:space="0" w:color="auto"/>
        <w:right w:val="none" w:sz="0" w:space="0" w:color="auto"/>
      </w:divBdr>
    </w:div>
    <w:div w:id="1739279970">
      <w:bodyDiv w:val="1"/>
      <w:marLeft w:val="0"/>
      <w:marRight w:val="0"/>
      <w:marTop w:val="0"/>
      <w:marBottom w:val="0"/>
      <w:divBdr>
        <w:top w:val="none" w:sz="0" w:space="0" w:color="auto"/>
        <w:left w:val="none" w:sz="0" w:space="0" w:color="auto"/>
        <w:bottom w:val="none" w:sz="0" w:space="0" w:color="auto"/>
        <w:right w:val="none" w:sz="0" w:space="0" w:color="auto"/>
      </w:divBdr>
    </w:div>
    <w:div w:id="1754623892">
      <w:bodyDiv w:val="1"/>
      <w:marLeft w:val="0"/>
      <w:marRight w:val="0"/>
      <w:marTop w:val="0"/>
      <w:marBottom w:val="0"/>
      <w:divBdr>
        <w:top w:val="none" w:sz="0" w:space="0" w:color="auto"/>
        <w:left w:val="none" w:sz="0" w:space="0" w:color="auto"/>
        <w:bottom w:val="none" w:sz="0" w:space="0" w:color="auto"/>
        <w:right w:val="none" w:sz="0" w:space="0" w:color="auto"/>
      </w:divBdr>
    </w:div>
    <w:div w:id="1896159271">
      <w:bodyDiv w:val="1"/>
      <w:marLeft w:val="0"/>
      <w:marRight w:val="0"/>
      <w:marTop w:val="0"/>
      <w:marBottom w:val="0"/>
      <w:divBdr>
        <w:top w:val="none" w:sz="0" w:space="0" w:color="auto"/>
        <w:left w:val="none" w:sz="0" w:space="0" w:color="auto"/>
        <w:bottom w:val="none" w:sz="0" w:space="0" w:color="auto"/>
        <w:right w:val="none" w:sz="0" w:space="0" w:color="auto"/>
      </w:divBdr>
    </w:div>
    <w:div w:id="1980724650">
      <w:bodyDiv w:val="1"/>
      <w:marLeft w:val="0"/>
      <w:marRight w:val="0"/>
      <w:marTop w:val="0"/>
      <w:marBottom w:val="0"/>
      <w:divBdr>
        <w:top w:val="none" w:sz="0" w:space="0" w:color="auto"/>
        <w:left w:val="none" w:sz="0" w:space="0" w:color="auto"/>
        <w:bottom w:val="none" w:sz="0" w:space="0" w:color="auto"/>
        <w:right w:val="none" w:sz="0" w:space="0" w:color="auto"/>
      </w:divBdr>
    </w:div>
    <w:div w:id="2014918726">
      <w:bodyDiv w:val="1"/>
      <w:marLeft w:val="0"/>
      <w:marRight w:val="0"/>
      <w:marTop w:val="0"/>
      <w:marBottom w:val="0"/>
      <w:divBdr>
        <w:top w:val="none" w:sz="0" w:space="0" w:color="auto"/>
        <w:left w:val="none" w:sz="0" w:space="0" w:color="auto"/>
        <w:bottom w:val="none" w:sz="0" w:space="0" w:color="auto"/>
        <w:right w:val="none" w:sz="0" w:space="0" w:color="auto"/>
      </w:divBdr>
    </w:div>
    <w:div w:id="2083405127">
      <w:bodyDiv w:val="1"/>
      <w:marLeft w:val="0"/>
      <w:marRight w:val="0"/>
      <w:marTop w:val="0"/>
      <w:marBottom w:val="0"/>
      <w:divBdr>
        <w:top w:val="none" w:sz="0" w:space="0" w:color="auto"/>
        <w:left w:val="none" w:sz="0" w:space="0" w:color="auto"/>
        <w:bottom w:val="none" w:sz="0" w:space="0" w:color="auto"/>
        <w:right w:val="none" w:sz="0" w:space="0" w:color="auto"/>
      </w:divBdr>
    </w:div>
    <w:div w:id="20852252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ru-RU" sz="900" b="1" i="0" u="none" strike="noStrike" kern="1200" baseline="0">
                <a:solidFill>
                  <a:schemeClr val="tx1"/>
                </a:solidFill>
                <a:latin typeface="Arial" charset="0"/>
                <a:ea typeface="Arial" charset="0"/>
                <a:cs typeface="Arial" charset="0"/>
              </a:defRPr>
            </a:pPr>
            <a:r>
              <a:rPr lang="en-US" sz="900" b="1" baseline="0">
                <a:solidFill>
                  <a:schemeClr val="tx1"/>
                </a:solidFill>
                <a:latin typeface="Arial" charset="0"/>
                <a:ea typeface="Arial" charset="0"/>
                <a:cs typeface="Arial" charset="0"/>
              </a:rPr>
              <a:t>Fig. 1. The general rate of accomplishment, 3</a:t>
            </a:r>
            <a:r>
              <a:rPr lang="ro-RO" sz="900" b="1" baseline="0">
                <a:solidFill>
                  <a:schemeClr val="tx1"/>
                </a:solidFill>
                <a:latin typeface="Arial" charset="0"/>
                <a:ea typeface="Arial" charset="0"/>
                <a:cs typeface="Arial" charset="0"/>
              </a:rPr>
              <a:t>1</a:t>
            </a:r>
            <a:r>
              <a:rPr lang="en-US" sz="900" b="1" baseline="0">
                <a:solidFill>
                  <a:schemeClr val="tx1"/>
                </a:solidFill>
                <a:latin typeface="Arial" charset="0"/>
                <a:ea typeface="Arial" charset="0"/>
                <a:cs typeface="Arial" charset="0"/>
              </a:rPr>
              <a:t>.</a:t>
            </a:r>
            <a:r>
              <a:rPr lang="ro-RO" sz="900" b="1" baseline="0">
                <a:solidFill>
                  <a:schemeClr val="tx1"/>
                </a:solidFill>
                <a:latin typeface="Arial" charset="0"/>
                <a:ea typeface="Arial" charset="0"/>
                <a:cs typeface="Arial" charset="0"/>
              </a:rPr>
              <a:t>12</a:t>
            </a:r>
            <a:r>
              <a:rPr lang="en-US" sz="900" b="1" baseline="0">
                <a:solidFill>
                  <a:schemeClr val="tx1"/>
                </a:solidFill>
                <a:latin typeface="Arial" charset="0"/>
                <a:ea typeface="Arial" charset="0"/>
                <a:cs typeface="Arial" charset="0"/>
              </a:rPr>
              <a:t>.2016</a:t>
            </a:r>
            <a:endParaRPr lang="en-US" sz="900" b="1">
              <a:solidFill>
                <a:schemeClr val="tx1"/>
              </a:solidFill>
              <a:latin typeface="Arial" charset="0"/>
              <a:ea typeface="Arial" charset="0"/>
              <a:cs typeface="Arial" charset="0"/>
            </a:endParaRPr>
          </a:p>
        </c:rich>
      </c:tx>
      <c:layout>
        <c:manualLayout>
          <c:xMode val="edge"/>
          <c:yMode val="edge"/>
          <c:x val="0.162017039231736"/>
          <c:y val="0.00405509504633538"/>
        </c:manualLayout>
      </c:layout>
      <c:overlay val="0"/>
      <c:spPr>
        <a:noFill/>
        <a:ln>
          <a:noFill/>
        </a:ln>
        <a:effectLst/>
      </c:spPr>
    </c:title>
    <c:autoTitleDeleted val="0"/>
    <c:plotArea>
      <c:layout>
        <c:manualLayout>
          <c:layoutTarget val="inner"/>
          <c:xMode val="edge"/>
          <c:yMode val="edge"/>
          <c:x val="0.256613576712002"/>
          <c:y val="0.20878033103005"/>
          <c:w val="0.493085182534003"/>
          <c:h val="0.59036049065295"/>
        </c:manualLayout>
      </c:layout>
      <c:pieChart>
        <c:varyColors val="1"/>
        <c:ser>
          <c:idx val="0"/>
          <c:order val="0"/>
          <c:tx>
            <c:strRef>
              <c:f>Лист1!$B$1</c:f>
              <c:strCache>
                <c:ptCount val="1"/>
                <c:pt idx="0">
                  <c:v>31 octombrie, 2015</c:v>
                </c:pt>
              </c:strCache>
            </c:strRef>
          </c:tx>
          <c:dPt>
            <c:idx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C050-492F-B36C-99CBD809BC93}"/>
              </c:ext>
            </c:extLst>
          </c:dPt>
          <c:dPt>
            <c:idx val="1"/>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3-C050-492F-B36C-99CBD809BC93}"/>
              </c:ext>
            </c:extLst>
          </c:dPt>
          <c:dPt>
            <c:idx val="2"/>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5-C050-492F-B36C-99CBD809BC93}"/>
              </c:ext>
            </c:extLst>
          </c:dPt>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6350" cap="flat" cmpd="sng" algn="ctr">
                  <a:solidFill>
                    <a:schemeClr val="tx2">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Accomplished</c:v>
                </c:pt>
                <c:pt idx="1">
                  <c:v>Partly accomplished</c:v>
                </c:pt>
                <c:pt idx="2">
                  <c:v>Non-accomplished</c:v>
                </c:pt>
              </c:strCache>
            </c:strRef>
          </c:cat>
          <c:val>
            <c:numRef>
              <c:f>Лист1!$B$2:$B$4</c:f>
              <c:numCache>
                <c:formatCode>0.0%</c:formatCode>
                <c:ptCount val="3"/>
                <c:pt idx="0">
                  <c:v>0.631165919282512</c:v>
                </c:pt>
                <c:pt idx="1">
                  <c:v>0.197869955156951</c:v>
                </c:pt>
                <c:pt idx="2">
                  <c:v>0.170964125560538</c:v>
                </c:pt>
              </c:numCache>
            </c:numRef>
          </c:val>
          <c:extLst xmlns:c16r2="http://schemas.microsoft.com/office/drawing/2015/06/chart">
            <c:ext xmlns:c16="http://schemas.microsoft.com/office/drawing/2014/chart" uri="{C3380CC4-5D6E-409C-BE32-E72D297353CC}">
              <c16:uniqueId val="{00000008-C050-492F-B36C-99CBD809BC9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00117623449983208"/>
          <c:y val="0.850747495774358"/>
          <c:w val="0.948986526684165"/>
          <c:h val="0.0914967820803221"/>
        </c:manualLayout>
      </c:layout>
      <c:overlay val="0"/>
      <c:spPr>
        <a:noFill/>
        <a:ln>
          <a:noFill/>
        </a:ln>
        <a:effectLst/>
      </c:spPr>
      <c:txPr>
        <a:bodyPr rot="0" spcFirstLastPara="1" vertOverflow="ellipsis" vert="horz" wrap="square" anchor="ctr" anchorCtr="1"/>
        <a:lstStyle/>
        <a:p>
          <a:pPr>
            <a:defRPr lang="ru-RU" sz="800" b="1" i="0" u="none" strike="noStrike" kern="1200" baseline="0">
              <a:solidFill>
                <a:schemeClr val="tx1"/>
              </a:solidFill>
              <a:latin typeface="+mn-lt"/>
              <a:ea typeface="+mn-ea"/>
              <a:cs typeface="+mn-cs"/>
            </a:defRPr>
          </a:pPr>
          <a:endParaRPr lang="en-US"/>
        </a:p>
      </c:txPr>
    </c:legend>
    <c:plotVisOnly val="1"/>
    <c:dispBlanksAs val="zero"/>
    <c:showDLblsOverMax val="0"/>
  </c:chart>
  <c:spPr>
    <a:solidFill>
      <a:schemeClr val="bg1"/>
    </a:solidFill>
    <a:ln w="6350" cap="flat" cmpd="sng" algn="ctr">
      <a:solidFill>
        <a:schemeClr val="tx2">
          <a:lumMod val="15000"/>
          <a:lumOff val="8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r>
              <a:rPr lang="en-US" sz="900">
                <a:latin typeface="Arial" charset="0"/>
                <a:ea typeface="Arial" charset="0"/>
                <a:cs typeface="Arial" charset="0"/>
              </a:rPr>
              <a:t>Fig. 3. The comparative level of implementation of Titles II-VI</a:t>
            </a:r>
            <a:r>
              <a:rPr lang="en-US" sz="900" baseline="0">
                <a:latin typeface="Arial" charset="0"/>
                <a:ea typeface="Arial" charset="0"/>
                <a:cs typeface="Arial" charset="0"/>
              </a:rPr>
              <a:t> of the NAPIAA</a:t>
            </a:r>
            <a:endParaRPr lang="ru-RU" sz="900">
              <a:latin typeface="Arial" charset="0"/>
              <a:ea typeface="Arial" charset="0"/>
              <a:cs typeface="Arial" charset="0"/>
            </a:endParaRPr>
          </a:p>
        </c:rich>
      </c:tx>
      <c:layout>
        <c:manualLayout>
          <c:xMode val="edge"/>
          <c:yMode val="edge"/>
          <c:x val="0.168627182471756"/>
          <c:y val="0.0392156862745098"/>
        </c:manualLayout>
      </c:layout>
      <c:overlay val="0"/>
      <c:spPr>
        <a:noFill/>
        <a:ln>
          <a:noFill/>
        </a:ln>
        <a:effectLst/>
      </c:spPr>
    </c:title>
    <c:autoTitleDeleted val="0"/>
    <c:plotArea>
      <c:layout>
        <c:manualLayout>
          <c:layoutTarget val="inner"/>
          <c:xMode val="edge"/>
          <c:yMode val="edge"/>
          <c:x val="0.0897852957333829"/>
          <c:y val="0.157782295394896"/>
          <c:w val="0.881408959651587"/>
          <c:h val="0.619016905974987"/>
        </c:manualLayout>
      </c:layout>
      <c:barChart>
        <c:barDir val="col"/>
        <c:grouping val="clustered"/>
        <c:varyColors val="0"/>
        <c:ser>
          <c:idx val="0"/>
          <c:order val="0"/>
          <c:tx>
            <c:strRef>
              <c:f>Лист1!$B$1</c:f>
              <c:strCache>
                <c:ptCount val="1"/>
                <c:pt idx="0">
                  <c:v>31-Oct-15</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strRef>
              <c:f>Лист1!$A$2:$A$6</c:f>
              <c:strCache>
                <c:ptCount val="5"/>
                <c:pt idx="0">
                  <c:v>Title II</c:v>
                </c:pt>
                <c:pt idx="1">
                  <c:v>Title III</c:v>
                </c:pt>
                <c:pt idx="2">
                  <c:v>Title IV</c:v>
                </c:pt>
                <c:pt idx="3">
                  <c:v>Title V</c:v>
                </c:pt>
                <c:pt idx="4">
                  <c:v>Title VI</c:v>
                </c:pt>
              </c:strCache>
            </c:strRef>
          </c:cat>
          <c:val>
            <c:numRef>
              <c:f>Лист1!$B$2:$B$6</c:f>
              <c:numCache>
                <c:formatCode>0.0%</c:formatCode>
                <c:ptCount val="5"/>
                <c:pt idx="0">
                  <c:v>0.0714285714285714</c:v>
                </c:pt>
                <c:pt idx="1">
                  <c:v>0.111888111888112</c:v>
                </c:pt>
                <c:pt idx="2">
                  <c:v>0.0718294051627385</c:v>
                </c:pt>
                <c:pt idx="3">
                  <c:v>0.150779896013865</c:v>
                </c:pt>
                <c:pt idx="4">
                  <c:v>0.0714285714285714</c:v>
                </c:pt>
              </c:numCache>
            </c:numRef>
          </c:val>
          <c:extLst xmlns:c16r2="http://schemas.microsoft.com/office/drawing/2015/06/chart">
            <c:ext xmlns:c16="http://schemas.microsoft.com/office/drawing/2014/chart" uri="{C3380CC4-5D6E-409C-BE32-E72D297353CC}">
              <c16:uniqueId val="{00000000-B3AB-4334-B896-1119D802BA50}"/>
            </c:ext>
          </c:extLst>
        </c:ser>
        <c:ser>
          <c:idx val="1"/>
          <c:order val="1"/>
          <c:tx>
            <c:strRef>
              <c:f>Лист1!$C$1</c:f>
              <c:strCache>
                <c:ptCount val="1"/>
                <c:pt idx="0">
                  <c:v>31-Mar-16</c:v>
                </c:pt>
              </c:strCache>
            </c:strRef>
          </c:tx>
          <c:spPr>
            <a:solidFill>
              <a:schemeClr val="accent1">
                <a:tint val="86000"/>
              </a:schemeClr>
            </a:solidFill>
            <a:ln>
              <a:noFill/>
            </a:ln>
            <a:effectLst/>
          </c:spPr>
          <c:invertIfNegative val="0"/>
          <c:dLbls>
            <c:dLbl>
              <c:idx val="0"/>
              <c:layout>
                <c:manualLayout>
                  <c:x val="-0.0103755965968043"/>
                  <c:y val="0.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3AB-4334-B896-1119D802BA50}"/>
                </c:ext>
                <c:ext xmlns:c15="http://schemas.microsoft.com/office/drawing/2012/chart" uri="{CE6537A1-D6FC-4f65-9D91-7224C49458BB}"/>
              </c:extLst>
            </c:dLbl>
            <c:dLbl>
              <c:idx val="1"/>
              <c:layout>
                <c:manualLayout>
                  <c:x val="-0.00622535795808259"/>
                  <c:y val="-0.0051921079958464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3AB-4334-B896-1119D802BA50}"/>
                </c:ext>
                <c:ext xmlns:c15="http://schemas.microsoft.com/office/drawing/2012/chart" uri="{CE6537A1-D6FC-4f65-9D91-7224C49458BB}"/>
              </c:extLst>
            </c:dLbl>
            <c:dLbl>
              <c:idx val="2"/>
              <c:layout>
                <c:manualLayout>
                  <c:x val="-0.0103755965968043"/>
                  <c:y val="-9.51875469758556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3AB-4334-B896-1119D802BA50}"/>
                </c:ext>
                <c:ext xmlns:c15="http://schemas.microsoft.com/office/drawing/2012/chart" uri="{CE6537A1-D6FC-4f65-9D91-7224C49458BB}"/>
              </c:extLst>
            </c:dLbl>
            <c:dLbl>
              <c:idx val="3"/>
              <c:layout>
                <c:manualLayout>
                  <c:x val="-0.00622535795808268"/>
                  <c:y val="-9.51875469758556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3AB-4334-B896-1119D802BA50}"/>
                </c:ext>
                <c:ext xmlns:c15="http://schemas.microsoft.com/office/drawing/2012/chart" uri="{CE6537A1-D6FC-4f65-9D91-7224C49458BB}"/>
              </c:extLst>
            </c:dLbl>
            <c:dLbl>
              <c:idx val="4"/>
              <c:layout>
                <c:manualLayout>
                  <c:x val="-0.00622535795808259"/>
                  <c:y val="0.0051921079958462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3AB-4334-B896-1119D802BA50}"/>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strRef>
              <c:f>Лист1!$A$2:$A$6</c:f>
              <c:strCache>
                <c:ptCount val="5"/>
                <c:pt idx="0">
                  <c:v>Title II</c:v>
                </c:pt>
                <c:pt idx="1">
                  <c:v>Title III</c:v>
                </c:pt>
                <c:pt idx="2">
                  <c:v>Title IV</c:v>
                </c:pt>
                <c:pt idx="3">
                  <c:v>Title V</c:v>
                </c:pt>
                <c:pt idx="4">
                  <c:v>Title VI</c:v>
                </c:pt>
              </c:strCache>
            </c:strRef>
          </c:cat>
          <c:val>
            <c:numRef>
              <c:f>Лист1!$C$2:$C$6</c:f>
              <c:numCache>
                <c:formatCode>0.0%</c:formatCode>
                <c:ptCount val="5"/>
                <c:pt idx="0">
                  <c:v>0.158730158730159</c:v>
                </c:pt>
                <c:pt idx="1">
                  <c:v>0.20979020979021</c:v>
                </c:pt>
                <c:pt idx="2">
                  <c:v>0.222222222222222</c:v>
                </c:pt>
                <c:pt idx="3">
                  <c:v>0.291958041958042</c:v>
                </c:pt>
                <c:pt idx="4">
                  <c:v>0.214285714285714</c:v>
                </c:pt>
              </c:numCache>
            </c:numRef>
          </c:val>
          <c:extLst xmlns:c16r2="http://schemas.microsoft.com/office/drawing/2015/06/chart">
            <c:ext xmlns:c16="http://schemas.microsoft.com/office/drawing/2014/chart" uri="{C3380CC4-5D6E-409C-BE32-E72D297353CC}">
              <c16:uniqueId val="{0000000B-B3AB-4334-B896-1119D802BA50}"/>
            </c:ext>
          </c:extLst>
        </c:ser>
        <c:ser>
          <c:idx val="2"/>
          <c:order val="2"/>
          <c:tx>
            <c:strRef>
              <c:f>Лист1!$D$1</c:f>
              <c:strCache>
                <c:ptCount val="1"/>
                <c:pt idx="0">
                  <c:v>30-Jun-16</c:v>
                </c:pt>
              </c:strCache>
            </c:strRef>
          </c:tx>
          <c:spPr>
            <a:solidFill>
              <a:schemeClr val="accent1">
                <a:shade val="86000"/>
              </a:schemeClr>
            </a:solidFill>
            <a:ln>
              <a:noFill/>
            </a:ln>
            <a:effectLst/>
          </c:spPr>
          <c:invertIfNegative val="0"/>
          <c:dLbls>
            <c:dLbl>
              <c:idx val="0"/>
              <c:layout>
                <c:manualLayout>
                  <c:x val="-0.00193284206207692"/>
                  <c:y val="-0.02480006175698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3AB-4334-B896-1119D802BA50}"/>
                </c:ext>
                <c:ext xmlns:c15="http://schemas.microsoft.com/office/drawing/2012/chart" uri="{CE6537A1-D6FC-4f65-9D91-7224C49458BB}"/>
              </c:extLst>
            </c:dLbl>
            <c:dLbl>
              <c:idx val="1"/>
              <c:layout>
                <c:manualLayout>
                  <c:x val="-0.00594085809414106"/>
                  <c:y val="-0.04988999536822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3AB-4334-B896-1119D802BA50}"/>
                </c:ext>
                <c:ext xmlns:c15="http://schemas.microsoft.com/office/drawing/2012/chart" uri="{CE6537A1-D6FC-4f65-9D91-7224C49458BB}"/>
              </c:extLst>
            </c:dLbl>
            <c:dLbl>
              <c:idx val="2"/>
              <c:layout>
                <c:manualLayout>
                  <c:x val="-0.00601202404809612"/>
                  <c:y val="-0.024509803921568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DC5-425F-BB74-63A67A9BB4B8}"/>
                </c:ext>
                <c:ext xmlns:c15="http://schemas.microsoft.com/office/drawing/2012/chart" uri="{CE6537A1-D6FC-4f65-9D91-7224C49458BB}"/>
              </c:extLst>
            </c:dLbl>
            <c:dLbl>
              <c:idx val="3"/>
              <c:layout>
                <c:manualLayout>
                  <c:x val="-0.00200400801603206"/>
                  <c:y val="-0.009803921568627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DC5-425F-BB74-63A67A9BB4B8}"/>
                </c:ext>
                <c:ext xmlns:c15="http://schemas.microsoft.com/office/drawing/2012/chart" uri="{CE6537A1-D6FC-4f65-9D91-7224C49458BB}"/>
              </c:extLst>
            </c:dLbl>
            <c:dLbl>
              <c:idx val="4"/>
              <c:layout>
                <c:manualLayout>
                  <c:x val="-0.00200400801603206"/>
                  <c:y val="-0.025380191446657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3AB-4334-B896-1119D802BA50}"/>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Лист1!$A$2:$A$6</c:f>
              <c:strCache>
                <c:ptCount val="5"/>
                <c:pt idx="0">
                  <c:v>Title II</c:v>
                </c:pt>
                <c:pt idx="1">
                  <c:v>Title III</c:v>
                </c:pt>
                <c:pt idx="2">
                  <c:v>Title IV</c:v>
                </c:pt>
                <c:pt idx="3">
                  <c:v>Title V</c:v>
                </c:pt>
                <c:pt idx="4">
                  <c:v>Title VI</c:v>
                </c:pt>
              </c:strCache>
            </c:strRef>
          </c:cat>
          <c:val>
            <c:numRef>
              <c:f>Лист1!$D$2:$D$6</c:f>
              <c:numCache>
                <c:formatCode>0.0%</c:formatCode>
                <c:ptCount val="5"/>
                <c:pt idx="0">
                  <c:v>0.214285714285714</c:v>
                </c:pt>
                <c:pt idx="1">
                  <c:v>0.244755244755245</c:v>
                </c:pt>
                <c:pt idx="2">
                  <c:v>0.25364758698092</c:v>
                </c:pt>
                <c:pt idx="3">
                  <c:v>0.379370629370629</c:v>
                </c:pt>
                <c:pt idx="4">
                  <c:v>0.238095238095238</c:v>
                </c:pt>
              </c:numCache>
            </c:numRef>
          </c:val>
          <c:extLst xmlns:c16r2="http://schemas.microsoft.com/office/drawing/2015/06/chart">
            <c:ext xmlns:c16="http://schemas.microsoft.com/office/drawing/2014/chart" uri="{C3380CC4-5D6E-409C-BE32-E72D297353CC}">
              <c16:uniqueId val="{0000000F-B3AB-4334-B896-1119D802BA50}"/>
            </c:ext>
          </c:extLst>
        </c:ser>
        <c:ser>
          <c:idx val="3"/>
          <c:order val="3"/>
          <c:tx>
            <c:strRef>
              <c:f>Лист1!$E$1</c:f>
              <c:strCache>
                <c:ptCount val="1"/>
                <c:pt idx="0">
                  <c:v>31-Dec-16</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Лист1!$A$2:$A$6</c:f>
              <c:strCache>
                <c:ptCount val="5"/>
                <c:pt idx="0">
                  <c:v>Title II</c:v>
                </c:pt>
                <c:pt idx="1">
                  <c:v>Title III</c:v>
                </c:pt>
                <c:pt idx="2">
                  <c:v>Title IV</c:v>
                </c:pt>
                <c:pt idx="3">
                  <c:v>Title V</c:v>
                </c:pt>
                <c:pt idx="4">
                  <c:v>Title VI</c:v>
                </c:pt>
              </c:strCache>
            </c:strRef>
          </c:cat>
          <c:val>
            <c:numRef>
              <c:f>Лист1!$E$2:$E$6</c:f>
              <c:numCache>
                <c:formatCode>0.00%</c:formatCode>
                <c:ptCount val="5"/>
                <c:pt idx="0">
                  <c:v>0.74264705882353</c:v>
                </c:pt>
                <c:pt idx="1">
                  <c:v>0.832167832167832</c:v>
                </c:pt>
                <c:pt idx="2">
                  <c:v>0.606060606060606</c:v>
                </c:pt>
                <c:pt idx="3">
                  <c:v>0.592657342657343</c:v>
                </c:pt>
                <c:pt idx="4">
                  <c:v>0.642857142857143</c:v>
                </c:pt>
              </c:numCache>
            </c:numRef>
          </c:val>
          <c:extLst xmlns:c16r2="http://schemas.microsoft.com/office/drawing/2015/06/chart">
            <c:ext xmlns:c16="http://schemas.microsoft.com/office/drawing/2014/chart" uri="{C3380CC4-5D6E-409C-BE32-E72D297353CC}">
              <c16:uniqueId val="{0000000A-9DC5-425F-BB74-63A67A9BB4B8}"/>
            </c:ext>
          </c:extLst>
        </c:ser>
        <c:dLbls>
          <c:showLegendKey val="0"/>
          <c:showVal val="1"/>
          <c:showCatName val="0"/>
          <c:showSerName val="0"/>
          <c:showPercent val="0"/>
          <c:showBubbleSize val="0"/>
        </c:dLbls>
        <c:gapWidth val="100"/>
        <c:axId val="-2137355736"/>
        <c:axId val="-2133991496"/>
      </c:barChart>
      <c:catAx>
        <c:axId val="-2137355736"/>
        <c:scaling>
          <c:orientation val="minMax"/>
        </c:scaling>
        <c:delete val="0"/>
        <c:axPos val="b"/>
        <c:numFmt formatCode="General" sourceLinked="1"/>
        <c:majorTickMark val="none"/>
        <c:minorTickMark val="none"/>
        <c:tickLblPos val="nextTo"/>
        <c:spPr>
          <a:noFill/>
          <a:ln w="6350"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33991496"/>
        <c:crosses val="autoZero"/>
        <c:auto val="1"/>
        <c:lblAlgn val="ctr"/>
        <c:lblOffset val="100"/>
        <c:noMultiLvlLbl val="0"/>
      </c:catAx>
      <c:valAx>
        <c:axId val="-2133991496"/>
        <c:scaling>
          <c:orientation val="minMax"/>
          <c:max val="1.0"/>
        </c:scaling>
        <c:delete val="0"/>
        <c:axPos val="l"/>
        <c:majorGridlines>
          <c:spPr>
            <a:ln w="6350" cap="flat" cmpd="sng" algn="ctr">
              <a:solidFill>
                <a:schemeClr val="bg1">
                  <a:lumMod val="9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213735573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legendEntry>
      <c:layout>
        <c:manualLayout>
          <c:xMode val="edge"/>
          <c:yMode val="edge"/>
          <c:x val="0.20011250848153"/>
          <c:y val="0.898187046472132"/>
          <c:w val="0.668914837549117"/>
          <c:h val="0.072772502701868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legend>
    <c:plotVisOnly val="1"/>
    <c:dispBlanksAs val="zero"/>
    <c:showDLblsOverMax val="0"/>
  </c:chart>
  <c:spPr>
    <a:noFill/>
    <a:ln w="6350" cap="flat" cmpd="sng" algn="ctr">
      <a:solidFill>
        <a:schemeClr val="tx2">
          <a:lumMod val="15000"/>
          <a:lumOff val="85000"/>
        </a:schemeClr>
      </a:solidFill>
      <a:prstDash val="solid"/>
      <a:round/>
    </a:ln>
    <a:effectLst/>
  </c:spPr>
  <c:txPr>
    <a:bodyPr/>
    <a:lstStyle/>
    <a:p>
      <a:pPr>
        <a:defRPr>
          <a:latin typeface="+mn-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ru-RU" sz="800" b="1" i="0" u="none" strike="noStrike" kern="1200" baseline="0">
                <a:solidFill>
                  <a:schemeClr val="tx1"/>
                </a:solidFill>
                <a:latin typeface="Arial" charset="0"/>
                <a:ea typeface="Arial" charset="0"/>
                <a:cs typeface="Arial" charset="0"/>
              </a:defRPr>
            </a:pPr>
            <a:r>
              <a:rPr lang="en-US" sz="800">
                <a:solidFill>
                  <a:schemeClr val="tx1"/>
                </a:solidFill>
                <a:latin typeface="Arial" charset="0"/>
                <a:ea typeface="Arial" charset="0"/>
                <a:cs typeface="Arial" charset="0"/>
              </a:rPr>
              <a:t>Rate of implementation at</a:t>
            </a:r>
            <a:r>
              <a:rPr lang="en-US" sz="800" baseline="0">
                <a:solidFill>
                  <a:schemeClr val="tx1"/>
                </a:solidFill>
                <a:latin typeface="Arial" charset="0"/>
                <a:ea typeface="Arial" charset="0"/>
                <a:cs typeface="Arial" charset="0"/>
              </a:rPr>
              <a:t> 3</a:t>
            </a:r>
            <a:r>
              <a:rPr lang="ro-RO" sz="800" baseline="0">
                <a:solidFill>
                  <a:schemeClr val="tx1"/>
                </a:solidFill>
                <a:latin typeface="Arial" charset="0"/>
                <a:ea typeface="Arial" charset="0"/>
                <a:cs typeface="Arial" charset="0"/>
              </a:rPr>
              <a:t>1</a:t>
            </a:r>
            <a:r>
              <a:rPr lang="en-US" sz="800" baseline="0">
                <a:solidFill>
                  <a:schemeClr val="tx1"/>
                </a:solidFill>
                <a:latin typeface="Arial" charset="0"/>
                <a:ea typeface="Arial" charset="0"/>
                <a:cs typeface="Arial" charset="0"/>
              </a:rPr>
              <a:t>.</a:t>
            </a:r>
            <a:r>
              <a:rPr lang="ro-RO" sz="800" baseline="0">
                <a:solidFill>
                  <a:schemeClr val="tx1"/>
                </a:solidFill>
                <a:latin typeface="Arial" charset="0"/>
                <a:ea typeface="Arial" charset="0"/>
                <a:cs typeface="Arial" charset="0"/>
              </a:rPr>
              <a:t>12</a:t>
            </a:r>
            <a:r>
              <a:rPr lang="en-US" sz="800" baseline="0">
                <a:solidFill>
                  <a:schemeClr val="tx1"/>
                </a:solidFill>
                <a:latin typeface="Arial" charset="0"/>
                <a:ea typeface="Arial" charset="0"/>
                <a:cs typeface="Arial" charset="0"/>
              </a:rPr>
              <a:t>.2016</a:t>
            </a:r>
            <a:r>
              <a:rPr lang="ro-RO" sz="800" baseline="0">
                <a:solidFill>
                  <a:schemeClr val="tx1"/>
                </a:solidFill>
                <a:latin typeface="Arial" charset="0"/>
                <a:ea typeface="Arial" charset="0"/>
                <a:cs typeface="Arial" charset="0"/>
              </a:rPr>
              <a:t>  </a:t>
            </a:r>
          </a:p>
          <a:p>
            <a:pPr>
              <a:defRPr lang="ru-RU" sz="800" b="1" i="0" u="none" strike="noStrike" kern="1200" baseline="0">
                <a:solidFill>
                  <a:schemeClr val="tx1"/>
                </a:solidFill>
                <a:latin typeface="Arial" charset="0"/>
                <a:ea typeface="Arial" charset="0"/>
                <a:cs typeface="Arial" charset="0"/>
              </a:defRPr>
            </a:pPr>
            <a:r>
              <a:rPr lang="en-US" sz="800" baseline="0">
                <a:solidFill>
                  <a:schemeClr val="tx1"/>
                </a:solidFill>
                <a:latin typeface="Arial" charset="0"/>
                <a:ea typeface="Arial" charset="0"/>
                <a:cs typeface="Arial" charset="0"/>
              </a:rPr>
              <a:t>Title </a:t>
            </a:r>
            <a:r>
              <a:rPr lang="ro-RO" sz="800" baseline="0">
                <a:solidFill>
                  <a:schemeClr val="tx1"/>
                </a:solidFill>
                <a:latin typeface="Arial" charset="0"/>
                <a:ea typeface="Arial" charset="0"/>
                <a:cs typeface="Arial" charset="0"/>
              </a:rPr>
              <a:t>II</a:t>
            </a:r>
            <a:endParaRPr lang="en-US" sz="800">
              <a:solidFill>
                <a:schemeClr val="tx1"/>
              </a:solidFill>
              <a:latin typeface="Arial" charset="0"/>
              <a:ea typeface="Arial" charset="0"/>
              <a:cs typeface="Arial" charset="0"/>
            </a:endParaRPr>
          </a:p>
        </c:rich>
      </c:tx>
      <c:layout>
        <c:manualLayout>
          <c:xMode val="edge"/>
          <c:yMode val="edge"/>
          <c:x val="0.128652030545299"/>
          <c:y val="0.0"/>
        </c:manualLayout>
      </c:layout>
      <c:overlay val="0"/>
      <c:spPr>
        <a:noFill/>
        <a:ln>
          <a:noFill/>
        </a:ln>
        <a:effectLst/>
      </c:spPr>
    </c:title>
    <c:autoTitleDeleted val="0"/>
    <c:plotArea>
      <c:layout>
        <c:manualLayout>
          <c:layoutTarget val="inner"/>
          <c:xMode val="edge"/>
          <c:yMode val="edge"/>
          <c:x val="0.288380443969929"/>
          <c:y val="0.288134144522257"/>
          <c:w val="0.489289995148713"/>
          <c:h val="0.585261842269717"/>
        </c:manualLayout>
      </c:layout>
      <c:pieChart>
        <c:varyColors val="1"/>
        <c:ser>
          <c:idx val="0"/>
          <c:order val="0"/>
          <c:tx>
            <c:strRef>
              <c:f>Лист1!$B$1</c:f>
              <c:strCache>
                <c:ptCount val="1"/>
                <c:pt idx="0">
                  <c:v>31 octombrie, 2015</c:v>
                </c:pt>
              </c:strCache>
            </c:strRef>
          </c:tx>
          <c:dPt>
            <c:idx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3819-40B2-A405-6E66FC5C8FED}"/>
              </c:ext>
            </c:extLst>
          </c:dPt>
          <c:dPt>
            <c:idx val="1"/>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3-3819-40B2-A405-6E66FC5C8FED}"/>
              </c:ext>
            </c:extLst>
          </c:dPt>
          <c:dPt>
            <c:idx val="2"/>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5-3819-40B2-A405-6E66FC5C8FED}"/>
              </c:ext>
            </c:extLst>
          </c:dPt>
          <c:dLbls>
            <c:dLbl>
              <c:idx val="3"/>
              <c:layout>
                <c:manualLayout>
                  <c:x val="0.0256485427473226"/>
                  <c:y val="0.01634260003213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819-40B2-A405-6E66FC5C8FE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6350" cap="flat" cmpd="sng" algn="ctr">
                  <a:solidFill>
                    <a:schemeClr val="tx2">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Implemented</c:v>
                </c:pt>
                <c:pt idx="1">
                  <c:v>Partly implemented</c:v>
                </c:pt>
                <c:pt idx="2">
                  <c:v>Not implemented</c:v>
                </c:pt>
              </c:strCache>
            </c:strRef>
          </c:cat>
          <c:val>
            <c:numRef>
              <c:f>Лист1!$B$2:$B$4</c:f>
              <c:numCache>
                <c:formatCode>0.0%</c:formatCode>
                <c:ptCount val="3"/>
                <c:pt idx="0">
                  <c:v>0.74264705882353</c:v>
                </c:pt>
                <c:pt idx="1">
                  <c:v>0.207407407407407</c:v>
                </c:pt>
                <c:pt idx="2">
                  <c:v>0.0514705882352941</c:v>
                </c:pt>
              </c:numCache>
            </c:numRef>
          </c:val>
          <c:extLst xmlns:c16r2="http://schemas.microsoft.com/office/drawing/2015/06/chart">
            <c:ext xmlns:c16="http://schemas.microsoft.com/office/drawing/2014/chart" uri="{C3380CC4-5D6E-409C-BE32-E72D297353CC}">
              <c16:uniqueId val="{00000008-3819-40B2-A405-6E66FC5C8FE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152463612502983"/>
          <c:y val="0.906287785455389"/>
          <c:w val="0.964138033882129"/>
          <c:h val="0.0914967820803221"/>
        </c:manualLayout>
      </c:layout>
      <c:overlay val="0"/>
      <c:spPr>
        <a:noFill/>
        <a:ln>
          <a:noFill/>
        </a:ln>
        <a:effectLst/>
      </c:spPr>
      <c:txPr>
        <a:bodyPr rot="0" spcFirstLastPara="1" vertOverflow="ellipsis" vert="horz" wrap="square" anchor="ctr" anchorCtr="1"/>
        <a:lstStyle/>
        <a:p>
          <a:pPr>
            <a:defRPr lang="ru-RU" sz="800" b="1" i="0" u="none" strike="noStrike" kern="1200" baseline="0">
              <a:solidFill>
                <a:schemeClr val="tx1"/>
              </a:solidFill>
              <a:latin typeface="+mj-lt"/>
              <a:ea typeface="+mn-ea"/>
              <a:cs typeface="Verdana"/>
            </a:defRPr>
          </a:pPr>
          <a:endParaRPr lang="en-US"/>
        </a:p>
      </c:txPr>
    </c:legend>
    <c:plotVisOnly val="1"/>
    <c:dispBlanksAs val="zero"/>
    <c:showDLblsOverMax val="0"/>
  </c:chart>
  <c:spPr>
    <a:solidFill>
      <a:schemeClr val="bg1"/>
    </a:solidFill>
    <a:ln w="6350" cap="flat" cmpd="sng" algn="ctr">
      <a:solidFill>
        <a:schemeClr val="tx2">
          <a:lumMod val="15000"/>
          <a:lumOff val="85000"/>
        </a:schemeClr>
      </a:solid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ru-RU" sz="900" b="1" i="0" u="none" strike="noStrike" kern="1200" baseline="0">
                <a:solidFill>
                  <a:schemeClr val="tx1"/>
                </a:solidFill>
                <a:latin typeface="Arial" charset="0"/>
                <a:ea typeface="Arial" charset="0"/>
                <a:cs typeface="Arial" charset="0"/>
              </a:defRPr>
            </a:pPr>
            <a:r>
              <a:rPr lang="en-US" sz="900">
                <a:solidFill>
                  <a:schemeClr val="tx1"/>
                </a:solidFill>
                <a:latin typeface="Arial" charset="0"/>
                <a:ea typeface="Arial" charset="0"/>
                <a:cs typeface="Arial" charset="0"/>
              </a:rPr>
              <a:t>Rate of implementation</a:t>
            </a:r>
            <a:r>
              <a:rPr lang="en-US" sz="900" baseline="0">
                <a:solidFill>
                  <a:schemeClr val="tx1"/>
                </a:solidFill>
                <a:latin typeface="Arial" charset="0"/>
                <a:ea typeface="Arial" charset="0"/>
                <a:cs typeface="Arial" charset="0"/>
              </a:rPr>
              <a:t> at 3</a:t>
            </a:r>
            <a:r>
              <a:rPr lang="ro-RO" sz="900" baseline="0">
                <a:solidFill>
                  <a:schemeClr val="tx1"/>
                </a:solidFill>
                <a:latin typeface="Arial" charset="0"/>
                <a:ea typeface="Arial" charset="0"/>
                <a:cs typeface="Arial" charset="0"/>
              </a:rPr>
              <a:t>1</a:t>
            </a:r>
            <a:r>
              <a:rPr lang="en-US" sz="900" baseline="0">
                <a:solidFill>
                  <a:schemeClr val="tx1"/>
                </a:solidFill>
                <a:latin typeface="Arial" charset="0"/>
                <a:ea typeface="Arial" charset="0"/>
                <a:cs typeface="Arial" charset="0"/>
              </a:rPr>
              <a:t>.</a:t>
            </a:r>
            <a:r>
              <a:rPr lang="ro-RO" sz="900" baseline="0">
                <a:solidFill>
                  <a:schemeClr val="tx1"/>
                </a:solidFill>
                <a:latin typeface="Arial" charset="0"/>
                <a:ea typeface="Arial" charset="0"/>
                <a:cs typeface="Arial" charset="0"/>
              </a:rPr>
              <a:t>12</a:t>
            </a:r>
            <a:r>
              <a:rPr lang="en-US" sz="900" baseline="0">
                <a:solidFill>
                  <a:schemeClr val="tx1"/>
                </a:solidFill>
                <a:latin typeface="Arial" charset="0"/>
                <a:ea typeface="Arial" charset="0"/>
                <a:cs typeface="Arial" charset="0"/>
              </a:rPr>
              <a:t>.2016</a:t>
            </a:r>
            <a:r>
              <a:rPr lang="ro-RO" sz="900" baseline="0">
                <a:solidFill>
                  <a:schemeClr val="tx1"/>
                </a:solidFill>
                <a:latin typeface="Arial" charset="0"/>
                <a:ea typeface="Arial" charset="0"/>
                <a:cs typeface="Arial" charset="0"/>
              </a:rPr>
              <a:t> - </a:t>
            </a:r>
            <a:r>
              <a:rPr lang="en-US" sz="900" baseline="0">
                <a:solidFill>
                  <a:schemeClr val="tx1"/>
                </a:solidFill>
                <a:latin typeface="Arial" charset="0"/>
                <a:ea typeface="Arial" charset="0"/>
                <a:cs typeface="Arial" charset="0"/>
              </a:rPr>
              <a:t>Title </a:t>
            </a:r>
            <a:r>
              <a:rPr lang="ro-RO" sz="900" baseline="0">
                <a:solidFill>
                  <a:schemeClr val="tx1"/>
                </a:solidFill>
                <a:latin typeface="Arial" charset="0"/>
                <a:ea typeface="Arial" charset="0"/>
                <a:cs typeface="Arial" charset="0"/>
              </a:rPr>
              <a:t>III</a:t>
            </a:r>
            <a:endParaRPr lang="en-US" sz="900">
              <a:solidFill>
                <a:schemeClr val="tx1"/>
              </a:solidFill>
              <a:latin typeface="Arial" charset="0"/>
              <a:ea typeface="Arial" charset="0"/>
              <a:cs typeface="Arial" charset="0"/>
            </a:endParaRPr>
          </a:p>
        </c:rich>
      </c:tx>
      <c:layout>
        <c:manualLayout>
          <c:xMode val="edge"/>
          <c:yMode val="edge"/>
          <c:x val="0.181346687113152"/>
          <c:y val="0.00284951881014874"/>
        </c:manualLayout>
      </c:layout>
      <c:overlay val="0"/>
      <c:spPr>
        <a:noFill/>
        <a:ln>
          <a:noFill/>
        </a:ln>
        <a:effectLst/>
      </c:spPr>
    </c:title>
    <c:autoTitleDeleted val="0"/>
    <c:plotArea>
      <c:layout>
        <c:manualLayout>
          <c:layoutTarget val="inner"/>
          <c:xMode val="edge"/>
          <c:yMode val="edge"/>
          <c:x val="0.290704485802913"/>
          <c:y val="0.276807541914406"/>
          <c:w val="0.451418515867337"/>
          <c:h val="0.540473869337758"/>
        </c:manualLayout>
      </c:layout>
      <c:pieChart>
        <c:varyColors val="1"/>
        <c:ser>
          <c:idx val="0"/>
          <c:order val="0"/>
          <c:tx>
            <c:strRef>
              <c:f>Лист1!$B$1</c:f>
              <c:strCache>
                <c:ptCount val="1"/>
                <c:pt idx="0">
                  <c:v>31 octombrie, 2015</c:v>
                </c:pt>
              </c:strCache>
            </c:strRef>
          </c:tx>
          <c:dPt>
            <c:idx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6D4D-4710-B4E7-80A288D5E99E}"/>
              </c:ext>
            </c:extLst>
          </c:dPt>
          <c:dPt>
            <c:idx val="1"/>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3-6D4D-4710-B4E7-80A288D5E99E}"/>
              </c:ext>
            </c:extLst>
          </c:dPt>
          <c:dPt>
            <c:idx val="2"/>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5-6D4D-4710-B4E7-80A288D5E99E}"/>
              </c:ext>
            </c:extLst>
          </c:dPt>
          <c:dLbls>
            <c:dLbl>
              <c:idx val="3"/>
              <c:layout>
                <c:manualLayout>
                  <c:x val="-0.0151515151515152"/>
                  <c:y val="0.00453514739229028"/>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D4D-4710-B4E7-80A288D5E99E}"/>
                </c:ext>
                <c:ext xmlns:c15="http://schemas.microsoft.com/office/drawing/2012/chart" uri="{CE6537A1-D6FC-4f65-9D91-7224C49458BB}"/>
              </c:extLst>
            </c:dLbl>
            <c:dLbl>
              <c:idx val="4"/>
              <c:layout>
                <c:manualLayout>
                  <c:x val="0.0227272727272729"/>
                  <c:y val="0.0"/>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D4D-4710-B4E7-80A288D5E99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6350" cap="flat" cmpd="sng" algn="ctr">
                  <a:solidFill>
                    <a:schemeClr val="tx2">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Implemented</c:v>
                </c:pt>
                <c:pt idx="1">
                  <c:v>Partly implemented</c:v>
                </c:pt>
                <c:pt idx="2">
                  <c:v>Not implemented</c:v>
                </c:pt>
              </c:strCache>
            </c:strRef>
          </c:cat>
          <c:val>
            <c:numRef>
              <c:f>Лист1!$B$2:$B$4</c:f>
              <c:numCache>
                <c:formatCode>0.0%</c:formatCode>
                <c:ptCount val="3"/>
                <c:pt idx="0">
                  <c:v>0.832167832167832</c:v>
                </c:pt>
                <c:pt idx="1">
                  <c:v>0.13986013986014</c:v>
                </c:pt>
                <c:pt idx="2">
                  <c:v>0.027972027972028</c:v>
                </c:pt>
              </c:numCache>
            </c:numRef>
          </c:val>
          <c:extLst xmlns:c16r2="http://schemas.microsoft.com/office/drawing/2015/06/chart">
            <c:ext xmlns:c16="http://schemas.microsoft.com/office/drawing/2014/chart" uri="{C3380CC4-5D6E-409C-BE32-E72D297353CC}">
              <c16:uniqueId val="{00000009-6D4D-4710-B4E7-80A288D5E99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493372703412078"/>
          <c:y val="0.865471458924782"/>
          <c:w val="0.903531973276066"/>
          <c:h val="0.132313103719178"/>
        </c:manualLayout>
      </c:layout>
      <c:overlay val="0"/>
      <c:spPr>
        <a:noFill/>
        <a:ln>
          <a:noFill/>
        </a:ln>
        <a:effectLst/>
      </c:spPr>
      <c:txPr>
        <a:bodyPr rot="0" spcFirstLastPara="1" vertOverflow="ellipsis" vert="horz" wrap="square" anchor="ctr" anchorCtr="1"/>
        <a:lstStyle/>
        <a:p>
          <a:pPr>
            <a:defRPr lang="ru-RU" sz="800" b="1" i="0" u="none" strike="noStrike" kern="1200" baseline="0">
              <a:solidFill>
                <a:schemeClr val="tx1"/>
              </a:solidFill>
              <a:latin typeface="+mj-lt"/>
              <a:ea typeface="+mn-ea"/>
              <a:cs typeface="Verdana"/>
            </a:defRPr>
          </a:pPr>
          <a:endParaRPr lang="en-US"/>
        </a:p>
      </c:txPr>
    </c:legend>
    <c:plotVisOnly val="1"/>
    <c:dispBlanksAs val="zero"/>
    <c:showDLblsOverMax val="0"/>
  </c:chart>
  <c:spPr>
    <a:solidFill>
      <a:schemeClr val="bg1"/>
    </a:solidFill>
    <a:ln w="6350" cap="flat" cmpd="sng" algn="ctr">
      <a:solidFill>
        <a:schemeClr val="tx2">
          <a:lumMod val="15000"/>
          <a:lumOff val="85000"/>
        </a:schemeClr>
      </a:solidFill>
      <a:prstDash val="solid"/>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ru-RU" sz="900" b="1" i="0" u="none" strike="noStrike" kern="1200" baseline="0">
                <a:solidFill>
                  <a:schemeClr val="tx1"/>
                </a:solidFill>
                <a:latin typeface="Arial" charset="0"/>
                <a:ea typeface="Arial" charset="0"/>
                <a:cs typeface="Arial" charset="0"/>
              </a:defRPr>
            </a:pPr>
            <a:r>
              <a:rPr lang="en-US" sz="900">
                <a:solidFill>
                  <a:schemeClr val="tx1"/>
                </a:solidFill>
                <a:latin typeface="Arial" charset="0"/>
                <a:ea typeface="Arial" charset="0"/>
                <a:cs typeface="Arial" charset="0"/>
              </a:rPr>
              <a:t>Rate of implementation</a:t>
            </a:r>
            <a:r>
              <a:rPr lang="en-US" sz="900" baseline="0">
                <a:solidFill>
                  <a:schemeClr val="tx1"/>
                </a:solidFill>
                <a:latin typeface="Arial" charset="0"/>
                <a:ea typeface="Arial" charset="0"/>
                <a:cs typeface="Arial" charset="0"/>
              </a:rPr>
              <a:t> at</a:t>
            </a:r>
            <a:r>
              <a:rPr lang="en-US" sz="900">
                <a:solidFill>
                  <a:schemeClr val="tx1"/>
                </a:solidFill>
                <a:latin typeface="Arial" charset="0"/>
                <a:ea typeface="Arial" charset="0"/>
                <a:cs typeface="Arial" charset="0"/>
              </a:rPr>
              <a:t> </a:t>
            </a:r>
            <a:r>
              <a:rPr lang="en-US" sz="900" baseline="0">
                <a:solidFill>
                  <a:schemeClr val="tx1"/>
                </a:solidFill>
                <a:latin typeface="Arial" charset="0"/>
                <a:ea typeface="Arial" charset="0"/>
                <a:cs typeface="Arial" charset="0"/>
              </a:rPr>
              <a:t>3</a:t>
            </a:r>
            <a:r>
              <a:rPr lang="ro-RO" sz="900" baseline="0">
                <a:solidFill>
                  <a:schemeClr val="tx1"/>
                </a:solidFill>
                <a:latin typeface="Arial" charset="0"/>
                <a:ea typeface="Arial" charset="0"/>
                <a:cs typeface="Arial" charset="0"/>
              </a:rPr>
              <a:t>1</a:t>
            </a:r>
            <a:r>
              <a:rPr lang="en-US" sz="900" baseline="0">
                <a:solidFill>
                  <a:schemeClr val="tx1"/>
                </a:solidFill>
                <a:latin typeface="Arial" charset="0"/>
                <a:ea typeface="Arial" charset="0"/>
                <a:cs typeface="Arial" charset="0"/>
              </a:rPr>
              <a:t>.</a:t>
            </a:r>
            <a:r>
              <a:rPr lang="ro-RO" sz="900" baseline="0">
                <a:solidFill>
                  <a:schemeClr val="tx1"/>
                </a:solidFill>
                <a:latin typeface="Arial" charset="0"/>
                <a:ea typeface="Arial" charset="0"/>
                <a:cs typeface="Arial" charset="0"/>
              </a:rPr>
              <a:t>12</a:t>
            </a:r>
            <a:r>
              <a:rPr lang="en-US" sz="900" baseline="0">
                <a:solidFill>
                  <a:schemeClr val="tx1"/>
                </a:solidFill>
                <a:latin typeface="Arial" charset="0"/>
                <a:ea typeface="Arial" charset="0"/>
                <a:cs typeface="Arial" charset="0"/>
              </a:rPr>
              <a:t>.2016</a:t>
            </a:r>
            <a:r>
              <a:rPr lang="ro-RO" sz="900" baseline="0">
                <a:solidFill>
                  <a:schemeClr val="tx1"/>
                </a:solidFill>
                <a:latin typeface="Arial" charset="0"/>
                <a:ea typeface="Arial" charset="0"/>
                <a:cs typeface="Arial" charset="0"/>
              </a:rPr>
              <a:t> - </a:t>
            </a:r>
            <a:r>
              <a:rPr lang="en-US" sz="900" baseline="0">
                <a:solidFill>
                  <a:schemeClr val="tx1"/>
                </a:solidFill>
                <a:latin typeface="Arial" charset="0"/>
                <a:ea typeface="Arial" charset="0"/>
                <a:cs typeface="Arial" charset="0"/>
              </a:rPr>
              <a:t>Title </a:t>
            </a:r>
            <a:r>
              <a:rPr lang="ro-RO" sz="900" baseline="0">
                <a:solidFill>
                  <a:schemeClr val="tx1"/>
                </a:solidFill>
                <a:latin typeface="Arial" charset="0"/>
                <a:ea typeface="Arial" charset="0"/>
                <a:cs typeface="Arial" charset="0"/>
              </a:rPr>
              <a:t>IV</a:t>
            </a:r>
            <a:endParaRPr lang="en-US" sz="900">
              <a:solidFill>
                <a:schemeClr val="tx1"/>
              </a:solidFill>
              <a:latin typeface="Arial" charset="0"/>
              <a:ea typeface="Arial" charset="0"/>
              <a:cs typeface="Arial" charset="0"/>
            </a:endParaRPr>
          </a:p>
        </c:rich>
      </c:tx>
      <c:layout>
        <c:manualLayout>
          <c:xMode val="edge"/>
          <c:yMode val="edge"/>
          <c:x val="0.155661693604089"/>
          <c:y val="0.0192760606416735"/>
        </c:manualLayout>
      </c:layout>
      <c:overlay val="0"/>
      <c:spPr>
        <a:noFill/>
        <a:ln>
          <a:noFill/>
        </a:ln>
        <a:effectLst/>
      </c:spPr>
    </c:title>
    <c:autoTitleDeleted val="0"/>
    <c:plotArea>
      <c:layout>
        <c:manualLayout>
          <c:layoutTarget val="inner"/>
          <c:xMode val="edge"/>
          <c:yMode val="edge"/>
          <c:x val="0.279340849439277"/>
          <c:y val="0.241868421155876"/>
          <c:w val="0.457185579574235"/>
          <c:h val="0.518804263816799"/>
        </c:manualLayout>
      </c:layout>
      <c:pieChart>
        <c:varyColors val="1"/>
        <c:ser>
          <c:idx val="0"/>
          <c:order val="0"/>
          <c:tx>
            <c:strRef>
              <c:f>Лист1!$B$1</c:f>
              <c:strCache>
                <c:ptCount val="1"/>
                <c:pt idx="0">
                  <c:v>31 octombrie, 2015</c:v>
                </c:pt>
              </c:strCache>
            </c:strRef>
          </c:tx>
          <c:dPt>
            <c:idx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6ADE-4385-99BA-685E1F1A70A0}"/>
              </c:ext>
            </c:extLst>
          </c:dPt>
          <c:dPt>
            <c:idx val="1"/>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3-6ADE-4385-99BA-685E1F1A70A0}"/>
              </c:ext>
            </c:extLst>
          </c:dPt>
          <c:dPt>
            <c:idx val="2"/>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5-6ADE-4385-99BA-685E1F1A70A0}"/>
              </c:ext>
            </c:extLst>
          </c:dPt>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6350" cap="flat" cmpd="sng" algn="ctr">
                  <a:solidFill>
                    <a:schemeClr val="tx2">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Implemented</c:v>
                </c:pt>
                <c:pt idx="1">
                  <c:v>Partly implemented</c:v>
                </c:pt>
                <c:pt idx="2">
                  <c:v>Not implemented</c:v>
                </c:pt>
              </c:strCache>
            </c:strRef>
          </c:cat>
          <c:val>
            <c:numRef>
              <c:f>Лист1!$B$2:$B$4</c:f>
              <c:numCache>
                <c:formatCode>0.0%</c:formatCode>
                <c:ptCount val="3"/>
                <c:pt idx="0">
                  <c:v>0.608108108108108</c:v>
                </c:pt>
                <c:pt idx="1">
                  <c:v>0.269144144144144</c:v>
                </c:pt>
                <c:pt idx="2">
                  <c:v>0.122747747747748</c:v>
                </c:pt>
              </c:numCache>
            </c:numRef>
          </c:val>
          <c:extLst xmlns:c16r2="http://schemas.microsoft.com/office/drawing/2015/06/chart">
            <c:ext xmlns:c16="http://schemas.microsoft.com/office/drawing/2014/chart" uri="{C3380CC4-5D6E-409C-BE32-E72D297353CC}">
              <c16:uniqueId val="{00000008-6ADE-4385-99BA-685E1F1A70A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
          <c:y val="0.865471458924781"/>
          <c:w val="0.998661330890172"/>
          <c:h val="0.132313103719178"/>
        </c:manualLayout>
      </c:layout>
      <c:overlay val="0"/>
      <c:spPr>
        <a:noFill/>
        <a:ln>
          <a:noFill/>
        </a:ln>
        <a:effectLst/>
      </c:spPr>
      <c:txPr>
        <a:bodyPr rot="0" spcFirstLastPara="1" vertOverflow="ellipsis" vert="horz" wrap="square" anchor="ctr" anchorCtr="1"/>
        <a:lstStyle/>
        <a:p>
          <a:pPr>
            <a:defRPr lang="ru-RU" sz="800" b="1" i="0" u="none" strike="noStrike" kern="1200" baseline="0">
              <a:solidFill>
                <a:schemeClr val="tx1"/>
              </a:solidFill>
              <a:latin typeface="+mn-lt"/>
              <a:ea typeface="+mn-ea"/>
              <a:cs typeface="+mn-cs"/>
            </a:defRPr>
          </a:pPr>
          <a:endParaRPr lang="en-US"/>
        </a:p>
      </c:txPr>
    </c:legend>
    <c:plotVisOnly val="1"/>
    <c:dispBlanksAs val="zero"/>
    <c:showDLblsOverMax val="0"/>
  </c:chart>
  <c:spPr>
    <a:solidFill>
      <a:schemeClr val="bg1"/>
    </a:solidFill>
    <a:ln w="6350" cap="flat" cmpd="sng" algn="ctr">
      <a:solidFill>
        <a:schemeClr val="tx2">
          <a:lumMod val="15000"/>
          <a:lumOff val="85000"/>
        </a:schemeClr>
      </a:solidFill>
      <a:prstDash val="solid"/>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ru-RU" sz="900" b="1" i="0" u="none" strike="noStrike" kern="1200" baseline="0">
                <a:solidFill>
                  <a:schemeClr val="tx1"/>
                </a:solidFill>
                <a:latin typeface="Arial" charset="0"/>
                <a:ea typeface="Arial" charset="0"/>
                <a:cs typeface="Arial" charset="0"/>
              </a:defRPr>
            </a:pPr>
            <a:r>
              <a:rPr lang="en-US" sz="900">
                <a:solidFill>
                  <a:schemeClr val="tx1"/>
                </a:solidFill>
                <a:latin typeface="Arial" charset="0"/>
                <a:ea typeface="Arial" charset="0"/>
                <a:cs typeface="Arial" charset="0"/>
              </a:rPr>
              <a:t>Rate of implementation</a:t>
            </a:r>
            <a:r>
              <a:rPr lang="en-US" sz="900" baseline="0">
                <a:solidFill>
                  <a:schemeClr val="tx1"/>
                </a:solidFill>
                <a:latin typeface="Arial" charset="0"/>
                <a:ea typeface="Arial" charset="0"/>
                <a:cs typeface="Arial" charset="0"/>
              </a:rPr>
              <a:t> at</a:t>
            </a:r>
            <a:r>
              <a:rPr lang="en-US" sz="900">
                <a:solidFill>
                  <a:schemeClr val="tx1"/>
                </a:solidFill>
                <a:latin typeface="Arial" charset="0"/>
                <a:ea typeface="Arial" charset="0"/>
                <a:cs typeface="Arial" charset="0"/>
              </a:rPr>
              <a:t> </a:t>
            </a:r>
            <a:r>
              <a:rPr lang="en-US" sz="900" baseline="0">
                <a:solidFill>
                  <a:schemeClr val="tx1"/>
                </a:solidFill>
                <a:latin typeface="Arial" charset="0"/>
                <a:ea typeface="Arial" charset="0"/>
                <a:cs typeface="Arial" charset="0"/>
              </a:rPr>
              <a:t>3</a:t>
            </a:r>
            <a:r>
              <a:rPr lang="ro-RO" sz="900" baseline="0">
                <a:solidFill>
                  <a:schemeClr val="tx1"/>
                </a:solidFill>
                <a:latin typeface="Arial" charset="0"/>
                <a:ea typeface="Arial" charset="0"/>
                <a:cs typeface="Arial" charset="0"/>
              </a:rPr>
              <a:t>1</a:t>
            </a:r>
            <a:r>
              <a:rPr lang="en-US" sz="900" baseline="0">
                <a:solidFill>
                  <a:schemeClr val="tx1"/>
                </a:solidFill>
                <a:latin typeface="Arial" charset="0"/>
                <a:ea typeface="Arial" charset="0"/>
                <a:cs typeface="Arial" charset="0"/>
              </a:rPr>
              <a:t>.</a:t>
            </a:r>
            <a:r>
              <a:rPr lang="ro-RO" sz="900" baseline="0">
                <a:solidFill>
                  <a:schemeClr val="tx1"/>
                </a:solidFill>
                <a:latin typeface="Arial" charset="0"/>
                <a:ea typeface="Arial" charset="0"/>
                <a:cs typeface="Arial" charset="0"/>
              </a:rPr>
              <a:t>12</a:t>
            </a:r>
            <a:r>
              <a:rPr lang="en-US" sz="900" baseline="0">
                <a:solidFill>
                  <a:schemeClr val="tx1"/>
                </a:solidFill>
                <a:latin typeface="Arial" charset="0"/>
                <a:ea typeface="Arial" charset="0"/>
                <a:cs typeface="Arial" charset="0"/>
              </a:rPr>
              <a:t>.2016</a:t>
            </a:r>
            <a:r>
              <a:rPr lang="ro-RO" sz="900" baseline="0">
                <a:solidFill>
                  <a:schemeClr val="tx1"/>
                </a:solidFill>
                <a:latin typeface="Arial" charset="0"/>
                <a:ea typeface="Arial" charset="0"/>
                <a:cs typeface="Arial" charset="0"/>
              </a:rPr>
              <a:t> - Titl</a:t>
            </a:r>
            <a:r>
              <a:rPr lang="en-US" sz="900" baseline="0">
                <a:solidFill>
                  <a:schemeClr val="tx1"/>
                </a:solidFill>
                <a:latin typeface="Arial" charset="0"/>
                <a:ea typeface="Arial" charset="0"/>
                <a:cs typeface="Arial" charset="0"/>
              </a:rPr>
              <a:t>e</a:t>
            </a:r>
            <a:r>
              <a:rPr lang="ro-RO" sz="900" baseline="0">
                <a:solidFill>
                  <a:schemeClr val="tx1"/>
                </a:solidFill>
                <a:latin typeface="Arial" charset="0"/>
                <a:ea typeface="Arial" charset="0"/>
                <a:cs typeface="Arial" charset="0"/>
              </a:rPr>
              <a:t> V</a:t>
            </a:r>
            <a:endParaRPr lang="en-US" sz="900">
              <a:solidFill>
                <a:schemeClr val="tx1"/>
              </a:solidFill>
              <a:latin typeface="Arial" charset="0"/>
              <a:ea typeface="Arial" charset="0"/>
              <a:cs typeface="Arial" charset="0"/>
            </a:endParaRPr>
          </a:p>
        </c:rich>
      </c:tx>
      <c:layout>
        <c:manualLayout>
          <c:xMode val="edge"/>
          <c:yMode val="edge"/>
          <c:x val="0.172003020170424"/>
          <c:y val="0.0242213603121568"/>
        </c:manualLayout>
      </c:layout>
      <c:overlay val="0"/>
      <c:spPr>
        <a:noFill/>
        <a:ln>
          <a:noFill/>
        </a:ln>
        <a:effectLst/>
      </c:spPr>
    </c:title>
    <c:autoTitleDeleted val="0"/>
    <c:plotArea>
      <c:layout>
        <c:manualLayout>
          <c:layoutTarget val="inner"/>
          <c:xMode val="edge"/>
          <c:yMode val="edge"/>
          <c:x val="0.279340849439277"/>
          <c:y val="0.226920920599211"/>
          <c:w val="0.470357909806729"/>
          <c:h val="0.563149606299218"/>
        </c:manualLayout>
      </c:layout>
      <c:pieChart>
        <c:varyColors val="1"/>
        <c:ser>
          <c:idx val="0"/>
          <c:order val="0"/>
          <c:tx>
            <c:strRef>
              <c:f>Лист1!$B$1</c:f>
              <c:strCache>
                <c:ptCount val="1"/>
                <c:pt idx="0">
                  <c:v>31 octombrie, 2015</c:v>
                </c:pt>
              </c:strCache>
            </c:strRef>
          </c:tx>
          <c:dPt>
            <c:idx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4110-4C13-9257-A13EF0473BC9}"/>
              </c:ext>
            </c:extLst>
          </c:dPt>
          <c:dPt>
            <c:idx val="1"/>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3-4110-4C13-9257-A13EF0473BC9}"/>
              </c:ext>
            </c:extLst>
          </c:dPt>
          <c:dPt>
            <c:idx val="2"/>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5-4110-4C13-9257-A13EF0473BC9}"/>
              </c:ext>
            </c:extLst>
          </c:dPt>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6350" cap="flat" cmpd="sng" algn="ctr">
                  <a:solidFill>
                    <a:schemeClr val="tx2">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Implemented</c:v>
                </c:pt>
                <c:pt idx="1">
                  <c:v>Partly implemented</c:v>
                </c:pt>
                <c:pt idx="2">
                  <c:v>Not implemented</c:v>
                </c:pt>
              </c:strCache>
            </c:strRef>
          </c:cat>
          <c:val>
            <c:numRef>
              <c:f>Лист1!$B$2:$B$4</c:f>
              <c:numCache>
                <c:formatCode>0.0%</c:formatCode>
                <c:ptCount val="3"/>
                <c:pt idx="0">
                  <c:v>0.592657342657343</c:v>
                </c:pt>
                <c:pt idx="1">
                  <c:v>0.157342657342657</c:v>
                </c:pt>
                <c:pt idx="2">
                  <c:v>0.25</c:v>
                </c:pt>
              </c:numCache>
            </c:numRef>
          </c:val>
          <c:extLst xmlns:c16r2="http://schemas.microsoft.com/office/drawing/2015/06/chart">
            <c:ext xmlns:c16="http://schemas.microsoft.com/office/drawing/2014/chart" uri="{C3380CC4-5D6E-409C-BE32-E72D297353CC}">
              <c16:uniqueId val="{00000008-4110-4C13-9257-A13EF0473BC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
          <c:y val="0.865471458924782"/>
          <c:w val="1.0"/>
          <c:h val="0.132313103719178"/>
        </c:manualLayout>
      </c:layout>
      <c:overlay val="0"/>
      <c:spPr>
        <a:noFill/>
        <a:ln>
          <a:noFill/>
        </a:ln>
        <a:effectLst/>
      </c:spPr>
      <c:txPr>
        <a:bodyPr rot="0" spcFirstLastPara="1" vertOverflow="ellipsis" vert="horz" wrap="square" anchor="ctr" anchorCtr="1"/>
        <a:lstStyle/>
        <a:p>
          <a:pPr>
            <a:defRPr lang="ru-RU" sz="800" b="1" i="0" u="none" strike="noStrike" kern="1200" baseline="0">
              <a:solidFill>
                <a:schemeClr val="tx1"/>
              </a:solidFill>
              <a:latin typeface="+mj-lt"/>
              <a:ea typeface="+mn-ea"/>
              <a:cs typeface="Verdana"/>
            </a:defRPr>
          </a:pPr>
          <a:endParaRPr lang="en-US"/>
        </a:p>
      </c:txPr>
    </c:legend>
    <c:plotVisOnly val="1"/>
    <c:dispBlanksAs val="zero"/>
    <c:showDLblsOverMax val="0"/>
  </c:chart>
  <c:spPr>
    <a:solidFill>
      <a:schemeClr val="bg1"/>
    </a:solidFill>
    <a:ln w="6350" cap="flat" cmpd="sng" algn="ctr">
      <a:solidFill>
        <a:schemeClr val="tx2">
          <a:lumMod val="15000"/>
          <a:lumOff val="85000"/>
        </a:schemeClr>
      </a:solidFill>
      <a:prstDash val="solid"/>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ru-RU" sz="900" b="1" i="0" u="none" strike="noStrike" kern="1200" baseline="0">
                <a:solidFill>
                  <a:schemeClr val="tx1"/>
                </a:solidFill>
                <a:latin typeface="Arial" charset="0"/>
                <a:ea typeface="Arial" charset="0"/>
                <a:cs typeface="Arial" charset="0"/>
              </a:defRPr>
            </a:pPr>
            <a:r>
              <a:rPr lang="en-US" sz="900">
                <a:solidFill>
                  <a:schemeClr val="tx1"/>
                </a:solidFill>
                <a:latin typeface="Arial" charset="0"/>
                <a:ea typeface="Arial" charset="0"/>
                <a:cs typeface="Arial" charset="0"/>
              </a:rPr>
              <a:t>Rate of implementation at </a:t>
            </a:r>
            <a:r>
              <a:rPr lang="en-US" sz="900" baseline="0">
                <a:solidFill>
                  <a:schemeClr val="tx1"/>
                </a:solidFill>
                <a:latin typeface="Arial" charset="0"/>
                <a:ea typeface="Arial" charset="0"/>
                <a:cs typeface="Arial" charset="0"/>
              </a:rPr>
              <a:t>3</a:t>
            </a:r>
            <a:r>
              <a:rPr lang="ro-RO" sz="900" baseline="0">
                <a:solidFill>
                  <a:schemeClr val="tx1"/>
                </a:solidFill>
                <a:latin typeface="Arial" charset="0"/>
                <a:ea typeface="Arial" charset="0"/>
                <a:cs typeface="Arial" charset="0"/>
              </a:rPr>
              <a:t>1</a:t>
            </a:r>
            <a:r>
              <a:rPr lang="en-US" sz="900" baseline="0">
                <a:solidFill>
                  <a:schemeClr val="tx1"/>
                </a:solidFill>
                <a:latin typeface="Arial" charset="0"/>
                <a:ea typeface="Arial" charset="0"/>
                <a:cs typeface="Arial" charset="0"/>
              </a:rPr>
              <a:t>.</a:t>
            </a:r>
            <a:r>
              <a:rPr lang="ro-RO" sz="900" baseline="0">
                <a:solidFill>
                  <a:schemeClr val="tx1"/>
                </a:solidFill>
                <a:latin typeface="Arial" charset="0"/>
                <a:ea typeface="Arial" charset="0"/>
                <a:cs typeface="Arial" charset="0"/>
              </a:rPr>
              <a:t>12</a:t>
            </a:r>
            <a:r>
              <a:rPr lang="en-US" sz="900" baseline="0">
                <a:solidFill>
                  <a:schemeClr val="tx1"/>
                </a:solidFill>
                <a:latin typeface="Arial" charset="0"/>
                <a:ea typeface="Arial" charset="0"/>
                <a:cs typeface="Arial" charset="0"/>
              </a:rPr>
              <a:t>.2016</a:t>
            </a:r>
            <a:r>
              <a:rPr lang="ro-RO" sz="900" baseline="0">
                <a:solidFill>
                  <a:schemeClr val="tx1"/>
                </a:solidFill>
                <a:latin typeface="Arial" charset="0"/>
                <a:ea typeface="Arial" charset="0"/>
                <a:cs typeface="Arial" charset="0"/>
              </a:rPr>
              <a:t> - </a:t>
            </a:r>
            <a:r>
              <a:rPr lang="en-US" sz="900" baseline="0">
                <a:solidFill>
                  <a:schemeClr val="tx1"/>
                </a:solidFill>
                <a:latin typeface="Arial" charset="0"/>
                <a:ea typeface="Arial" charset="0"/>
                <a:cs typeface="Arial" charset="0"/>
              </a:rPr>
              <a:t>Title </a:t>
            </a:r>
            <a:r>
              <a:rPr lang="ro-RO" sz="900" baseline="0">
                <a:solidFill>
                  <a:schemeClr val="tx1"/>
                </a:solidFill>
                <a:latin typeface="Arial" charset="0"/>
                <a:ea typeface="Arial" charset="0"/>
                <a:cs typeface="Arial" charset="0"/>
              </a:rPr>
              <a:t>VI</a:t>
            </a:r>
            <a:endParaRPr lang="en-US" sz="900">
              <a:solidFill>
                <a:schemeClr val="tx1"/>
              </a:solidFill>
              <a:latin typeface="Arial" charset="0"/>
              <a:ea typeface="Arial" charset="0"/>
              <a:cs typeface="Arial" charset="0"/>
            </a:endParaRPr>
          </a:p>
        </c:rich>
      </c:tx>
      <c:layout>
        <c:manualLayout>
          <c:xMode val="edge"/>
          <c:yMode val="edge"/>
          <c:x val="0.149110304989169"/>
          <c:y val="0.0474693622849922"/>
        </c:manualLayout>
      </c:layout>
      <c:overlay val="0"/>
      <c:spPr>
        <a:noFill/>
        <a:ln>
          <a:noFill/>
        </a:ln>
        <a:effectLst/>
      </c:spPr>
    </c:title>
    <c:autoTitleDeleted val="0"/>
    <c:plotArea>
      <c:layout>
        <c:manualLayout>
          <c:layoutTarget val="inner"/>
          <c:xMode val="edge"/>
          <c:yMode val="edge"/>
          <c:x val="0.279340872696498"/>
          <c:y val="0.267169014852372"/>
          <c:w val="0.470357909806729"/>
          <c:h val="0.563149606299218"/>
        </c:manualLayout>
      </c:layout>
      <c:pieChart>
        <c:varyColors val="1"/>
        <c:ser>
          <c:idx val="0"/>
          <c:order val="0"/>
          <c:tx>
            <c:strRef>
              <c:f>Лист1!$B$1</c:f>
              <c:strCache>
                <c:ptCount val="1"/>
                <c:pt idx="0">
                  <c:v>31 octombrie, 2015</c:v>
                </c:pt>
              </c:strCache>
            </c:strRef>
          </c:tx>
          <c:dPt>
            <c:idx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ADFA-44C2-B7B8-BDB504022898}"/>
              </c:ext>
            </c:extLst>
          </c:dPt>
          <c:dPt>
            <c:idx val="1"/>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3-ADFA-44C2-B7B8-BDB504022898}"/>
              </c:ext>
            </c:extLst>
          </c:dPt>
          <c:dPt>
            <c:idx val="2"/>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5-ADFA-44C2-B7B8-BDB504022898}"/>
              </c:ext>
            </c:extLst>
          </c:dPt>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6350" cap="flat" cmpd="sng" algn="ctr">
                  <a:solidFill>
                    <a:schemeClr val="tx2">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Implemented</c:v>
                </c:pt>
                <c:pt idx="1">
                  <c:v>Partly implemented</c:v>
                </c:pt>
                <c:pt idx="2">
                  <c:v>Not implemented</c:v>
                </c:pt>
              </c:strCache>
            </c:strRef>
          </c:cat>
          <c:val>
            <c:numRef>
              <c:f>Лист1!$B$2:$B$4</c:f>
              <c:numCache>
                <c:formatCode>0.0%</c:formatCode>
                <c:ptCount val="3"/>
                <c:pt idx="0">
                  <c:v>0.642857142857143</c:v>
                </c:pt>
                <c:pt idx="1">
                  <c:v>0.238095238095238</c:v>
                </c:pt>
                <c:pt idx="2">
                  <c:v>0.119047619047619</c:v>
                </c:pt>
              </c:numCache>
            </c:numRef>
          </c:val>
          <c:extLst xmlns:c16r2="http://schemas.microsoft.com/office/drawing/2015/06/chart">
            <c:ext xmlns:c16="http://schemas.microsoft.com/office/drawing/2014/chart" uri="{C3380CC4-5D6E-409C-BE32-E72D297353CC}">
              <c16:uniqueId val="{00000008-ADFA-44C2-B7B8-BDB50402289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
          <c:y val="0.865471458924782"/>
          <c:w val="1.0"/>
          <c:h val="0.132313103719178"/>
        </c:manualLayout>
      </c:layout>
      <c:overlay val="0"/>
      <c:spPr>
        <a:noFill/>
        <a:ln>
          <a:noFill/>
        </a:ln>
        <a:effectLst/>
      </c:spPr>
      <c:txPr>
        <a:bodyPr rot="0" spcFirstLastPara="1" vertOverflow="ellipsis" vert="horz" wrap="square" anchor="ctr" anchorCtr="1"/>
        <a:lstStyle/>
        <a:p>
          <a:pPr>
            <a:defRPr lang="ru-RU" sz="800" b="1" i="0" u="none" strike="noStrike" kern="1200" baseline="0">
              <a:solidFill>
                <a:schemeClr val="tx1"/>
              </a:solidFill>
              <a:latin typeface="+mj-lt"/>
              <a:ea typeface="+mn-ea"/>
              <a:cs typeface="Verdana"/>
            </a:defRPr>
          </a:pPr>
          <a:endParaRPr lang="en-US"/>
        </a:p>
      </c:txPr>
    </c:legend>
    <c:plotVisOnly val="1"/>
    <c:dispBlanksAs val="zero"/>
    <c:showDLblsOverMax val="0"/>
  </c:chart>
  <c:spPr>
    <a:solidFill>
      <a:schemeClr val="bg1"/>
    </a:solidFill>
    <a:ln w="6350" cap="flat" cmpd="sng" algn="ctr">
      <a:solidFill>
        <a:schemeClr val="tx2">
          <a:lumMod val="15000"/>
          <a:lumOff val="8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Depth">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Depth">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301C13-7C41-A845-B1E2-0F6D551F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8002</Words>
  <Characters>45613</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LCM</cp:lastModifiedBy>
  <cp:revision>15</cp:revision>
  <cp:lastPrinted>2017-05-20T10:59:00Z</cp:lastPrinted>
  <dcterms:created xsi:type="dcterms:W3CDTF">2017-03-23T13:17:00Z</dcterms:created>
  <dcterms:modified xsi:type="dcterms:W3CDTF">2017-05-20T11:00:00Z</dcterms:modified>
</cp:coreProperties>
</file>