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BC96" w14:textId="02AF6A63" w:rsidR="00595598" w:rsidRPr="001C5712" w:rsidRDefault="00595598" w:rsidP="00F80BC4">
      <w:pPr>
        <w:pBdr>
          <w:top w:val="single" w:sz="4" w:space="1" w:color="auto"/>
          <w:left w:val="single" w:sz="4" w:space="4" w:color="auto"/>
          <w:bottom w:val="single" w:sz="4" w:space="1" w:color="auto"/>
          <w:right w:val="single" w:sz="4" w:space="4" w:color="auto"/>
        </w:pBdr>
        <w:ind w:left="-284" w:right="-285"/>
        <w:jc w:val="center"/>
        <w:rPr>
          <w:rFonts w:ascii="Verdana" w:hAnsi="Verdana"/>
          <w:b/>
          <w:color w:val="1F497D" w:themeColor="text2"/>
          <w:sz w:val="28"/>
          <w:szCs w:val="28"/>
        </w:rPr>
      </w:pPr>
      <w:bookmarkStart w:id="0" w:name="_GoBack"/>
      <w:bookmarkEnd w:id="0"/>
      <w:r w:rsidRPr="001C5712">
        <w:rPr>
          <w:rFonts w:ascii="Verdana" w:hAnsi="Verdana"/>
          <w:b/>
          <w:color w:val="1F497D" w:themeColor="text2"/>
          <w:sz w:val="28"/>
        </w:rPr>
        <w:t>FICHE D'INFORMATION</w:t>
      </w:r>
    </w:p>
    <w:p w14:paraId="0136884E" w14:textId="0CB3B697" w:rsidR="00F6461F" w:rsidRPr="001C5712" w:rsidRDefault="007C7CA9" w:rsidP="00F80BC4">
      <w:pPr>
        <w:pBdr>
          <w:top w:val="single" w:sz="4" w:space="1" w:color="auto"/>
          <w:left w:val="single" w:sz="4" w:space="4" w:color="auto"/>
          <w:bottom w:val="single" w:sz="4" w:space="1" w:color="auto"/>
          <w:right w:val="single" w:sz="4" w:space="4" w:color="auto"/>
        </w:pBdr>
        <w:ind w:left="-284" w:right="-285"/>
        <w:jc w:val="center"/>
        <w:rPr>
          <w:rFonts w:ascii="Verdana" w:hAnsi="Verdana"/>
          <w:b/>
          <w:color w:val="1F497D" w:themeColor="text2"/>
          <w:sz w:val="28"/>
          <w:szCs w:val="28"/>
        </w:rPr>
      </w:pPr>
      <w:r w:rsidRPr="001C5712">
        <w:rPr>
          <w:rFonts w:ascii="Verdana" w:hAnsi="Verdana"/>
          <w:b/>
          <w:color w:val="1F497D" w:themeColor="text2"/>
          <w:sz w:val="28"/>
        </w:rPr>
        <w:t>Le CESE et le programme indicatif nucléaire (PINC)</w:t>
      </w:r>
    </w:p>
    <w:p w14:paraId="72D060CC" w14:textId="1E910BAC" w:rsidR="00F6461F" w:rsidRPr="001C5712" w:rsidRDefault="00595598" w:rsidP="00F80BC4">
      <w:pPr>
        <w:pBdr>
          <w:top w:val="single" w:sz="4" w:space="1" w:color="auto"/>
          <w:left w:val="single" w:sz="4" w:space="4" w:color="auto"/>
          <w:bottom w:val="single" w:sz="4" w:space="1" w:color="auto"/>
          <w:right w:val="single" w:sz="4" w:space="4" w:color="auto"/>
        </w:pBdr>
        <w:ind w:left="-284" w:right="-285"/>
        <w:jc w:val="center"/>
        <w:rPr>
          <w:rFonts w:ascii="Verdana" w:hAnsi="Verdana"/>
          <w:i/>
          <w:color w:val="365F91" w:themeColor="accent1" w:themeShade="BF"/>
          <w:sz w:val="20"/>
        </w:rPr>
      </w:pPr>
      <w:r w:rsidRPr="001C5712">
        <w:rPr>
          <w:rFonts w:ascii="Verdana" w:hAnsi="Verdana"/>
          <w:i/>
          <w:color w:val="365F91" w:themeColor="accent1" w:themeShade="BF"/>
          <w:sz w:val="20"/>
        </w:rPr>
        <w:t>Septembre 2016</w:t>
      </w:r>
    </w:p>
    <w:p w14:paraId="7FE842C8" w14:textId="77777777" w:rsidR="009C3937" w:rsidRPr="001C5712" w:rsidRDefault="009C3937" w:rsidP="00184BD0">
      <w:pPr>
        <w:ind w:left="-284" w:right="-285"/>
        <w:jc w:val="center"/>
        <w:rPr>
          <w:rFonts w:ascii="Verdana" w:hAnsi="Verdana"/>
          <w:b/>
          <w:color w:val="0070C0"/>
          <w:sz w:val="28"/>
          <w:szCs w:val="28"/>
        </w:rPr>
      </w:pPr>
    </w:p>
    <w:p w14:paraId="08C92A75" w14:textId="212F3515" w:rsidR="00F57AAB" w:rsidRPr="001C5712" w:rsidRDefault="00F57AAB" w:rsidP="00F57AAB">
      <w:pPr>
        <w:rPr>
          <w:rFonts w:ascii="Verdana" w:hAnsi="Verdana"/>
          <w:sz w:val="18"/>
          <w:szCs w:val="18"/>
        </w:rPr>
      </w:pPr>
      <w:r w:rsidRPr="001C5712">
        <w:rPr>
          <w:rFonts w:ascii="Verdana" w:hAnsi="Verdana"/>
          <w:sz w:val="18"/>
        </w:rPr>
        <w:t>La Commission européenne a publié sa proposition de programme indicatif nucléaire pour la Communauté (PINC) concernant les objectifs de production et d’investissement dans le secteur nucléaire, en avril 2016. L’avis du CESE, adopté lors de la session plénière du CESE le 22 septembre 2016, signale que le projet de programme indicatif nucléaire pour la Communauté omet d’aborder les questions sensibles de la compétitivité de l’énergie nucléaire, de sa contribution à la sécurité d’approvisionnement, des objectifs en matière de changement climatique et de carbone, et de sa sécurité, ainsi que les questions de transparence et de préparation aux situations d’urgence.</w:t>
      </w:r>
    </w:p>
    <w:p w14:paraId="55454E58" w14:textId="77777777" w:rsidR="00F57AAB" w:rsidRPr="001C5712" w:rsidRDefault="00F57AAB" w:rsidP="00F57AAB">
      <w:pPr>
        <w:rPr>
          <w:rFonts w:ascii="Verdana" w:hAnsi="Verdana"/>
          <w:sz w:val="18"/>
          <w:szCs w:val="18"/>
        </w:rPr>
      </w:pPr>
    </w:p>
    <w:p w14:paraId="224915BE" w14:textId="77777777" w:rsidR="00F57AAB" w:rsidRPr="001C5712" w:rsidRDefault="00F57AAB" w:rsidP="00F57AAB">
      <w:pPr>
        <w:rPr>
          <w:rFonts w:ascii="Verdana" w:hAnsi="Verdana"/>
          <w:sz w:val="18"/>
          <w:szCs w:val="18"/>
        </w:rPr>
      </w:pPr>
      <w:r w:rsidRPr="001C5712">
        <w:rPr>
          <w:rFonts w:ascii="Verdana" w:hAnsi="Verdana"/>
          <w:sz w:val="18"/>
        </w:rPr>
        <w:t>Principales questions traitées dans le présent document de synthèse:</w:t>
      </w:r>
    </w:p>
    <w:p w14:paraId="68D3D3A4" w14:textId="77777777" w:rsidR="00F57AAB" w:rsidRPr="001C5712" w:rsidRDefault="00F57AAB" w:rsidP="00F57AAB">
      <w:pPr>
        <w:pStyle w:val="ListParagraph"/>
        <w:numPr>
          <w:ilvl w:val="0"/>
          <w:numId w:val="22"/>
        </w:numPr>
        <w:rPr>
          <w:rFonts w:ascii="Verdana" w:hAnsi="Verdana"/>
          <w:sz w:val="18"/>
          <w:szCs w:val="18"/>
        </w:rPr>
      </w:pPr>
      <w:r w:rsidRPr="001C5712">
        <w:rPr>
          <w:rFonts w:ascii="Verdana" w:hAnsi="Verdana"/>
          <w:sz w:val="18"/>
        </w:rPr>
        <w:t xml:space="preserve">Pourquoi le CESE joue-t-il un rôle important dans le domaine du nucléaire? </w:t>
      </w:r>
    </w:p>
    <w:p w14:paraId="216B2E92" w14:textId="77777777" w:rsidR="00F57AAB" w:rsidRPr="001C5712" w:rsidRDefault="00F57AAB" w:rsidP="00F57AAB">
      <w:pPr>
        <w:pStyle w:val="ListParagraph"/>
        <w:numPr>
          <w:ilvl w:val="0"/>
          <w:numId w:val="22"/>
        </w:numPr>
        <w:rPr>
          <w:rFonts w:ascii="Verdana" w:hAnsi="Verdana"/>
          <w:sz w:val="18"/>
          <w:szCs w:val="18"/>
        </w:rPr>
      </w:pPr>
      <w:r w:rsidRPr="001C5712">
        <w:rPr>
          <w:rFonts w:ascii="Verdana" w:hAnsi="Verdana"/>
          <w:sz w:val="18"/>
        </w:rPr>
        <w:t xml:space="preserve">Quelle est la position du CESE sur le PINC de 2016? </w:t>
      </w:r>
    </w:p>
    <w:p w14:paraId="27E65169" w14:textId="77777777" w:rsidR="00F57AAB" w:rsidRPr="001C5712" w:rsidRDefault="00F57AAB" w:rsidP="00F57AAB">
      <w:pPr>
        <w:pStyle w:val="ListParagraph"/>
        <w:numPr>
          <w:ilvl w:val="0"/>
          <w:numId w:val="22"/>
        </w:numPr>
        <w:rPr>
          <w:rFonts w:ascii="Verdana" w:hAnsi="Verdana"/>
          <w:sz w:val="18"/>
          <w:szCs w:val="18"/>
        </w:rPr>
      </w:pPr>
      <w:r w:rsidRPr="001C5712">
        <w:rPr>
          <w:rFonts w:ascii="Verdana" w:hAnsi="Verdana"/>
          <w:sz w:val="18"/>
        </w:rPr>
        <w:t xml:space="preserve">Quelles sont les recommandations du CESE? </w:t>
      </w:r>
    </w:p>
    <w:p w14:paraId="49CDEFBA" w14:textId="77777777" w:rsidR="00F57AAB" w:rsidRPr="001C5712" w:rsidRDefault="00F57AAB" w:rsidP="00F57AAB">
      <w:pPr>
        <w:pStyle w:val="ListParagraph"/>
        <w:numPr>
          <w:ilvl w:val="0"/>
          <w:numId w:val="22"/>
        </w:numPr>
        <w:rPr>
          <w:rFonts w:ascii="Verdana" w:hAnsi="Verdana"/>
          <w:sz w:val="18"/>
          <w:szCs w:val="18"/>
        </w:rPr>
      </w:pPr>
      <w:r w:rsidRPr="001C5712">
        <w:rPr>
          <w:rFonts w:ascii="Verdana" w:hAnsi="Verdana"/>
          <w:sz w:val="18"/>
        </w:rPr>
        <w:t>Pourquoi est-ce important maintenant?</w:t>
      </w:r>
    </w:p>
    <w:p w14:paraId="7C729074" w14:textId="77777777" w:rsidR="00F57AAB" w:rsidRPr="001C5712" w:rsidRDefault="00F57AAB" w:rsidP="00F57AAB">
      <w:pPr>
        <w:rPr>
          <w:rFonts w:ascii="Verdana" w:hAnsi="Verdana"/>
          <w:b/>
          <w:i/>
          <w:sz w:val="18"/>
          <w:szCs w:val="18"/>
        </w:rPr>
      </w:pPr>
    </w:p>
    <w:p w14:paraId="521CA2D5" w14:textId="77777777" w:rsidR="00F57AAB" w:rsidRPr="001C5712" w:rsidRDefault="00F57AAB" w:rsidP="00F57AAB">
      <w:pPr>
        <w:rPr>
          <w:rFonts w:ascii="Verdana" w:hAnsi="Verdana"/>
          <w:b/>
          <w:i/>
          <w:sz w:val="18"/>
        </w:rPr>
      </w:pPr>
      <w:r w:rsidRPr="001C5712">
        <w:rPr>
          <w:rFonts w:ascii="Verdana" w:hAnsi="Verdana"/>
          <w:b/>
          <w:i/>
          <w:sz w:val="18"/>
        </w:rPr>
        <w:t>Pourquoi le CESE joue-t-il un rôle important dans le domaine du nucléaire?</w:t>
      </w:r>
    </w:p>
    <w:p w14:paraId="14A5C474" w14:textId="77777777" w:rsidR="007312FD" w:rsidRPr="001C5712" w:rsidRDefault="007312FD" w:rsidP="00F57AAB">
      <w:pPr>
        <w:rPr>
          <w:rFonts w:ascii="Verdana" w:hAnsi="Verdana"/>
          <w:b/>
          <w:i/>
          <w:sz w:val="18"/>
          <w:szCs w:val="18"/>
        </w:rPr>
      </w:pPr>
    </w:p>
    <w:p w14:paraId="2F9FA66A" w14:textId="2B431049" w:rsidR="00F57AAB" w:rsidRPr="001C5712" w:rsidRDefault="00F57AAB" w:rsidP="00F57AAB">
      <w:pPr>
        <w:rPr>
          <w:rFonts w:ascii="Verdana" w:hAnsi="Verdana"/>
          <w:sz w:val="18"/>
          <w:szCs w:val="18"/>
        </w:rPr>
      </w:pPr>
      <w:r w:rsidRPr="001C5712">
        <w:rPr>
          <w:rFonts w:ascii="Verdana" w:hAnsi="Verdana"/>
          <w:sz w:val="18"/>
        </w:rPr>
        <w:t>À l'origine, le traité Euratom de 1957 a été conclu pour régir l’utilisation pacifique de l’énergie nucléaire au sein de l’UE. Le traité a institué la Communauté européenne de</w:t>
      </w:r>
      <w:r w:rsidR="007312FD" w:rsidRPr="001C5712">
        <w:rPr>
          <w:rFonts w:ascii="Verdana" w:hAnsi="Verdana"/>
          <w:sz w:val="18"/>
        </w:rPr>
        <w:t xml:space="preserve"> l'énergie atomique (Euratom). </w:t>
      </w:r>
      <w:r w:rsidRPr="001C5712">
        <w:rPr>
          <w:rFonts w:ascii="Verdana" w:hAnsi="Verdana"/>
          <w:sz w:val="18"/>
        </w:rPr>
        <w:t xml:space="preserve">Celle-ci dispose d’un système de surveillance centralisé chargé de superviser la gestion des 129 réacteurs nucléaires en fonctionnement dans 14 États membres de l’UE. Ces installations assurent 27 % de l’approvisionnement en électricité de l’Union. </w:t>
      </w:r>
    </w:p>
    <w:p w14:paraId="1ABFEC9A" w14:textId="77777777" w:rsidR="00F57AAB" w:rsidRPr="001C5712" w:rsidRDefault="00F57AAB" w:rsidP="00F57AAB">
      <w:pPr>
        <w:rPr>
          <w:rFonts w:ascii="Verdana" w:hAnsi="Verdana"/>
          <w:sz w:val="18"/>
          <w:szCs w:val="18"/>
        </w:rPr>
      </w:pPr>
    </w:p>
    <w:p w14:paraId="4FE49D58" w14:textId="77777777" w:rsidR="00F57AAB" w:rsidRPr="001C5712" w:rsidRDefault="00F57AAB" w:rsidP="00F57AAB">
      <w:pPr>
        <w:rPr>
          <w:rFonts w:ascii="Verdana" w:hAnsi="Verdana"/>
          <w:sz w:val="18"/>
          <w:szCs w:val="18"/>
        </w:rPr>
      </w:pPr>
      <w:r w:rsidRPr="001C5712">
        <w:rPr>
          <w:rFonts w:ascii="Verdana" w:hAnsi="Verdana"/>
          <w:sz w:val="18"/>
          <w:szCs w:val="18"/>
        </w:rPr>
        <w:t>En vertu de l’article 40 du traité Euratom</w:t>
      </w:r>
      <w:r w:rsidRPr="001C5712">
        <w:t xml:space="preserve"> (</w:t>
      </w:r>
      <w:hyperlink r:id="rId14">
        <w:r w:rsidRPr="001C5712">
          <w:rPr>
            <w:rStyle w:val="Hyperlink"/>
            <w:rFonts w:ascii="Verdana" w:hAnsi="Verdana"/>
            <w:sz w:val="18"/>
          </w:rPr>
          <w:t>COM/2003/0370 final</w:t>
        </w:r>
      </w:hyperlink>
      <w:r w:rsidRPr="001C5712">
        <w:t xml:space="preserve">), </w:t>
      </w:r>
      <w:r w:rsidRPr="001C5712">
        <w:rPr>
          <w:rFonts w:ascii="Verdana" w:hAnsi="Verdana"/>
          <w:sz w:val="18"/>
          <w:szCs w:val="18"/>
        </w:rPr>
        <w:t>la Commission européenne est chargée de coordonner le développement des investissements dans l’énergie nucléaire.</w:t>
      </w:r>
      <w:r w:rsidRPr="001C5712">
        <w:rPr>
          <w:rFonts w:ascii="Verdana" w:hAnsi="Verdana"/>
          <w:sz w:val="18"/>
        </w:rPr>
        <w:t xml:space="preserve"> Sa mission consiste notamment à élaborer de manière périodique un document (programme indicatif nucléaire pour la Communauté, PINC), qui présente une vue d’ensemble des investissements réalisés pour chaque étape du cycle de vie des installations nucléaires. Le rôle du CESE dans ce contexte est unique en ce sens que le document final ne peut être publié qu’après réception de l’avis du CESE par la Commission. Le programme indicatif nucléaire pour la Communauté final est ensuite présenté au Conseil et au Parlement européen. Depuis 1958, cinq de ces documents ont été publiés. Le plus récent date de 2007 et a été mis à jour en 2008. </w:t>
      </w:r>
    </w:p>
    <w:p w14:paraId="10752B2A" w14:textId="77777777" w:rsidR="00F57AAB" w:rsidRPr="001C5712" w:rsidRDefault="00F57AAB" w:rsidP="00F57AAB">
      <w:pPr>
        <w:rPr>
          <w:rFonts w:ascii="Verdana" w:hAnsi="Verdana"/>
          <w:sz w:val="18"/>
          <w:szCs w:val="18"/>
        </w:rPr>
      </w:pPr>
    </w:p>
    <w:p w14:paraId="7A0596D6" w14:textId="77777777" w:rsidR="00F57AAB" w:rsidRPr="001C5712" w:rsidRDefault="00F57AAB" w:rsidP="00F57AAB">
      <w:pPr>
        <w:rPr>
          <w:rFonts w:ascii="Verdana" w:hAnsi="Verdana"/>
          <w:b/>
          <w:i/>
          <w:sz w:val="18"/>
        </w:rPr>
      </w:pPr>
      <w:r w:rsidRPr="001C5712">
        <w:rPr>
          <w:rFonts w:ascii="Verdana" w:hAnsi="Verdana"/>
          <w:b/>
          <w:i/>
          <w:sz w:val="18"/>
        </w:rPr>
        <w:t>Quelle est la position du CESE sur le PINC?</w:t>
      </w:r>
    </w:p>
    <w:p w14:paraId="366E5741" w14:textId="4A01ADFD" w:rsidR="007312FD" w:rsidRPr="001C5712" w:rsidRDefault="007312FD" w:rsidP="00F57AAB">
      <w:pPr>
        <w:rPr>
          <w:rFonts w:ascii="Verdana" w:hAnsi="Verdana"/>
          <w:b/>
          <w:i/>
          <w:sz w:val="18"/>
          <w:szCs w:val="18"/>
        </w:rPr>
      </w:pPr>
      <w:r w:rsidRPr="001C5712">
        <w:rPr>
          <w:rFonts w:ascii="Verdana" w:hAnsi="Verdana"/>
          <w:b/>
          <w:i/>
          <w:noProof/>
          <w:sz w:val="20"/>
          <w:szCs w:val="18"/>
          <w:lang w:val="fr-BE" w:eastAsia="fr-BE" w:bidi="ar-SA"/>
        </w:rPr>
        <mc:AlternateContent>
          <mc:Choice Requires="wps">
            <w:drawing>
              <wp:anchor distT="0" distB="0" distL="114300" distR="114300" simplePos="0" relativeHeight="251659264" behindDoc="1" locked="0" layoutInCell="0" allowOverlap="1" wp14:anchorId="3D7CB0FB" wp14:editId="739E6080">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AE89" w14:textId="77777777" w:rsidR="007312FD" w:rsidRPr="00260E65" w:rsidRDefault="007312FD">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50AFAE89" w14:textId="77777777" w:rsidR="007312FD" w:rsidRPr="00260E65" w:rsidRDefault="007312FD">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14:paraId="437892DE" w14:textId="77777777" w:rsidR="00F57AAB" w:rsidRPr="001C5712" w:rsidRDefault="00F57AAB" w:rsidP="00F57AAB">
      <w:pPr>
        <w:rPr>
          <w:rFonts w:ascii="Verdana" w:hAnsi="Verdana"/>
          <w:sz w:val="18"/>
          <w:szCs w:val="18"/>
        </w:rPr>
      </w:pPr>
      <w:r w:rsidRPr="001C5712">
        <w:rPr>
          <w:rFonts w:ascii="Verdana" w:hAnsi="Verdana"/>
          <w:sz w:val="18"/>
        </w:rPr>
        <w:t>Le CESE estime que le programme indicatif nucléaire pour la Communauté de 2016 souffre de l’absence d’une stratégie globale en ce qui concerne le bouquet énergétique européen. Il est deux fois plus court que le PINC de 2007. Il y manque également une méthodologie et des processus analytiques clairs. Des lignes directrices seraient très utiles aux États membres lorsqu’ils doivent, le cas échéant, prendre des décisions sur le rôle de l’énergie nucléaire dans leur consommation d’énergie.</w:t>
      </w:r>
    </w:p>
    <w:p w14:paraId="03A7238C" w14:textId="77777777" w:rsidR="00F57AAB" w:rsidRPr="001C5712" w:rsidRDefault="00F57AAB" w:rsidP="00F57AAB">
      <w:pPr>
        <w:rPr>
          <w:rFonts w:ascii="Verdana" w:hAnsi="Verdana"/>
          <w:sz w:val="18"/>
          <w:szCs w:val="18"/>
        </w:rPr>
      </w:pPr>
    </w:p>
    <w:p w14:paraId="3E0B5D9E" w14:textId="634CC2F3" w:rsidR="00F57AAB" w:rsidRPr="001C5712" w:rsidRDefault="00F57AAB" w:rsidP="007312FD">
      <w:pPr>
        <w:keepNext/>
        <w:keepLines/>
        <w:rPr>
          <w:rFonts w:ascii="Verdana" w:hAnsi="Verdana"/>
          <w:sz w:val="18"/>
          <w:szCs w:val="18"/>
        </w:rPr>
      </w:pPr>
      <w:r w:rsidRPr="001C5712">
        <w:rPr>
          <w:rFonts w:ascii="Verdana" w:hAnsi="Verdana"/>
          <w:sz w:val="18"/>
        </w:rPr>
        <w:lastRenderedPageBreak/>
        <w:t>Le CESE accueille favorablement l’accent mis sur des normes de sécurité élevées et sur le démantèlement sûr des installations nucléaires. Le programme indicatif nucléaire pour la Communauté de 2016 accorde une attention particulière à la fin du cycle de vie des réacteurs, en évoquant la gestion des déchets et le déclassement réglementés par la directive de l’UE sur la gestion des déchets radioactifs e</w:t>
      </w:r>
      <w:r w:rsidR="007312FD" w:rsidRPr="001C5712">
        <w:rPr>
          <w:rFonts w:ascii="Verdana" w:hAnsi="Verdana"/>
          <w:sz w:val="18"/>
        </w:rPr>
        <w:t xml:space="preserve">t du combustible usé </w:t>
      </w:r>
      <w:r w:rsidRPr="001C5712">
        <w:rPr>
          <w:rFonts w:ascii="Verdana" w:hAnsi="Verdana"/>
          <w:sz w:val="18"/>
        </w:rPr>
        <w:t>(la «</w:t>
      </w:r>
      <w:hyperlink r:id="rId15">
        <w:r w:rsidRPr="001C5712">
          <w:rPr>
            <w:rStyle w:val="Hyperlink"/>
            <w:rFonts w:ascii="Verdana" w:hAnsi="Verdana"/>
            <w:sz w:val="18"/>
          </w:rPr>
          <w:t>directive sur les déchets</w:t>
        </w:r>
      </w:hyperlink>
      <w:r w:rsidRPr="001C5712">
        <w:t>»).</w:t>
      </w:r>
      <w:r w:rsidRPr="001C5712">
        <w:rPr>
          <w:rFonts w:ascii="Verdana" w:hAnsi="Verdana"/>
          <w:sz w:val="18"/>
        </w:rPr>
        <w:t xml:space="preserve"> L’attention</w:t>
      </w:r>
      <w:r w:rsidR="007312FD" w:rsidRPr="001C5712">
        <w:rPr>
          <w:rFonts w:ascii="Verdana" w:hAnsi="Verdana"/>
          <w:sz w:val="18"/>
        </w:rPr>
        <w:t> </w:t>
      </w:r>
      <w:r w:rsidRPr="001C5712">
        <w:rPr>
          <w:rFonts w:ascii="Verdana" w:hAnsi="Verdana"/>
          <w:sz w:val="18"/>
        </w:rPr>
        <w:t xml:space="preserve">accordée à la poursuite de la recherche est également saluée. Le projet de PINC est cependant largement affaibli par tout ce qui n’y figure pas. </w:t>
      </w:r>
    </w:p>
    <w:p w14:paraId="2AF20537" w14:textId="77777777" w:rsidR="00F57AAB" w:rsidRPr="001C5712" w:rsidRDefault="00F57AAB" w:rsidP="00F57AAB">
      <w:pPr>
        <w:rPr>
          <w:rFonts w:ascii="Verdana" w:hAnsi="Verdana"/>
          <w:sz w:val="18"/>
          <w:szCs w:val="18"/>
        </w:rPr>
      </w:pPr>
    </w:p>
    <w:p w14:paraId="616D00A8" w14:textId="77777777" w:rsidR="00F57AAB" w:rsidRPr="001C5712" w:rsidRDefault="00F57AAB" w:rsidP="00C87E02">
      <w:pPr>
        <w:keepNext/>
        <w:rPr>
          <w:rFonts w:ascii="Verdana" w:hAnsi="Verdana"/>
          <w:b/>
          <w:i/>
          <w:sz w:val="18"/>
        </w:rPr>
      </w:pPr>
      <w:r w:rsidRPr="001C5712">
        <w:rPr>
          <w:rFonts w:ascii="Verdana" w:hAnsi="Verdana"/>
          <w:b/>
          <w:i/>
          <w:sz w:val="18"/>
        </w:rPr>
        <w:t>Quelles sont les recommandations du CESE?</w:t>
      </w:r>
    </w:p>
    <w:p w14:paraId="42162C88" w14:textId="77777777" w:rsidR="007312FD" w:rsidRPr="001C5712" w:rsidRDefault="007312FD" w:rsidP="00C87E02">
      <w:pPr>
        <w:keepNext/>
        <w:rPr>
          <w:rFonts w:ascii="Verdana" w:hAnsi="Verdana"/>
          <w:b/>
          <w:i/>
          <w:sz w:val="18"/>
          <w:szCs w:val="18"/>
        </w:rPr>
      </w:pPr>
    </w:p>
    <w:p w14:paraId="2DBF2165" w14:textId="77777777" w:rsidR="00F57AAB" w:rsidRPr="001C5712" w:rsidRDefault="00F57AAB" w:rsidP="00C87E02">
      <w:pPr>
        <w:keepNext/>
        <w:rPr>
          <w:rFonts w:ascii="Verdana" w:hAnsi="Verdana"/>
          <w:sz w:val="18"/>
          <w:szCs w:val="18"/>
        </w:rPr>
      </w:pPr>
      <w:r w:rsidRPr="001C5712">
        <w:rPr>
          <w:rFonts w:ascii="Verdana" w:hAnsi="Verdana"/>
          <w:sz w:val="18"/>
        </w:rPr>
        <w:t>L’avis du CESE recommande vivement que certains points du projet de programme indicatif nucléaire pour la Communauté soient revus et d’autres ajoutés. Il devrait en particulier comporter des chapitres concernant:</w:t>
      </w:r>
    </w:p>
    <w:p w14:paraId="1870FCE8" w14:textId="77777777" w:rsidR="00F57AAB" w:rsidRPr="001C5712" w:rsidRDefault="00F57AAB" w:rsidP="00F57AAB">
      <w:pPr>
        <w:rPr>
          <w:rFonts w:ascii="Verdana" w:hAnsi="Verdana"/>
          <w:sz w:val="18"/>
          <w:szCs w:val="18"/>
        </w:rPr>
      </w:pPr>
    </w:p>
    <w:p w14:paraId="41A30242" w14:textId="77777777"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la compétitivité de l’énergie nucléaire;</w:t>
      </w:r>
    </w:p>
    <w:p w14:paraId="259A7DBD" w14:textId="77777777"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les aspects économiques qui l’entourent;</w:t>
      </w:r>
    </w:p>
    <w:p w14:paraId="32D67462" w14:textId="2D5F2D22"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la sécurité d’approvisionnement, en se référant à l’Agence d’ap</w:t>
      </w:r>
      <w:r w:rsidR="007312FD" w:rsidRPr="001C5712">
        <w:rPr>
          <w:rFonts w:ascii="Verdana" w:hAnsi="Verdana"/>
          <w:sz w:val="18"/>
        </w:rPr>
        <w:t xml:space="preserve">provisionnement Euratom (ESA); </w:t>
      </w:r>
    </w:p>
    <w:p w14:paraId="683B9A55" w14:textId="77777777"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les objectifs en matière de changement climatique et de carbone, en insistant sur le fait que l’énergie nucléaire représente aujourd’hui la moitié de l’électricité à faibles émissions de carbone;</w:t>
      </w:r>
    </w:p>
    <w:p w14:paraId="519C9AB3" w14:textId="77777777"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la confiance de la population, notamment son effet sur l’acceptabilité politique de l’énergie nucléaire.</w:t>
      </w:r>
    </w:p>
    <w:p w14:paraId="7FE7AD79" w14:textId="77777777" w:rsidR="00F57AAB" w:rsidRPr="001C5712" w:rsidRDefault="00F57AAB" w:rsidP="00F57AAB">
      <w:pPr>
        <w:pStyle w:val="ListParagraph"/>
        <w:numPr>
          <w:ilvl w:val="0"/>
          <w:numId w:val="23"/>
        </w:numPr>
        <w:rPr>
          <w:rFonts w:ascii="Verdana" w:hAnsi="Verdana"/>
          <w:sz w:val="18"/>
          <w:szCs w:val="18"/>
        </w:rPr>
      </w:pPr>
      <w:r w:rsidRPr="001C5712">
        <w:rPr>
          <w:rFonts w:ascii="Verdana" w:hAnsi="Verdana"/>
          <w:sz w:val="18"/>
        </w:rPr>
        <w:t xml:space="preserve">Certaines mises à jour pertinentes devraient être effectuées, comme les mesures récemment prises par la Suède pour assurer un approvisionnement constitué de 100 % d’énergies renouvelables d’ici à 2040. </w:t>
      </w:r>
    </w:p>
    <w:p w14:paraId="75F70319" w14:textId="77777777" w:rsidR="00F57AAB" w:rsidRPr="001C5712" w:rsidRDefault="00F57AAB" w:rsidP="00F57AAB">
      <w:pPr>
        <w:rPr>
          <w:rFonts w:ascii="Verdana" w:hAnsi="Verdana"/>
          <w:sz w:val="18"/>
          <w:szCs w:val="18"/>
        </w:rPr>
      </w:pPr>
    </w:p>
    <w:p w14:paraId="203ED7EF" w14:textId="74A7C6FA" w:rsidR="00F57AAB" w:rsidRPr="001C5712" w:rsidRDefault="00F57AAB" w:rsidP="00F57AAB">
      <w:pPr>
        <w:rPr>
          <w:rFonts w:ascii="Verdana" w:hAnsi="Verdana"/>
          <w:sz w:val="18"/>
          <w:szCs w:val="18"/>
        </w:rPr>
      </w:pPr>
      <w:r w:rsidRPr="001C5712">
        <w:rPr>
          <w:rFonts w:ascii="Verdana" w:hAnsi="Verdana"/>
          <w:sz w:val="18"/>
        </w:rPr>
        <w:t>La stratégie de l’UE pour l’union de l’énergie a pour objectif une énergie sûre, abordable et durable. Elle vise notamment à soutenir des avancées dans les technologies à faible intensité de carbone en coordonnant la recherche. La Commission devrait intégrer dans le programme indicatif nucléaire pour la Communauté une analyse des besoins d’investissement dans l’énergie nucléaire nécessaires si l’on veut atteindre tous les objectifs de l’Union de l’énergie. Le CESE recommande que la Commission tienne compte de la possibilité d’un approvisionnement électrique en provenance de centrales à fusion pour l’après-2050. La feuille de route du Fonds européen pour le développement de la fusion (EFDA) décrit la manière de passer de l’expérimentation à la viabilité. Il serait utile que le programme indicatif nucléaire pour la Communauté soit doté d’une feuille de route correspondante présentant les progrès de la fusion sur la voie</w:t>
      </w:r>
      <w:r w:rsidR="007312FD" w:rsidRPr="001C5712">
        <w:rPr>
          <w:rFonts w:ascii="Verdana" w:hAnsi="Verdana"/>
          <w:sz w:val="18"/>
        </w:rPr>
        <w:t xml:space="preserve"> d’une production commerciale. </w:t>
      </w:r>
    </w:p>
    <w:p w14:paraId="25EEBD6C" w14:textId="77777777" w:rsidR="00F57AAB" w:rsidRPr="001C5712" w:rsidRDefault="00F57AAB" w:rsidP="00F57AAB">
      <w:pPr>
        <w:rPr>
          <w:rFonts w:ascii="Verdana" w:hAnsi="Verdana"/>
          <w:sz w:val="18"/>
          <w:szCs w:val="18"/>
        </w:rPr>
      </w:pPr>
    </w:p>
    <w:p w14:paraId="52E5AAA8" w14:textId="77777777" w:rsidR="00F57AAB" w:rsidRPr="001C5712" w:rsidRDefault="00F57AAB" w:rsidP="00F57AAB">
      <w:pPr>
        <w:rPr>
          <w:rFonts w:ascii="Verdana" w:hAnsi="Verdana"/>
          <w:sz w:val="18"/>
          <w:szCs w:val="18"/>
        </w:rPr>
      </w:pPr>
      <w:r w:rsidRPr="001C5712">
        <w:rPr>
          <w:rFonts w:ascii="Verdana" w:hAnsi="Verdana"/>
          <w:sz w:val="18"/>
        </w:rPr>
        <w:t>Il importe de doter le programme indicatif nucléaire pour la Communauté de 2016 d’une vision stratégique. Il gagnerait également à comporter une analyse des conséquences potentiellement importantes du vote du Royaume-Uni en faveur d’une sortie de l’Union européenne. Ses effets sur le traité Euratom ne sont pas clairs. Bien qu’Euratom soit gouvernée par les institutions de l’Union européenne, elle constitue une entité juridique distincte.</w:t>
      </w:r>
    </w:p>
    <w:p w14:paraId="4FD0C160" w14:textId="77777777" w:rsidR="00F57AAB" w:rsidRPr="001C5712" w:rsidRDefault="00F57AAB" w:rsidP="00F57AAB">
      <w:pPr>
        <w:rPr>
          <w:rFonts w:ascii="Verdana" w:hAnsi="Verdana"/>
          <w:sz w:val="18"/>
          <w:szCs w:val="18"/>
        </w:rPr>
      </w:pPr>
    </w:p>
    <w:p w14:paraId="1697719E" w14:textId="77777777" w:rsidR="00F57AAB" w:rsidRPr="001C5712" w:rsidRDefault="00F57AAB" w:rsidP="007312FD">
      <w:pPr>
        <w:keepNext/>
        <w:keepLines/>
        <w:rPr>
          <w:rFonts w:ascii="Verdana" w:hAnsi="Verdana"/>
          <w:b/>
          <w:i/>
          <w:sz w:val="18"/>
        </w:rPr>
      </w:pPr>
      <w:r w:rsidRPr="001C5712">
        <w:rPr>
          <w:rFonts w:ascii="Verdana" w:hAnsi="Verdana"/>
          <w:b/>
          <w:i/>
          <w:sz w:val="18"/>
        </w:rPr>
        <w:lastRenderedPageBreak/>
        <w:t>Pourquoi est-ce important maintenant?</w:t>
      </w:r>
    </w:p>
    <w:p w14:paraId="67B74807" w14:textId="77777777" w:rsidR="007312FD" w:rsidRPr="001C5712" w:rsidRDefault="007312FD" w:rsidP="007312FD">
      <w:pPr>
        <w:keepNext/>
        <w:keepLines/>
        <w:rPr>
          <w:rFonts w:ascii="Verdana" w:hAnsi="Verdana"/>
          <w:b/>
          <w:i/>
          <w:sz w:val="18"/>
          <w:szCs w:val="18"/>
        </w:rPr>
      </w:pPr>
    </w:p>
    <w:p w14:paraId="4AEE89E6" w14:textId="77777777" w:rsidR="00F57AAB" w:rsidRPr="001C5712" w:rsidRDefault="00F57AAB" w:rsidP="007312FD">
      <w:pPr>
        <w:keepNext/>
        <w:keepLines/>
        <w:rPr>
          <w:rFonts w:ascii="Verdana" w:hAnsi="Verdana"/>
          <w:sz w:val="18"/>
          <w:szCs w:val="18"/>
        </w:rPr>
      </w:pPr>
      <w:r w:rsidRPr="001C5712">
        <w:rPr>
          <w:rFonts w:ascii="Verdana" w:hAnsi="Verdana"/>
          <w:sz w:val="18"/>
        </w:rPr>
        <w:t xml:space="preserve">Ce projet était attendu de longue date. Il s’agit du premier programme indicatif nucléaire pour la Communauté depuis l’accident de Fukushima en 2011. La société civile est inquiète et veut savoir si les centrales nucléaires de l’UE sont gérées de manière aussi sûre que possible. À la suite de cet accident, des tests de résistance ont été effectués en 2011 et 2012 pour évaluer la capacité des installations nucléaires à résister à des catastrophes naturelles et, en 2014, l’Union européenne a modifié sa directive sur la sûreté nucléaire. </w:t>
      </w:r>
    </w:p>
    <w:p w14:paraId="3C2D0BAE" w14:textId="77777777" w:rsidR="00F57AAB" w:rsidRPr="001C5712" w:rsidRDefault="00F57AAB" w:rsidP="00F57AAB">
      <w:pPr>
        <w:rPr>
          <w:rFonts w:ascii="Verdana" w:hAnsi="Verdana"/>
          <w:sz w:val="18"/>
          <w:szCs w:val="18"/>
        </w:rPr>
      </w:pPr>
    </w:p>
    <w:p w14:paraId="2725E4DC" w14:textId="10CEE22D" w:rsidR="00F57AAB" w:rsidRPr="001C5712" w:rsidRDefault="00F57AAB" w:rsidP="00F57AAB">
      <w:pPr>
        <w:rPr>
          <w:rFonts w:ascii="Verdana" w:hAnsi="Verdana"/>
          <w:sz w:val="18"/>
          <w:szCs w:val="18"/>
        </w:rPr>
      </w:pPr>
      <w:r w:rsidRPr="001C5712">
        <w:rPr>
          <w:rFonts w:ascii="Verdana" w:hAnsi="Verdana"/>
          <w:sz w:val="18"/>
        </w:rPr>
        <w:t xml:space="preserve">Cela va-t-il apaiser les craintes concernant l’utilisation de l’énergie nucléaire dans les pays voisins non membres de l’UE? Le CESE estime qu’un dialogue actif avec la Biélorussie, en particulier, permettrait de dissiper les préoccupations relatives à la construction par ce pays de son premier réacteur nucléaire à </w:t>
      </w:r>
      <w:proofErr w:type="spellStart"/>
      <w:r w:rsidRPr="001C5712">
        <w:rPr>
          <w:rFonts w:ascii="Verdana" w:hAnsi="Verdana"/>
          <w:sz w:val="18"/>
        </w:rPr>
        <w:t>Ostrovets</w:t>
      </w:r>
      <w:proofErr w:type="spellEnd"/>
      <w:r w:rsidRPr="001C5712">
        <w:rPr>
          <w:rFonts w:ascii="Verdana" w:hAnsi="Verdana"/>
          <w:sz w:val="18"/>
        </w:rPr>
        <w:t>. Le CESE salue le rôle joué par le groupe des régulateurs européens dans le domaine de la sûreté nucléaire (</w:t>
      </w:r>
      <w:hyperlink r:id="rId16">
        <w:r w:rsidRPr="001C5712">
          <w:rPr>
            <w:rStyle w:val="Hyperlink"/>
            <w:rFonts w:ascii="Verdana" w:hAnsi="Verdana"/>
            <w:sz w:val="18"/>
          </w:rPr>
          <w:t>ENSREG</w:t>
        </w:r>
      </w:hyperlink>
      <w:r w:rsidRPr="001C5712">
        <w:rPr>
          <w:rFonts w:ascii="Verdana" w:hAnsi="Verdana"/>
          <w:sz w:val="18"/>
          <w:szCs w:val="18"/>
        </w:rPr>
        <w:t>) pour la promotion de la transparence, du</w:t>
      </w:r>
      <w:r w:rsidR="007312FD" w:rsidRPr="001C5712">
        <w:rPr>
          <w:rFonts w:ascii="Verdana" w:hAnsi="Verdana"/>
          <w:sz w:val="18"/>
          <w:szCs w:val="18"/>
        </w:rPr>
        <w:t> </w:t>
      </w:r>
      <w:r w:rsidRPr="001C5712">
        <w:rPr>
          <w:rFonts w:ascii="Verdana" w:hAnsi="Verdana"/>
          <w:sz w:val="18"/>
          <w:szCs w:val="18"/>
        </w:rPr>
        <w:t xml:space="preserve">dialogue et de la mise en œuvre du plan d’action. </w:t>
      </w:r>
    </w:p>
    <w:p w14:paraId="73C98CCF" w14:textId="77777777" w:rsidR="00F57AAB" w:rsidRPr="001C5712" w:rsidRDefault="00F57AAB" w:rsidP="00F57AAB">
      <w:pPr>
        <w:rPr>
          <w:rFonts w:ascii="Verdana" w:hAnsi="Verdana"/>
          <w:sz w:val="18"/>
          <w:szCs w:val="18"/>
        </w:rPr>
      </w:pPr>
    </w:p>
    <w:p w14:paraId="1C155CC3" w14:textId="6542291C" w:rsidR="00F57AAB" w:rsidRPr="001C5712" w:rsidRDefault="00F57AAB" w:rsidP="00F57AAB">
      <w:pPr>
        <w:rPr>
          <w:rFonts w:ascii="Verdana" w:hAnsi="Verdana"/>
          <w:sz w:val="18"/>
          <w:szCs w:val="18"/>
        </w:rPr>
      </w:pPr>
      <w:r w:rsidRPr="001C5712">
        <w:rPr>
          <w:rFonts w:ascii="Verdana" w:hAnsi="Verdana"/>
          <w:sz w:val="18"/>
        </w:rPr>
        <w:t xml:space="preserve">Ces sujets seront abordés lors de la prochaine </w:t>
      </w:r>
      <w:hyperlink r:id="rId17">
        <w:r w:rsidRPr="001C5712">
          <w:rPr>
            <w:rStyle w:val="Hyperlink"/>
            <w:rFonts w:ascii="Verdana" w:hAnsi="Verdana"/>
            <w:sz w:val="18"/>
          </w:rPr>
          <w:t>réunion plénière du Forum européen sur l’énergie nucléaire (FEEN)</w:t>
        </w:r>
      </w:hyperlink>
      <w:r w:rsidRPr="001C5712">
        <w:t xml:space="preserve"> </w:t>
      </w:r>
      <w:r w:rsidRPr="001C5712">
        <w:rPr>
          <w:rFonts w:ascii="Verdana" w:hAnsi="Verdana"/>
          <w:sz w:val="18"/>
          <w:szCs w:val="18"/>
        </w:rPr>
        <w:t>qui se tiendra à Bratislava les 3 et 4 octobre.</w:t>
      </w:r>
      <w:r w:rsidRPr="001C5712">
        <w:rPr>
          <w:rFonts w:ascii="Verdana" w:hAnsi="Verdana"/>
          <w:sz w:val="18"/>
        </w:rPr>
        <w:t xml:space="preserve"> Le Forum européen sur l’énergie nucléaire a été créé en 2007 et rassemble tous les acteurs concernés par ce secteur: les gouvernements des 28 États membres de l'Union, les institutions européennes, dont le Parlement européen et le CESE, l’industrie nucléaire et les régulateurs du secteur, les consommateurs d’électricité et la société civile. Lors de cette réunion, les défis, les possibilités et les risques liés à l’énergie nucléaire devraient être discutés de manière franche et dans un esprit d’ouverture. C’est à cette occasion que Pierre Jean Coulon, président de la section spécialisée «Transports, énergie, infrastructures, société de l’information» (TEN) du CESE, présentera aux décideurs politiques, aux principales parties prenantes et à l’industrie de l’UE les recommandations formulées dans l’avis du CESE. </w:t>
      </w:r>
    </w:p>
    <w:p w14:paraId="7A945BE9" w14:textId="77777777" w:rsidR="00F57AAB" w:rsidRPr="001C5712" w:rsidRDefault="00F57AAB" w:rsidP="00C87E02">
      <w:pPr>
        <w:keepNext/>
        <w:rPr>
          <w:rFonts w:ascii="Verdana" w:hAnsi="Verdana"/>
          <w:i/>
          <w:sz w:val="18"/>
          <w:szCs w:val="18"/>
        </w:rPr>
      </w:pPr>
    </w:p>
    <w:p w14:paraId="7FE842FE" w14:textId="6FACF372" w:rsidR="00522C1D" w:rsidRPr="001C5712" w:rsidRDefault="00F6461F" w:rsidP="00C87E02">
      <w:pPr>
        <w:keepNext/>
        <w:rPr>
          <w:rFonts w:ascii="Verdana" w:hAnsi="Verdana"/>
          <w:b/>
          <w:color w:val="365F91" w:themeColor="accent1" w:themeShade="BF"/>
          <w:sz w:val="18"/>
        </w:rPr>
      </w:pPr>
      <w:r w:rsidRPr="001C5712">
        <w:rPr>
          <w:rFonts w:ascii="Verdana" w:hAnsi="Verdana"/>
          <w:b/>
          <w:color w:val="365F91" w:themeColor="accent1" w:themeShade="BF"/>
          <w:sz w:val="18"/>
        </w:rPr>
        <w:t>Informations complémentaires</w:t>
      </w:r>
    </w:p>
    <w:p w14:paraId="69A1FB3A" w14:textId="77777777" w:rsidR="007312FD" w:rsidRPr="001C5712" w:rsidRDefault="007312FD" w:rsidP="00C87E02">
      <w:pPr>
        <w:keepNext/>
        <w:rPr>
          <w:rFonts w:ascii="Verdana" w:hAnsi="Verdana"/>
          <w:b/>
          <w:color w:val="365F91" w:themeColor="accent1" w:themeShade="BF"/>
          <w:sz w:val="18"/>
          <w:szCs w:val="18"/>
        </w:rPr>
      </w:pP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627"/>
      </w:tblGrid>
      <w:tr w:rsidR="00C146C0" w:rsidRPr="001C5712" w14:paraId="334B693B" w14:textId="77777777" w:rsidTr="00F80BC4">
        <w:tc>
          <w:tcPr>
            <w:tcW w:w="3369" w:type="dxa"/>
          </w:tcPr>
          <w:p w14:paraId="4A99FB2C" w14:textId="25307E0C" w:rsidR="00C146C0" w:rsidRPr="001C5712" w:rsidRDefault="00C146C0" w:rsidP="00C87E02">
            <w:pPr>
              <w:keepNext/>
              <w:rPr>
                <w:rFonts w:ascii="Verdana" w:hAnsi="Verdana"/>
                <w:b/>
                <w:i/>
                <w:sz w:val="18"/>
                <w:szCs w:val="18"/>
              </w:rPr>
            </w:pPr>
            <w:r w:rsidRPr="001C5712">
              <w:rPr>
                <w:rFonts w:ascii="Verdana" w:hAnsi="Verdana"/>
                <w:b/>
                <w:i/>
                <w:sz w:val="18"/>
              </w:rPr>
              <w:t xml:space="preserve">Unité Presse du CESE </w:t>
            </w:r>
          </w:p>
          <w:p w14:paraId="104599DC" w14:textId="062275EE" w:rsidR="00C146C0" w:rsidRPr="001C5712" w:rsidRDefault="00C146C0" w:rsidP="00C87E02">
            <w:pPr>
              <w:keepNext/>
              <w:rPr>
                <w:rFonts w:ascii="Verdana" w:eastAsia="PMingLiU" w:hAnsi="Verdana"/>
                <w:sz w:val="18"/>
                <w:szCs w:val="18"/>
              </w:rPr>
            </w:pPr>
            <w:r w:rsidRPr="001C5712">
              <w:rPr>
                <w:rFonts w:ascii="Verdana" w:hAnsi="Verdana"/>
                <w:sz w:val="18"/>
              </w:rPr>
              <w:t>M</w:t>
            </w:r>
            <w:r w:rsidRPr="001C5712">
              <w:rPr>
                <w:rFonts w:ascii="Verdana" w:hAnsi="Verdana"/>
                <w:sz w:val="18"/>
                <w:vertAlign w:val="superscript"/>
              </w:rPr>
              <w:t>me</w:t>
            </w:r>
            <w:r w:rsidRPr="001C5712">
              <w:rPr>
                <w:rFonts w:ascii="Verdana" w:hAnsi="Verdana"/>
                <w:sz w:val="18"/>
              </w:rPr>
              <w:t> Caroline Alibert-Deprez</w:t>
            </w:r>
          </w:p>
          <w:p w14:paraId="592C3C5A" w14:textId="12107798" w:rsidR="00C146C0" w:rsidRPr="001C5712" w:rsidRDefault="00C146C0" w:rsidP="00C87E02">
            <w:pPr>
              <w:keepNext/>
              <w:rPr>
                <w:rFonts w:ascii="Verdana" w:eastAsia="PMingLiU" w:hAnsi="Verdana"/>
                <w:sz w:val="18"/>
                <w:szCs w:val="18"/>
              </w:rPr>
            </w:pPr>
            <w:r w:rsidRPr="001C5712">
              <w:rPr>
                <w:rFonts w:ascii="Verdana" w:hAnsi="Verdana"/>
                <w:sz w:val="18"/>
              </w:rPr>
              <w:t xml:space="preserve">Courriel: </w:t>
            </w:r>
            <w:hyperlink r:id="rId18">
              <w:r w:rsidRPr="001C5712">
                <w:rPr>
                  <w:rStyle w:val="Hyperlink"/>
                  <w:rFonts w:ascii="Verdana" w:hAnsi="Verdana"/>
                  <w:sz w:val="18"/>
                </w:rPr>
                <w:t>press@eesc.europa.eu</w:t>
              </w:r>
            </w:hyperlink>
          </w:p>
          <w:p w14:paraId="111421B7" w14:textId="77777777" w:rsidR="00C146C0" w:rsidRPr="001C5712" w:rsidRDefault="00C146C0" w:rsidP="00C87E02">
            <w:pPr>
              <w:keepNext/>
              <w:rPr>
                <w:rFonts w:ascii="Verdana" w:eastAsia="PMingLiU" w:hAnsi="Verdana"/>
                <w:sz w:val="18"/>
                <w:szCs w:val="18"/>
              </w:rPr>
            </w:pPr>
            <w:r w:rsidRPr="001C5712">
              <w:rPr>
                <w:rFonts w:ascii="Verdana" w:hAnsi="Verdana"/>
                <w:sz w:val="18"/>
              </w:rPr>
              <w:t>Tél.: +32 2 546 8422</w:t>
            </w:r>
          </w:p>
          <w:p w14:paraId="2057A11E" w14:textId="77777777" w:rsidR="00C146C0" w:rsidRPr="001C5712" w:rsidRDefault="00C146C0" w:rsidP="00C87E02">
            <w:pPr>
              <w:keepNext/>
              <w:rPr>
                <w:rFonts w:ascii="Verdana" w:hAnsi="Verdana"/>
                <w:sz w:val="18"/>
                <w:szCs w:val="18"/>
              </w:rPr>
            </w:pPr>
          </w:p>
        </w:tc>
        <w:tc>
          <w:tcPr>
            <w:tcW w:w="6627" w:type="dxa"/>
          </w:tcPr>
          <w:p w14:paraId="5CCCAE66" w14:textId="6644B263" w:rsidR="007769C1" w:rsidRPr="001C5712" w:rsidRDefault="007769C1" w:rsidP="00C87E02">
            <w:pPr>
              <w:keepNext/>
              <w:rPr>
                <w:rFonts w:ascii="Verdana" w:hAnsi="Verdana"/>
                <w:sz w:val="16"/>
                <w:szCs w:val="16"/>
              </w:rPr>
            </w:pPr>
          </w:p>
        </w:tc>
      </w:tr>
    </w:tbl>
    <w:p w14:paraId="009184D8" w14:textId="77777777" w:rsidR="007312FD" w:rsidRPr="001C5712" w:rsidRDefault="007312FD">
      <w:pPr>
        <w:rPr>
          <w:rFonts w:ascii="Verdana" w:hAnsi="Verdana"/>
          <w:b/>
          <w:sz w:val="18"/>
        </w:rPr>
      </w:pPr>
    </w:p>
    <w:p w14:paraId="7FE84308" w14:textId="31B77501" w:rsidR="003532CC" w:rsidRPr="001C5712" w:rsidRDefault="00F80BC4">
      <w:pPr>
        <w:rPr>
          <w:rFonts w:ascii="Verdana" w:hAnsi="Verdana"/>
          <w:b/>
          <w:sz w:val="18"/>
          <w:szCs w:val="18"/>
        </w:rPr>
      </w:pPr>
      <w:r w:rsidRPr="001C5712">
        <w:rPr>
          <w:rFonts w:ascii="Verdana" w:hAnsi="Verdana"/>
          <w:b/>
          <w:sz w:val="18"/>
        </w:rPr>
        <w:t>À propos du CESE</w:t>
      </w:r>
    </w:p>
    <w:p w14:paraId="66106879" w14:textId="77777777" w:rsidR="00F80BC4" w:rsidRPr="001C5712" w:rsidRDefault="00F80BC4" w:rsidP="00F80BC4">
      <w:pPr>
        <w:rPr>
          <w:rFonts w:ascii="Verdana" w:hAnsi="Verdana"/>
          <w:i/>
          <w:sz w:val="18"/>
          <w:szCs w:val="18"/>
        </w:rPr>
      </w:pPr>
      <w:r w:rsidRPr="001C5712">
        <w:rPr>
          <w:rFonts w:ascii="Verdana" w:hAnsi="Verdana"/>
          <w:i/>
          <w:sz w:val="18"/>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14:paraId="78C4D1F4" w14:textId="77777777" w:rsidR="00F80BC4" w:rsidRPr="001C5712" w:rsidRDefault="00F80BC4">
      <w:pPr>
        <w:rPr>
          <w:rFonts w:ascii="Verdana" w:hAnsi="Verdana"/>
          <w:b/>
          <w:sz w:val="18"/>
          <w:szCs w:val="18"/>
        </w:rPr>
      </w:pPr>
    </w:p>
    <w:sectPr w:rsidR="00F80BC4" w:rsidRPr="001C5712" w:rsidSect="00C87E02">
      <w:headerReference w:type="default" r:id="rId19"/>
      <w:footerReference w:type="default" r:id="rId20"/>
      <w:type w:val="continuous"/>
      <w:pgSz w:w="11907" w:h="16839" w:code="9"/>
      <w:pgMar w:top="2268" w:right="1418" w:bottom="709" w:left="1418" w:header="941" w:footer="45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C2C30" w15:done="0"/>
  <w15:commentEx w15:paraId="706F95D6" w15:done="0"/>
  <w15:commentEx w15:paraId="7FE843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D9A4" w14:textId="77777777" w:rsidR="00AB7485" w:rsidRDefault="00AB7485">
      <w:r>
        <w:separator/>
      </w:r>
    </w:p>
  </w:endnote>
  <w:endnote w:type="continuationSeparator" w:id="0">
    <w:p w14:paraId="7C2F740A" w14:textId="77777777" w:rsidR="00AB7485" w:rsidRDefault="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04105"/>
      <w:docPartObj>
        <w:docPartGallery w:val="Page Numbers (Bottom of Page)"/>
        <w:docPartUnique/>
      </w:docPartObj>
    </w:sdtPr>
    <w:sdtEndPr>
      <w:rPr>
        <w:noProof/>
      </w:rPr>
    </w:sdtEndPr>
    <w:sdtContent>
      <w:p w14:paraId="3B8A1B8B" w14:textId="5200ACF9" w:rsidR="00C07082" w:rsidRDefault="00C07082">
        <w:pPr>
          <w:pStyle w:val="Footer"/>
          <w:jc w:val="right"/>
        </w:pPr>
        <w:r>
          <w:fldChar w:fldCharType="begin"/>
        </w:r>
        <w:r>
          <w:instrText xml:space="preserve"> PAGE   \* MERGEFORMAT </w:instrText>
        </w:r>
        <w:r>
          <w:fldChar w:fldCharType="separate"/>
        </w:r>
        <w:r w:rsidR="00346B9E">
          <w:rPr>
            <w:noProof/>
          </w:rPr>
          <w:t>1</w:t>
        </w:r>
        <w:r>
          <w:rPr>
            <w:noProof/>
          </w:rPr>
          <w:fldChar w:fldCharType="end"/>
        </w:r>
      </w:p>
    </w:sdtContent>
  </w:sdt>
  <w:p w14:paraId="7FE8431B" w14:textId="4C1E254F" w:rsidR="00E12168" w:rsidRPr="00473E94" w:rsidRDefault="00E12168"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ECAB" w14:textId="77777777" w:rsidR="00AB7485" w:rsidRDefault="00AB7485">
      <w:r>
        <w:separator/>
      </w:r>
    </w:p>
  </w:footnote>
  <w:footnote w:type="continuationSeparator" w:id="0">
    <w:p w14:paraId="0BE34D75" w14:textId="77777777" w:rsidR="00AB7485" w:rsidRDefault="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4280" w14:textId="140E410C" w:rsidR="00595598" w:rsidRDefault="00595598">
    <w:pPr>
      <w:pStyle w:val="Header"/>
    </w:pPr>
    <w:r>
      <w:rPr>
        <w:rFonts w:ascii="Arial" w:hAnsi="Arial" w:cs="Arial"/>
        <w:noProof/>
        <w:sz w:val="20"/>
        <w:lang w:val="fr-BE" w:eastAsia="fr-BE" w:bidi="ar-SA"/>
      </w:rPr>
      <w:drawing>
        <wp:anchor distT="0" distB="0" distL="114300" distR="114300" simplePos="0" relativeHeight="251658240" behindDoc="0" locked="0" layoutInCell="1" allowOverlap="1" wp14:anchorId="70EC63DC" wp14:editId="124BD96C">
          <wp:simplePos x="0" y="0"/>
          <wp:positionH relativeFrom="column">
            <wp:posOffset>-423324</wp:posOffset>
          </wp:positionH>
          <wp:positionV relativeFrom="paragraph">
            <wp:posOffset>-397565</wp:posOffset>
          </wp:positionV>
          <wp:extent cx="6663600" cy="1108800"/>
          <wp:effectExtent l="0" t="0" r="4445" b="0"/>
          <wp:wrapNone/>
          <wp:docPr id="6" name="Picture 6" descr="EESC-word-hea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SC-word-header-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36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A937CED"/>
    <w:multiLevelType w:val="hybridMultilevel"/>
    <w:tmpl w:val="D6A4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364B2473"/>
    <w:multiLevelType w:val="hybridMultilevel"/>
    <w:tmpl w:val="125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CAF3A79"/>
    <w:multiLevelType w:val="hybridMultilevel"/>
    <w:tmpl w:val="C8CA88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10"/>
  </w:num>
  <w:num w:numId="6">
    <w:abstractNumId w:val="16"/>
  </w:num>
  <w:num w:numId="7">
    <w:abstractNumId w:val="2"/>
  </w:num>
  <w:num w:numId="8">
    <w:abstractNumId w:val="22"/>
  </w:num>
  <w:num w:numId="9">
    <w:abstractNumId w:val="21"/>
  </w:num>
  <w:num w:numId="10">
    <w:abstractNumId w:val="20"/>
  </w:num>
  <w:num w:numId="11">
    <w:abstractNumId w:val="17"/>
  </w:num>
  <w:num w:numId="12">
    <w:abstractNumId w:val="11"/>
  </w:num>
  <w:num w:numId="13">
    <w:abstractNumId w:val="6"/>
  </w:num>
  <w:num w:numId="14">
    <w:abstractNumId w:val="14"/>
  </w:num>
  <w:num w:numId="15">
    <w:abstractNumId w:val="19"/>
  </w:num>
  <w:num w:numId="16">
    <w:abstractNumId w:val="12"/>
  </w:num>
  <w:num w:numId="17">
    <w:abstractNumId w:val="9"/>
  </w:num>
  <w:num w:numId="18">
    <w:abstractNumId w:val="8"/>
  </w:num>
  <w:num w:numId="19">
    <w:abstractNumId w:val="3"/>
  </w:num>
  <w:num w:numId="20">
    <w:abstractNumId w:val="4"/>
  </w:num>
  <w:num w:numId="21">
    <w:abstractNumId w:val="18"/>
  </w:num>
  <w:num w:numId="22">
    <w:abstractNumId w:val="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Taylor">
    <w15:presenceInfo w15:providerId="Windows Live" w15:userId="2fd0cb8feeac4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193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65AF"/>
    <w:rsid w:val="0003721F"/>
    <w:rsid w:val="000404B0"/>
    <w:rsid w:val="0004212B"/>
    <w:rsid w:val="00044DEC"/>
    <w:rsid w:val="0004507B"/>
    <w:rsid w:val="0004647E"/>
    <w:rsid w:val="000465B9"/>
    <w:rsid w:val="0004715C"/>
    <w:rsid w:val="00047752"/>
    <w:rsid w:val="0005169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0AB2"/>
    <w:rsid w:val="000D486C"/>
    <w:rsid w:val="000D50AD"/>
    <w:rsid w:val="000D5B36"/>
    <w:rsid w:val="000E05AC"/>
    <w:rsid w:val="000E51CA"/>
    <w:rsid w:val="000E51D8"/>
    <w:rsid w:val="000F0EA4"/>
    <w:rsid w:val="000F0ECB"/>
    <w:rsid w:val="000F282C"/>
    <w:rsid w:val="000F3377"/>
    <w:rsid w:val="000F5238"/>
    <w:rsid w:val="000F5572"/>
    <w:rsid w:val="000F56F6"/>
    <w:rsid w:val="000F5B13"/>
    <w:rsid w:val="000F68E1"/>
    <w:rsid w:val="000F7AED"/>
    <w:rsid w:val="000F7DB1"/>
    <w:rsid w:val="00102967"/>
    <w:rsid w:val="001039F0"/>
    <w:rsid w:val="001048A9"/>
    <w:rsid w:val="00104DFA"/>
    <w:rsid w:val="00110E35"/>
    <w:rsid w:val="00111E4B"/>
    <w:rsid w:val="00120D27"/>
    <w:rsid w:val="00121B72"/>
    <w:rsid w:val="00122176"/>
    <w:rsid w:val="00125CD4"/>
    <w:rsid w:val="001277F0"/>
    <w:rsid w:val="0013137C"/>
    <w:rsid w:val="001336EA"/>
    <w:rsid w:val="00134081"/>
    <w:rsid w:val="00134515"/>
    <w:rsid w:val="0013475E"/>
    <w:rsid w:val="00137448"/>
    <w:rsid w:val="00140B6A"/>
    <w:rsid w:val="00140C54"/>
    <w:rsid w:val="00140EDB"/>
    <w:rsid w:val="00142677"/>
    <w:rsid w:val="00143087"/>
    <w:rsid w:val="001443EA"/>
    <w:rsid w:val="00147673"/>
    <w:rsid w:val="001503F6"/>
    <w:rsid w:val="00150E62"/>
    <w:rsid w:val="00153D2D"/>
    <w:rsid w:val="00157194"/>
    <w:rsid w:val="001606A0"/>
    <w:rsid w:val="00161E2C"/>
    <w:rsid w:val="0016320F"/>
    <w:rsid w:val="00163DC2"/>
    <w:rsid w:val="001659B2"/>
    <w:rsid w:val="0016618E"/>
    <w:rsid w:val="00166961"/>
    <w:rsid w:val="00166D93"/>
    <w:rsid w:val="00166F36"/>
    <w:rsid w:val="001719C4"/>
    <w:rsid w:val="00171A3C"/>
    <w:rsid w:val="00174FE7"/>
    <w:rsid w:val="00175643"/>
    <w:rsid w:val="00175E42"/>
    <w:rsid w:val="00176074"/>
    <w:rsid w:val="00176265"/>
    <w:rsid w:val="00184BD0"/>
    <w:rsid w:val="00184FF0"/>
    <w:rsid w:val="0018613F"/>
    <w:rsid w:val="00186AFA"/>
    <w:rsid w:val="00187163"/>
    <w:rsid w:val="001904EC"/>
    <w:rsid w:val="00190911"/>
    <w:rsid w:val="00195EC3"/>
    <w:rsid w:val="00195FF1"/>
    <w:rsid w:val="0019737E"/>
    <w:rsid w:val="001A3945"/>
    <w:rsid w:val="001A4B77"/>
    <w:rsid w:val="001A5263"/>
    <w:rsid w:val="001A6469"/>
    <w:rsid w:val="001A7DF6"/>
    <w:rsid w:val="001B1F90"/>
    <w:rsid w:val="001B5975"/>
    <w:rsid w:val="001B5A5C"/>
    <w:rsid w:val="001B766C"/>
    <w:rsid w:val="001C0AA9"/>
    <w:rsid w:val="001C3B23"/>
    <w:rsid w:val="001C5712"/>
    <w:rsid w:val="001C6D61"/>
    <w:rsid w:val="001C794E"/>
    <w:rsid w:val="001D19EB"/>
    <w:rsid w:val="001D22C2"/>
    <w:rsid w:val="001D48D4"/>
    <w:rsid w:val="001D4ADB"/>
    <w:rsid w:val="001D6B42"/>
    <w:rsid w:val="001E0762"/>
    <w:rsid w:val="001F2DFD"/>
    <w:rsid w:val="001F342F"/>
    <w:rsid w:val="001F3BB0"/>
    <w:rsid w:val="001F43BE"/>
    <w:rsid w:val="001F454C"/>
    <w:rsid w:val="001F4A23"/>
    <w:rsid w:val="001F7D5E"/>
    <w:rsid w:val="001F7DE1"/>
    <w:rsid w:val="002038B4"/>
    <w:rsid w:val="0020436C"/>
    <w:rsid w:val="00205AEA"/>
    <w:rsid w:val="00210581"/>
    <w:rsid w:val="002123FF"/>
    <w:rsid w:val="002143F5"/>
    <w:rsid w:val="00216FC7"/>
    <w:rsid w:val="0022085B"/>
    <w:rsid w:val="00221FFA"/>
    <w:rsid w:val="0022225C"/>
    <w:rsid w:val="0022235E"/>
    <w:rsid w:val="00222392"/>
    <w:rsid w:val="00223635"/>
    <w:rsid w:val="00225BF6"/>
    <w:rsid w:val="0022628B"/>
    <w:rsid w:val="00227A31"/>
    <w:rsid w:val="00231EA2"/>
    <w:rsid w:val="00235A71"/>
    <w:rsid w:val="00236ABD"/>
    <w:rsid w:val="002431C3"/>
    <w:rsid w:val="002439E3"/>
    <w:rsid w:val="00244B53"/>
    <w:rsid w:val="0024520B"/>
    <w:rsid w:val="0024588C"/>
    <w:rsid w:val="002474B4"/>
    <w:rsid w:val="00247BB5"/>
    <w:rsid w:val="00251322"/>
    <w:rsid w:val="002562CD"/>
    <w:rsid w:val="00257B3A"/>
    <w:rsid w:val="002623B8"/>
    <w:rsid w:val="00270FC7"/>
    <w:rsid w:val="00273102"/>
    <w:rsid w:val="002734F3"/>
    <w:rsid w:val="00274CA5"/>
    <w:rsid w:val="0027565F"/>
    <w:rsid w:val="0027648C"/>
    <w:rsid w:val="002771BA"/>
    <w:rsid w:val="00277A96"/>
    <w:rsid w:val="0028064E"/>
    <w:rsid w:val="002814CB"/>
    <w:rsid w:val="00283BAD"/>
    <w:rsid w:val="00283C06"/>
    <w:rsid w:val="00286BD7"/>
    <w:rsid w:val="0029163E"/>
    <w:rsid w:val="0029167B"/>
    <w:rsid w:val="00294C2A"/>
    <w:rsid w:val="002953EA"/>
    <w:rsid w:val="00295537"/>
    <w:rsid w:val="00296B63"/>
    <w:rsid w:val="002A2433"/>
    <w:rsid w:val="002A2C6F"/>
    <w:rsid w:val="002A3668"/>
    <w:rsid w:val="002B04A8"/>
    <w:rsid w:val="002B1A97"/>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1DF0"/>
    <w:rsid w:val="00304A79"/>
    <w:rsid w:val="00304E7A"/>
    <w:rsid w:val="003054B2"/>
    <w:rsid w:val="00305B82"/>
    <w:rsid w:val="00310B7F"/>
    <w:rsid w:val="003148CD"/>
    <w:rsid w:val="00316F54"/>
    <w:rsid w:val="00317AD7"/>
    <w:rsid w:val="00321325"/>
    <w:rsid w:val="003220A9"/>
    <w:rsid w:val="00324538"/>
    <w:rsid w:val="00325F72"/>
    <w:rsid w:val="00326801"/>
    <w:rsid w:val="0032772F"/>
    <w:rsid w:val="00327D2C"/>
    <w:rsid w:val="003305C3"/>
    <w:rsid w:val="00330C30"/>
    <w:rsid w:val="003327CC"/>
    <w:rsid w:val="00335A37"/>
    <w:rsid w:val="00337F0A"/>
    <w:rsid w:val="00340947"/>
    <w:rsid w:val="00343D5E"/>
    <w:rsid w:val="0034531E"/>
    <w:rsid w:val="00346B9E"/>
    <w:rsid w:val="0035008E"/>
    <w:rsid w:val="003532CC"/>
    <w:rsid w:val="00353453"/>
    <w:rsid w:val="00354CB8"/>
    <w:rsid w:val="0035564F"/>
    <w:rsid w:val="00356045"/>
    <w:rsid w:val="00357B53"/>
    <w:rsid w:val="00357D8C"/>
    <w:rsid w:val="0036045A"/>
    <w:rsid w:val="003623F9"/>
    <w:rsid w:val="00362786"/>
    <w:rsid w:val="00364AEC"/>
    <w:rsid w:val="00364ED2"/>
    <w:rsid w:val="00365D48"/>
    <w:rsid w:val="00367C1C"/>
    <w:rsid w:val="00370239"/>
    <w:rsid w:val="003708A5"/>
    <w:rsid w:val="0037397D"/>
    <w:rsid w:val="00374C88"/>
    <w:rsid w:val="00376637"/>
    <w:rsid w:val="00377AAD"/>
    <w:rsid w:val="003834F7"/>
    <w:rsid w:val="00384E41"/>
    <w:rsid w:val="0038574A"/>
    <w:rsid w:val="00386F1F"/>
    <w:rsid w:val="003874EA"/>
    <w:rsid w:val="003915BE"/>
    <w:rsid w:val="00392CB8"/>
    <w:rsid w:val="00394D81"/>
    <w:rsid w:val="003A13ED"/>
    <w:rsid w:val="003A1FCE"/>
    <w:rsid w:val="003A66C0"/>
    <w:rsid w:val="003B0ACC"/>
    <w:rsid w:val="003B2616"/>
    <w:rsid w:val="003B62F4"/>
    <w:rsid w:val="003B6BEA"/>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3903"/>
    <w:rsid w:val="003F4711"/>
    <w:rsid w:val="003F5C5E"/>
    <w:rsid w:val="003F73CB"/>
    <w:rsid w:val="00401766"/>
    <w:rsid w:val="00404BEC"/>
    <w:rsid w:val="00406F00"/>
    <w:rsid w:val="00406FBD"/>
    <w:rsid w:val="0041039F"/>
    <w:rsid w:val="00412D3D"/>
    <w:rsid w:val="00415811"/>
    <w:rsid w:val="004161B8"/>
    <w:rsid w:val="00420225"/>
    <w:rsid w:val="00420C6F"/>
    <w:rsid w:val="00421579"/>
    <w:rsid w:val="004219B7"/>
    <w:rsid w:val="00422C7A"/>
    <w:rsid w:val="00424DA8"/>
    <w:rsid w:val="004257F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9AE"/>
    <w:rsid w:val="00465C38"/>
    <w:rsid w:val="00470B59"/>
    <w:rsid w:val="0047111F"/>
    <w:rsid w:val="00471681"/>
    <w:rsid w:val="00472D63"/>
    <w:rsid w:val="00473E94"/>
    <w:rsid w:val="00481700"/>
    <w:rsid w:val="00485300"/>
    <w:rsid w:val="00487258"/>
    <w:rsid w:val="004875DF"/>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618"/>
    <w:rsid w:val="004C5DAA"/>
    <w:rsid w:val="004C75C9"/>
    <w:rsid w:val="004D1CDB"/>
    <w:rsid w:val="004D1E68"/>
    <w:rsid w:val="004D47BD"/>
    <w:rsid w:val="004D4A2F"/>
    <w:rsid w:val="004D5C3D"/>
    <w:rsid w:val="004E08FC"/>
    <w:rsid w:val="004E0E3E"/>
    <w:rsid w:val="004E1858"/>
    <w:rsid w:val="004E43DD"/>
    <w:rsid w:val="004E54E9"/>
    <w:rsid w:val="004E6C85"/>
    <w:rsid w:val="004F3E26"/>
    <w:rsid w:val="004F4806"/>
    <w:rsid w:val="00500CB8"/>
    <w:rsid w:val="00503747"/>
    <w:rsid w:val="00503DA7"/>
    <w:rsid w:val="0050638B"/>
    <w:rsid w:val="005070FA"/>
    <w:rsid w:val="0050716D"/>
    <w:rsid w:val="00512E1C"/>
    <w:rsid w:val="005130D0"/>
    <w:rsid w:val="00520EBE"/>
    <w:rsid w:val="00521032"/>
    <w:rsid w:val="00522C1D"/>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462"/>
    <w:rsid w:val="005549A1"/>
    <w:rsid w:val="00556CD0"/>
    <w:rsid w:val="00560644"/>
    <w:rsid w:val="0056215A"/>
    <w:rsid w:val="00562CCA"/>
    <w:rsid w:val="005658B4"/>
    <w:rsid w:val="005666AE"/>
    <w:rsid w:val="00573726"/>
    <w:rsid w:val="00573CF6"/>
    <w:rsid w:val="00575DF5"/>
    <w:rsid w:val="00577478"/>
    <w:rsid w:val="0058245B"/>
    <w:rsid w:val="00585DFE"/>
    <w:rsid w:val="00586088"/>
    <w:rsid w:val="005871A3"/>
    <w:rsid w:val="0058746D"/>
    <w:rsid w:val="00593672"/>
    <w:rsid w:val="00593FD0"/>
    <w:rsid w:val="0059422C"/>
    <w:rsid w:val="00594C5F"/>
    <w:rsid w:val="00595598"/>
    <w:rsid w:val="00595856"/>
    <w:rsid w:val="00597197"/>
    <w:rsid w:val="005A0E90"/>
    <w:rsid w:val="005A3FBA"/>
    <w:rsid w:val="005A5F44"/>
    <w:rsid w:val="005A6AA2"/>
    <w:rsid w:val="005B0890"/>
    <w:rsid w:val="005B203C"/>
    <w:rsid w:val="005B3342"/>
    <w:rsid w:val="005B3724"/>
    <w:rsid w:val="005B49DA"/>
    <w:rsid w:val="005B53B3"/>
    <w:rsid w:val="005B5C07"/>
    <w:rsid w:val="005B6651"/>
    <w:rsid w:val="005B69E8"/>
    <w:rsid w:val="005C08F4"/>
    <w:rsid w:val="005C0DE6"/>
    <w:rsid w:val="005C27AB"/>
    <w:rsid w:val="005C27F1"/>
    <w:rsid w:val="005C28E2"/>
    <w:rsid w:val="005C3E7E"/>
    <w:rsid w:val="005C46DB"/>
    <w:rsid w:val="005C4D32"/>
    <w:rsid w:val="005C4DCC"/>
    <w:rsid w:val="005C563F"/>
    <w:rsid w:val="005C5B7E"/>
    <w:rsid w:val="005C7BE8"/>
    <w:rsid w:val="005D03CA"/>
    <w:rsid w:val="005D1C0D"/>
    <w:rsid w:val="005D3411"/>
    <w:rsid w:val="005D426E"/>
    <w:rsid w:val="005D6FC8"/>
    <w:rsid w:val="005E1BBF"/>
    <w:rsid w:val="005E2EAF"/>
    <w:rsid w:val="005E391A"/>
    <w:rsid w:val="005E5619"/>
    <w:rsid w:val="005E592D"/>
    <w:rsid w:val="005E7648"/>
    <w:rsid w:val="005F080E"/>
    <w:rsid w:val="005F1943"/>
    <w:rsid w:val="005F3D2B"/>
    <w:rsid w:val="005F42C5"/>
    <w:rsid w:val="005F65F7"/>
    <w:rsid w:val="005F76F2"/>
    <w:rsid w:val="00600A66"/>
    <w:rsid w:val="006032C8"/>
    <w:rsid w:val="006045FC"/>
    <w:rsid w:val="00604FB8"/>
    <w:rsid w:val="00605496"/>
    <w:rsid w:val="00605E65"/>
    <w:rsid w:val="006076F5"/>
    <w:rsid w:val="0060771D"/>
    <w:rsid w:val="00610D74"/>
    <w:rsid w:val="0061288B"/>
    <w:rsid w:val="006143C2"/>
    <w:rsid w:val="006148A6"/>
    <w:rsid w:val="006171F3"/>
    <w:rsid w:val="00621475"/>
    <w:rsid w:val="00624E6A"/>
    <w:rsid w:val="00626C38"/>
    <w:rsid w:val="00627902"/>
    <w:rsid w:val="006300C9"/>
    <w:rsid w:val="006309A7"/>
    <w:rsid w:val="006370DF"/>
    <w:rsid w:val="006371D8"/>
    <w:rsid w:val="00640068"/>
    <w:rsid w:val="00643B6D"/>
    <w:rsid w:val="00644672"/>
    <w:rsid w:val="00647826"/>
    <w:rsid w:val="006479E7"/>
    <w:rsid w:val="00647E74"/>
    <w:rsid w:val="006517E0"/>
    <w:rsid w:val="00654E8A"/>
    <w:rsid w:val="00661B63"/>
    <w:rsid w:val="00662EE3"/>
    <w:rsid w:val="00663D53"/>
    <w:rsid w:val="00663F9C"/>
    <w:rsid w:val="006643D9"/>
    <w:rsid w:val="00664630"/>
    <w:rsid w:val="00664DF7"/>
    <w:rsid w:val="00667152"/>
    <w:rsid w:val="0067262C"/>
    <w:rsid w:val="006739A6"/>
    <w:rsid w:val="006755EE"/>
    <w:rsid w:val="00676157"/>
    <w:rsid w:val="00680129"/>
    <w:rsid w:val="00680869"/>
    <w:rsid w:val="00681F30"/>
    <w:rsid w:val="0068233E"/>
    <w:rsid w:val="00685B4B"/>
    <w:rsid w:val="00686EC2"/>
    <w:rsid w:val="006962DB"/>
    <w:rsid w:val="00696394"/>
    <w:rsid w:val="00697AF2"/>
    <w:rsid w:val="00697C97"/>
    <w:rsid w:val="00697E02"/>
    <w:rsid w:val="006A011F"/>
    <w:rsid w:val="006A2D29"/>
    <w:rsid w:val="006A2DC5"/>
    <w:rsid w:val="006A551E"/>
    <w:rsid w:val="006A7044"/>
    <w:rsid w:val="006A7CB6"/>
    <w:rsid w:val="006B1A72"/>
    <w:rsid w:val="006B2670"/>
    <w:rsid w:val="006B49A6"/>
    <w:rsid w:val="006B6E1C"/>
    <w:rsid w:val="006B7DCE"/>
    <w:rsid w:val="006C07A6"/>
    <w:rsid w:val="006C15A4"/>
    <w:rsid w:val="006C253F"/>
    <w:rsid w:val="006C280E"/>
    <w:rsid w:val="006C36A4"/>
    <w:rsid w:val="006C5042"/>
    <w:rsid w:val="006D0D46"/>
    <w:rsid w:val="006D16C7"/>
    <w:rsid w:val="006D1B4B"/>
    <w:rsid w:val="006D1C04"/>
    <w:rsid w:val="006D2EDD"/>
    <w:rsid w:val="006D3D74"/>
    <w:rsid w:val="006D4C8F"/>
    <w:rsid w:val="006D6889"/>
    <w:rsid w:val="006E089C"/>
    <w:rsid w:val="006E1765"/>
    <w:rsid w:val="006E1C6B"/>
    <w:rsid w:val="006E40E3"/>
    <w:rsid w:val="006E5144"/>
    <w:rsid w:val="006E6ED7"/>
    <w:rsid w:val="006E75D0"/>
    <w:rsid w:val="006F1DBA"/>
    <w:rsid w:val="0070012D"/>
    <w:rsid w:val="00700F63"/>
    <w:rsid w:val="0070211A"/>
    <w:rsid w:val="00702CC2"/>
    <w:rsid w:val="00702F26"/>
    <w:rsid w:val="0071010B"/>
    <w:rsid w:val="007123AD"/>
    <w:rsid w:val="00712EA3"/>
    <w:rsid w:val="00714F5F"/>
    <w:rsid w:val="007156A9"/>
    <w:rsid w:val="0071617F"/>
    <w:rsid w:val="0072061E"/>
    <w:rsid w:val="007244AD"/>
    <w:rsid w:val="0072451D"/>
    <w:rsid w:val="00724E3B"/>
    <w:rsid w:val="00725FEE"/>
    <w:rsid w:val="00726590"/>
    <w:rsid w:val="007312FD"/>
    <w:rsid w:val="00731F93"/>
    <w:rsid w:val="00732E78"/>
    <w:rsid w:val="00734330"/>
    <w:rsid w:val="007407DA"/>
    <w:rsid w:val="00740F2E"/>
    <w:rsid w:val="00740F79"/>
    <w:rsid w:val="00741FFA"/>
    <w:rsid w:val="007423BD"/>
    <w:rsid w:val="007423E6"/>
    <w:rsid w:val="00742761"/>
    <w:rsid w:val="00742CC2"/>
    <w:rsid w:val="00743B36"/>
    <w:rsid w:val="00745939"/>
    <w:rsid w:val="007459F3"/>
    <w:rsid w:val="00753402"/>
    <w:rsid w:val="007542C6"/>
    <w:rsid w:val="00754819"/>
    <w:rsid w:val="00757339"/>
    <w:rsid w:val="0075747C"/>
    <w:rsid w:val="00764771"/>
    <w:rsid w:val="007730F1"/>
    <w:rsid w:val="007744F6"/>
    <w:rsid w:val="007769C1"/>
    <w:rsid w:val="0077777F"/>
    <w:rsid w:val="00780037"/>
    <w:rsid w:val="00781D3C"/>
    <w:rsid w:val="00782404"/>
    <w:rsid w:val="00782B9E"/>
    <w:rsid w:val="00783124"/>
    <w:rsid w:val="007853D6"/>
    <w:rsid w:val="00785892"/>
    <w:rsid w:val="00787AB4"/>
    <w:rsid w:val="00790C12"/>
    <w:rsid w:val="00790EE8"/>
    <w:rsid w:val="007915D6"/>
    <w:rsid w:val="0079480D"/>
    <w:rsid w:val="0079639D"/>
    <w:rsid w:val="007965B7"/>
    <w:rsid w:val="007A080D"/>
    <w:rsid w:val="007A1010"/>
    <w:rsid w:val="007A195A"/>
    <w:rsid w:val="007A28F9"/>
    <w:rsid w:val="007A5486"/>
    <w:rsid w:val="007A77C8"/>
    <w:rsid w:val="007B03FF"/>
    <w:rsid w:val="007B0A91"/>
    <w:rsid w:val="007B245C"/>
    <w:rsid w:val="007B25C9"/>
    <w:rsid w:val="007B3175"/>
    <w:rsid w:val="007B5659"/>
    <w:rsid w:val="007B56CD"/>
    <w:rsid w:val="007C07B7"/>
    <w:rsid w:val="007C1DDE"/>
    <w:rsid w:val="007C7CA9"/>
    <w:rsid w:val="007D21F2"/>
    <w:rsid w:val="007D708F"/>
    <w:rsid w:val="007D7208"/>
    <w:rsid w:val="007D7C17"/>
    <w:rsid w:val="007E491D"/>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1533"/>
    <w:rsid w:val="00822FAC"/>
    <w:rsid w:val="008259DF"/>
    <w:rsid w:val="00825E10"/>
    <w:rsid w:val="00826D10"/>
    <w:rsid w:val="00831D12"/>
    <w:rsid w:val="008331BA"/>
    <w:rsid w:val="00842B81"/>
    <w:rsid w:val="00844A5C"/>
    <w:rsid w:val="008512DF"/>
    <w:rsid w:val="00851486"/>
    <w:rsid w:val="008534A3"/>
    <w:rsid w:val="0085352B"/>
    <w:rsid w:val="00854001"/>
    <w:rsid w:val="0085464F"/>
    <w:rsid w:val="008572CC"/>
    <w:rsid w:val="008578CF"/>
    <w:rsid w:val="008605DC"/>
    <w:rsid w:val="00862C04"/>
    <w:rsid w:val="00862E1C"/>
    <w:rsid w:val="00863AB1"/>
    <w:rsid w:val="0086606E"/>
    <w:rsid w:val="00867162"/>
    <w:rsid w:val="0087205A"/>
    <w:rsid w:val="00876120"/>
    <w:rsid w:val="008775D1"/>
    <w:rsid w:val="008820BE"/>
    <w:rsid w:val="00883365"/>
    <w:rsid w:val="00890DD2"/>
    <w:rsid w:val="008927DF"/>
    <w:rsid w:val="00896DC1"/>
    <w:rsid w:val="008A0E9A"/>
    <w:rsid w:val="008A1257"/>
    <w:rsid w:val="008A2477"/>
    <w:rsid w:val="008A42F2"/>
    <w:rsid w:val="008A70B5"/>
    <w:rsid w:val="008A7BC8"/>
    <w:rsid w:val="008B1A2E"/>
    <w:rsid w:val="008B4E71"/>
    <w:rsid w:val="008C0FBD"/>
    <w:rsid w:val="008C1485"/>
    <w:rsid w:val="008C222D"/>
    <w:rsid w:val="008C3D7F"/>
    <w:rsid w:val="008C573E"/>
    <w:rsid w:val="008C6814"/>
    <w:rsid w:val="008C705E"/>
    <w:rsid w:val="008C7101"/>
    <w:rsid w:val="008C7206"/>
    <w:rsid w:val="008D3054"/>
    <w:rsid w:val="008D3EAC"/>
    <w:rsid w:val="008D45B3"/>
    <w:rsid w:val="008D58F4"/>
    <w:rsid w:val="008D66DC"/>
    <w:rsid w:val="008E3731"/>
    <w:rsid w:val="008E5B09"/>
    <w:rsid w:val="008E77A7"/>
    <w:rsid w:val="008F17AB"/>
    <w:rsid w:val="008F1FAC"/>
    <w:rsid w:val="008F6BD3"/>
    <w:rsid w:val="00900C21"/>
    <w:rsid w:val="00902318"/>
    <w:rsid w:val="00903521"/>
    <w:rsid w:val="00904D1E"/>
    <w:rsid w:val="009069F4"/>
    <w:rsid w:val="0091006B"/>
    <w:rsid w:val="00910846"/>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58F7"/>
    <w:rsid w:val="0096658E"/>
    <w:rsid w:val="00967844"/>
    <w:rsid w:val="009678A3"/>
    <w:rsid w:val="0097280B"/>
    <w:rsid w:val="0097710C"/>
    <w:rsid w:val="00980840"/>
    <w:rsid w:val="0098416B"/>
    <w:rsid w:val="009852B8"/>
    <w:rsid w:val="0098563E"/>
    <w:rsid w:val="00990350"/>
    <w:rsid w:val="00994326"/>
    <w:rsid w:val="00996D8C"/>
    <w:rsid w:val="00997755"/>
    <w:rsid w:val="009A098F"/>
    <w:rsid w:val="009A0D29"/>
    <w:rsid w:val="009A124F"/>
    <w:rsid w:val="009A12F5"/>
    <w:rsid w:val="009A1B0D"/>
    <w:rsid w:val="009A299E"/>
    <w:rsid w:val="009A348E"/>
    <w:rsid w:val="009A5A05"/>
    <w:rsid w:val="009A7375"/>
    <w:rsid w:val="009B00D5"/>
    <w:rsid w:val="009B1FEF"/>
    <w:rsid w:val="009B3DCB"/>
    <w:rsid w:val="009B5355"/>
    <w:rsid w:val="009C11F1"/>
    <w:rsid w:val="009C2FCF"/>
    <w:rsid w:val="009C32A8"/>
    <w:rsid w:val="009C3937"/>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8E0"/>
    <w:rsid w:val="009F7B3B"/>
    <w:rsid w:val="00A00EAD"/>
    <w:rsid w:val="00A020E6"/>
    <w:rsid w:val="00A022FA"/>
    <w:rsid w:val="00A03F92"/>
    <w:rsid w:val="00A0571E"/>
    <w:rsid w:val="00A11825"/>
    <w:rsid w:val="00A1195A"/>
    <w:rsid w:val="00A11CA8"/>
    <w:rsid w:val="00A1273D"/>
    <w:rsid w:val="00A14889"/>
    <w:rsid w:val="00A151CB"/>
    <w:rsid w:val="00A15E07"/>
    <w:rsid w:val="00A16E4D"/>
    <w:rsid w:val="00A21AF7"/>
    <w:rsid w:val="00A2210A"/>
    <w:rsid w:val="00A22AC0"/>
    <w:rsid w:val="00A31439"/>
    <w:rsid w:val="00A32E71"/>
    <w:rsid w:val="00A33D18"/>
    <w:rsid w:val="00A3590B"/>
    <w:rsid w:val="00A37599"/>
    <w:rsid w:val="00A37B51"/>
    <w:rsid w:val="00A42171"/>
    <w:rsid w:val="00A425AD"/>
    <w:rsid w:val="00A4462E"/>
    <w:rsid w:val="00A44DA3"/>
    <w:rsid w:val="00A463F8"/>
    <w:rsid w:val="00A52F1A"/>
    <w:rsid w:val="00A561F8"/>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0723"/>
    <w:rsid w:val="00AB1CA2"/>
    <w:rsid w:val="00AB2016"/>
    <w:rsid w:val="00AB4558"/>
    <w:rsid w:val="00AB730B"/>
    <w:rsid w:val="00AB7485"/>
    <w:rsid w:val="00AB797C"/>
    <w:rsid w:val="00AC4953"/>
    <w:rsid w:val="00AD0CDE"/>
    <w:rsid w:val="00AD1544"/>
    <w:rsid w:val="00AD3B04"/>
    <w:rsid w:val="00AD3E00"/>
    <w:rsid w:val="00AD7710"/>
    <w:rsid w:val="00AD7971"/>
    <w:rsid w:val="00AE06D5"/>
    <w:rsid w:val="00AE639D"/>
    <w:rsid w:val="00AF2692"/>
    <w:rsid w:val="00AF3424"/>
    <w:rsid w:val="00AF4700"/>
    <w:rsid w:val="00AF5318"/>
    <w:rsid w:val="00AF708A"/>
    <w:rsid w:val="00AF7C8E"/>
    <w:rsid w:val="00B017D5"/>
    <w:rsid w:val="00B01A42"/>
    <w:rsid w:val="00B02D84"/>
    <w:rsid w:val="00B03F1A"/>
    <w:rsid w:val="00B04EEE"/>
    <w:rsid w:val="00B05B15"/>
    <w:rsid w:val="00B068AD"/>
    <w:rsid w:val="00B07C64"/>
    <w:rsid w:val="00B124EA"/>
    <w:rsid w:val="00B12937"/>
    <w:rsid w:val="00B14944"/>
    <w:rsid w:val="00B14B92"/>
    <w:rsid w:val="00B14F1F"/>
    <w:rsid w:val="00B172A0"/>
    <w:rsid w:val="00B227EA"/>
    <w:rsid w:val="00B239E2"/>
    <w:rsid w:val="00B26934"/>
    <w:rsid w:val="00B27C5C"/>
    <w:rsid w:val="00B31D91"/>
    <w:rsid w:val="00B33636"/>
    <w:rsid w:val="00B33867"/>
    <w:rsid w:val="00B3478A"/>
    <w:rsid w:val="00B3530C"/>
    <w:rsid w:val="00B36E03"/>
    <w:rsid w:val="00B403EA"/>
    <w:rsid w:val="00B41CDB"/>
    <w:rsid w:val="00B43F58"/>
    <w:rsid w:val="00B44BD7"/>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B17"/>
    <w:rsid w:val="00B86F7D"/>
    <w:rsid w:val="00B87414"/>
    <w:rsid w:val="00B9349D"/>
    <w:rsid w:val="00B94224"/>
    <w:rsid w:val="00B95DA0"/>
    <w:rsid w:val="00B96D77"/>
    <w:rsid w:val="00B96EB7"/>
    <w:rsid w:val="00B97CC4"/>
    <w:rsid w:val="00BA1AE5"/>
    <w:rsid w:val="00BA3111"/>
    <w:rsid w:val="00BA6EEC"/>
    <w:rsid w:val="00BB070E"/>
    <w:rsid w:val="00BB0EE2"/>
    <w:rsid w:val="00BB17EA"/>
    <w:rsid w:val="00BB36F5"/>
    <w:rsid w:val="00BC1400"/>
    <w:rsid w:val="00BC1747"/>
    <w:rsid w:val="00BC27A7"/>
    <w:rsid w:val="00BC54AB"/>
    <w:rsid w:val="00BC6025"/>
    <w:rsid w:val="00BC60C2"/>
    <w:rsid w:val="00BD2163"/>
    <w:rsid w:val="00BD4347"/>
    <w:rsid w:val="00BD437C"/>
    <w:rsid w:val="00BD5F33"/>
    <w:rsid w:val="00BD74E6"/>
    <w:rsid w:val="00BE1AD1"/>
    <w:rsid w:val="00BE1DAF"/>
    <w:rsid w:val="00BE541E"/>
    <w:rsid w:val="00BF0B6D"/>
    <w:rsid w:val="00BF0D55"/>
    <w:rsid w:val="00BF1192"/>
    <w:rsid w:val="00BF2184"/>
    <w:rsid w:val="00BF3CA8"/>
    <w:rsid w:val="00BF5A0B"/>
    <w:rsid w:val="00BF5FCE"/>
    <w:rsid w:val="00BF6BED"/>
    <w:rsid w:val="00BF7D17"/>
    <w:rsid w:val="00C0161F"/>
    <w:rsid w:val="00C05075"/>
    <w:rsid w:val="00C07082"/>
    <w:rsid w:val="00C112BD"/>
    <w:rsid w:val="00C12A8E"/>
    <w:rsid w:val="00C13DBC"/>
    <w:rsid w:val="00C146C0"/>
    <w:rsid w:val="00C1739B"/>
    <w:rsid w:val="00C17E9B"/>
    <w:rsid w:val="00C21C96"/>
    <w:rsid w:val="00C22491"/>
    <w:rsid w:val="00C24707"/>
    <w:rsid w:val="00C25B3A"/>
    <w:rsid w:val="00C26F5C"/>
    <w:rsid w:val="00C27FE0"/>
    <w:rsid w:val="00C30652"/>
    <w:rsid w:val="00C3511A"/>
    <w:rsid w:val="00C359A5"/>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87E02"/>
    <w:rsid w:val="00C92538"/>
    <w:rsid w:val="00C936E0"/>
    <w:rsid w:val="00C9778F"/>
    <w:rsid w:val="00C97D1B"/>
    <w:rsid w:val="00CA087C"/>
    <w:rsid w:val="00CA2C5C"/>
    <w:rsid w:val="00CA315F"/>
    <w:rsid w:val="00CA4B64"/>
    <w:rsid w:val="00CA4BC6"/>
    <w:rsid w:val="00CA5065"/>
    <w:rsid w:val="00CA51E2"/>
    <w:rsid w:val="00CA54F3"/>
    <w:rsid w:val="00CA72FB"/>
    <w:rsid w:val="00CB06C8"/>
    <w:rsid w:val="00CB38B5"/>
    <w:rsid w:val="00CB3AEC"/>
    <w:rsid w:val="00CB5993"/>
    <w:rsid w:val="00CB73DE"/>
    <w:rsid w:val="00CB74EF"/>
    <w:rsid w:val="00CB7DC6"/>
    <w:rsid w:val="00CC036A"/>
    <w:rsid w:val="00CC2EEE"/>
    <w:rsid w:val="00CC308E"/>
    <w:rsid w:val="00CC51C7"/>
    <w:rsid w:val="00CC66BE"/>
    <w:rsid w:val="00CC6D33"/>
    <w:rsid w:val="00CC7B71"/>
    <w:rsid w:val="00CC7F12"/>
    <w:rsid w:val="00CD0945"/>
    <w:rsid w:val="00CE42C2"/>
    <w:rsid w:val="00CE439D"/>
    <w:rsid w:val="00CE4DF9"/>
    <w:rsid w:val="00CE7442"/>
    <w:rsid w:val="00CF25A1"/>
    <w:rsid w:val="00CF3A7A"/>
    <w:rsid w:val="00CF7E6D"/>
    <w:rsid w:val="00D000D0"/>
    <w:rsid w:val="00D0041E"/>
    <w:rsid w:val="00D026A5"/>
    <w:rsid w:val="00D04716"/>
    <w:rsid w:val="00D05BD4"/>
    <w:rsid w:val="00D0661E"/>
    <w:rsid w:val="00D07AD6"/>
    <w:rsid w:val="00D107B7"/>
    <w:rsid w:val="00D11AF6"/>
    <w:rsid w:val="00D12BAF"/>
    <w:rsid w:val="00D1468B"/>
    <w:rsid w:val="00D15E24"/>
    <w:rsid w:val="00D161DC"/>
    <w:rsid w:val="00D1634B"/>
    <w:rsid w:val="00D1685A"/>
    <w:rsid w:val="00D169E7"/>
    <w:rsid w:val="00D17036"/>
    <w:rsid w:val="00D20202"/>
    <w:rsid w:val="00D21249"/>
    <w:rsid w:val="00D22B4C"/>
    <w:rsid w:val="00D251C0"/>
    <w:rsid w:val="00D3153D"/>
    <w:rsid w:val="00D31E98"/>
    <w:rsid w:val="00D34F52"/>
    <w:rsid w:val="00D37A25"/>
    <w:rsid w:val="00D37C30"/>
    <w:rsid w:val="00D405A9"/>
    <w:rsid w:val="00D458D8"/>
    <w:rsid w:val="00D46BF9"/>
    <w:rsid w:val="00D5051B"/>
    <w:rsid w:val="00D527E8"/>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051B"/>
    <w:rsid w:val="00D821FD"/>
    <w:rsid w:val="00D85825"/>
    <w:rsid w:val="00D911C9"/>
    <w:rsid w:val="00D9312D"/>
    <w:rsid w:val="00D93A6F"/>
    <w:rsid w:val="00D97D8E"/>
    <w:rsid w:val="00DA0D4D"/>
    <w:rsid w:val="00DA1AC4"/>
    <w:rsid w:val="00DA2725"/>
    <w:rsid w:val="00DA2EA3"/>
    <w:rsid w:val="00DA32EF"/>
    <w:rsid w:val="00DA3896"/>
    <w:rsid w:val="00DA396F"/>
    <w:rsid w:val="00DA3997"/>
    <w:rsid w:val="00DA3F3D"/>
    <w:rsid w:val="00DA4907"/>
    <w:rsid w:val="00DA4DCC"/>
    <w:rsid w:val="00DA4E62"/>
    <w:rsid w:val="00DA4F45"/>
    <w:rsid w:val="00DA708C"/>
    <w:rsid w:val="00DA7ACD"/>
    <w:rsid w:val="00DB2340"/>
    <w:rsid w:val="00DB3D58"/>
    <w:rsid w:val="00DB4187"/>
    <w:rsid w:val="00DB7BC6"/>
    <w:rsid w:val="00DC14CE"/>
    <w:rsid w:val="00DC23F4"/>
    <w:rsid w:val="00DC5ECF"/>
    <w:rsid w:val="00DC66B3"/>
    <w:rsid w:val="00DC7B2C"/>
    <w:rsid w:val="00DD0142"/>
    <w:rsid w:val="00DD0C75"/>
    <w:rsid w:val="00DD3986"/>
    <w:rsid w:val="00DD5AC2"/>
    <w:rsid w:val="00DE1D9B"/>
    <w:rsid w:val="00DE4A32"/>
    <w:rsid w:val="00DE629E"/>
    <w:rsid w:val="00DE7FD8"/>
    <w:rsid w:val="00DF0FEF"/>
    <w:rsid w:val="00DF138C"/>
    <w:rsid w:val="00DF3083"/>
    <w:rsid w:val="00DF3164"/>
    <w:rsid w:val="00DF4F75"/>
    <w:rsid w:val="00DF6144"/>
    <w:rsid w:val="00E00727"/>
    <w:rsid w:val="00E03A2E"/>
    <w:rsid w:val="00E058F9"/>
    <w:rsid w:val="00E108E9"/>
    <w:rsid w:val="00E12168"/>
    <w:rsid w:val="00E14D03"/>
    <w:rsid w:val="00E15AF8"/>
    <w:rsid w:val="00E161D4"/>
    <w:rsid w:val="00E22916"/>
    <w:rsid w:val="00E22ABD"/>
    <w:rsid w:val="00E25A1F"/>
    <w:rsid w:val="00E27624"/>
    <w:rsid w:val="00E278A6"/>
    <w:rsid w:val="00E30951"/>
    <w:rsid w:val="00E30989"/>
    <w:rsid w:val="00E313BC"/>
    <w:rsid w:val="00E32EC6"/>
    <w:rsid w:val="00E33B7A"/>
    <w:rsid w:val="00E3645F"/>
    <w:rsid w:val="00E36D7F"/>
    <w:rsid w:val="00E376FE"/>
    <w:rsid w:val="00E4189B"/>
    <w:rsid w:val="00E4356F"/>
    <w:rsid w:val="00E51CD3"/>
    <w:rsid w:val="00E522BA"/>
    <w:rsid w:val="00E54DD1"/>
    <w:rsid w:val="00E55CAF"/>
    <w:rsid w:val="00E57DCA"/>
    <w:rsid w:val="00E609EC"/>
    <w:rsid w:val="00E62837"/>
    <w:rsid w:val="00E65419"/>
    <w:rsid w:val="00E65F6E"/>
    <w:rsid w:val="00E666FE"/>
    <w:rsid w:val="00E708D9"/>
    <w:rsid w:val="00E70942"/>
    <w:rsid w:val="00E7107D"/>
    <w:rsid w:val="00E71274"/>
    <w:rsid w:val="00E74CF2"/>
    <w:rsid w:val="00E82126"/>
    <w:rsid w:val="00E82C38"/>
    <w:rsid w:val="00E860F9"/>
    <w:rsid w:val="00E87EAF"/>
    <w:rsid w:val="00E907E4"/>
    <w:rsid w:val="00E91325"/>
    <w:rsid w:val="00E95621"/>
    <w:rsid w:val="00E965C0"/>
    <w:rsid w:val="00E97AF6"/>
    <w:rsid w:val="00EA472D"/>
    <w:rsid w:val="00EA4790"/>
    <w:rsid w:val="00EA5513"/>
    <w:rsid w:val="00EA5580"/>
    <w:rsid w:val="00EA6F53"/>
    <w:rsid w:val="00EB26C5"/>
    <w:rsid w:val="00EB36B7"/>
    <w:rsid w:val="00EB50E7"/>
    <w:rsid w:val="00EB5CD1"/>
    <w:rsid w:val="00EB7E56"/>
    <w:rsid w:val="00EC04FE"/>
    <w:rsid w:val="00EC16C4"/>
    <w:rsid w:val="00EC3251"/>
    <w:rsid w:val="00EC68D3"/>
    <w:rsid w:val="00EC6E5B"/>
    <w:rsid w:val="00ED040C"/>
    <w:rsid w:val="00ED2A11"/>
    <w:rsid w:val="00ED2E15"/>
    <w:rsid w:val="00ED3162"/>
    <w:rsid w:val="00ED5D91"/>
    <w:rsid w:val="00ED70B2"/>
    <w:rsid w:val="00ED71B5"/>
    <w:rsid w:val="00EE0D88"/>
    <w:rsid w:val="00EE2045"/>
    <w:rsid w:val="00EE3A33"/>
    <w:rsid w:val="00EE4FA7"/>
    <w:rsid w:val="00EE56B4"/>
    <w:rsid w:val="00EE684E"/>
    <w:rsid w:val="00EE78C6"/>
    <w:rsid w:val="00EF38F3"/>
    <w:rsid w:val="00EF47DE"/>
    <w:rsid w:val="00EF4862"/>
    <w:rsid w:val="00EF50FD"/>
    <w:rsid w:val="00EF61D4"/>
    <w:rsid w:val="00EF62FF"/>
    <w:rsid w:val="00EF6494"/>
    <w:rsid w:val="00F00B46"/>
    <w:rsid w:val="00F00F8C"/>
    <w:rsid w:val="00F01AC2"/>
    <w:rsid w:val="00F01C1A"/>
    <w:rsid w:val="00F02081"/>
    <w:rsid w:val="00F0731A"/>
    <w:rsid w:val="00F10720"/>
    <w:rsid w:val="00F11A9F"/>
    <w:rsid w:val="00F130C0"/>
    <w:rsid w:val="00F15743"/>
    <w:rsid w:val="00F158E0"/>
    <w:rsid w:val="00F159B3"/>
    <w:rsid w:val="00F15B0F"/>
    <w:rsid w:val="00F15F8F"/>
    <w:rsid w:val="00F20783"/>
    <w:rsid w:val="00F238FC"/>
    <w:rsid w:val="00F24415"/>
    <w:rsid w:val="00F25C20"/>
    <w:rsid w:val="00F2626A"/>
    <w:rsid w:val="00F31D8E"/>
    <w:rsid w:val="00F32A37"/>
    <w:rsid w:val="00F338BB"/>
    <w:rsid w:val="00F36732"/>
    <w:rsid w:val="00F36AE9"/>
    <w:rsid w:val="00F36F0E"/>
    <w:rsid w:val="00F4613F"/>
    <w:rsid w:val="00F464F1"/>
    <w:rsid w:val="00F4650B"/>
    <w:rsid w:val="00F4753A"/>
    <w:rsid w:val="00F5199C"/>
    <w:rsid w:val="00F52E5B"/>
    <w:rsid w:val="00F534F3"/>
    <w:rsid w:val="00F53D11"/>
    <w:rsid w:val="00F54B43"/>
    <w:rsid w:val="00F576F3"/>
    <w:rsid w:val="00F57AAB"/>
    <w:rsid w:val="00F61167"/>
    <w:rsid w:val="00F61B8C"/>
    <w:rsid w:val="00F6461F"/>
    <w:rsid w:val="00F64FF4"/>
    <w:rsid w:val="00F654B3"/>
    <w:rsid w:val="00F67E91"/>
    <w:rsid w:val="00F70CE2"/>
    <w:rsid w:val="00F70D20"/>
    <w:rsid w:val="00F72C33"/>
    <w:rsid w:val="00F72EC7"/>
    <w:rsid w:val="00F75710"/>
    <w:rsid w:val="00F76360"/>
    <w:rsid w:val="00F772D5"/>
    <w:rsid w:val="00F77DCA"/>
    <w:rsid w:val="00F80546"/>
    <w:rsid w:val="00F80BC4"/>
    <w:rsid w:val="00F80D83"/>
    <w:rsid w:val="00F8165C"/>
    <w:rsid w:val="00F85700"/>
    <w:rsid w:val="00F86745"/>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BFB"/>
    <w:rsid w:val="00FD2F70"/>
    <w:rsid w:val="00FD3497"/>
    <w:rsid w:val="00FD4821"/>
    <w:rsid w:val="00FD7050"/>
    <w:rsid w:val="00FD7B0C"/>
    <w:rsid w:val="00FE1538"/>
    <w:rsid w:val="00FE31F1"/>
    <w:rsid w:val="00FE46F7"/>
    <w:rsid w:val="00FE48C1"/>
    <w:rsid w:val="00FF0025"/>
    <w:rsid w:val="00FF277D"/>
    <w:rsid w:val="00FF2986"/>
    <w:rsid w:val="00FF333F"/>
    <w:rsid w:val="00FF3DE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8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 w:type="paragraph" w:customStyle="1" w:styleId="LOGO">
    <w:name w:val="LOGO"/>
    <w:basedOn w:val="Normal"/>
    <w:rsid w:val="007C7CA9"/>
    <w:pPr>
      <w:jc w:val="center"/>
    </w:pPr>
    <w:rPr>
      <w:rFonts w:ascii="Arial" w:hAnsi="Arial"/>
      <w:b/>
      <w:i/>
      <w:sz w:val="20"/>
    </w:rPr>
  </w:style>
  <w:style w:type="character" w:customStyle="1" w:styleId="FooterChar">
    <w:name w:val="Footer Char"/>
    <w:basedOn w:val="DefaultParagraphFont"/>
    <w:link w:val="Footer"/>
    <w:uiPriority w:val="99"/>
    <w:rsid w:val="00C07082"/>
    <w:rPr>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character" w:customStyle="1" w:styleId="st">
    <w:name w:val="st"/>
    <w:basedOn w:val="DefaultParagraphFont"/>
    <w:rsid w:val="00C17E9B"/>
  </w:style>
  <w:style w:type="paragraph" w:customStyle="1" w:styleId="LOGO">
    <w:name w:val="LOGO"/>
    <w:basedOn w:val="Normal"/>
    <w:rsid w:val="007C7CA9"/>
    <w:pPr>
      <w:jc w:val="center"/>
    </w:pPr>
    <w:rPr>
      <w:rFonts w:ascii="Arial" w:hAnsi="Arial"/>
      <w:b/>
      <w:i/>
      <w:sz w:val="20"/>
    </w:rPr>
  </w:style>
  <w:style w:type="character" w:customStyle="1" w:styleId="FooterChar">
    <w:name w:val="Footer Char"/>
    <w:basedOn w:val="DefaultParagraphFont"/>
    <w:link w:val="Footer"/>
    <w:uiPriority w:val="99"/>
    <w:rsid w:val="00C07082"/>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2701208">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131061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16524505">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vent.com/events/11th-european-nuclear-energy-forum/custom-17-94693349867e4410b50695050116bbf7.aspx" TargetMode="External"/><Relationship Id="rId2" Type="http://schemas.openxmlformats.org/officeDocument/2006/relationships/customXml" Target="../customXml/item2.xml"/><Relationship Id="rId16" Type="http://schemas.openxmlformats.org/officeDocument/2006/relationships/hyperlink" Target="http://www.ensre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eur-lex.europa.eu/legal-content/fr/TXT/?uri=CELEX:32011L0070&amp;qid=1397211079180" TargetMode="Externa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ur-lex.europa.eu/legal-content/fr/TXT/?uri=CELEX:52003PC037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3XPXQ63Y2AW3-9-41</_dlc_DocId>
    <_dlc_DocIdUrl xmlns="8835a8a4-5a07-4207-ac1e-223f88a8f7af">
      <Url>http://dm/EESC/2016/_layouts/DocIdRedir.aspx?ID=3XPXQ63Y2AW3-9-41</Url>
      <Description>3XPXQ63Y2AW3-9-41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2016-09-21T12:00:00+00:00</ProductionDate>
    <FicheYear xmlns="8835a8a4-5a07-4207-ac1e-223f88a8f7af">2016</FicheYear>
    <DocumentNumber xmlns="fdc3d2aa-8103-4135-a18e-08b5be4f3e76">5029</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10350</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fdc3d2aa-8103-4135-a18e-08b5be4f3e76"/>
  </ds:schemaRefs>
</ds:datastoreItem>
</file>

<file path=customXml/itemProps2.xml><?xml version="1.0" encoding="utf-8"?>
<ds:datastoreItem xmlns:ds="http://schemas.openxmlformats.org/officeDocument/2006/customXml" ds:itemID="{E298A1D6-A6F5-42FD-BE71-46995D4D8461}">
  <ds:schemaRefs>
    <ds:schemaRef ds:uri="http://schemas.microsoft.com/sharepoint/event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5.xml><?xml version="1.0" encoding="utf-8"?>
<ds:datastoreItem xmlns:ds="http://schemas.openxmlformats.org/officeDocument/2006/customXml" ds:itemID="{7A041E1E-899C-4594-B26E-E8CA1BD9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83483B-4AFC-4082-8219-22552894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1389</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Fiche d'information - le programme indicatif nucléaire</vt:lpstr>
    </vt:vector>
  </TitlesOfParts>
  <Company>CESE-CdR</Company>
  <LinksUpToDate>false</LinksUpToDate>
  <CharactersWithSpaces>9014</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 - le programme indicatif nucléaire</dc:title>
  <dc:subject>Communiqué de presse</dc:subject>
  <dc:creator>Milen Minchev</dc:creator>
  <cp:keywords>EESC-2016-05029-00-00-CP-TRA-FR</cp:keywords>
  <dc:description>Rapporteur : -_x000d_
Langue originale : EN_x000d_
Date du document : 21/09/2016_x000d_
Date de la réunion : _x000d_
Documents externes : -_x000d_
Fonctionnaire responsable : ALIBERT CAROLINE, téléphone : + 2 546 9406_x000d_
_x000d_
Résumé :</dc:description>
  <cp:lastModifiedBy>Milen Minchev</cp:lastModifiedBy>
  <cp:revision>2</cp:revision>
  <cp:lastPrinted>2016-07-20T14:06:00Z</cp:lastPrinted>
  <dcterms:created xsi:type="dcterms:W3CDTF">2016-09-21T13:13:00Z</dcterms:created>
  <dcterms:modified xsi:type="dcterms:W3CDTF">2016-09-21T13:13:00Z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20/09/2016, 17/06/2016, 17/06/2016</vt:lpwstr>
  </property>
  <property fmtid="{D5CDD505-2E9C-101B-9397-08002B2CF9AE}" pid="7" name="Pref_Time">
    <vt:lpwstr>14:22:05, 13:51:48, 10:36:07</vt:lpwstr>
  </property>
  <property fmtid="{D5CDD505-2E9C-101B-9397-08002B2CF9AE}" pid="8" name="Pref_User">
    <vt:lpwstr>enied, enied, mreg</vt:lpwstr>
  </property>
  <property fmtid="{D5CDD505-2E9C-101B-9397-08002B2CF9AE}" pid="9" name="Pref_FileName">
    <vt:lpwstr>EESC-2016-05029-00-00-CP-ORI.docx, EESC-2016-03638-00-01-CP-ORI.docx, EESC-2016-03638-00-00-CP-ORI.docx</vt:lpwstr>
  </property>
  <property fmtid="{D5CDD505-2E9C-101B-9397-08002B2CF9AE}" pid="10" name="_dlc_DocIdItemGuid">
    <vt:lpwstr>b2523d34-4869-4bd9-9d4a-d0c4f5b59011</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5029</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10350</vt:i4>
  </property>
  <property fmtid="{D5CDD505-2E9C-101B-9397-08002B2CF9AE}" pid="36" name="DocumentYear">
    <vt:i4>2016</vt:i4>
  </property>
  <property fmtid="{D5CDD505-2E9C-101B-9397-08002B2CF9AE}" pid="37" name="DocumentLanguage">
    <vt:lpwstr>4;#FR|d2afafd3-4c81-4f60-8f52-ee33f2f54ff3</vt:lpwstr>
  </property>
  <property fmtid="{D5CDD505-2E9C-101B-9397-08002B2CF9AE}" pid="38" name="DocumentLanguage_0">
    <vt:lpwstr>EN|f2175f21-25d7-44a3-96da-d6a61b075e1b</vt:lpwstr>
  </property>
</Properties>
</file>