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BD41E9" w14:textId="63E0E564" w:rsidR="00CB0982" w:rsidRPr="002D2B59" w:rsidRDefault="00730094" w:rsidP="00220BDE">
      <w:pPr>
        <w:suppressAutoHyphens/>
        <w:jc w:val="center"/>
      </w:pPr>
      <w:r w:rsidRPr="002D2B59">
        <w:rPr>
          <w:noProof/>
          <w:lang w:val="fr-BE" w:eastAsia="fr-BE" w:bidi="ar-SA"/>
        </w:rPr>
        <mc:AlternateContent>
          <mc:Choice Requires="wps">
            <w:drawing>
              <wp:anchor distT="0" distB="0" distL="114300" distR="114300" simplePos="0" relativeHeight="251658240" behindDoc="1" locked="0" layoutInCell="0" allowOverlap="1" wp14:anchorId="1AEF2132" wp14:editId="62D92AD1">
                <wp:simplePos x="0" y="0"/>
                <wp:positionH relativeFrom="page">
                  <wp:posOffset>817245</wp:posOffset>
                </wp:positionH>
                <wp:positionV relativeFrom="page">
                  <wp:posOffset>9898380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CB20" w14:textId="77777777" w:rsidR="0040225A" w:rsidRPr="0002767C" w:rsidRDefault="0040225A" w:rsidP="00526D61">
                            <w:pPr>
                              <w:pBdr>
                                <w:top w:val="single" w:sz="4" w:space="1" w:color="auto"/>
                              </w:pBdr>
                              <w:jc w:val="center"/>
                              <w:rPr>
                                <w:b/>
                                <w:bCs/>
                                <w:sz w:val="16"/>
                                <w:szCs w:val="16"/>
                              </w:rPr>
                            </w:pPr>
                            <w:r>
                              <w:rPr>
                                <w:b/>
                                <w:sz w:val="16"/>
                              </w:rPr>
                              <w:t xml:space="preserve">Rue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w:t>
                            </w:r>
                            <w:proofErr w:type="spellStart"/>
                            <w:r>
                              <w:rPr>
                                <w:b/>
                                <w:sz w:val="16"/>
                              </w:rPr>
                              <w:t>Bruxelles</w:t>
                            </w:r>
                            <w:proofErr w:type="spellEnd"/>
                            <w:r>
                              <w:rPr>
                                <w:b/>
                                <w:sz w:val="16"/>
                              </w:rPr>
                              <w:t>/Brussel — BELGIQUE/BELGIË</w:t>
                            </w:r>
                          </w:p>
                          <w:p w14:paraId="147F6C69" w14:textId="77777777" w:rsidR="0040225A" w:rsidRPr="0002767C" w:rsidRDefault="0040225A" w:rsidP="00526D61">
                            <w:pPr>
                              <w:pBdr>
                                <w:top w:val="single" w:sz="4" w:space="1" w:color="auto"/>
                              </w:pBdr>
                              <w:jc w:val="center"/>
                              <w:rPr>
                                <w:b/>
                                <w:bCs/>
                                <w:sz w:val="16"/>
                                <w:szCs w:val="16"/>
                              </w:rPr>
                            </w:pPr>
                            <w:r>
                              <w:rPr>
                                <w:b/>
                                <w:sz w:val="16"/>
                              </w:rPr>
                              <w:t xml:space="preserve">Tel. +32 25469011 — Fax +32 25134893 — </w:t>
                            </w:r>
                            <w:proofErr w:type="spellStart"/>
                            <w:r>
                              <w:rPr>
                                <w:b/>
                                <w:sz w:val="16"/>
                              </w:rPr>
                              <w:t>Internet</w:t>
                            </w:r>
                            <w:proofErr w:type="gramStart"/>
                            <w:r>
                              <w:rPr>
                                <w:b/>
                                <w:sz w:val="16"/>
                              </w:rPr>
                              <w:t>:</w:t>
                            </w:r>
                            <w:proofErr w:type="gramEnd"/>
                            <w:hyperlink r:id="rId13">
                              <w:r>
                                <w:rPr>
                                  <w:rStyle w:val="Hyperlink"/>
                                  <w:b/>
                                  <w:sz w:val="16"/>
                                </w:rPr>
                                <w:t>http</w:t>
                              </w:r>
                              <w:proofErr w:type="spellEnd"/>
                              <w:r>
                                <w:rPr>
                                  <w:rStyle w:val="Hyperlink"/>
                                  <w:b/>
                                  <w:sz w:val="16"/>
                                </w:rPr>
                                <w:t>://www.eesc.europa.eu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779.4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C5KA&#10;ed8AAAAOAQAADwAAAGRycy9kb3ducmV2LnhtbExPy07DMBC8I/UfrEXiRu0WEkKIUyEQ16KWh8TN&#10;jbdJ1HgdxW4T/r7bE9xmdkazM8Vqcp044RBaTxoWcwUCqfK2pVrD58fbbQYiREPWdJ5Qwy8GWJWz&#10;q8Lk1o+0wdM21oJDKORGQxNjn0sZqgadCXPfI7G294MzkelQSzuYkcNdJ5dKpdKZlvhDY3p8abA6&#10;bI9Ow9d6//N9r97rV5f0o5+UJPcotb65np6fQESc4p8ZLvW5OpTcaeePZIPomC+zB7YySJKMR1ws&#10;C6X4tmOUZukdyLKQ/2eUZwAAAP//AwBQSwECLQAUAAYACAAAACEAtoM4kv4AAADhAQAAEwAAAAAA&#10;AAAAAAAAAAAAAAAAW0NvbnRlbnRfVHlwZXNdLnhtbFBLAQItABQABgAIAAAAIQA4/SH/1gAAAJQB&#10;AAALAAAAAAAAAAAAAAAAAC8BAABfcmVscy8ucmVsc1BLAQItABQABgAIAAAAIQC2tHuLtAIAALkF&#10;AAAOAAAAAAAAAAAAAAAAAC4CAABkcnMvZTJvRG9jLnhtbFBLAQItABQABgAIAAAAIQALkoB53wAA&#10;AA4BAAAPAAAAAAAAAAAAAAAAAA4FAABkcnMvZG93bnJldi54bWxQSwUGAAAAAAQABADzAAAAGgYA&#10;AAAA&#10;" o:allowincell="f" filled="f" stroked="f">
                <v:textbox>
                  <w:txbxContent>
                    <w:p w14:paraId="52EACB20" w14:textId="77777777" w:rsidR="0040225A" w:rsidRPr="0002767C" w:rsidRDefault="0040225A" w:rsidP="00526D61">
                      <w:pPr>
                        <w:pBdr>
                          <w:top w:val="single" w:sz="4" w:space="1" w:color="auto"/>
                        </w:pBdr>
                        <w:jc w:val="center"/>
                        <w:rPr>
                          <w:b/>
                          <w:bCs/>
                          <w:sz w:val="16"/>
                          <w:szCs w:val="16"/>
                        </w:rPr>
                      </w:pPr>
                      <w:r>
                        <w:rPr>
                          <w:b/>
                          <w:sz w:val="16"/>
                        </w:rPr>
                        <w:t>Rue Belliard/Belliardstraat 99 — 1040 Bruxelles/Brussel — BELGIQUE/BELGIË</w:t>
                      </w:r>
                    </w:p>
                    <w:p w14:paraId="147F6C69" w14:textId="77777777" w:rsidR="0040225A" w:rsidRPr="0002767C" w:rsidRDefault="0040225A" w:rsidP="00526D61">
                      <w:pPr>
                        <w:pBdr>
                          <w:top w:val="single" w:sz="4" w:space="1" w:color="auto"/>
                        </w:pBdr>
                        <w:jc w:val="center"/>
                        <w:rPr>
                          <w:b/>
                          <w:bCs/>
                          <w:sz w:val="16"/>
                          <w:szCs w:val="16"/>
                        </w:rPr>
                      </w:pPr>
                      <w:r>
                        <w:rPr>
                          <w:b/>
                          <w:sz w:val="16"/>
                        </w:rPr>
                        <w:t>Tel. +32 25469011 — Fax +32 25134893 — Internet:</w:t>
                      </w:r>
                      <w:hyperlink r:id="rId15">
                        <w:r>
                          <w:rPr>
                            <w:rStyle w:val="Hyperlink"/>
                            <w:b/>
                            <w:sz w:val="16"/>
                          </w:rPr>
                          <w:t>http://www.eesc.europa.eu</w:t>
                        </w:r>
                      </w:hyperlink>
                    </w:p>
                  </w:txbxContent>
                </v:textbox>
                <w10:wrap anchorx="page" anchory="page"/>
              </v:shape>
            </w:pict>
          </mc:Fallback>
        </mc:AlternateContent>
      </w:r>
      <w:r w:rsidRPr="002D2B59">
        <w:rPr>
          <w:noProof/>
          <w:lang w:val="fr-BE" w:eastAsia="fr-BE" w:bidi="ar-SA"/>
        </w:rPr>
        <mc:AlternateContent>
          <mc:Choice Requires="wps">
            <w:drawing>
              <wp:anchor distT="0" distB="0" distL="114935" distR="114935" simplePos="0" relativeHeight="251657216" behindDoc="1" locked="0" layoutInCell="1" allowOverlap="1" wp14:anchorId="69D34A76" wp14:editId="4FA60C28">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721B7" w14:textId="77777777" w:rsidR="0040225A" w:rsidRPr="0002767C" w:rsidRDefault="0040225A" w:rsidP="00153926">
                            <w:pPr>
                              <w:suppressAutoHyphens/>
                              <w:jc w:val="center"/>
                            </w:pPr>
                            <w:r>
                              <w:rPr>
                                <w:rFonts w:ascii="Arial" w:hAnsi="Arial"/>
                                <w:b/>
                                <w:sz w:val="48"/>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w14:paraId="6BF721B7" w14:textId="77777777" w:rsidR="0040225A" w:rsidRPr="0002767C" w:rsidRDefault="0040225A" w:rsidP="00153926">
                      <w:pPr>
                        <w:suppressAutoHyphens/>
                        <w:jc w:val="center"/>
                      </w:pPr>
                      <w:r>
                        <w:rPr>
                          <w:rFonts w:ascii="Arial" w:hAnsi="Arial"/>
                          <w:b/>
                          <w:sz w:val="48"/>
                        </w:rPr>
                        <w:t>EN</w:t>
                      </w:r>
                    </w:p>
                  </w:txbxContent>
                </v:textbox>
                <w10:wrap anchorx="page" anchory="page"/>
              </v:shape>
            </w:pict>
          </mc:Fallback>
        </mc:AlternateContent>
      </w:r>
      <w:r w:rsidR="00DF0C95">
        <w:rPr>
          <w:noProof/>
          <w:lang w:val="fr-BE" w:eastAsia="fr-BE" w:bidi="ar-SA"/>
        </w:rPr>
        <w:drawing>
          <wp:inline distT="0" distB="0" distL="0" distR="0" wp14:anchorId="51FCA9A6" wp14:editId="48DD10F8">
            <wp:extent cx="19526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885825"/>
                    </a:xfrm>
                    <a:prstGeom prst="rect">
                      <a:avLst/>
                    </a:prstGeom>
                    <a:noFill/>
                  </pic:spPr>
                </pic:pic>
              </a:graphicData>
            </a:graphic>
          </wp:inline>
        </w:drawing>
      </w:r>
    </w:p>
    <w:p w14:paraId="4D965905" w14:textId="063EED87" w:rsidR="00CB0982" w:rsidRPr="002D2B59" w:rsidRDefault="00DF0C95" w:rsidP="00153926">
      <w:pPr>
        <w:suppressAutoHyphens/>
        <w:jc w:val="center"/>
        <w:rPr>
          <w:rFonts w:ascii="Arial" w:hAnsi="Arial" w:cs="Arial"/>
          <w:b/>
          <w:i/>
          <w:sz w:val="20"/>
        </w:rPr>
      </w:pPr>
      <w:r w:rsidRPr="00DF0C95">
        <w:rPr>
          <w:rFonts w:ascii="Arial" w:hAnsi="Arial"/>
          <w:b/>
          <w:i/>
          <w:sz w:val="20"/>
        </w:rPr>
        <w:t>EU Domestic Advisory Group under the EU-Korea FTA</w:t>
      </w:r>
    </w:p>
    <w:p w14:paraId="1BE1E957" w14:textId="776A1814" w:rsidR="00CB0982" w:rsidRPr="002D2B59" w:rsidRDefault="00CB0982" w:rsidP="00516030">
      <w:pPr>
        <w:adjustRightInd w:val="0"/>
      </w:pPr>
    </w:p>
    <w:p w14:paraId="44C15DE3" w14:textId="77777777" w:rsidR="00CB0982" w:rsidRPr="002D2B59" w:rsidRDefault="00CB0982" w:rsidP="00516030">
      <w:pPr>
        <w:adjustRightInd w:val="0"/>
      </w:pPr>
    </w:p>
    <w:tbl>
      <w:tblPr>
        <w:tblW w:w="0" w:type="auto"/>
        <w:tblInd w:w="5506" w:type="dxa"/>
        <w:tblLayout w:type="fixed"/>
        <w:tblLook w:val="0000" w:firstRow="0" w:lastRow="0" w:firstColumn="0" w:lastColumn="0" w:noHBand="0" w:noVBand="0"/>
      </w:tblPr>
      <w:tblGrid>
        <w:gridCol w:w="3525"/>
      </w:tblGrid>
      <w:tr w:rsidR="00CB0982" w:rsidRPr="002D2B59" w14:paraId="5D3202A7" w14:textId="77777777" w:rsidTr="00714E37">
        <w:tc>
          <w:tcPr>
            <w:tcW w:w="3525" w:type="dxa"/>
            <w:shd w:val="clear" w:color="auto" w:fill="auto"/>
          </w:tcPr>
          <w:p w14:paraId="0E57E67D" w14:textId="7C5EFDBE" w:rsidR="00CB0982" w:rsidRPr="002D2B59" w:rsidRDefault="00CB0982" w:rsidP="00274484">
            <w:pPr>
              <w:adjustRightInd w:val="0"/>
              <w:jc w:val="center"/>
            </w:pPr>
          </w:p>
        </w:tc>
      </w:tr>
    </w:tbl>
    <w:p w14:paraId="629CB82D" w14:textId="77777777" w:rsidR="00CB0982" w:rsidRPr="002D2B59" w:rsidRDefault="00CB0982" w:rsidP="00516030">
      <w:pPr>
        <w:adjustRightInd w:val="0"/>
      </w:pPr>
    </w:p>
    <w:p w14:paraId="31528BB0" w14:textId="77777777" w:rsidR="00CB0982" w:rsidRPr="002D2B59" w:rsidRDefault="00CB0982" w:rsidP="00516030">
      <w:pPr>
        <w:adjustRightInd w:val="0"/>
      </w:pPr>
    </w:p>
    <w:p w14:paraId="46C5A3A6" w14:textId="5336B994" w:rsidR="00CB0982" w:rsidRPr="002D2B59" w:rsidRDefault="00CB0982" w:rsidP="00516030">
      <w:pPr>
        <w:adjustRightInd w:val="0"/>
        <w:jc w:val="right"/>
      </w:pPr>
      <w:r w:rsidRPr="002D2B59">
        <w:t xml:space="preserve">Brussels, </w:t>
      </w:r>
      <w:r w:rsidR="00952F4E">
        <w:t>27 August</w:t>
      </w:r>
      <w:r w:rsidRPr="002D2B59">
        <w:t xml:space="preserve"> 2015</w:t>
      </w:r>
    </w:p>
    <w:p w14:paraId="2723E070" w14:textId="77777777" w:rsidR="00CB0982" w:rsidRPr="002D2B59" w:rsidRDefault="00CB0982" w:rsidP="00516030">
      <w:pPr>
        <w:adjustRightInd w:val="0"/>
      </w:pPr>
    </w:p>
    <w:p w14:paraId="2665E6F4" w14:textId="77777777" w:rsidR="00CB0982" w:rsidRDefault="00CB0982" w:rsidP="00516030">
      <w:pPr>
        <w:adjustRightInd w:val="0"/>
      </w:pPr>
    </w:p>
    <w:p w14:paraId="55543B11" w14:textId="77777777" w:rsidR="00DF0C95" w:rsidRDefault="00DF0C95" w:rsidP="00516030">
      <w:pPr>
        <w:adjustRightInd w:val="0"/>
      </w:pPr>
    </w:p>
    <w:p w14:paraId="1B6AE534" w14:textId="77777777" w:rsidR="00DF0C95" w:rsidRDefault="00DF0C95" w:rsidP="00516030">
      <w:pPr>
        <w:adjustRightInd w:val="0"/>
      </w:pPr>
    </w:p>
    <w:p w14:paraId="6EE7B030" w14:textId="77777777" w:rsidR="00DF0C95" w:rsidRPr="002D2B59" w:rsidRDefault="00DF0C95" w:rsidP="00516030">
      <w:pPr>
        <w:adjustRightInd w:val="0"/>
      </w:pPr>
    </w:p>
    <w:tbl>
      <w:tblPr>
        <w:tblW w:w="9243" w:type="dxa"/>
        <w:tblLayout w:type="fixed"/>
        <w:tblLook w:val="0000" w:firstRow="0" w:lastRow="0" w:firstColumn="0" w:lastColumn="0" w:noHBand="0" w:noVBand="0"/>
      </w:tblPr>
      <w:tblGrid>
        <w:gridCol w:w="9243"/>
      </w:tblGrid>
      <w:tr w:rsidR="00CB0982" w:rsidRPr="002D2B59" w14:paraId="4C4AFC1B" w14:textId="77777777" w:rsidTr="00714E37">
        <w:tc>
          <w:tcPr>
            <w:tcW w:w="9243" w:type="dxa"/>
            <w:shd w:val="clear" w:color="auto" w:fill="auto"/>
          </w:tcPr>
          <w:p w14:paraId="2E59F64F" w14:textId="32AA245E" w:rsidR="00CB0982" w:rsidRPr="002D2B59" w:rsidRDefault="00CB0982" w:rsidP="00831BAF">
            <w:pPr>
              <w:suppressAutoHyphens/>
              <w:jc w:val="center"/>
            </w:pPr>
            <w:r w:rsidRPr="002D2B59">
              <w:rPr>
                <w:b/>
                <w:sz w:val="32"/>
              </w:rPr>
              <w:t>INFORMATION REPORT</w:t>
            </w:r>
            <w:r w:rsidR="007473C3" w:rsidRPr="002D2B59">
              <w:rPr>
                <w:b/>
                <w:sz w:val="32"/>
              </w:rPr>
              <w:t xml:space="preserve"> </w:t>
            </w:r>
            <w:r w:rsidRPr="002D2B59">
              <w:br/>
            </w:r>
            <w:r w:rsidRPr="002D2B59">
              <w:br/>
              <w:t xml:space="preserve">on </w:t>
            </w:r>
            <w:r w:rsidRPr="002D2B59">
              <w:br/>
            </w:r>
            <w:r w:rsidRPr="002D2B59">
              <w:rPr>
                <w:b/>
              </w:rPr>
              <w:t xml:space="preserve">Corporate </w:t>
            </w:r>
            <w:r w:rsidR="00A645EF">
              <w:rPr>
                <w:b/>
              </w:rPr>
              <w:t>S</w:t>
            </w:r>
            <w:r w:rsidRPr="002D2B59">
              <w:rPr>
                <w:b/>
              </w:rPr>
              <w:t xml:space="preserve">ocial </w:t>
            </w:r>
            <w:r w:rsidR="00A645EF">
              <w:rPr>
                <w:b/>
              </w:rPr>
              <w:t>R</w:t>
            </w:r>
            <w:r w:rsidRPr="002D2B59">
              <w:rPr>
                <w:b/>
              </w:rPr>
              <w:t xml:space="preserve">esponsibility </w:t>
            </w:r>
            <w:r w:rsidR="00DF0C95">
              <w:rPr>
                <w:b/>
              </w:rPr>
              <w:t>(CSR) in the European Union, implications for its policies in the area of trade and investment</w:t>
            </w:r>
            <w:r w:rsidR="007473C3" w:rsidRPr="002D2B59">
              <w:rPr>
                <w:b/>
              </w:rPr>
              <w:t xml:space="preserve"> </w:t>
            </w:r>
            <w:r w:rsidRPr="002D2B59">
              <w:rPr>
                <w:b/>
              </w:rPr>
              <w:br/>
            </w:r>
          </w:p>
        </w:tc>
      </w:tr>
      <w:tr w:rsidR="00CB0982" w:rsidRPr="002D2B59" w14:paraId="6553E1AB" w14:textId="77777777" w:rsidTr="00714E37">
        <w:tc>
          <w:tcPr>
            <w:tcW w:w="9243" w:type="dxa"/>
            <w:shd w:val="clear" w:color="auto" w:fill="auto"/>
          </w:tcPr>
          <w:p w14:paraId="73B6759E" w14:textId="77777777" w:rsidR="00CB0982" w:rsidRPr="002D2B59" w:rsidRDefault="00CB0982" w:rsidP="00516030">
            <w:pPr>
              <w:adjustRightInd w:val="0"/>
              <w:jc w:val="center"/>
            </w:pPr>
            <w:r w:rsidRPr="002D2B59">
              <w:t>_____________</w:t>
            </w:r>
          </w:p>
          <w:p w14:paraId="39CB181F" w14:textId="77777777" w:rsidR="00CB0982" w:rsidRPr="002D2B59" w:rsidRDefault="00CB0982" w:rsidP="00516030">
            <w:pPr>
              <w:adjustRightInd w:val="0"/>
              <w:jc w:val="center"/>
            </w:pPr>
          </w:p>
          <w:p w14:paraId="3F69427D" w14:textId="064B512A" w:rsidR="00CB0982" w:rsidRPr="002D2B59" w:rsidRDefault="00CB0982" w:rsidP="00153926">
            <w:pPr>
              <w:suppressAutoHyphens/>
              <w:jc w:val="center"/>
            </w:pPr>
            <w:r w:rsidRPr="002D2B59">
              <w:t>Rapporteur:</w:t>
            </w:r>
            <w:r w:rsidRPr="002D2B59">
              <w:rPr>
                <w:b/>
              </w:rPr>
              <w:t xml:space="preserve"> Evelyne Pichenot</w:t>
            </w:r>
          </w:p>
          <w:p w14:paraId="44289E76" w14:textId="77777777" w:rsidR="00CB0982" w:rsidRPr="002D2B59" w:rsidRDefault="00CB0982" w:rsidP="00516030">
            <w:pPr>
              <w:adjustRightInd w:val="0"/>
              <w:jc w:val="center"/>
            </w:pPr>
            <w:r w:rsidRPr="002D2B59">
              <w:t xml:space="preserve">_____________ </w:t>
            </w:r>
            <w:r w:rsidRPr="002D2B59">
              <w:br/>
              <w:t xml:space="preserve"> </w:t>
            </w:r>
            <w:r w:rsidRPr="002D2B59">
              <w:br/>
            </w:r>
          </w:p>
        </w:tc>
      </w:tr>
      <w:tr w:rsidR="00CB0982" w:rsidRPr="002D2B59" w14:paraId="0A25A104" w14:textId="77777777" w:rsidTr="00714E37">
        <w:tc>
          <w:tcPr>
            <w:tcW w:w="9243" w:type="dxa"/>
            <w:shd w:val="clear" w:color="auto" w:fill="auto"/>
          </w:tcPr>
          <w:p w14:paraId="5E053DED" w14:textId="1441C6D1" w:rsidR="00CB0982" w:rsidRPr="002D2B59" w:rsidRDefault="00CB0982" w:rsidP="008A2554">
            <w:pPr>
              <w:suppressAutoHyphens/>
            </w:pPr>
          </w:p>
        </w:tc>
      </w:tr>
      <w:tr w:rsidR="00CB0982" w:rsidRPr="002D2B59" w14:paraId="5AE6CD0B" w14:textId="77777777" w:rsidTr="00714E37">
        <w:tc>
          <w:tcPr>
            <w:tcW w:w="9243" w:type="dxa"/>
            <w:shd w:val="clear" w:color="auto" w:fill="auto"/>
          </w:tcPr>
          <w:p w14:paraId="4DE164DA" w14:textId="77777777" w:rsidR="008A2554" w:rsidRPr="002D2B59" w:rsidRDefault="008A2554" w:rsidP="008A2554">
            <w:pPr>
              <w:suppressAutoHyphens/>
              <w:ind w:left="709" w:hanging="709"/>
            </w:pPr>
          </w:p>
        </w:tc>
      </w:tr>
      <w:tr w:rsidR="00CB0982" w:rsidRPr="002D2B59" w14:paraId="52056B6F" w14:textId="77777777" w:rsidTr="00714E37">
        <w:tc>
          <w:tcPr>
            <w:tcW w:w="9243" w:type="dxa"/>
            <w:shd w:val="clear" w:color="auto" w:fill="auto"/>
          </w:tcPr>
          <w:p w14:paraId="635514A2" w14:textId="3A74F8CC" w:rsidR="00CB0982" w:rsidRPr="002D2B59" w:rsidRDefault="00CB0982" w:rsidP="00F02750">
            <w:pPr>
              <w:suppressAutoHyphens/>
            </w:pPr>
          </w:p>
        </w:tc>
      </w:tr>
      <w:tr w:rsidR="00CB0982" w:rsidRPr="002D2B59" w14:paraId="11378302" w14:textId="77777777" w:rsidTr="00714E37">
        <w:tc>
          <w:tcPr>
            <w:tcW w:w="9243" w:type="dxa"/>
            <w:shd w:val="clear" w:color="auto" w:fill="auto"/>
          </w:tcPr>
          <w:p w14:paraId="34F76056" w14:textId="34797EC8" w:rsidR="00CB0982" w:rsidRPr="002D2B59" w:rsidRDefault="00CB0982" w:rsidP="00153926">
            <w:pPr>
              <w:suppressAutoHyphens/>
              <w:jc w:val="right"/>
            </w:pPr>
          </w:p>
        </w:tc>
      </w:tr>
    </w:tbl>
    <w:p w14:paraId="19A9AD4F" w14:textId="77777777" w:rsidR="005F2204" w:rsidRPr="002D2B59" w:rsidRDefault="005F2204" w:rsidP="00714E37">
      <w:pPr>
        <w:suppressAutoHyphens/>
        <w:spacing w:line="240" w:lineRule="auto"/>
        <w:sectPr w:rsidR="005F2204" w:rsidRPr="002D2B59" w:rsidSect="0072284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67" w:right="1440" w:bottom="2268" w:left="1440" w:header="283" w:footer="1134" w:gutter="0"/>
          <w:pgNumType w:start="1"/>
          <w:cols w:space="720"/>
          <w:docGrid w:linePitch="600" w:charSpace="36864"/>
        </w:sectPr>
      </w:pPr>
    </w:p>
    <w:p w14:paraId="3B1096FC" w14:textId="77777777" w:rsidR="00546882" w:rsidRPr="002D2B59" w:rsidRDefault="00A017A4" w:rsidP="007473C3">
      <w:pPr>
        <w:pStyle w:val="Heading1"/>
        <w:keepNext/>
        <w:ind w:left="0" w:firstLine="0"/>
        <w:rPr>
          <w:b/>
        </w:rPr>
      </w:pPr>
      <w:r w:rsidRPr="002D2B59">
        <w:lastRenderedPageBreak/>
        <w:tab/>
      </w:r>
      <w:r w:rsidRPr="002D2B59">
        <w:rPr>
          <w:b/>
        </w:rPr>
        <w:t>Introduction</w:t>
      </w:r>
    </w:p>
    <w:p w14:paraId="067D043D" w14:textId="77777777" w:rsidR="008A2554" w:rsidRPr="002D2B59" w:rsidRDefault="008A2554" w:rsidP="007473C3">
      <w:pPr>
        <w:keepNext/>
      </w:pPr>
    </w:p>
    <w:p w14:paraId="6F804DE0" w14:textId="0BBBBAD5" w:rsidR="00AD4404" w:rsidRPr="002D2B59" w:rsidRDefault="007D01E7" w:rsidP="007473C3">
      <w:pPr>
        <w:pStyle w:val="Heading2"/>
        <w:ind w:left="709" w:hanging="709"/>
        <w:rPr>
          <w:b/>
        </w:rPr>
      </w:pPr>
      <w:r>
        <w:rPr>
          <w:b/>
        </w:rPr>
        <w:t>Corporate Social Responsibility (</w:t>
      </w:r>
      <w:r w:rsidR="0003428D" w:rsidRPr="002D2B59">
        <w:rPr>
          <w:b/>
        </w:rPr>
        <w:t>CSR</w:t>
      </w:r>
      <w:r>
        <w:rPr>
          <w:b/>
        </w:rPr>
        <w:t>)</w:t>
      </w:r>
      <w:r w:rsidR="0003428D" w:rsidRPr="002D2B59">
        <w:rPr>
          <w:b/>
        </w:rPr>
        <w:t xml:space="preserve"> figures explicitly in the trade agreement between the European Union and the Republic of Korea</w:t>
      </w:r>
      <w:r w:rsidR="0003428D" w:rsidRPr="002D2B59">
        <w:t xml:space="preserve"> as a topic for discussion between the two trading partners</w:t>
      </w:r>
      <w:r w:rsidR="0003428D" w:rsidRPr="002D2B59">
        <w:rPr>
          <w:rStyle w:val="FootnoteReference"/>
        </w:rPr>
        <w:footnoteReference w:id="2"/>
      </w:r>
      <w:r w:rsidR="0003428D" w:rsidRPr="002D2B59">
        <w:t>. At the monitoring committee for this agreement, European and Korean civil societies have produced reports on the topic</w:t>
      </w:r>
      <w:r w:rsidR="0003428D" w:rsidRPr="002D2B59">
        <w:rPr>
          <w:rStyle w:val="FootnoteReference"/>
        </w:rPr>
        <w:footnoteReference w:id="3"/>
      </w:r>
      <w:r w:rsidR="0003428D" w:rsidRPr="002D2B59">
        <w:t xml:space="preserve">. Their conclusions call for the improvement of </w:t>
      </w:r>
      <w:r w:rsidRPr="007D01E7">
        <w:t xml:space="preserve">National Contact Points </w:t>
      </w:r>
      <w:r>
        <w:t>(</w:t>
      </w:r>
      <w:r w:rsidR="0003428D" w:rsidRPr="002D2B59">
        <w:t>NCPs</w:t>
      </w:r>
      <w:r>
        <w:t>)</w:t>
      </w:r>
      <w:r w:rsidR="0003428D" w:rsidRPr="002D2B59">
        <w:t xml:space="preserve"> and an inventory of companies involved in sustainable development strategies. More recent agreements (Central America, Columbia, Peru, Moldova, Georgia, Ukraine, Canada, </w:t>
      </w:r>
      <w:proofErr w:type="gramStart"/>
      <w:r w:rsidR="0003428D" w:rsidRPr="002D2B59">
        <w:t>Singapore</w:t>
      </w:r>
      <w:proofErr w:type="gramEnd"/>
      <w:r w:rsidR="0003428D" w:rsidRPr="002D2B59">
        <w:t>) provide similar opportunities for exchange between civil societies. Ongoing negotiations, particularly between Japan and the United States, should also make reference to it. In a recent opinion on investment</w:t>
      </w:r>
      <w:r w:rsidR="0003428D" w:rsidRPr="002D2B59">
        <w:rPr>
          <w:sz w:val="24"/>
          <w:szCs w:val="24"/>
          <w:vertAlign w:val="superscript"/>
        </w:rPr>
        <w:footnoteReference w:id="4"/>
      </w:r>
      <w:r w:rsidR="0003428D" w:rsidRPr="002D2B59">
        <w:t>, the Committee advocates</w:t>
      </w:r>
      <w:r w:rsidR="0003428D" w:rsidRPr="002D2B59">
        <w:rPr>
          <w:b/>
        </w:rPr>
        <w:t xml:space="preserve"> including references to CSR and Socially Responsible Investment (SRI) in future investment agreements</w:t>
      </w:r>
      <w:r w:rsidR="0003428D" w:rsidRPr="002D2B59">
        <w:t>.</w:t>
      </w:r>
    </w:p>
    <w:p w14:paraId="28388A81" w14:textId="77777777" w:rsidR="00D971CD" w:rsidRPr="002D2B59" w:rsidRDefault="00D971CD" w:rsidP="007473C3"/>
    <w:p w14:paraId="1C264192" w14:textId="0B0A07DB" w:rsidR="003B19D0" w:rsidRPr="002D2B59" w:rsidRDefault="00C27658" w:rsidP="007473C3">
      <w:pPr>
        <w:pStyle w:val="Heading2"/>
        <w:ind w:left="709" w:hanging="709"/>
      </w:pPr>
      <w:r w:rsidRPr="002D2B59">
        <w:t xml:space="preserve">At global level, the </w:t>
      </w:r>
      <w:r w:rsidR="00F11717">
        <w:t>International Labour Organisation (</w:t>
      </w:r>
      <w:r w:rsidRPr="002D2B59">
        <w:t>ILO</w:t>
      </w:r>
      <w:r w:rsidR="00F11717">
        <w:t>)</w:t>
      </w:r>
      <w:r w:rsidRPr="002D2B59">
        <w:t xml:space="preserve"> identifies 57 out of a total of 248 bilateral trade agreements that contain labour provisions. In its 2013 study </w:t>
      </w:r>
      <w:r w:rsidRPr="002D2B59">
        <w:rPr>
          <w:i/>
        </w:rPr>
        <w:t>Social Dimensions of Free Trade Agreements</w:t>
      </w:r>
      <w:r w:rsidRPr="002D2B59">
        <w:t>, the ILO aimed to assess their effectiveness</w:t>
      </w:r>
      <w:r w:rsidRPr="002D2B59">
        <w:rPr>
          <w:rStyle w:val="FootnoteReference"/>
        </w:rPr>
        <w:footnoteReference w:id="5"/>
      </w:r>
      <w:r w:rsidRPr="002D2B59">
        <w:t xml:space="preserve">. Among the international standards recognised by the EU, the OECD Guidelines have the advantage of offering a dispute settlement mechanism. In order to promote and implement these guidelines, each OECD member state has set up an NCP, with the NCPs differing in terms of composition and mode of operating. </w:t>
      </w:r>
    </w:p>
    <w:p w14:paraId="02AE3531" w14:textId="77777777" w:rsidR="00D971CD" w:rsidRPr="002D2B59" w:rsidRDefault="00D971CD" w:rsidP="007473C3"/>
    <w:p w14:paraId="703B4049" w14:textId="06CA81AC" w:rsidR="00CB0982" w:rsidRPr="002D2B59" w:rsidRDefault="00546882" w:rsidP="007473C3">
      <w:pPr>
        <w:pStyle w:val="Heading2"/>
        <w:ind w:left="709" w:hanging="709"/>
      </w:pPr>
      <w:r w:rsidRPr="002D2B59">
        <w:t xml:space="preserve">NCPs serve as </w:t>
      </w:r>
      <w:r w:rsidRPr="002D2B59">
        <w:rPr>
          <w:b/>
        </w:rPr>
        <w:t>mediators to resolve "specific circumstances"</w:t>
      </w:r>
      <w:r w:rsidRPr="002D2B59">
        <w:t>, i.e. they respond to questions mainly from trade unions and NGOs regarding company actions which are considered to have breached the guidelines. An NCP's final decision is not legally binding but it has an impact on the company's reputation. Since 2000, more than 326 "specific circumstances" have been dealt with by the 45 NCPs active across the world. The 21 EU Member States which are members of the OECD</w:t>
      </w:r>
      <w:r w:rsidRPr="002D2B59">
        <w:rPr>
          <w:rStyle w:val="FootnoteReference"/>
        </w:rPr>
        <w:footnoteReference w:id="6"/>
      </w:r>
      <w:r w:rsidRPr="002D2B59">
        <w:t xml:space="preserve"> have set up NCPs, along with three Members States that are not members of the OECD</w:t>
      </w:r>
      <w:r w:rsidRPr="002D2B59">
        <w:rPr>
          <w:rStyle w:val="FootnoteReference"/>
        </w:rPr>
        <w:footnoteReference w:id="7"/>
      </w:r>
      <w:r w:rsidRPr="002D2B59">
        <w:t xml:space="preserve">. </w:t>
      </w:r>
    </w:p>
    <w:p w14:paraId="2C1E2629" w14:textId="77777777" w:rsidR="00D971CD" w:rsidRPr="002D2B59" w:rsidRDefault="00D971CD" w:rsidP="007473C3"/>
    <w:p w14:paraId="1BAAC40B" w14:textId="77777777" w:rsidR="00CB0982" w:rsidRPr="002D2B59" w:rsidRDefault="00CB0982" w:rsidP="007473C3">
      <w:pPr>
        <w:pStyle w:val="Heading1"/>
        <w:keepNext/>
        <w:keepLines/>
        <w:tabs>
          <w:tab w:val="num" w:pos="709"/>
        </w:tabs>
        <w:ind w:left="709" w:hanging="709"/>
        <w:rPr>
          <w:b/>
        </w:rPr>
      </w:pPr>
      <w:r w:rsidRPr="002D2B59">
        <w:rPr>
          <w:b/>
        </w:rPr>
        <w:lastRenderedPageBreak/>
        <w:t>Voluntary commitment by economic stakeholders in the European Union</w:t>
      </w:r>
    </w:p>
    <w:p w14:paraId="012FA8FA" w14:textId="77777777" w:rsidR="00CB0982" w:rsidRPr="002D2B59" w:rsidRDefault="00CB0982" w:rsidP="007473C3">
      <w:pPr>
        <w:keepNext/>
        <w:keepLines/>
      </w:pPr>
    </w:p>
    <w:p w14:paraId="1C721D2B" w14:textId="7A354169" w:rsidR="00CB0982" w:rsidRPr="002D2B59" w:rsidRDefault="00CB0982" w:rsidP="007473C3">
      <w:pPr>
        <w:pStyle w:val="Heading2"/>
        <w:keepNext/>
        <w:keepLines/>
        <w:ind w:left="709" w:hanging="709"/>
      </w:pPr>
      <w:proofErr w:type="gramStart"/>
      <w:r w:rsidRPr="002D2B59">
        <w:rPr>
          <w:b/>
        </w:rPr>
        <w:t>Voluntary initiatives taken by companies and sectors.</w:t>
      </w:r>
      <w:proofErr w:type="gramEnd"/>
      <w:r w:rsidRPr="002D2B59">
        <w:rPr>
          <w:b/>
        </w:rPr>
        <w:t xml:space="preserve"> </w:t>
      </w:r>
      <w:r w:rsidRPr="002D2B59">
        <w:t>It is still difficult to assess the number and quality of responsible initiatives. However, more than 12 000 bodies in 145 countries are taking part in the Global Compact by signing up to its ten CSR principles</w:t>
      </w:r>
      <w:r w:rsidRPr="002D2B59">
        <w:rPr>
          <w:rStyle w:val="FootnoteReference"/>
        </w:rPr>
        <w:footnoteReference w:id="8"/>
      </w:r>
      <w:r w:rsidRPr="002D2B59">
        <w:t>. A report on the Global Compact's local networks</w:t>
      </w:r>
      <w:r w:rsidRPr="002D2B59">
        <w:rPr>
          <w:rStyle w:val="FootnoteReference"/>
        </w:rPr>
        <w:footnoteReference w:id="9"/>
      </w:r>
      <w:r w:rsidRPr="002D2B59">
        <w:t xml:space="preserve"> shows that two thirds of these are businesses, and there are just as many SMEs as large companies. Half of these large companies are European. Since 2008, the United Nations Conference on Trade and Development (UNCTAD)</w:t>
      </w:r>
      <w:r w:rsidRPr="002D2B59">
        <w:rPr>
          <w:rStyle w:val="FootnoteReference"/>
        </w:rPr>
        <w:footnoteReference w:id="10"/>
      </w:r>
      <w:r w:rsidRPr="002D2B59">
        <w:t xml:space="preserve"> has provided companies wishing to compile an annual report with guidelines on CSR indicators. </w:t>
      </w:r>
    </w:p>
    <w:p w14:paraId="60D5C3C0" w14:textId="77777777" w:rsidR="00CB0982" w:rsidRPr="002D2B59" w:rsidRDefault="00CB0982" w:rsidP="007473C3"/>
    <w:p w14:paraId="03C38CE2" w14:textId="77777777" w:rsidR="00CB0982" w:rsidRPr="002D2B59" w:rsidRDefault="00CB0982" w:rsidP="007473C3">
      <w:pPr>
        <w:pStyle w:val="Heading2"/>
        <w:ind w:left="709" w:hanging="709"/>
      </w:pPr>
      <w:r w:rsidRPr="002D2B59">
        <w:t xml:space="preserve">Over the last decade, </w:t>
      </w:r>
      <w:r w:rsidRPr="002D2B59">
        <w:rPr>
          <w:b/>
        </w:rPr>
        <w:t>sector- or industry-specific collective initiatives</w:t>
      </w:r>
      <w:r w:rsidRPr="002D2B59">
        <w:t xml:space="preserve"> – such as tackling deforestation, improving working conditions in the toy industry or transparency in the extractive industries – have been developed and they support the individual efforts made by executives or management. They also contribute to competitiveness by managing risks, particularly when companies operate in countries that are structurally weak or corrupt.</w:t>
      </w:r>
    </w:p>
    <w:p w14:paraId="00007A18" w14:textId="77777777" w:rsidR="00CB0982" w:rsidRPr="002D2B59" w:rsidRDefault="00CB0982" w:rsidP="007473C3">
      <w:pPr>
        <w:ind w:left="709" w:hanging="709"/>
      </w:pPr>
    </w:p>
    <w:p w14:paraId="2D58A2D7" w14:textId="1AF350D4" w:rsidR="0054119C" w:rsidRPr="002D2B59" w:rsidRDefault="00CB0982" w:rsidP="007473C3">
      <w:pPr>
        <w:pStyle w:val="Heading2"/>
        <w:ind w:left="709" w:hanging="709"/>
      </w:pPr>
      <w:r w:rsidRPr="002D2B59">
        <w:t xml:space="preserve">The </w:t>
      </w:r>
      <w:r w:rsidRPr="002D2B59">
        <w:rPr>
          <w:b/>
        </w:rPr>
        <w:t xml:space="preserve">Millennium Development Goals </w:t>
      </w:r>
      <w:r w:rsidR="000754B9">
        <w:rPr>
          <w:b/>
        </w:rPr>
        <w:t xml:space="preserve">(MDGs) </w:t>
      </w:r>
      <w:r w:rsidRPr="002D2B59">
        <w:rPr>
          <w:b/>
        </w:rPr>
        <w:t>results</w:t>
      </w:r>
      <w:r w:rsidRPr="002D2B59">
        <w:t xml:space="preserve"> have shown that private investment plays a key role, being much greater in volume than public development aid</w:t>
      </w:r>
      <w:r w:rsidRPr="002D2B59">
        <w:rPr>
          <w:rStyle w:val="FootnoteReference"/>
        </w:rPr>
        <w:footnoteReference w:id="11"/>
      </w:r>
      <w:r w:rsidRPr="002D2B59">
        <w:t xml:space="preserve">. The May 2014 communication entitled </w:t>
      </w:r>
      <w:r w:rsidRPr="002D2B59">
        <w:rPr>
          <w:b/>
        </w:rPr>
        <w:t>A Stronger Role of the Private Sector in Achieving Inclusive and Sustainable Growth in Developing Countries</w:t>
      </w:r>
      <w:r w:rsidRPr="002D2B59">
        <w:t xml:space="preserve"> specifies adherence to social, environmental and fiscal standards as a precondition for any EU engagement with, or public support to, the private sector. </w:t>
      </w:r>
    </w:p>
    <w:p w14:paraId="3C6BEDD2" w14:textId="77777777" w:rsidR="00D971CD" w:rsidRPr="002D2B59" w:rsidRDefault="00D971CD" w:rsidP="007473C3">
      <w:pPr>
        <w:ind w:left="709" w:hanging="709"/>
      </w:pPr>
    </w:p>
    <w:p w14:paraId="138F5F25" w14:textId="24758E70" w:rsidR="0054119C" w:rsidRPr="002D2B59" w:rsidRDefault="00C93F0C" w:rsidP="007473C3">
      <w:pPr>
        <w:pStyle w:val="Heading2"/>
        <w:ind w:left="709" w:hanging="709"/>
      </w:pPr>
      <w:r w:rsidRPr="002D2B59">
        <w:t>In an effort to recognise the growing contribution made by the local private sector and direct foreign investment, alongside European public funding, the</w:t>
      </w:r>
      <w:r w:rsidRPr="002D2B59">
        <w:rPr>
          <w:b/>
        </w:rPr>
        <w:t xml:space="preserve"> ACP-EU Economic and Social Interest Groups' declaration</w:t>
      </w:r>
      <w:r w:rsidRPr="002D2B59">
        <w:t xml:space="preserve"> highlights the fact that innovative company activities contribute towards sustainable development and consumer protection. Fair trade and micro-financing are useful for achieving future </w:t>
      </w:r>
      <w:r w:rsidR="000754B9" w:rsidRPr="000754B9">
        <w:t xml:space="preserve">sustainable development goals </w:t>
      </w:r>
      <w:r w:rsidR="000754B9">
        <w:t>(</w:t>
      </w:r>
      <w:r w:rsidRPr="002D2B59">
        <w:t>SDGs</w:t>
      </w:r>
      <w:r w:rsidR="000754B9">
        <w:t>)</w:t>
      </w:r>
      <w:r w:rsidRPr="002D2B59">
        <w:t xml:space="preserve">. </w:t>
      </w:r>
    </w:p>
    <w:p w14:paraId="7E41B759" w14:textId="77777777" w:rsidR="00D971CD" w:rsidRPr="002D2B59" w:rsidRDefault="00D971CD" w:rsidP="007473C3">
      <w:pPr>
        <w:ind w:left="709" w:hanging="709"/>
      </w:pPr>
    </w:p>
    <w:p w14:paraId="3A23D847" w14:textId="1F30480E" w:rsidR="0054119C" w:rsidRPr="002D2B59" w:rsidRDefault="00AE42F4" w:rsidP="007473C3">
      <w:pPr>
        <w:pStyle w:val="Heading2"/>
        <w:ind w:left="709" w:hanging="709"/>
      </w:pPr>
      <w:r w:rsidRPr="002D2B59">
        <w:rPr>
          <w:b/>
        </w:rPr>
        <w:t>According to UNCTAD</w:t>
      </w:r>
      <w:r w:rsidRPr="002D2B59">
        <w:t>, the role of the private sector is set to increase.</w:t>
      </w:r>
      <w:r w:rsidR="007473C3" w:rsidRPr="002D2B59">
        <w:t xml:space="preserve"> </w:t>
      </w:r>
      <w:r w:rsidRPr="002D2B59">
        <w:t xml:space="preserve">It estimates that a third of the funding necessary to finance the MDGs from now until 2030 will come from the private sector. This will increase investors' vigilance in the area of good governance. </w:t>
      </w:r>
    </w:p>
    <w:p w14:paraId="0C2CFAE1" w14:textId="77777777" w:rsidR="00D971CD" w:rsidRPr="002D2B59" w:rsidRDefault="00D971CD" w:rsidP="007473C3">
      <w:pPr>
        <w:ind w:left="709" w:hanging="709"/>
      </w:pPr>
    </w:p>
    <w:p w14:paraId="34A15079" w14:textId="77777777" w:rsidR="00B07787" w:rsidRPr="002D2B59" w:rsidRDefault="00AE42F4" w:rsidP="007473C3">
      <w:pPr>
        <w:pStyle w:val="Heading2"/>
        <w:ind w:left="709" w:hanging="709"/>
      </w:pPr>
      <w:r w:rsidRPr="002D2B59">
        <w:rPr>
          <w:b/>
        </w:rPr>
        <w:t xml:space="preserve">However multilateral public support </w:t>
      </w:r>
      <w:r w:rsidRPr="002D2B59">
        <w:t xml:space="preserve">– often in the form of public/private partnerships – </w:t>
      </w:r>
      <w:r w:rsidRPr="002D2B59">
        <w:rPr>
          <w:b/>
        </w:rPr>
        <w:t>remains indispensable</w:t>
      </w:r>
      <w:r w:rsidRPr="002D2B59">
        <w:t xml:space="preserve">, particularly in order to ensure long-term financing of key transport, </w:t>
      </w:r>
      <w:r w:rsidRPr="002D2B59">
        <w:lastRenderedPageBreak/>
        <w:t>energy and rural development infrastructure, which is necessary to attract direct foreign investors.</w:t>
      </w:r>
    </w:p>
    <w:p w14:paraId="2B98F76B" w14:textId="77777777" w:rsidR="00D971CD" w:rsidRPr="002D2B59" w:rsidRDefault="00D971CD" w:rsidP="007473C3"/>
    <w:p w14:paraId="265885F6" w14:textId="5CAAA9D5" w:rsidR="00B07787" w:rsidRPr="002D2B59" w:rsidRDefault="001D515B" w:rsidP="007473C3">
      <w:pPr>
        <w:pStyle w:val="Heading2"/>
        <w:ind w:left="709" w:hanging="709"/>
      </w:pPr>
      <w:r w:rsidRPr="002D2B59">
        <w:rPr>
          <w:b/>
        </w:rPr>
        <w:t xml:space="preserve">Socially responsible investment (SRI) </w:t>
      </w:r>
      <w:r w:rsidRPr="002D2B59">
        <w:t xml:space="preserve">is the expression of sustainable development in the area of financial management. It involves taking account of non-financial criteria, i.e. environmental, social and governance criteria (known as ESG criteria) when making investment decisions. SRI contributes to an alternative approach to development by responding medium- and long-term investment needs and by facilitating the development of local SMEs and very small enterprises (VSEs). Europe is the world's most active and dynamic region in terms of innovation and creating socially responsible investment funds. Moreover, the various national European networks have since 2000 been united by the </w:t>
      </w:r>
      <w:proofErr w:type="spellStart"/>
      <w:r w:rsidRPr="002D2B59">
        <w:t>Eurosif</w:t>
      </w:r>
      <w:proofErr w:type="spellEnd"/>
      <w:r w:rsidRPr="002D2B59">
        <w:t xml:space="preserve"> federation.</w:t>
      </w:r>
    </w:p>
    <w:p w14:paraId="2D17E9C9" w14:textId="77777777" w:rsidR="00D971CD" w:rsidRPr="002D2B59" w:rsidRDefault="00D971CD" w:rsidP="007473C3">
      <w:pPr>
        <w:ind w:left="709" w:hanging="709"/>
      </w:pPr>
    </w:p>
    <w:p w14:paraId="09709F70" w14:textId="1A423370" w:rsidR="006D6759" w:rsidRPr="002D2B59" w:rsidRDefault="00CB0982" w:rsidP="007473C3">
      <w:pPr>
        <w:pStyle w:val="Heading2"/>
        <w:ind w:left="709" w:hanging="709"/>
      </w:pPr>
      <w:r w:rsidRPr="002D2B59">
        <w:t>In the run up to the</w:t>
      </w:r>
      <w:r w:rsidRPr="002D2B59">
        <w:rPr>
          <w:b/>
        </w:rPr>
        <w:t xml:space="preserve"> 2015 climate negotiations</w:t>
      </w:r>
      <w:r w:rsidRPr="002D2B59">
        <w:t xml:space="preserve">, many investors have been engaged in tackling climate change. Some have declared themselves willing to gear investment towards the low-carbon economy, under the auspices of the United Nations Finance Initiative. </w:t>
      </w:r>
    </w:p>
    <w:p w14:paraId="40A12FE1" w14:textId="77777777" w:rsidR="00D971CD" w:rsidRPr="002D2B59" w:rsidRDefault="00D971CD" w:rsidP="007473C3">
      <w:pPr>
        <w:ind w:left="709" w:hanging="709"/>
      </w:pPr>
    </w:p>
    <w:p w14:paraId="02B69A51" w14:textId="608FEB64" w:rsidR="00D57F4F" w:rsidRPr="002D2B59" w:rsidRDefault="00CF7094" w:rsidP="007473C3">
      <w:pPr>
        <w:pStyle w:val="Heading2"/>
        <w:ind w:left="709" w:hanging="709"/>
      </w:pPr>
      <w:r w:rsidRPr="002D2B59">
        <w:t xml:space="preserve">These managers of assets, insurance companies, pension funds and sovereign wealth funds take as reference the </w:t>
      </w:r>
      <w:r w:rsidRPr="002D2B59">
        <w:rPr>
          <w:b/>
        </w:rPr>
        <w:t>six UN principles for Responsible Investment (UNPRI)</w:t>
      </w:r>
      <w:r w:rsidRPr="002D2B59">
        <w:t xml:space="preserve">, established by the United Nations Environment Programme Finance Initiative and the Global Compact. The International Finance Corporation (IFC) ) – a subsidiary of the World Bank responsible for transactions in the private sector – takes account of local development criteria by including issues relating to biodiversity, land acquisition, the plight of migrant workers and indigenous peoples, as well as resource efficiency and the prevention of pollution. </w:t>
      </w:r>
    </w:p>
    <w:p w14:paraId="324AC528" w14:textId="77777777" w:rsidR="00D971CD" w:rsidRPr="002D2B59" w:rsidRDefault="00D971CD" w:rsidP="007473C3">
      <w:pPr>
        <w:ind w:left="709" w:hanging="709"/>
      </w:pPr>
    </w:p>
    <w:p w14:paraId="797A5E0E" w14:textId="77777777" w:rsidR="00D57F4F" w:rsidRPr="002D2B59" w:rsidRDefault="00CB0982" w:rsidP="007473C3">
      <w:pPr>
        <w:pStyle w:val="Heading2"/>
        <w:ind w:left="709" w:hanging="709"/>
      </w:pPr>
      <w:r w:rsidRPr="002D2B59">
        <w:t xml:space="preserve">The main national development agencies in the EU, along with the </w:t>
      </w:r>
      <w:r w:rsidRPr="002D2B59">
        <w:rPr>
          <w:b/>
        </w:rPr>
        <w:t>European Investment Bank (EIB)</w:t>
      </w:r>
      <w:r w:rsidRPr="002D2B59">
        <w:t xml:space="preserve"> and the European Bank for Reconstruction and Development (EBRD), finance medium and long-term projects, particularly in neighbouring countries. They also ensure that beneficiaries comply with ESG criteria. These are subject to an impact report. The EIB has published an </w:t>
      </w:r>
      <w:r w:rsidRPr="002D2B59">
        <w:rPr>
          <w:i/>
        </w:rPr>
        <w:t>Environmental and Social Handbook</w:t>
      </w:r>
      <w:r w:rsidRPr="002D2B59">
        <w:rPr>
          <w:rStyle w:val="FootnoteReference"/>
        </w:rPr>
        <w:footnoteReference w:id="12"/>
      </w:r>
      <w:r w:rsidRPr="002D2B59">
        <w:t xml:space="preserve"> to serve as a guide to application (revised version effective as of 2014). </w:t>
      </w:r>
    </w:p>
    <w:p w14:paraId="66773DB6" w14:textId="77777777" w:rsidR="00D971CD" w:rsidRPr="002D2B59" w:rsidRDefault="00D971CD" w:rsidP="007473C3">
      <w:pPr>
        <w:ind w:left="709" w:hanging="709"/>
      </w:pPr>
    </w:p>
    <w:p w14:paraId="07876E46" w14:textId="019CC8CF" w:rsidR="00D57F4F" w:rsidRPr="002D2B59" w:rsidRDefault="00CB0982" w:rsidP="007473C3">
      <w:pPr>
        <w:pStyle w:val="Heading2"/>
        <w:ind w:left="709" w:hanging="709"/>
      </w:pPr>
      <w:r w:rsidRPr="002D2B59">
        <w:rPr>
          <w:b/>
        </w:rPr>
        <w:t>Consumers</w:t>
      </w:r>
      <w:r w:rsidRPr="002D2B59">
        <w:t xml:space="preserve">: the EESC highlights the importance of consumer awareness of sustainable development. The awareness heightened by industrial disasters, many consumers </w:t>
      </w:r>
      <w:proofErr w:type="gramStart"/>
      <w:r w:rsidRPr="002D2B59">
        <w:t>expect</w:t>
      </w:r>
      <w:proofErr w:type="gramEnd"/>
      <w:r w:rsidRPr="002D2B59">
        <w:t xml:space="preserve"> large retailers to adopt a responsible procurement policy and to ensure the traceability of their products throughout the supply chain. They appreciate innovative initiatives on fair trade, sectoral labels, eco-design and the circular economy. In order to help consumers to make informed choices, the EESC calls on the Commission to re-examine the issue of labels of origin, particularly within the textiles and clothing sector. The EESC notes with interest that </w:t>
      </w:r>
      <w:r w:rsidRPr="002D2B59">
        <w:lastRenderedPageBreak/>
        <w:t>the International Organisation for Standardisation is currently drawing up a standard on sustainable purchasing (ISO 20400)</w:t>
      </w:r>
      <w:r w:rsidRPr="002D2B59">
        <w:rPr>
          <w:rStyle w:val="FootnoteReference"/>
        </w:rPr>
        <w:footnoteReference w:id="13"/>
      </w:r>
      <w:r w:rsidRPr="002D2B59">
        <w:t>.</w:t>
      </w:r>
    </w:p>
    <w:p w14:paraId="719E3045" w14:textId="77777777" w:rsidR="00D971CD" w:rsidRPr="002D2B59" w:rsidRDefault="00D971CD" w:rsidP="007473C3"/>
    <w:p w14:paraId="5CAEB3C9" w14:textId="0CE4A664" w:rsidR="0054119C" w:rsidRPr="002D2B59" w:rsidRDefault="00CB0982" w:rsidP="007473C3">
      <w:pPr>
        <w:pStyle w:val="Heading2"/>
        <w:ind w:left="709" w:hanging="709"/>
      </w:pPr>
      <w:r w:rsidRPr="002D2B59">
        <w:rPr>
          <w:b/>
        </w:rPr>
        <w:t>The social partners:</w:t>
      </w:r>
      <w:r w:rsidRPr="002D2B59">
        <w:t xml:space="preserve"> CSR is a driver for cross-border and even global social dialogue through transnational company agreements (TCAs)</w:t>
      </w:r>
      <w:r w:rsidRPr="002D2B59">
        <w:rPr>
          <w:rStyle w:val="FootnoteReference"/>
        </w:rPr>
        <w:footnoteReference w:id="14"/>
      </w:r>
      <w:r w:rsidRPr="002D2B59">
        <w:t xml:space="preserve"> – also known as International Framework Agreements (IFAs). In 2014 there were almost 250</w:t>
      </w:r>
      <w:r w:rsidRPr="002D2B59">
        <w:rPr>
          <w:rStyle w:val="FootnoteReference"/>
        </w:rPr>
        <w:footnoteReference w:id="15"/>
      </w:r>
      <w:r w:rsidR="00A90CFA" w:rsidRPr="002D2B59">
        <w:t xml:space="preserve"> </w:t>
      </w:r>
      <w:r w:rsidRPr="002D2B59">
        <w:t xml:space="preserve">such agreements – 111 of which were global agreements – covering ten million workers. The majority of these agreements were negotiated in Europe between managers' and workers' representatives. The commitments made in some of these </w:t>
      </w:r>
      <w:r w:rsidR="001F2C7C" w:rsidRPr="001F2C7C">
        <w:t xml:space="preserve">transnational company agreements </w:t>
      </w:r>
      <w:r w:rsidR="001F2C7C">
        <w:t>(</w:t>
      </w:r>
      <w:r w:rsidRPr="002D2B59">
        <w:t>TCAs</w:t>
      </w:r>
      <w:r w:rsidR="001F2C7C">
        <w:t>)</w:t>
      </w:r>
      <w:r w:rsidRPr="002D2B59">
        <w:t xml:space="preserve"> also extend to the companies' subsidiaries, sub-contractors and suppliers. Some TCAs establish a joint management and trade-union structure for monitoring implementation of the agreement and provide, where appropriate, for informing or consulting the European Works Council. </w:t>
      </w:r>
    </w:p>
    <w:p w14:paraId="35341570" w14:textId="77777777" w:rsidR="00D971CD" w:rsidRPr="002D2B59" w:rsidRDefault="00D971CD" w:rsidP="007473C3">
      <w:pPr>
        <w:ind w:left="709" w:hanging="709"/>
      </w:pPr>
    </w:p>
    <w:p w14:paraId="2A274759" w14:textId="77777777" w:rsidR="00CB0982" w:rsidRPr="002D2B59" w:rsidRDefault="0054119C" w:rsidP="007473C3">
      <w:pPr>
        <w:pStyle w:val="Heading2"/>
        <w:tabs>
          <w:tab w:val="num" w:pos="0"/>
        </w:tabs>
        <w:adjustRightInd w:val="0"/>
        <w:ind w:left="709" w:hanging="709"/>
      </w:pPr>
      <w:r w:rsidRPr="002D2B59">
        <w:rPr>
          <w:b/>
        </w:rPr>
        <w:t>The social economy</w:t>
      </w:r>
      <w:r w:rsidRPr="002D2B59">
        <w:t xml:space="preserve"> (also referred to as the "social and solidarity economy") has an increasingly important role to play in EU development policy, particularly in terms of promoting cooperatives in the </w:t>
      </w:r>
      <w:proofErr w:type="spellStart"/>
      <w:r w:rsidRPr="002D2B59">
        <w:t>agri</w:t>
      </w:r>
      <w:proofErr w:type="spellEnd"/>
      <w:r w:rsidRPr="002D2B59">
        <w:t>-food sector. The European social economy sector, which adheres to ESG standards, works with its counterparts in other parts of the world to ensure that development of the sector is founded on factors other than financial criteria.</w:t>
      </w:r>
    </w:p>
    <w:p w14:paraId="3FE8FD1F" w14:textId="77777777" w:rsidR="00CB0982" w:rsidRPr="002D2B59" w:rsidRDefault="00CB0982" w:rsidP="007473C3"/>
    <w:p w14:paraId="6843554B" w14:textId="77777777" w:rsidR="0003428D" w:rsidRPr="002D2B59" w:rsidRDefault="0003428D" w:rsidP="007473C3">
      <w:pPr>
        <w:pStyle w:val="Heading1"/>
        <w:keepNext/>
        <w:keepLines/>
        <w:ind w:left="709" w:hanging="709"/>
        <w:rPr>
          <w:b/>
        </w:rPr>
      </w:pPr>
      <w:r w:rsidRPr="002D2B59">
        <w:rPr>
          <w:b/>
        </w:rPr>
        <w:t>Transparency and governance in the external dimension of CSR</w:t>
      </w:r>
    </w:p>
    <w:p w14:paraId="7A2BFF93" w14:textId="77777777" w:rsidR="0003428D" w:rsidRPr="002D2B59" w:rsidRDefault="0003428D" w:rsidP="007473C3">
      <w:pPr>
        <w:keepNext/>
        <w:keepLines/>
        <w:ind w:left="709"/>
      </w:pPr>
    </w:p>
    <w:p w14:paraId="04F8A8BC" w14:textId="77777777" w:rsidR="0003428D" w:rsidRPr="002D2B59" w:rsidRDefault="0003428D" w:rsidP="007473C3">
      <w:pPr>
        <w:pStyle w:val="Heading2"/>
        <w:keepNext/>
        <w:keepLines/>
        <w:tabs>
          <w:tab w:val="num" w:pos="709"/>
        </w:tabs>
        <w:ind w:left="709" w:hanging="709"/>
      </w:pPr>
      <w:r w:rsidRPr="002D2B59">
        <w:rPr>
          <w:b/>
        </w:rPr>
        <w:t>General transparency and governance measures in the EU</w:t>
      </w:r>
    </w:p>
    <w:p w14:paraId="526DF136" w14:textId="77777777" w:rsidR="0003428D" w:rsidRPr="002D2B59" w:rsidRDefault="0003428D" w:rsidP="007473C3">
      <w:pPr>
        <w:keepNext/>
        <w:keepLines/>
        <w:ind w:left="709" w:hanging="709"/>
      </w:pPr>
    </w:p>
    <w:p w14:paraId="5ECB984E" w14:textId="412F8F90" w:rsidR="00876BD9" w:rsidRPr="002D2B59" w:rsidRDefault="000D0A19" w:rsidP="000D0A19">
      <w:pPr>
        <w:pStyle w:val="Heading3"/>
      </w:pPr>
      <w:r w:rsidRPr="000D0A19">
        <w:rPr>
          <w:b/>
        </w:rPr>
        <w:t xml:space="preserve">Non-financial reporting: </w:t>
      </w:r>
      <w:r w:rsidRPr="000D0A19">
        <w:t>there is now an obligation for certain companies to include non-financial information in the management report, alongside accounting standards. In transposition and implementation of these new EU rules, it will be important to ensure that these actually do improve the transparency of company activity and good governance in global trade, and avoid a "tick-box" exercise</w:t>
      </w:r>
      <w:r w:rsidR="0003428D" w:rsidRPr="002D2B59">
        <w:t>.</w:t>
      </w:r>
    </w:p>
    <w:p w14:paraId="439ED38F" w14:textId="77777777" w:rsidR="00876BD9" w:rsidRPr="002D2B59" w:rsidRDefault="00876BD9" w:rsidP="007473C3"/>
    <w:p w14:paraId="3F26EC04" w14:textId="129DDB23" w:rsidR="0003428D" w:rsidRPr="002D2B59" w:rsidRDefault="007F589D" w:rsidP="007F589D">
      <w:pPr>
        <w:pStyle w:val="Heading3"/>
      </w:pPr>
      <w:r w:rsidRPr="007F589D">
        <w:t>The 2014 Directive</w:t>
      </w:r>
      <w:r>
        <w:rPr>
          <w:rStyle w:val="FootnoteReference"/>
        </w:rPr>
        <w:footnoteReference w:id="16"/>
      </w:r>
      <w:r w:rsidRPr="007F589D">
        <w:t xml:space="preserve">, which is currently being transposed, applies to businesses which have more than 500 employees, listed companies and public interest entities (as defined at national level, including for example financial institutions) whether they are listed or not. In 2018 (2017 tax year), around 6 000 companies operating in the EU will have to publish a non-financial report for their stakeholders, which includes their subsidiaries and discloses their policies, risks and results on "environmental issues, social and employee related factors, respect for human rights and tackling corruption." In addition to transposition, the </w:t>
      </w:r>
      <w:r w:rsidRPr="007F589D">
        <w:lastRenderedPageBreak/>
        <w:t>Commission is also obliged to develop guidelines to assist in the compliance of companies with their transparency obligations included in the new rules. The Commission could eventually create a database to collate at EU level all information published in this respect.</w:t>
      </w:r>
    </w:p>
    <w:p w14:paraId="533931D7" w14:textId="77777777" w:rsidR="00876BD9" w:rsidRPr="002D2B59" w:rsidRDefault="00876BD9" w:rsidP="007473C3">
      <w:pPr>
        <w:ind w:left="709" w:hanging="709"/>
      </w:pPr>
    </w:p>
    <w:p w14:paraId="5439DD85" w14:textId="77777777" w:rsidR="00623199" w:rsidRPr="002D2B59" w:rsidRDefault="0003428D" w:rsidP="007473C3">
      <w:pPr>
        <w:pStyle w:val="Heading3"/>
        <w:tabs>
          <w:tab w:val="num" w:pos="0"/>
        </w:tabs>
        <w:adjustRightInd w:val="0"/>
        <w:ind w:left="709" w:hanging="709"/>
      </w:pPr>
      <w:proofErr w:type="spellStart"/>
      <w:r w:rsidRPr="002D2B59">
        <w:rPr>
          <w:b/>
        </w:rPr>
        <w:t>Conditionalities</w:t>
      </w:r>
      <w:proofErr w:type="spellEnd"/>
      <w:r w:rsidRPr="002D2B59">
        <w:rPr>
          <w:b/>
        </w:rPr>
        <w:t xml:space="preserve"> attached to public procurement:</w:t>
      </w:r>
      <w:r w:rsidRPr="002D2B59">
        <w:t xml:space="preserve"> the European Union has revised its directives on public procurement. These new rules include a horizontal clause which permits including environmental or social inclusion criteria when awarding public contracts, the use of eco-labelling and the possibility of factoring in environmental aspects during the production process, and an approach based on life-cycle costing calculations</w:t>
      </w:r>
      <w:r w:rsidRPr="002D2B59">
        <w:rPr>
          <w:rStyle w:val="FootnoteReference"/>
        </w:rPr>
        <w:footnoteReference w:id="17"/>
      </w:r>
      <w:r w:rsidRPr="002D2B59">
        <w:t xml:space="preserve">. </w:t>
      </w:r>
    </w:p>
    <w:p w14:paraId="4AF41E0B" w14:textId="77777777" w:rsidR="00876BD9" w:rsidRPr="002D2B59" w:rsidRDefault="00876BD9" w:rsidP="007473C3">
      <w:pPr>
        <w:ind w:left="709" w:hanging="709"/>
      </w:pPr>
    </w:p>
    <w:p w14:paraId="123166F6" w14:textId="03F1F8A3" w:rsidR="00C15285" w:rsidRPr="004C29C5" w:rsidRDefault="0003428D" w:rsidP="007473C3">
      <w:pPr>
        <w:pStyle w:val="Heading3"/>
        <w:tabs>
          <w:tab w:val="num" w:pos="0"/>
        </w:tabs>
        <w:adjustRightInd w:val="0"/>
        <w:ind w:left="709" w:hanging="709"/>
      </w:pPr>
      <w:r w:rsidRPr="002D2B59">
        <w:t xml:space="preserve">A </w:t>
      </w:r>
      <w:r w:rsidR="00F5260B">
        <w:t xml:space="preserve">proposal for a </w:t>
      </w:r>
      <w:r w:rsidRPr="002D2B59">
        <w:t xml:space="preserve">regulation on the responsible sourcing of </w:t>
      </w:r>
      <w:r w:rsidRPr="002D2B59">
        <w:rPr>
          <w:b/>
        </w:rPr>
        <w:t>minerals from conflict-stricken or high-risk areas</w:t>
      </w:r>
      <w:r w:rsidRPr="002D2B59">
        <w:rPr>
          <w:rStyle w:val="FootnoteReference"/>
        </w:rPr>
        <w:footnoteReference w:id="18"/>
      </w:r>
      <w:r w:rsidR="00A90CFA" w:rsidRPr="002D2B59">
        <w:rPr>
          <w:b/>
        </w:rPr>
        <w:t xml:space="preserve"> </w:t>
      </w:r>
      <w:r w:rsidRPr="002D2B59">
        <w:t>was adopted on 20 May 2015.</w:t>
      </w:r>
      <w:r w:rsidRPr="002D2B59">
        <w:rPr>
          <w:b/>
        </w:rPr>
        <w:t xml:space="preserve"> </w:t>
      </w:r>
      <w:r w:rsidR="00F5260B" w:rsidRPr="00F5260B">
        <w:t>This aims to oblige</w:t>
      </w:r>
      <w:r w:rsidR="00F5260B">
        <w:rPr>
          <w:b/>
        </w:rPr>
        <w:t xml:space="preserve"> </w:t>
      </w:r>
      <w:r w:rsidRPr="002D2B59">
        <w:t xml:space="preserve">European importers of tin, tantalum, tungsten and gold </w:t>
      </w:r>
      <w:r w:rsidR="004C29C5">
        <w:t>to</w:t>
      </w:r>
      <w:r w:rsidRPr="002D2B59">
        <w:t xml:space="preserve"> be certified by independent third parties, while VSEs and SMEs are eligible for financial aid for certification through the COSME programme.</w:t>
      </w:r>
      <w:r w:rsidR="004C29C5" w:rsidRPr="004C29C5">
        <w:rPr>
          <w:i/>
          <w:szCs w:val="20"/>
          <w:u w:val="single"/>
          <w:lang w:eastAsia="en-US" w:bidi="ar-SA"/>
        </w:rPr>
        <w:t xml:space="preserve"> </w:t>
      </w:r>
      <w:r w:rsidR="004C29C5" w:rsidRPr="004C29C5">
        <w:t>However agreement has yet to be reached between the Council and the European Parliament</w:t>
      </w:r>
      <w:r w:rsidR="004C29C5">
        <w:t>.</w:t>
      </w:r>
    </w:p>
    <w:p w14:paraId="0C47B27A" w14:textId="77777777" w:rsidR="00876BD9" w:rsidRPr="002D2B59" w:rsidRDefault="00876BD9" w:rsidP="007473C3">
      <w:pPr>
        <w:ind w:left="709" w:hanging="709"/>
      </w:pPr>
    </w:p>
    <w:p w14:paraId="3596B442" w14:textId="0F6736F8" w:rsidR="0003428D" w:rsidRPr="002D2B59" w:rsidRDefault="0003428D" w:rsidP="007473C3">
      <w:pPr>
        <w:pStyle w:val="Heading3"/>
        <w:tabs>
          <w:tab w:val="num" w:pos="0"/>
        </w:tabs>
        <w:ind w:left="709" w:hanging="709"/>
      </w:pPr>
      <w:r w:rsidRPr="002D2B59">
        <w:t xml:space="preserve">The majority of EU Member States are committed to implementing </w:t>
      </w:r>
      <w:r w:rsidRPr="002D2B59">
        <w:rPr>
          <w:b/>
        </w:rPr>
        <w:t xml:space="preserve">the </w:t>
      </w:r>
      <w:r w:rsidRPr="002D2B59">
        <w:rPr>
          <w:b/>
          <w:i/>
        </w:rPr>
        <w:t>Global</w:t>
      </w:r>
      <w:r w:rsidRPr="002D2B59">
        <w:rPr>
          <w:b/>
        </w:rPr>
        <w:t xml:space="preserve"> </w:t>
      </w:r>
      <w:r w:rsidRPr="002D2B59">
        <w:rPr>
          <w:b/>
          <w:i/>
        </w:rPr>
        <w:t>Standard for Automatic Exchange of Financial Account Information</w:t>
      </w:r>
      <w:r w:rsidRPr="002D2B59">
        <w:rPr>
          <w:rStyle w:val="FootnoteReference"/>
        </w:rPr>
        <w:footnoteReference w:id="19"/>
      </w:r>
      <w:r w:rsidRPr="002D2B59">
        <w:t>, published in 2014 by the OECD, within a short timescale. This agreement would require multinational companies to publish their accounts on a country-by-country basis, which will make it easier to tax profits in the country where they are earned.</w:t>
      </w:r>
    </w:p>
    <w:p w14:paraId="718E1BD2" w14:textId="77777777" w:rsidR="00DB4A27" w:rsidRPr="002D2B59" w:rsidRDefault="00DB4A27" w:rsidP="007473C3"/>
    <w:p w14:paraId="73CE2AF1" w14:textId="77777777" w:rsidR="0003428D" w:rsidRPr="002D2B59" w:rsidRDefault="0003428D" w:rsidP="007473C3">
      <w:pPr>
        <w:pStyle w:val="Heading2"/>
        <w:keepNext/>
        <w:keepLines/>
        <w:tabs>
          <w:tab w:val="num" w:pos="709"/>
        </w:tabs>
        <w:ind w:left="709" w:hanging="709"/>
        <w:rPr>
          <w:b/>
        </w:rPr>
      </w:pPr>
      <w:r w:rsidRPr="002D2B59">
        <w:rPr>
          <w:b/>
        </w:rPr>
        <w:t>Sector-specific measures for transparency and governance in the EU</w:t>
      </w:r>
    </w:p>
    <w:p w14:paraId="47524FB8" w14:textId="77777777" w:rsidR="0003428D" w:rsidRPr="002D2B59" w:rsidRDefault="0003428D" w:rsidP="007473C3">
      <w:pPr>
        <w:keepNext/>
        <w:keepLines/>
        <w:tabs>
          <w:tab w:val="num" w:pos="709"/>
        </w:tabs>
        <w:ind w:left="709" w:hanging="709"/>
        <w:rPr>
          <w:b/>
        </w:rPr>
      </w:pPr>
    </w:p>
    <w:p w14:paraId="3BC91C89" w14:textId="32B088C6" w:rsidR="0096695E" w:rsidRPr="002D2B59" w:rsidRDefault="0003428D" w:rsidP="007473C3">
      <w:pPr>
        <w:pStyle w:val="Heading3"/>
        <w:tabs>
          <w:tab w:val="num" w:pos="709"/>
        </w:tabs>
        <w:ind w:left="709" w:hanging="709"/>
      </w:pPr>
      <w:r w:rsidRPr="002D2B59">
        <w:t xml:space="preserve">Since 2013, </w:t>
      </w:r>
      <w:r w:rsidRPr="002D2B59">
        <w:rPr>
          <w:b/>
        </w:rPr>
        <w:t>the banking sector directive</w:t>
      </w:r>
      <w:r w:rsidRPr="002D2B59">
        <w:rPr>
          <w:rStyle w:val="FootnoteReference"/>
        </w:rPr>
        <w:footnoteReference w:id="20"/>
      </w:r>
      <w:r w:rsidR="00A90CFA" w:rsidRPr="002D2B59">
        <w:rPr>
          <w:b/>
        </w:rPr>
        <w:t xml:space="preserve"> </w:t>
      </w:r>
      <w:r w:rsidRPr="002D2B59">
        <w:t>has contributed towards creating transparency with regard to tax obligations, making it compulsory for banks to publish certain tax data on a country-by-country basis.</w:t>
      </w:r>
    </w:p>
    <w:p w14:paraId="2D5893AE" w14:textId="77777777" w:rsidR="0096695E" w:rsidRPr="002D2B59" w:rsidRDefault="0096695E" w:rsidP="007473C3">
      <w:pPr>
        <w:tabs>
          <w:tab w:val="num" w:pos="709"/>
        </w:tabs>
        <w:ind w:left="709" w:hanging="709"/>
      </w:pPr>
    </w:p>
    <w:p w14:paraId="3A2640DE" w14:textId="60F00B18" w:rsidR="0096695E" w:rsidRPr="002D2B59" w:rsidRDefault="009C3777" w:rsidP="007473C3">
      <w:pPr>
        <w:pStyle w:val="Heading3"/>
        <w:tabs>
          <w:tab w:val="num" w:pos="709"/>
        </w:tabs>
        <w:ind w:left="709" w:hanging="709"/>
      </w:pPr>
      <w:r w:rsidRPr="002D2B59">
        <w:t>A 2013 directive</w:t>
      </w:r>
      <w:r w:rsidRPr="002D2B59">
        <w:rPr>
          <w:rStyle w:val="FootnoteReference"/>
        </w:rPr>
        <w:footnoteReference w:id="21"/>
      </w:r>
      <w:r w:rsidRPr="002D2B59">
        <w:t xml:space="preserve"> requires companies operating in the </w:t>
      </w:r>
      <w:r w:rsidRPr="002D2B59">
        <w:rPr>
          <w:b/>
        </w:rPr>
        <w:t>extractive or primary forests industries</w:t>
      </w:r>
      <w:r w:rsidRPr="002D2B59">
        <w:t xml:space="preserve"> to compile a specific annual report from 2016 onwards. These companies must be transparent with regard to the payments that they make to local governments (country by country reporting), so that these governments can explain how they have used the revenue to civil society, local authorities and investors. The EU also calls on other countries to adopt the initiative on transparency in the extractive industries (EITI), along with initiatives on the </w:t>
      </w:r>
      <w:r w:rsidRPr="002D2B59">
        <w:lastRenderedPageBreak/>
        <w:t>primary forests industry (FLEGT</w:t>
      </w:r>
      <w:r w:rsidRPr="002D2B59">
        <w:rPr>
          <w:rStyle w:val="FootnoteReference"/>
        </w:rPr>
        <w:footnoteReference w:id="22"/>
      </w:r>
      <w:r w:rsidRPr="002D2B59">
        <w:t xml:space="preserve">) and the diamond industry (the Kimberley certification process), which help improve governance and tackle corruption and tax evasion. </w:t>
      </w:r>
    </w:p>
    <w:p w14:paraId="68936980" w14:textId="77777777" w:rsidR="0096695E" w:rsidRPr="002D2B59" w:rsidRDefault="0096695E" w:rsidP="007473C3"/>
    <w:p w14:paraId="7A434011" w14:textId="6AD8CA08" w:rsidR="007B7069" w:rsidRPr="002D2B59" w:rsidRDefault="0003428D" w:rsidP="007473C3">
      <w:pPr>
        <w:pStyle w:val="Heading3"/>
        <w:tabs>
          <w:tab w:val="num" w:pos="709"/>
        </w:tabs>
        <w:ind w:left="709" w:hanging="709"/>
      </w:pPr>
      <w:proofErr w:type="gramStart"/>
      <w:r w:rsidRPr="002D2B59">
        <w:rPr>
          <w:b/>
        </w:rPr>
        <w:t>European activity in the textiles and clothing industry.</w:t>
      </w:r>
      <w:proofErr w:type="gramEnd"/>
      <w:r w:rsidRPr="002D2B59">
        <w:t xml:space="preserve"> This highly-sensitive sector accounts for a significant share of some countries' external trade and provides many jobs, which are not always of high quality, in terms of either wages or working conditions. Having been made aware of the situation for some time by international trade unions and NGOs, some major western buyers – brands and retailers – establish codes of conduct and carry out social audits. Faced with strong competition, some buyer-companies ask their subcontractors to respect human rights at work, while at the same time imposing low prices and very tight deadlines. They thus subject companies in developing countries which are part of their supply chain to contradictory orders. As the situation currently stands, it is not easy to guarantee traceability, particularly when the local state is weak.</w:t>
      </w:r>
    </w:p>
    <w:p w14:paraId="00FDD3F3" w14:textId="77777777" w:rsidR="00876BD9" w:rsidRPr="002D2B59" w:rsidRDefault="00876BD9" w:rsidP="007473C3">
      <w:pPr>
        <w:tabs>
          <w:tab w:val="num" w:pos="709"/>
        </w:tabs>
        <w:ind w:left="709" w:hanging="709"/>
      </w:pPr>
    </w:p>
    <w:p w14:paraId="24B8C9DA" w14:textId="19CB8EF8" w:rsidR="004C5F01" w:rsidRPr="002D2B59" w:rsidRDefault="0096695E" w:rsidP="007473C3">
      <w:pPr>
        <w:pStyle w:val="Heading3"/>
        <w:tabs>
          <w:tab w:val="num" w:pos="709"/>
        </w:tabs>
        <w:ind w:left="709" w:hanging="709"/>
      </w:pPr>
      <w:r w:rsidRPr="002D2B59">
        <w:t>The European textile and clothing sector is concerned with competitiveness and is developing initiatives (particularly environmental initiatives) to drive forward sustainable growth. The European Apparel and Textile Confederation (</w:t>
      </w:r>
      <w:proofErr w:type="spellStart"/>
      <w:r w:rsidRPr="002D2B59">
        <w:t>Euratex</w:t>
      </w:r>
      <w:proofErr w:type="spellEnd"/>
      <w:r w:rsidRPr="002D2B59">
        <w:t xml:space="preserve">) intends to make efficient use of resources (labour, primary materials, energy, </w:t>
      </w:r>
      <w:proofErr w:type="gramStart"/>
      <w:r w:rsidRPr="002D2B59">
        <w:t>water</w:t>
      </w:r>
      <w:proofErr w:type="gramEnd"/>
      <w:r w:rsidRPr="002D2B59">
        <w:t>) in order to optimise costs, promote transparency in the supply chain and conduct dialogue with internal and external stakeholders. It runs a pilot project for sustainable growth, with the support of DG Employment.</w:t>
      </w:r>
    </w:p>
    <w:p w14:paraId="602468FE" w14:textId="77777777" w:rsidR="00876BD9" w:rsidRPr="002D2B59" w:rsidRDefault="00876BD9" w:rsidP="007473C3">
      <w:pPr>
        <w:tabs>
          <w:tab w:val="num" w:pos="709"/>
        </w:tabs>
        <w:ind w:left="709" w:hanging="709"/>
      </w:pPr>
    </w:p>
    <w:p w14:paraId="6FDCB179" w14:textId="31386F86" w:rsidR="007B7069" w:rsidRPr="002D2B59" w:rsidRDefault="0003428D" w:rsidP="007473C3">
      <w:pPr>
        <w:pStyle w:val="Heading3"/>
        <w:tabs>
          <w:tab w:val="num" w:pos="709"/>
        </w:tabs>
        <w:ind w:left="709" w:hanging="709"/>
      </w:pPr>
      <w:r w:rsidRPr="002D2B59">
        <w:t xml:space="preserve">The 2013 </w:t>
      </w:r>
      <w:r w:rsidRPr="002D2B59">
        <w:rPr>
          <w:b/>
        </w:rPr>
        <w:t>Rana Plaza tragedy in Bangladesh</w:t>
      </w:r>
      <w:r w:rsidRPr="002D2B59">
        <w:t xml:space="preserve"> highlighted the need to improve safety at work. Many Member States' NCPs</w:t>
      </w:r>
      <w:r w:rsidRPr="002D2B59">
        <w:rPr>
          <w:rStyle w:val="FootnoteReference"/>
        </w:rPr>
        <w:footnoteReference w:id="23"/>
      </w:r>
      <w:r w:rsidRPr="002D2B59">
        <w:t xml:space="preserve"> have produced reports on the textiles and clothing sector in Bangladesh, including specific recommendations. In partnership with the ILO and Bangladesh, the EU is part of a major compact that aims to improve workers' rights, working conditions and safety in the country's ready-made garment industry factories</w:t>
      </w:r>
      <w:r w:rsidRPr="002D2B59">
        <w:rPr>
          <w:rStyle w:val="FootnoteReference"/>
        </w:rPr>
        <w:footnoteReference w:id="24"/>
      </w:r>
      <w:r w:rsidRPr="002D2B59">
        <w:t>. It helps provide financing for a worldwide agreement between trade unions and companies on the safety of buildings and fire protection. This approach adopted by economic stakeholders, states and international institutions is both innovative and promising</w:t>
      </w:r>
      <w:r w:rsidRPr="002D2B59">
        <w:rPr>
          <w:rStyle w:val="FootnoteReference"/>
        </w:rPr>
        <w:footnoteReference w:id="25"/>
      </w:r>
      <w:r w:rsidRPr="002D2B59">
        <w:t>.</w:t>
      </w:r>
    </w:p>
    <w:p w14:paraId="00916559" w14:textId="77777777" w:rsidR="00876BD9" w:rsidRPr="002D2B59" w:rsidRDefault="00876BD9" w:rsidP="007473C3">
      <w:pPr>
        <w:tabs>
          <w:tab w:val="num" w:pos="709"/>
        </w:tabs>
        <w:ind w:left="709" w:hanging="709"/>
      </w:pPr>
    </w:p>
    <w:p w14:paraId="64E9BA82" w14:textId="5D1B40B1" w:rsidR="0003428D" w:rsidRPr="002D2B59" w:rsidRDefault="0003428D" w:rsidP="007473C3">
      <w:pPr>
        <w:pStyle w:val="Heading3"/>
        <w:tabs>
          <w:tab w:val="num" w:pos="709"/>
        </w:tabs>
        <w:ind w:left="709" w:hanging="709"/>
      </w:pPr>
      <w:r w:rsidRPr="002D2B59">
        <w:t xml:space="preserve">Nevertheless, it is important to bear the </w:t>
      </w:r>
      <w:r w:rsidRPr="002D2B59">
        <w:rPr>
          <w:b/>
        </w:rPr>
        <w:t>example of Cambodia</w:t>
      </w:r>
      <w:r w:rsidRPr="002D2B59">
        <w:t xml:space="preserve"> in mind. The country and its "Better Factories Cambodia" project, which, under the auspices of the ILO, combined access to the US market with the decent treatment of workers, have long been cited as an example of </w:t>
      </w:r>
      <w:r w:rsidRPr="002D2B59">
        <w:lastRenderedPageBreak/>
        <w:t xml:space="preserve">good practice. A minimum wage had been introduced for the whole sector and a monitoring mechanism was set up. However, the end of the </w:t>
      </w:r>
      <w:proofErr w:type="spellStart"/>
      <w:r w:rsidRPr="002D2B59">
        <w:t>multifibre</w:t>
      </w:r>
      <w:proofErr w:type="spellEnd"/>
      <w:r w:rsidRPr="002D2B59">
        <w:t xml:space="preserve"> agreement changed the deal and the project became less effective at improving working conditions</w:t>
      </w:r>
      <w:r w:rsidRPr="002D2B59">
        <w:rPr>
          <w:rStyle w:val="FootnoteReference"/>
        </w:rPr>
        <w:footnoteReference w:id="26"/>
      </w:r>
      <w:r w:rsidRPr="002D2B59">
        <w:t>.</w:t>
      </w:r>
    </w:p>
    <w:p w14:paraId="75A4E963" w14:textId="77777777" w:rsidR="00876BD9" w:rsidRPr="002D2B59" w:rsidRDefault="00876BD9" w:rsidP="007473C3"/>
    <w:p w14:paraId="529A704D" w14:textId="1DD95CA6" w:rsidR="0003428D" w:rsidRPr="002D2B59" w:rsidRDefault="007C4ACD" w:rsidP="007473C3">
      <w:pPr>
        <w:pStyle w:val="Heading3"/>
        <w:ind w:left="709" w:hanging="709"/>
      </w:pPr>
      <w:proofErr w:type="gramStart"/>
      <w:r w:rsidRPr="002D2B59">
        <w:rPr>
          <w:b/>
        </w:rPr>
        <w:t>Responsible land tenure.</w:t>
      </w:r>
      <w:proofErr w:type="gramEnd"/>
      <w:r w:rsidRPr="002D2B59">
        <w:rPr>
          <w:b/>
        </w:rPr>
        <w:t xml:space="preserve"> </w:t>
      </w:r>
      <w:r w:rsidRPr="002D2B59">
        <w:t>As part of its efforts to guarantee food security and tackle land grabbing, The United Nations Food and Agriculture Organization (FAO) has drawn up</w:t>
      </w:r>
      <w:r w:rsidRPr="002D2B59">
        <w:rPr>
          <w:i/>
        </w:rPr>
        <w:t xml:space="preserve"> Voluntary Guidelines on the Responsible Governance of Tenure of Land, Fisheries and Forests in the Context of National Food Security</w:t>
      </w:r>
      <w:r w:rsidRPr="002D2B59">
        <w:rPr>
          <w:rStyle w:val="FootnoteReference"/>
        </w:rPr>
        <w:footnoteReference w:id="27"/>
      </w:r>
      <w:r w:rsidRPr="002D2B59">
        <w:rPr>
          <w:i/>
        </w:rPr>
        <w:t>.</w:t>
      </w:r>
      <w:r w:rsidRPr="002D2B59">
        <w:t xml:space="preserve"> The ACP-EU Economic and Social Interest Groups' declaration calls on governments to implement the FAO principles on responsible land tenure in order to ensure a transparent land use </w:t>
      </w:r>
      <w:proofErr w:type="gramStart"/>
      <w:r w:rsidRPr="002D2B59">
        <w:t>policy,</w:t>
      </w:r>
      <w:proofErr w:type="gramEnd"/>
      <w:r w:rsidRPr="002D2B59">
        <w:t xml:space="preserve"> and to implement agricultural reforms that make it possible to guarantee access to landed property.</w:t>
      </w:r>
    </w:p>
    <w:p w14:paraId="09D3250C" w14:textId="77777777" w:rsidR="0003428D" w:rsidRPr="002D2B59" w:rsidRDefault="0003428D" w:rsidP="007473C3">
      <w:pPr>
        <w:ind w:left="709" w:hanging="709"/>
      </w:pPr>
    </w:p>
    <w:p w14:paraId="0441067E" w14:textId="77777777" w:rsidR="00CB0982" w:rsidRPr="002D2B59" w:rsidRDefault="00613D9C" w:rsidP="007473C3">
      <w:pPr>
        <w:pStyle w:val="Heading1"/>
        <w:keepNext/>
        <w:keepLines/>
        <w:tabs>
          <w:tab w:val="num" w:pos="0"/>
        </w:tabs>
        <w:ind w:left="709" w:hanging="709"/>
        <w:rPr>
          <w:b/>
        </w:rPr>
      </w:pPr>
      <w:r w:rsidRPr="002D2B59">
        <w:rPr>
          <w:b/>
        </w:rPr>
        <w:t>Traceability and due diligence in the sphere of influence</w:t>
      </w:r>
    </w:p>
    <w:p w14:paraId="4DA2CE0A" w14:textId="77777777" w:rsidR="00CB0982" w:rsidRPr="002D2B59" w:rsidRDefault="00CB0982" w:rsidP="007473C3">
      <w:pPr>
        <w:keepNext/>
        <w:keepLines/>
        <w:ind w:left="709" w:hanging="709"/>
        <w:rPr>
          <w:b/>
        </w:rPr>
      </w:pPr>
    </w:p>
    <w:p w14:paraId="79C72D4C" w14:textId="637CE34E" w:rsidR="007B7069" w:rsidRPr="002D2B59" w:rsidRDefault="00CB0982" w:rsidP="007473C3">
      <w:pPr>
        <w:pStyle w:val="Heading3"/>
        <w:ind w:left="709" w:hanging="709"/>
      </w:pPr>
      <w:proofErr w:type="gramStart"/>
      <w:r w:rsidRPr="002D2B59">
        <w:rPr>
          <w:b/>
        </w:rPr>
        <w:t>Traceability in global value and supply chains.</w:t>
      </w:r>
      <w:proofErr w:type="gramEnd"/>
      <w:r w:rsidRPr="002D2B59">
        <w:rPr>
          <w:b/>
        </w:rPr>
        <w:t xml:space="preserve"> </w:t>
      </w:r>
      <w:r w:rsidRPr="002D2B59">
        <w:t xml:space="preserve">As value and supply chains have become more complex due to globalisation, the application of due diligence has raised questions. These questions relate, firstly, to the balance of responsibility between parent companies/subsidiaries and buyers/contractors, and, secondly, to resources for evaluating and supervising the value chain within the sphere of influence. In 2010, the OECD published </w:t>
      </w:r>
      <w:r w:rsidRPr="002D2B59">
        <w:rPr>
          <w:b/>
        </w:rPr>
        <w:t>guidelines for multinational enterprises</w:t>
      </w:r>
      <w:r w:rsidRPr="002D2B59">
        <w:rPr>
          <w:rStyle w:val="FootnoteReference"/>
        </w:rPr>
        <w:footnoteReference w:id="28"/>
      </w:r>
      <w:r w:rsidR="00A90CFA" w:rsidRPr="002D2B59">
        <w:rPr>
          <w:b/>
        </w:rPr>
        <w:t xml:space="preserve"> </w:t>
      </w:r>
      <w:r w:rsidRPr="002D2B59">
        <w:t xml:space="preserve">on this subject and launched a global forum on responsible business conduct, which in 2014 addressed the question of sub-contracting. Since 2014, the UN Global Compact has provided companies with value chain </w:t>
      </w:r>
      <w:r w:rsidRPr="002D2B59">
        <w:rPr>
          <w:b/>
        </w:rPr>
        <w:t>traceability methodology</w:t>
      </w:r>
      <w:r w:rsidRPr="002D2B59">
        <w:rPr>
          <w:rStyle w:val="FootnoteReference"/>
        </w:rPr>
        <w:footnoteReference w:id="29"/>
      </w:r>
      <w:r w:rsidRPr="002D2B59">
        <w:t>, which makes it possible to define the sphere of influence.</w:t>
      </w:r>
    </w:p>
    <w:p w14:paraId="6921AA61" w14:textId="77777777" w:rsidR="00876BD9" w:rsidRPr="002D2B59" w:rsidRDefault="00876BD9" w:rsidP="007473C3">
      <w:pPr>
        <w:ind w:left="709" w:hanging="709"/>
      </w:pPr>
    </w:p>
    <w:p w14:paraId="4B922920" w14:textId="51B6514B" w:rsidR="00CB0982" w:rsidRPr="002D2B59" w:rsidRDefault="00CB0982" w:rsidP="007473C3">
      <w:pPr>
        <w:pStyle w:val="Heading3"/>
        <w:ind w:left="709" w:hanging="709"/>
      </w:pPr>
      <w:r w:rsidRPr="002D2B59">
        <w:t xml:space="preserve">In 2011 the International Trade Centre (ITC) set up a database, the </w:t>
      </w:r>
      <w:r w:rsidRPr="002D2B59">
        <w:rPr>
          <w:b/>
        </w:rPr>
        <w:t>Standards Map</w:t>
      </w:r>
      <w:r w:rsidRPr="002D2B59">
        <w:t xml:space="preserve">, which provides information on more than 170 (mostly private) standards, codes of conduct and audit procedures, particularly on </w:t>
      </w:r>
      <w:proofErr w:type="spellStart"/>
      <w:r w:rsidRPr="002D2B59">
        <w:t>agri</w:t>
      </w:r>
      <w:proofErr w:type="spellEnd"/>
      <w:r w:rsidRPr="002D2B59">
        <w:t>-food products from developing countries. The Standards Map shows the obligations that operators within supply chains in 180 countries must meet</w:t>
      </w:r>
      <w:r w:rsidRPr="002D2B59">
        <w:rPr>
          <w:rStyle w:val="FootnoteReference"/>
        </w:rPr>
        <w:footnoteReference w:id="30"/>
      </w:r>
      <w:r w:rsidRPr="002D2B59">
        <w:t>. Producers and traders are able to anticipate the needs of future buyers and integrate more fully into the world trading system.</w:t>
      </w:r>
    </w:p>
    <w:p w14:paraId="41407AF4" w14:textId="77777777" w:rsidR="00823ADF" w:rsidRPr="002D2B59" w:rsidRDefault="00823ADF" w:rsidP="007473C3"/>
    <w:p w14:paraId="61B9C3AC" w14:textId="5A598163" w:rsidR="00823ADF" w:rsidRPr="002D2B59" w:rsidRDefault="00823ADF" w:rsidP="007473C3">
      <w:pPr>
        <w:pStyle w:val="Heading3"/>
      </w:pPr>
      <w:r w:rsidRPr="002D2B59">
        <w:lastRenderedPageBreak/>
        <w:t>Since 2010, the Observatory for Corporate Social Responsibility (ORSE)</w:t>
      </w:r>
      <w:r w:rsidRPr="002D2B59">
        <w:rPr>
          <w:sz w:val="24"/>
          <w:szCs w:val="24"/>
          <w:vertAlign w:val="superscript"/>
        </w:rPr>
        <w:footnoteReference w:id="31"/>
      </w:r>
      <w:r w:rsidRPr="002D2B59">
        <w:t xml:space="preserve"> has run a bilingual (English, French) website, which lists CSR initiatives and regulations on each continent (Africa, Americas, Asia, Europe) on a country-by-country basis</w:t>
      </w:r>
      <w:r w:rsidRPr="002D2B59">
        <w:rPr>
          <w:sz w:val="24"/>
          <w:szCs w:val="24"/>
          <w:vertAlign w:val="superscript"/>
        </w:rPr>
        <w:footnoteReference w:id="32"/>
      </w:r>
      <w:r w:rsidRPr="002D2B59">
        <w:t>.</w:t>
      </w:r>
    </w:p>
    <w:p w14:paraId="2E947FF1" w14:textId="77777777" w:rsidR="00876BD9" w:rsidRPr="002D2B59" w:rsidRDefault="00876BD9" w:rsidP="007473C3"/>
    <w:p w14:paraId="11FD0DF4" w14:textId="46891CB9" w:rsidR="00CB0982" w:rsidRPr="002D2B59" w:rsidRDefault="00CB0982" w:rsidP="002C4840">
      <w:pPr>
        <w:pStyle w:val="Heading2"/>
        <w:keepNext/>
        <w:tabs>
          <w:tab w:val="num" w:pos="709"/>
        </w:tabs>
        <w:ind w:left="709" w:hanging="709"/>
        <w:rPr>
          <w:b/>
        </w:rPr>
      </w:pPr>
      <w:r w:rsidRPr="002D2B59">
        <w:rPr>
          <w:b/>
        </w:rPr>
        <w:t>Impleme</w:t>
      </w:r>
      <w:r w:rsidR="00A90CFA" w:rsidRPr="002D2B59">
        <w:rPr>
          <w:b/>
        </w:rPr>
        <w:t>nting the duty of due diligence</w:t>
      </w:r>
    </w:p>
    <w:p w14:paraId="340D1578" w14:textId="77777777" w:rsidR="00876BD9" w:rsidRPr="002D2B59" w:rsidRDefault="00876BD9" w:rsidP="002C4840">
      <w:pPr>
        <w:keepNext/>
        <w:tabs>
          <w:tab w:val="num" w:pos="709"/>
        </w:tabs>
        <w:ind w:left="709" w:hanging="709"/>
      </w:pPr>
    </w:p>
    <w:p w14:paraId="74FD6F89" w14:textId="7884B8BA" w:rsidR="00D6691C" w:rsidRPr="002D2B59" w:rsidRDefault="00CB0982" w:rsidP="002C4840">
      <w:pPr>
        <w:pStyle w:val="Heading3"/>
        <w:keepNext/>
        <w:tabs>
          <w:tab w:val="num" w:pos="709"/>
        </w:tabs>
        <w:adjustRightInd w:val="0"/>
        <w:ind w:left="709" w:hanging="709"/>
      </w:pPr>
      <w:r w:rsidRPr="002D2B59">
        <w:rPr>
          <w:b/>
        </w:rPr>
        <w:t>The UN Guiding Principles on Business and Human Rights</w:t>
      </w:r>
      <w:r w:rsidRPr="002D2B59">
        <w:rPr>
          <w:rStyle w:val="FootnoteReference"/>
        </w:rPr>
        <w:footnoteReference w:id="33"/>
      </w:r>
      <w:r w:rsidRPr="002D2B59">
        <w:t xml:space="preserve">, adopted in June 2011 unanimously by the Human Rights Council of the United Nations, are organised into three pillars, namely: protect, respect and remedy. The adoption of these principles is a key step in the field of corporate responsibility as the text supplements the conventional notion of CSR (economic, environmental, social-societal, governance) by laying emphasis on human rights under the societal pillar. Countries must protect human rights by implementing universally-applicable international treaties, and companies must respect them by applying international and national law, including by monitoring their supply chains. </w:t>
      </w:r>
    </w:p>
    <w:p w14:paraId="39ACDDE5" w14:textId="77777777" w:rsidR="00876BD9" w:rsidRPr="002D2B59" w:rsidRDefault="00876BD9" w:rsidP="007473C3">
      <w:pPr>
        <w:tabs>
          <w:tab w:val="num" w:pos="709"/>
        </w:tabs>
        <w:ind w:left="709" w:hanging="709"/>
      </w:pPr>
    </w:p>
    <w:p w14:paraId="37C96F16" w14:textId="151FD06F" w:rsidR="00936C51" w:rsidRPr="002D2B59" w:rsidRDefault="00CB0982" w:rsidP="007473C3">
      <w:pPr>
        <w:pStyle w:val="Heading3"/>
        <w:tabs>
          <w:tab w:val="num" w:pos="709"/>
        </w:tabs>
        <w:adjustRightInd w:val="0"/>
        <w:ind w:left="709" w:hanging="709"/>
      </w:pPr>
      <w:r w:rsidRPr="002D2B59">
        <w:t xml:space="preserve">The duty of due diligence, which was outlined in the 2008 </w:t>
      </w:r>
      <w:proofErr w:type="spellStart"/>
      <w:r w:rsidRPr="002D2B59">
        <w:t>Ruggie</w:t>
      </w:r>
      <w:proofErr w:type="spellEnd"/>
      <w:r w:rsidRPr="002D2B59">
        <w:t xml:space="preserve"> Report</w:t>
      </w:r>
      <w:r w:rsidRPr="002D2B59">
        <w:rPr>
          <w:rStyle w:val="FootnoteReference"/>
        </w:rPr>
        <w:footnoteReference w:id="34"/>
      </w:r>
      <w:r w:rsidR="00A90CFA" w:rsidRPr="002D2B59">
        <w:t xml:space="preserve"> </w:t>
      </w:r>
      <w:r w:rsidRPr="002D2B59">
        <w:t xml:space="preserve">and expanded on in the aforementioned Guiding Principles, was clarified and enhanced in the 2011 </w:t>
      </w:r>
      <w:r w:rsidRPr="002D2B59">
        <w:rPr>
          <w:b/>
        </w:rPr>
        <w:t xml:space="preserve">revised version of the OECD Guidelines </w:t>
      </w:r>
      <w:r w:rsidRPr="002D2B59">
        <w:t>for Multinational Enterprises</w:t>
      </w:r>
      <w:r w:rsidRPr="002D2B59">
        <w:rPr>
          <w:rStyle w:val="FootnoteReference"/>
        </w:rPr>
        <w:footnoteReference w:id="35"/>
      </w:r>
      <w:r w:rsidRPr="002D2B59">
        <w:t>.</w:t>
      </w:r>
      <w:r w:rsidRPr="002D2B59">
        <w:rPr>
          <w:i/>
        </w:rPr>
        <w:t xml:space="preserve"> </w:t>
      </w:r>
      <w:r w:rsidRPr="002D2B59">
        <w:t>According to these guidelines, companies must use their influence to prevent and mitigate any adverse effects directly linked to their activities or commercial relations, with regard to which they are subject to a best efforts obligation. Some believe that due diligence should eventually be extended to the whole supply chain, which is a major challenge. A number of companies and investors already take human rights into account, despite the difficulties that this entails.</w:t>
      </w:r>
    </w:p>
    <w:p w14:paraId="45B7711D" w14:textId="77777777" w:rsidR="00876BD9" w:rsidRPr="002D2B59" w:rsidRDefault="00876BD9" w:rsidP="007473C3">
      <w:pPr>
        <w:tabs>
          <w:tab w:val="num" w:pos="709"/>
        </w:tabs>
        <w:ind w:left="709" w:hanging="709"/>
      </w:pPr>
    </w:p>
    <w:p w14:paraId="297B425F" w14:textId="5478FF8C" w:rsidR="00D63ABE" w:rsidRPr="002D2B59" w:rsidRDefault="00041EF2" w:rsidP="007473C3">
      <w:pPr>
        <w:pStyle w:val="Heading3"/>
        <w:tabs>
          <w:tab w:val="num" w:pos="709"/>
        </w:tabs>
        <w:adjustRightInd w:val="0"/>
        <w:ind w:left="709" w:hanging="709"/>
      </w:pPr>
      <w:r w:rsidRPr="002D2B59">
        <w:rPr>
          <w:b/>
        </w:rPr>
        <w:t>Due diligence</w:t>
      </w:r>
      <w:r w:rsidRPr="002D2B59">
        <w:t xml:space="preserve"> must be included in the non-financial reports of large companies</w:t>
      </w:r>
      <w:r w:rsidRPr="002D2B59">
        <w:rPr>
          <w:rStyle w:val="FootnoteReference"/>
        </w:rPr>
        <w:footnoteReference w:id="36"/>
      </w:r>
      <w:r w:rsidR="00A90CFA" w:rsidRPr="002D2B59">
        <w:t>.</w:t>
      </w:r>
      <w:r w:rsidRPr="002D2B59">
        <w:t xml:space="preserve"> Several Member States have taken initiatives, some of which were outlined or announced at the recent CSR Compendium</w:t>
      </w:r>
      <w:r w:rsidRPr="002D2B59">
        <w:rPr>
          <w:rStyle w:val="FootnoteReference"/>
        </w:rPr>
        <w:footnoteReference w:id="37"/>
      </w:r>
      <w:r w:rsidRPr="002D2B59">
        <w:t>. This includes, for example, the United Kingdom (2015 law on tackling forced labour), the Netherlands (preventative analysis of sectoral risks), Finland (mechanism for complaints against public companies), France (</w:t>
      </w:r>
      <w:r w:rsidR="00597F6D">
        <w:t xml:space="preserve">proposal for a </w:t>
      </w:r>
      <w:r w:rsidRPr="002D2B59">
        <w:t xml:space="preserve">bill on the responsibility of parent companies) and Denmark (working group on extra-territoriality). The countries which </w:t>
      </w:r>
      <w:r w:rsidRPr="002D2B59">
        <w:lastRenderedPageBreak/>
        <w:t>form the Group of Friends of Paragraph 47</w:t>
      </w:r>
      <w:r w:rsidRPr="002D2B59">
        <w:rPr>
          <w:rStyle w:val="FootnoteReference"/>
        </w:rPr>
        <w:footnoteReference w:id="38"/>
      </w:r>
      <w:r w:rsidR="00A90CFA" w:rsidRPr="002D2B59">
        <w:t xml:space="preserve"> </w:t>
      </w:r>
      <w:r w:rsidRPr="002D2B59">
        <w:t>advocate that companies should disclose information which will enable an assessment to be made of their contribution to sustainable development.</w:t>
      </w:r>
    </w:p>
    <w:p w14:paraId="78AE125F" w14:textId="77777777" w:rsidR="00876BD9" w:rsidRPr="002D2B59" w:rsidRDefault="00876BD9" w:rsidP="007473C3">
      <w:pPr>
        <w:tabs>
          <w:tab w:val="num" w:pos="709"/>
        </w:tabs>
        <w:ind w:left="709" w:hanging="709"/>
      </w:pPr>
    </w:p>
    <w:p w14:paraId="4903BAE0" w14:textId="3CB8D7C8" w:rsidR="00D63ABE" w:rsidRPr="002D2B59" w:rsidRDefault="00CB0982" w:rsidP="007473C3">
      <w:pPr>
        <w:pStyle w:val="Heading3"/>
        <w:tabs>
          <w:tab w:val="num" w:pos="709"/>
        </w:tabs>
        <w:adjustRightInd w:val="0"/>
        <w:ind w:left="709" w:hanging="709"/>
      </w:pPr>
      <w:r w:rsidRPr="002D2B59">
        <w:t xml:space="preserve">In order to implement the Guiding Principles on Business and Human Rights, the European Commission has published specific guidelines for businesses operating in three sectors: </w:t>
      </w:r>
      <w:r w:rsidRPr="002D2B59">
        <w:rPr>
          <w:b/>
        </w:rPr>
        <w:t>information and communication technologies, oil and gas, and recruitment agencies</w:t>
      </w:r>
      <w:r w:rsidRPr="002D2B59">
        <w:rPr>
          <w:rStyle w:val="FootnoteReference"/>
        </w:rPr>
        <w:footnoteReference w:id="39"/>
      </w:r>
      <w:r w:rsidR="002C4840" w:rsidRPr="002D2B59">
        <w:t>.</w:t>
      </w:r>
      <w:r w:rsidRPr="002D2B59">
        <w:t xml:space="preserve"> A specifically-tailored document on the guidelines is also available for European small and medium sized enterprises (SMEs)</w:t>
      </w:r>
      <w:r w:rsidRPr="002D2B59">
        <w:rPr>
          <w:rStyle w:val="FootnoteReference"/>
        </w:rPr>
        <w:footnoteReference w:id="40"/>
      </w:r>
      <w:r w:rsidRPr="002D2B59">
        <w:t>.</w:t>
      </w:r>
    </w:p>
    <w:p w14:paraId="2F2500A9" w14:textId="77777777" w:rsidR="00876BD9" w:rsidRPr="002D2B59" w:rsidRDefault="00876BD9" w:rsidP="007473C3">
      <w:pPr>
        <w:tabs>
          <w:tab w:val="num" w:pos="709"/>
        </w:tabs>
        <w:ind w:left="709" w:hanging="709"/>
      </w:pPr>
    </w:p>
    <w:p w14:paraId="399732B4" w14:textId="56FA4708" w:rsidR="00D63ABE" w:rsidRPr="002D2B59" w:rsidRDefault="00CB0982" w:rsidP="007473C3">
      <w:pPr>
        <w:pStyle w:val="Heading3"/>
        <w:tabs>
          <w:tab w:val="num" w:pos="709"/>
        </w:tabs>
        <w:ind w:left="709" w:hanging="709"/>
      </w:pPr>
      <w:r w:rsidRPr="002D2B59">
        <w:t xml:space="preserve">The European Union asks each Member State to gradually establish an </w:t>
      </w:r>
      <w:r w:rsidRPr="002D2B59">
        <w:rPr>
          <w:b/>
        </w:rPr>
        <w:t>action plan on business and human rights</w:t>
      </w:r>
      <w:r w:rsidRPr="002D2B59">
        <w:t>, as has been done for example in Denmark, Finland, Italy, the Netherlands and the United Kingdom</w:t>
      </w:r>
      <w:r w:rsidRPr="002D2B59">
        <w:rPr>
          <w:rStyle w:val="FootnoteReference"/>
        </w:rPr>
        <w:footnoteReference w:id="41"/>
      </w:r>
      <w:r w:rsidR="002C4840" w:rsidRPr="002D2B59">
        <w:t>.</w:t>
      </w:r>
    </w:p>
    <w:p w14:paraId="7880FF06" w14:textId="77777777" w:rsidR="00274484" w:rsidRPr="002D2B59" w:rsidRDefault="00274484" w:rsidP="007473C3"/>
    <w:p w14:paraId="07C48F01" w14:textId="77777777" w:rsidR="00383843" w:rsidRPr="002D2B59" w:rsidRDefault="00A52357" w:rsidP="007473C3">
      <w:pPr>
        <w:jc w:val="center"/>
        <w:rPr>
          <w:sz w:val="18"/>
          <w:szCs w:val="18"/>
        </w:rPr>
      </w:pPr>
      <w:r w:rsidRPr="002D2B59">
        <w:t>_______________</w:t>
      </w:r>
      <w:bookmarkStart w:id="0" w:name="_GoBack"/>
      <w:bookmarkEnd w:id="0"/>
    </w:p>
    <w:sectPr w:rsidR="00383843" w:rsidRPr="002D2B59" w:rsidSect="0072284C">
      <w:headerReference w:type="even" r:id="rId23"/>
      <w:headerReference w:type="default" r:id="rId24"/>
      <w:footerReference w:type="even" r:id="rId25"/>
      <w:footerReference w:type="default" r:id="rId26"/>
      <w:headerReference w:type="first" r:id="rId27"/>
      <w:footerReference w:type="first" r:id="rId28"/>
      <w:pgSz w:w="11906" w:h="16838"/>
      <w:pgMar w:top="1701" w:right="1440" w:bottom="1928" w:left="1440" w:header="1020" w:footer="124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9D64A" w14:textId="77777777" w:rsidR="0040225A" w:rsidRDefault="0040225A">
      <w:pPr>
        <w:spacing w:line="240" w:lineRule="auto"/>
      </w:pPr>
      <w:r>
        <w:separator/>
      </w:r>
    </w:p>
  </w:endnote>
  <w:endnote w:type="continuationSeparator" w:id="0">
    <w:p w14:paraId="538A87C0" w14:textId="77777777" w:rsidR="0040225A" w:rsidRDefault="0040225A">
      <w:pPr>
        <w:spacing w:line="240" w:lineRule="auto"/>
      </w:pPr>
      <w:r>
        <w:continuationSeparator/>
      </w:r>
    </w:p>
  </w:endnote>
  <w:endnote w:type="continuationNotice" w:id="1">
    <w:p w14:paraId="3E2E4A50" w14:textId="77777777" w:rsidR="0040225A" w:rsidRDefault="004022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2D27" w14:textId="77777777" w:rsidR="00EB079B" w:rsidRDefault="00EB0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E148" w14:textId="77777777" w:rsidR="00EB079B" w:rsidRDefault="00EB0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C6AA" w14:textId="77777777" w:rsidR="00EB079B" w:rsidRDefault="00EB07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7ADF" w14:textId="77777777" w:rsidR="0040225A" w:rsidRPr="0072284C" w:rsidRDefault="0040225A" w:rsidP="00714E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4375" w14:textId="082036D0" w:rsidR="0040225A" w:rsidRPr="00EB079B" w:rsidRDefault="0040225A" w:rsidP="00EB079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E2C3" w14:textId="77777777" w:rsidR="0040225A" w:rsidRPr="0072284C" w:rsidRDefault="0040225A" w:rsidP="00714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0DF25" w14:textId="77777777" w:rsidR="0040225A" w:rsidRDefault="0040225A">
      <w:pPr>
        <w:spacing w:line="240" w:lineRule="auto"/>
      </w:pPr>
      <w:r>
        <w:separator/>
      </w:r>
    </w:p>
  </w:footnote>
  <w:footnote w:type="continuationSeparator" w:id="0">
    <w:p w14:paraId="29217156" w14:textId="77777777" w:rsidR="0040225A" w:rsidRDefault="0040225A">
      <w:pPr>
        <w:spacing w:line="240" w:lineRule="auto"/>
      </w:pPr>
      <w:r>
        <w:continuationSeparator/>
      </w:r>
    </w:p>
  </w:footnote>
  <w:footnote w:type="continuationNotice" w:id="1">
    <w:p w14:paraId="0E015201" w14:textId="77777777" w:rsidR="0040225A" w:rsidRDefault="0040225A">
      <w:pPr>
        <w:spacing w:line="240" w:lineRule="auto"/>
      </w:pPr>
    </w:p>
  </w:footnote>
  <w:footnote w:id="2">
    <w:p w14:paraId="24A25E67" w14:textId="7EDD6752" w:rsidR="0040225A" w:rsidRPr="0002767C" w:rsidRDefault="0040225A" w:rsidP="002C4840">
      <w:pPr>
        <w:pStyle w:val="FootnoteText"/>
      </w:pPr>
      <w:r>
        <w:rPr>
          <w:rStyle w:val="FootnoteReference"/>
        </w:rPr>
        <w:footnoteRef/>
      </w:r>
      <w:r>
        <w:t xml:space="preserve"> </w:t>
      </w:r>
      <w:r>
        <w:tab/>
        <w:t>Free trade agreement between the European Union and its Member States, on the one part, and the Republic of Korea, on the other:</w:t>
      </w:r>
      <w:r w:rsidR="007473C3">
        <w:t xml:space="preserve"> </w:t>
      </w:r>
      <w:hyperlink r:id="rId1">
        <w:r>
          <w:rPr>
            <w:rStyle w:val="Hyperlink"/>
          </w:rPr>
          <w:t>http://eur-lex.europa.eu/legal-content/EN/TXT/PDF/?uri=CELEX:22011A0514%2801%29&amp;rid=5</w:t>
        </w:r>
      </w:hyperlink>
      <w:r>
        <w:t>).</w:t>
      </w:r>
    </w:p>
  </w:footnote>
  <w:footnote w:id="3">
    <w:p w14:paraId="040C59AE" w14:textId="77777777" w:rsidR="0040225A" w:rsidRPr="0002767C" w:rsidRDefault="0040225A" w:rsidP="002C4840">
      <w:pPr>
        <w:pStyle w:val="FootnoteText"/>
      </w:pPr>
      <w:r>
        <w:rPr>
          <w:rStyle w:val="FootnoteReference"/>
        </w:rPr>
        <w:footnoteRef/>
      </w:r>
      <w:r>
        <w:t xml:space="preserve"> </w:t>
      </w:r>
      <w:r>
        <w:tab/>
      </w:r>
      <w:hyperlink r:id="rId2">
        <w:r>
          <w:rPr>
            <w:rStyle w:val="Hyperlink"/>
          </w:rPr>
          <w:t>http://www.eesc.europa.eu/?i=portal.en.external-relations-international-trade-monitoring-korea</w:t>
        </w:r>
      </w:hyperlink>
      <w:r>
        <w:t>.</w:t>
      </w:r>
    </w:p>
  </w:footnote>
  <w:footnote w:id="4">
    <w:p w14:paraId="68D92DE4" w14:textId="77777777" w:rsidR="0040225A" w:rsidRPr="0002767C" w:rsidRDefault="0040225A" w:rsidP="002C4840">
      <w:pPr>
        <w:pStyle w:val="FootnoteText"/>
      </w:pPr>
      <w:r>
        <w:footnoteRef/>
      </w:r>
      <w:r>
        <w:tab/>
      </w:r>
      <w:hyperlink r:id="rId3">
        <w:r>
          <w:rPr>
            <w:rStyle w:val="Hyperlink"/>
          </w:rPr>
          <w:t>http://www.eesc.europa.eu/?i=portal.en.rex-opinions.33193</w:t>
        </w:r>
      </w:hyperlink>
      <w:r>
        <w:t>.</w:t>
      </w:r>
    </w:p>
  </w:footnote>
  <w:footnote w:id="5">
    <w:p w14:paraId="6EC2812E" w14:textId="77777777" w:rsidR="0040225A" w:rsidRPr="001213CE" w:rsidRDefault="0040225A" w:rsidP="002C4840">
      <w:pPr>
        <w:pStyle w:val="FootnoteText"/>
      </w:pPr>
      <w:r>
        <w:rPr>
          <w:rStyle w:val="FootnoteReference"/>
        </w:rPr>
        <w:footnoteRef/>
      </w:r>
      <w:r>
        <w:t xml:space="preserve"> </w:t>
      </w:r>
      <w:r>
        <w:tab/>
      </w:r>
      <w:hyperlink r:id="rId4">
        <w:r>
          <w:rPr>
            <w:rStyle w:val="Hyperlink"/>
          </w:rPr>
          <w:t>http://www.ilo.org/wcmsp5/groups/public/---</w:t>
        </w:r>
        <w:proofErr w:type="spellStart"/>
        <w:r>
          <w:rPr>
            <w:rStyle w:val="Hyperlink"/>
          </w:rPr>
          <w:t>dgreports</w:t>
        </w:r>
        <w:proofErr w:type="spellEnd"/>
        <w:r>
          <w:rPr>
            <w:rStyle w:val="Hyperlink"/>
          </w:rPr>
          <w:t>/---</w:t>
        </w:r>
        <w:proofErr w:type="spellStart"/>
        <w:r>
          <w:rPr>
            <w:rStyle w:val="Hyperlink"/>
          </w:rPr>
          <w:t>inst</w:t>
        </w:r>
        <w:proofErr w:type="spellEnd"/>
        <w:r>
          <w:rPr>
            <w:rStyle w:val="Hyperlink"/>
          </w:rPr>
          <w:t>/documents/publication/wcms_228965.pdf</w:t>
        </w:r>
      </w:hyperlink>
      <w:r>
        <w:t>.</w:t>
      </w:r>
    </w:p>
  </w:footnote>
  <w:footnote w:id="6">
    <w:p w14:paraId="36E2BD7E" w14:textId="77777777" w:rsidR="0040225A" w:rsidRPr="0002767C" w:rsidRDefault="0040225A" w:rsidP="002C4840">
      <w:pPr>
        <w:pStyle w:val="FootnoteText"/>
      </w:pPr>
      <w:r>
        <w:rPr>
          <w:rStyle w:val="FootnoteReference"/>
        </w:rPr>
        <w:footnoteRef/>
      </w:r>
      <w:r>
        <w:t xml:space="preserve"> </w:t>
      </w:r>
      <w:r>
        <w:tab/>
        <w:t>Germany, Austria, Belgium, Denmark, Spain, Estonia, Finland, France, Greece, Hungary, Ireland, Italy, Luxembourg, the Netherlands, Poland, the Slovak Republic, the Czech Republic, the United Kingdom, Slovenia and Sweden.</w:t>
      </w:r>
    </w:p>
  </w:footnote>
  <w:footnote w:id="7">
    <w:p w14:paraId="338C6750" w14:textId="77777777" w:rsidR="0040225A" w:rsidRPr="0002767C" w:rsidRDefault="0040225A" w:rsidP="002C4840">
      <w:pPr>
        <w:pStyle w:val="FootnoteText"/>
      </w:pPr>
      <w:r>
        <w:rPr>
          <w:rStyle w:val="FootnoteReference"/>
        </w:rPr>
        <w:footnoteRef/>
      </w:r>
      <w:r>
        <w:t xml:space="preserve"> </w:t>
      </w:r>
      <w:r>
        <w:tab/>
        <w:t>Latvia, Lithuania, Romania.</w:t>
      </w:r>
    </w:p>
  </w:footnote>
  <w:footnote w:id="8">
    <w:p w14:paraId="2C64280E" w14:textId="51EFBA3E" w:rsidR="0040225A" w:rsidRPr="0002767C" w:rsidRDefault="0040225A" w:rsidP="002C4840">
      <w:pPr>
        <w:pStyle w:val="FootnoteText"/>
      </w:pPr>
      <w:r>
        <w:rPr>
          <w:rStyle w:val="FootnoteReference"/>
        </w:rPr>
        <w:footnoteRef/>
      </w:r>
      <w:r>
        <w:t xml:space="preserve"> </w:t>
      </w:r>
      <w:r>
        <w:tab/>
      </w:r>
      <w:hyperlink r:id="rId5">
        <w:r>
          <w:rPr>
            <w:rStyle w:val="Hyperlink"/>
          </w:rPr>
          <w:t>www.unglobalcompact.org.ParticipantsAndStakeholders/index.html</w:t>
        </w:r>
      </w:hyperlink>
      <w:r>
        <w:t>, June 2014.</w:t>
      </w:r>
    </w:p>
  </w:footnote>
  <w:footnote w:id="9">
    <w:p w14:paraId="19615936" w14:textId="77777777" w:rsidR="0040225A" w:rsidRPr="0002767C" w:rsidRDefault="0040225A" w:rsidP="002C4840">
      <w:pPr>
        <w:pStyle w:val="FootnoteText"/>
      </w:pPr>
      <w:r>
        <w:rPr>
          <w:rStyle w:val="FootnoteReference"/>
        </w:rPr>
        <w:footnoteRef/>
      </w:r>
      <w:r>
        <w:t xml:space="preserve"> </w:t>
      </w:r>
      <w:r>
        <w:tab/>
      </w:r>
      <w:hyperlink r:id="rId6">
        <w:r>
          <w:rPr>
            <w:rStyle w:val="Hyperlink"/>
          </w:rPr>
          <w:t>https://www.unglobalcompact.org/docs/publications/LN_Report_2012.pdf.</w:t>
        </w:r>
      </w:hyperlink>
    </w:p>
  </w:footnote>
  <w:footnote w:id="10">
    <w:p w14:paraId="46A821F7" w14:textId="77777777" w:rsidR="0040225A" w:rsidRPr="0002767C" w:rsidRDefault="0040225A" w:rsidP="002C4840">
      <w:pPr>
        <w:pStyle w:val="FootnoteText"/>
      </w:pPr>
      <w:r>
        <w:rPr>
          <w:rStyle w:val="FootnoteReference"/>
        </w:rPr>
        <w:footnoteRef/>
      </w:r>
      <w:r>
        <w:t xml:space="preserve"> </w:t>
      </w:r>
      <w:r>
        <w:tab/>
        <w:t xml:space="preserve">See Guidance on corporate responsibility indicators in annual reports, UNCTAD: </w:t>
      </w:r>
      <w:hyperlink r:id="rId7">
        <w:r>
          <w:rPr>
            <w:rStyle w:val="Hyperlink"/>
          </w:rPr>
          <w:t>http://unctad.org/en/docs/iteteb20076_en.pdf</w:t>
        </w:r>
      </w:hyperlink>
      <w:r>
        <w:t>.</w:t>
      </w:r>
    </w:p>
  </w:footnote>
  <w:footnote w:id="11">
    <w:p w14:paraId="3B2BE728" w14:textId="5153F31D" w:rsidR="0040225A" w:rsidRPr="0002767C" w:rsidRDefault="0040225A" w:rsidP="002C4840">
      <w:pPr>
        <w:pStyle w:val="FootnoteText"/>
      </w:pPr>
      <w:r>
        <w:rPr>
          <w:rStyle w:val="FootnoteReference"/>
        </w:rPr>
        <w:footnoteRef/>
      </w:r>
      <w:r>
        <w:t xml:space="preserve"> </w:t>
      </w:r>
      <w:r>
        <w:tab/>
        <w:t xml:space="preserve">See REX/441 opinion - </w:t>
      </w:r>
      <w:r>
        <w:rPr>
          <w:i/>
        </w:rPr>
        <w:t>Financing for development – the position of civil society</w:t>
      </w:r>
      <w:r>
        <w:t xml:space="preserve"> (Rapporteur: Ivan </w:t>
      </w:r>
      <w:proofErr w:type="spellStart"/>
      <w:r>
        <w:t>Voleš</w:t>
      </w:r>
      <w:proofErr w:type="spellEnd"/>
      <w:r>
        <w:t xml:space="preserve">). </w:t>
      </w:r>
    </w:p>
  </w:footnote>
  <w:footnote w:id="12">
    <w:p w14:paraId="1E4FCEFD" w14:textId="77777777" w:rsidR="0040225A" w:rsidRPr="0002767C" w:rsidRDefault="0040225A" w:rsidP="002C4840">
      <w:pPr>
        <w:pStyle w:val="FootnoteText"/>
      </w:pPr>
      <w:r>
        <w:rPr>
          <w:rStyle w:val="FootnoteReference"/>
        </w:rPr>
        <w:footnoteRef/>
      </w:r>
      <w:r>
        <w:t xml:space="preserve"> </w:t>
      </w:r>
      <w:r>
        <w:tab/>
      </w:r>
      <w:hyperlink r:id="rId8">
        <w:r>
          <w:rPr>
            <w:rStyle w:val="Hyperlink"/>
          </w:rPr>
          <w:t>http://www.eib.org/infocentre/publications/all/environmental-and-social-practices-handbook.htm?lang=en</w:t>
        </w:r>
      </w:hyperlink>
      <w:r>
        <w:t>.</w:t>
      </w:r>
    </w:p>
  </w:footnote>
  <w:footnote w:id="13">
    <w:p w14:paraId="76C47123" w14:textId="77777777" w:rsidR="0040225A" w:rsidRPr="0002767C" w:rsidRDefault="0040225A" w:rsidP="002C4840">
      <w:pPr>
        <w:pStyle w:val="FootnoteText"/>
      </w:pPr>
      <w:r>
        <w:rPr>
          <w:rStyle w:val="FootnoteReference"/>
        </w:rPr>
        <w:footnoteRef/>
      </w:r>
      <w:r>
        <w:t xml:space="preserve"> </w:t>
      </w:r>
      <w:r>
        <w:tab/>
      </w:r>
      <w:hyperlink r:id="rId9">
        <w:r>
          <w:rPr>
            <w:rStyle w:val="Hyperlink"/>
          </w:rPr>
          <w:t>http://www.iso.org/iso/home/store/catalogue_tc/catalogue_detail.htm?csnumber=63026</w:t>
        </w:r>
      </w:hyperlink>
      <w:r>
        <w:t>.</w:t>
      </w:r>
    </w:p>
  </w:footnote>
  <w:footnote w:id="14">
    <w:p w14:paraId="69353284" w14:textId="21E8D499" w:rsidR="0040225A" w:rsidRPr="0002767C" w:rsidRDefault="0040225A" w:rsidP="002C4840">
      <w:pPr>
        <w:pStyle w:val="FootnoteText"/>
      </w:pPr>
      <w:r>
        <w:rPr>
          <w:rStyle w:val="FootnoteReference"/>
        </w:rPr>
        <w:footnoteRef/>
      </w:r>
      <w:r>
        <w:t xml:space="preserve"> </w:t>
      </w:r>
      <w:r>
        <w:tab/>
        <w:t xml:space="preserve">See Commission staff working document – The role of transnational company agreements in the context of increasing international integration </w:t>
      </w:r>
      <w:proofErr w:type="gramStart"/>
      <w:r>
        <w:t>SEC(</w:t>
      </w:r>
      <w:proofErr w:type="gramEnd"/>
      <w:r>
        <w:t>2008) 2155 of 2 July 2008.</w:t>
      </w:r>
    </w:p>
  </w:footnote>
  <w:footnote w:id="15">
    <w:p w14:paraId="38DFD3E3" w14:textId="77777777" w:rsidR="0040225A" w:rsidRPr="0002767C" w:rsidRDefault="0040225A" w:rsidP="002C4840">
      <w:pPr>
        <w:pStyle w:val="FootnoteText"/>
      </w:pPr>
      <w:r>
        <w:rPr>
          <w:rStyle w:val="FootnoteReference"/>
        </w:rPr>
        <w:footnoteRef/>
      </w:r>
      <w:r>
        <w:t xml:space="preserve"> </w:t>
      </w:r>
      <w:r>
        <w:tab/>
        <w:t xml:space="preserve">Business Accountability FOR Development: </w:t>
      </w:r>
      <w:hyperlink r:id="rId10">
        <w:r>
          <w:rPr>
            <w:rStyle w:val="Hyperlink"/>
          </w:rPr>
          <w:t>http://www.ituc-csi.org/business-accountability-for-development?lang=en</w:t>
        </w:r>
      </w:hyperlink>
      <w:r>
        <w:t xml:space="preserve">. </w:t>
      </w:r>
    </w:p>
  </w:footnote>
  <w:footnote w:id="16">
    <w:p w14:paraId="4CEC78BA" w14:textId="4A2EC9A5" w:rsidR="007F589D" w:rsidRDefault="007F589D">
      <w:pPr>
        <w:pStyle w:val="FootnoteText"/>
      </w:pPr>
      <w:r>
        <w:rPr>
          <w:rStyle w:val="FootnoteReference"/>
        </w:rPr>
        <w:footnoteRef/>
      </w:r>
      <w:r>
        <w:t xml:space="preserve"> </w:t>
      </w:r>
      <w:r>
        <w:tab/>
      </w:r>
      <w:hyperlink r:id="rId11">
        <w:r w:rsidRPr="007F589D">
          <w:rPr>
            <w:rStyle w:val="Hyperlink"/>
          </w:rPr>
          <w:t>http://ec.europa.eu/finance/accounting/non-financial_reporting/index_en.htm</w:t>
        </w:r>
      </w:hyperlink>
    </w:p>
  </w:footnote>
  <w:footnote w:id="17">
    <w:p w14:paraId="402A1A74" w14:textId="77777777" w:rsidR="0040225A" w:rsidRPr="0002767C" w:rsidRDefault="0040225A" w:rsidP="002C4840">
      <w:pPr>
        <w:pStyle w:val="FootnoteText"/>
      </w:pPr>
      <w:r>
        <w:rPr>
          <w:rStyle w:val="FootnoteReference"/>
        </w:rPr>
        <w:footnoteRef/>
      </w:r>
      <w:r>
        <w:rPr>
          <w:rStyle w:val="FootnoteReference"/>
        </w:rPr>
        <w:t xml:space="preserve"> </w:t>
      </w:r>
      <w:r>
        <w:tab/>
      </w:r>
      <w:hyperlink r:id="rId12">
        <w:r>
          <w:rPr>
            <w:rStyle w:val="Hyperlink"/>
          </w:rPr>
          <w:t>http://ec.europa.eu/growth/single-market/public-procurement/modernising-rules/reform-proposals/index_en.htm</w:t>
        </w:r>
      </w:hyperlink>
      <w:r>
        <w:t>.</w:t>
      </w:r>
    </w:p>
  </w:footnote>
  <w:footnote w:id="18">
    <w:p w14:paraId="2A45A48A" w14:textId="77777777" w:rsidR="0040225A" w:rsidRPr="0002767C" w:rsidRDefault="0040225A" w:rsidP="002C4840">
      <w:pPr>
        <w:pStyle w:val="FootnoteText"/>
      </w:pPr>
      <w:r>
        <w:rPr>
          <w:rStyle w:val="FootnoteReference"/>
        </w:rPr>
        <w:footnoteRef/>
      </w:r>
      <w:r>
        <w:rPr>
          <w:rStyle w:val="FootnoteReference"/>
        </w:rPr>
        <w:t xml:space="preserve"> </w:t>
      </w:r>
      <w:r>
        <w:tab/>
      </w:r>
      <w:hyperlink r:id="rId13">
        <w:r>
          <w:rPr>
            <w:rStyle w:val="Hyperlink"/>
          </w:rPr>
          <w:t>http://eur-lex.europa.eu/LexUriServ/LexUriServ.do?uri=COM:2014:0111:FIN:en:PDF</w:t>
        </w:r>
      </w:hyperlink>
      <w:r>
        <w:t>.</w:t>
      </w:r>
    </w:p>
  </w:footnote>
  <w:footnote w:id="19">
    <w:p w14:paraId="4CC61826" w14:textId="77777777" w:rsidR="0040225A" w:rsidRPr="0002767C" w:rsidRDefault="0040225A" w:rsidP="002C4840">
      <w:pPr>
        <w:pStyle w:val="FootnoteText"/>
      </w:pPr>
      <w:r>
        <w:rPr>
          <w:rStyle w:val="FootnoteReference"/>
        </w:rPr>
        <w:footnoteRef/>
      </w:r>
      <w:r>
        <w:t xml:space="preserve"> </w:t>
      </w:r>
      <w:r>
        <w:tab/>
        <w:t>"This document was approved and declassified on 17 January by the Committee on Fiscal Affairs ("CFA"). It contains the standard on the automatic exchange of financial account information. It was drawn up by the OECD and the G20 countries, in close collaboration with the European Union."</w:t>
      </w:r>
    </w:p>
  </w:footnote>
  <w:footnote w:id="20">
    <w:p w14:paraId="669957B9" w14:textId="6D974FD9" w:rsidR="0040225A" w:rsidRPr="0002767C" w:rsidRDefault="0040225A" w:rsidP="002C4840">
      <w:pPr>
        <w:pStyle w:val="FootnoteText"/>
      </w:pPr>
      <w:r>
        <w:rPr>
          <w:rStyle w:val="FootnoteReference"/>
        </w:rPr>
        <w:footnoteRef/>
      </w:r>
      <w:r>
        <w:t xml:space="preserve"> </w:t>
      </w:r>
      <w:r>
        <w:tab/>
        <w:t>Directive 2013/36/EU of 26 June 2013.</w:t>
      </w:r>
    </w:p>
  </w:footnote>
  <w:footnote w:id="21">
    <w:p w14:paraId="23C73FF5" w14:textId="355E3F24" w:rsidR="0040225A" w:rsidRPr="0002767C" w:rsidRDefault="0040225A" w:rsidP="002C4840">
      <w:pPr>
        <w:pStyle w:val="FootnoteText"/>
      </w:pPr>
      <w:r>
        <w:rPr>
          <w:rStyle w:val="FootnoteReference"/>
        </w:rPr>
        <w:footnoteRef/>
      </w:r>
      <w:r>
        <w:t xml:space="preserve"> </w:t>
      </w:r>
      <w:r>
        <w:tab/>
        <w:t>Directive 2013/50/EU of 22 October 2013, point 7.</w:t>
      </w:r>
    </w:p>
  </w:footnote>
  <w:footnote w:id="22">
    <w:p w14:paraId="2DED5520" w14:textId="7BA92523" w:rsidR="0040225A" w:rsidRPr="0002767C" w:rsidRDefault="0040225A" w:rsidP="002C4840">
      <w:pPr>
        <w:pStyle w:val="FootnoteText"/>
      </w:pPr>
      <w:r>
        <w:rPr>
          <w:rStyle w:val="FootnoteReference"/>
        </w:rPr>
        <w:footnoteRef/>
      </w:r>
      <w:r>
        <w:t xml:space="preserve"> </w:t>
      </w:r>
      <w:r>
        <w:tab/>
        <w:t>Since 2003, the EU Action Plan for Forest Law Enforcement, Governance and Trade (FLEGT) has aimed to reduce the entry of illegal wood into the EU through measures addressing both supply (support to producer countries to improve their legal framework and its implementation) and demand (EU regulation on verifying the legality of timber shipments imported).</w:t>
      </w:r>
    </w:p>
  </w:footnote>
  <w:footnote w:id="23">
    <w:p w14:paraId="04E76C2B" w14:textId="121E74AB" w:rsidR="0040225A" w:rsidRPr="0002767C" w:rsidRDefault="0040225A" w:rsidP="002C4840">
      <w:pPr>
        <w:pStyle w:val="FootnoteText"/>
      </w:pPr>
      <w:r>
        <w:rPr>
          <w:rStyle w:val="FootnoteReference"/>
        </w:rPr>
        <w:footnoteRef/>
      </w:r>
      <w:r>
        <w:t xml:space="preserve"> </w:t>
      </w:r>
      <w:r>
        <w:tab/>
        <w:t>Belgium (</w:t>
      </w:r>
      <w:hyperlink r:id="rId14">
        <w:r>
          <w:rPr>
            <w:rStyle w:val="Hyperlink"/>
          </w:rPr>
          <w:t>http://economie.fgov.be/fr/binaries/CP_Bangladesh_20140207_FR_tcm326-242681.pdf</w:t>
        </w:r>
      </w:hyperlink>
      <w:r>
        <w:t>),</w:t>
      </w:r>
      <w:r w:rsidR="002C4840">
        <w:br/>
      </w:r>
      <w:r>
        <w:t>France (</w:t>
      </w:r>
      <w:hyperlink r:id="rId15">
        <w:r>
          <w:rPr>
            <w:rStyle w:val="Hyperlink"/>
          </w:rPr>
          <w:t>http://www.tresor.economie.gouv.fr/8507_rapport-du-pcn-sur-la-mise-en-oeuvre-des-principes-directeurs-de-l-ocde-dans-la-filiere-textile-habillement</w:t>
        </w:r>
      </w:hyperlink>
      <w:r>
        <w:t>),</w:t>
      </w:r>
      <w:r w:rsidR="002C4840">
        <w:t xml:space="preserve"> </w:t>
      </w:r>
      <w:r>
        <w:t>Italy (</w:t>
      </w:r>
      <w:hyperlink r:id="rId16">
        <w:r>
          <w:rPr>
            <w:rStyle w:val="Hyperlink"/>
          </w:rPr>
          <w:t>http://pcnitalia.sviluppoeconomico.gov.it/en/news/item/301-report-on-responsible-business-conduct-in-the-textile-and-garment-supply-chain</w:t>
        </w:r>
      </w:hyperlink>
      <w:r>
        <w:t>).</w:t>
      </w:r>
    </w:p>
  </w:footnote>
  <w:footnote w:id="24">
    <w:p w14:paraId="3D2D624C" w14:textId="3D65672F" w:rsidR="0040225A" w:rsidRPr="0002767C" w:rsidRDefault="0040225A" w:rsidP="002C4840">
      <w:pPr>
        <w:pStyle w:val="FootnoteText"/>
      </w:pPr>
      <w:r>
        <w:rPr>
          <w:rStyle w:val="FootnoteReference"/>
        </w:rPr>
        <w:footnoteRef/>
      </w:r>
      <w:r>
        <w:rPr>
          <w:rStyle w:val="FootnoteReference"/>
        </w:rPr>
        <w:t xml:space="preserve"> </w:t>
      </w:r>
      <w:r>
        <w:tab/>
      </w:r>
      <w:hyperlink r:id="rId17">
        <w:r>
          <w:rPr>
            <w:rStyle w:val="Hyperlink"/>
          </w:rPr>
          <w:t>http://trade.ec.europa.eu/doclib/docs/2013/july/tradoc_151601.pdf</w:t>
        </w:r>
      </w:hyperlink>
      <w:r>
        <w:t>.</w:t>
      </w:r>
      <w:r w:rsidR="006A56F3">
        <w:br/>
      </w:r>
      <w:r>
        <w:t xml:space="preserve">See also </w:t>
      </w:r>
      <w:hyperlink r:id="rId18">
        <w:r>
          <w:rPr>
            <w:rStyle w:val="Hyperlink"/>
          </w:rPr>
          <w:t>http://trade.ec.europa.eu/doclib/press/index.cfm?id=1296</w:t>
        </w:r>
      </w:hyperlink>
      <w:r>
        <w:t>.</w:t>
      </w:r>
    </w:p>
  </w:footnote>
  <w:footnote w:id="25">
    <w:p w14:paraId="1120CBB0" w14:textId="77777777" w:rsidR="0040225A" w:rsidRPr="0002767C" w:rsidRDefault="0040225A" w:rsidP="002C4840">
      <w:pPr>
        <w:pStyle w:val="FootnoteText"/>
      </w:pPr>
      <w:r>
        <w:rPr>
          <w:rStyle w:val="FootnoteReference"/>
        </w:rPr>
        <w:footnoteRef/>
      </w:r>
      <w:r>
        <w:t xml:space="preserve"> </w:t>
      </w:r>
      <w:r>
        <w:tab/>
        <w:t>Human Rights Watch - Report April 2015 "Whoever raises their head suffers the most – Workers' rights in Bangladesh's garment factories" (</w:t>
      </w:r>
      <w:hyperlink r:id="rId19">
        <w:r>
          <w:rPr>
            <w:rStyle w:val="Hyperlink"/>
          </w:rPr>
          <w:t>www.hrw.org/</w:t>
        </w:r>
      </w:hyperlink>
      <w:r>
        <w:t xml:space="preserve">). See also </w:t>
      </w:r>
      <w:hyperlink r:id="rId20">
        <w:r>
          <w:rPr>
            <w:rStyle w:val="Hyperlink"/>
          </w:rPr>
          <w:t>RanaPlaza-arrangement.org</w:t>
        </w:r>
      </w:hyperlink>
      <w:r>
        <w:t>.</w:t>
      </w:r>
    </w:p>
  </w:footnote>
  <w:footnote w:id="26">
    <w:p w14:paraId="3232DCC1" w14:textId="6839234F" w:rsidR="0040225A" w:rsidRPr="0002767C" w:rsidRDefault="0040225A" w:rsidP="002C4840">
      <w:pPr>
        <w:pStyle w:val="FootnoteText"/>
      </w:pPr>
      <w:r>
        <w:rPr>
          <w:rStyle w:val="FootnoteReference"/>
        </w:rPr>
        <w:footnoteRef/>
      </w:r>
      <w:r>
        <w:t xml:space="preserve"> </w:t>
      </w:r>
      <w:r>
        <w:tab/>
        <w:t xml:space="preserve">See: "Missive" No 56 by </w:t>
      </w:r>
      <w:proofErr w:type="spellStart"/>
      <w:r>
        <w:rPr>
          <w:i/>
        </w:rPr>
        <w:t>Gestion</w:t>
      </w:r>
      <w:proofErr w:type="spellEnd"/>
      <w:r>
        <w:rPr>
          <w:i/>
        </w:rPr>
        <w:t xml:space="preserve"> Attentive</w:t>
      </w:r>
      <w:r>
        <w:t xml:space="preserve"> consultancy, </w:t>
      </w:r>
      <w:r>
        <w:rPr>
          <w:i/>
        </w:rPr>
        <w:t>Les "</w:t>
      </w:r>
      <w:proofErr w:type="spellStart"/>
      <w:r>
        <w:rPr>
          <w:i/>
        </w:rPr>
        <w:t>bonnes</w:t>
      </w:r>
      <w:proofErr w:type="spellEnd"/>
      <w:r>
        <w:rPr>
          <w:i/>
        </w:rPr>
        <w:t xml:space="preserve"> </w:t>
      </w:r>
      <w:proofErr w:type="spellStart"/>
      <w:r>
        <w:rPr>
          <w:i/>
        </w:rPr>
        <w:t>pratiques</w:t>
      </w:r>
      <w:proofErr w:type="spellEnd"/>
      <w:r>
        <w:rPr>
          <w:i/>
        </w:rPr>
        <w:t xml:space="preserve">" de la confection </w:t>
      </w:r>
      <w:proofErr w:type="spellStart"/>
      <w:r>
        <w:rPr>
          <w:i/>
        </w:rPr>
        <w:t>cambodgienne</w:t>
      </w:r>
      <w:proofErr w:type="spellEnd"/>
      <w:r>
        <w:t xml:space="preserve"> ("Good practices" in the Cambodian clothing manufacturing sector), February-March 2014, and "Missive" No 58 </w:t>
      </w:r>
      <w:proofErr w:type="spellStart"/>
      <w:r>
        <w:rPr>
          <w:i/>
        </w:rPr>
        <w:t>Chaîne</w:t>
      </w:r>
      <w:proofErr w:type="spellEnd"/>
      <w:r>
        <w:rPr>
          <w:i/>
        </w:rPr>
        <w:t xml:space="preserve"> de </w:t>
      </w:r>
      <w:proofErr w:type="spellStart"/>
      <w:r>
        <w:rPr>
          <w:i/>
        </w:rPr>
        <w:t>valeur</w:t>
      </w:r>
      <w:proofErr w:type="spellEnd"/>
      <w:r>
        <w:rPr>
          <w:i/>
        </w:rPr>
        <w:t xml:space="preserve"> </w:t>
      </w:r>
      <w:proofErr w:type="spellStart"/>
      <w:r>
        <w:rPr>
          <w:i/>
        </w:rPr>
        <w:t>dans</w:t>
      </w:r>
      <w:proofErr w:type="spellEnd"/>
      <w:r>
        <w:rPr>
          <w:i/>
        </w:rPr>
        <w:t xml:space="preserve"> </w:t>
      </w:r>
      <w:proofErr w:type="spellStart"/>
      <w:r>
        <w:rPr>
          <w:i/>
        </w:rPr>
        <w:t>l'habillement</w:t>
      </w:r>
      <w:proofErr w:type="spellEnd"/>
      <w:r>
        <w:t xml:space="preserve"> (The clothing value chain), July 2014: </w:t>
      </w:r>
      <w:hyperlink r:id="rId21">
        <w:r>
          <w:rPr>
            <w:rStyle w:val="Hyperlink"/>
          </w:rPr>
          <w:t>www.gestion-attentive.com</w:t>
        </w:r>
      </w:hyperlink>
      <w:r>
        <w:t xml:space="preserve">. </w:t>
      </w:r>
    </w:p>
  </w:footnote>
  <w:footnote w:id="27">
    <w:p w14:paraId="644BAC55" w14:textId="77777777" w:rsidR="0040225A" w:rsidRPr="0002767C" w:rsidRDefault="0040225A" w:rsidP="002C4840">
      <w:pPr>
        <w:spacing w:after="60" w:line="240" w:lineRule="auto"/>
      </w:pPr>
      <w:r>
        <w:rPr>
          <w:rStyle w:val="FootnoteReference"/>
        </w:rPr>
        <w:footnoteRef/>
      </w:r>
      <w:r>
        <w:t xml:space="preserve"> </w:t>
      </w:r>
      <w:r>
        <w:tab/>
      </w:r>
      <w:proofErr w:type="gramStart"/>
      <w:r>
        <w:rPr>
          <w:sz w:val="16"/>
        </w:rPr>
        <w:t>Responsible governance of tenure (</w:t>
      </w:r>
      <w:hyperlink r:id="rId22">
        <w:r>
          <w:rPr>
            <w:rStyle w:val="Hyperlink"/>
            <w:sz w:val="16"/>
          </w:rPr>
          <w:t>http://www.fao.org/docrep/016/i2801e/i2801e.pdf</w:t>
        </w:r>
      </w:hyperlink>
      <w:r>
        <w:t>).</w:t>
      </w:r>
      <w:proofErr w:type="gramEnd"/>
    </w:p>
  </w:footnote>
  <w:footnote w:id="28">
    <w:p w14:paraId="461F1903" w14:textId="77777777" w:rsidR="0040225A" w:rsidRPr="0002767C" w:rsidRDefault="0040225A" w:rsidP="002C4840">
      <w:pPr>
        <w:pStyle w:val="FootnoteText"/>
      </w:pPr>
      <w:r>
        <w:rPr>
          <w:rStyle w:val="FootnoteReference"/>
        </w:rPr>
        <w:footnoteRef/>
      </w:r>
      <w:r>
        <w:t xml:space="preserve"> </w:t>
      </w:r>
      <w:r>
        <w:tab/>
      </w:r>
      <w:r>
        <w:rPr>
          <w:i/>
        </w:rPr>
        <w:t>Supply Chains and the OECD Guidelines for Multinational Enterprises.</w:t>
      </w:r>
    </w:p>
  </w:footnote>
  <w:footnote w:id="29">
    <w:p w14:paraId="320F63A7" w14:textId="77777777" w:rsidR="0040225A" w:rsidRPr="0002767C" w:rsidRDefault="0040225A" w:rsidP="002C4840">
      <w:pPr>
        <w:pStyle w:val="FootnoteText"/>
      </w:pPr>
      <w:r>
        <w:rPr>
          <w:rStyle w:val="FootnoteReference"/>
        </w:rPr>
        <w:footnoteRef/>
      </w:r>
      <w:r>
        <w:t xml:space="preserve"> </w:t>
      </w:r>
      <w:r>
        <w:tab/>
      </w:r>
      <w:r>
        <w:rPr>
          <w:i/>
        </w:rPr>
        <w:t>A Guide to Traceability: A Practical Approach to Advance Sustainability in Global Supply Chains</w:t>
      </w:r>
      <w:r>
        <w:t xml:space="preserve"> (download at </w:t>
      </w:r>
      <w:hyperlink r:id="rId23">
        <w:r>
          <w:rPr>
            <w:rStyle w:val="Hyperlink"/>
          </w:rPr>
          <w:t>http://www.unglobalcompact.org/Issues/supply_chain/index.html</w:t>
        </w:r>
      </w:hyperlink>
      <w:r>
        <w:rPr>
          <w:rStyle w:val="Hyperlink"/>
          <w:color w:val="auto"/>
          <w:u w:val="none"/>
        </w:rPr>
        <w:t>)</w:t>
      </w:r>
      <w:r>
        <w:t>.</w:t>
      </w:r>
    </w:p>
  </w:footnote>
  <w:footnote w:id="30">
    <w:p w14:paraId="136ED629" w14:textId="77777777" w:rsidR="0040225A" w:rsidRPr="0002767C" w:rsidRDefault="0040225A" w:rsidP="002C4840">
      <w:pPr>
        <w:pStyle w:val="FootnoteText"/>
      </w:pPr>
      <w:r>
        <w:rPr>
          <w:rStyle w:val="FootnoteReference"/>
        </w:rPr>
        <w:footnoteRef/>
      </w:r>
      <w:r>
        <w:t xml:space="preserve"> </w:t>
      </w:r>
      <w:r>
        <w:tab/>
      </w:r>
      <w:hyperlink r:id="rId24">
        <w:r>
          <w:rPr>
            <w:rStyle w:val="Hyperlink"/>
          </w:rPr>
          <w:t>http://www.intracen.org/default.aspx</w:t>
        </w:r>
      </w:hyperlink>
      <w:r>
        <w:t xml:space="preserve">, </w:t>
      </w:r>
      <w:hyperlink r:id="rId25" w:anchor="sthash.2iPVKvKl.dpuf">
        <w:r>
          <w:rPr>
            <w:rStyle w:val="Hyperlink"/>
          </w:rPr>
          <w:t>http://www.intracen.org/itc/a-propos-de-l-itc/Standards-Map/#sthash.2iPVKvKl.dpuf</w:t>
        </w:r>
      </w:hyperlink>
      <w:r>
        <w:rPr>
          <w:rStyle w:val="Hyperlink"/>
          <w:color w:val="auto"/>
          <w:u w:val="none"/>
        </w:rPr>
        <w:t xml:space="preserve">, </w:t>
      </w:r>
      <w:hyperlink r:id="rId26">
        <w:r>
          <w:rPr>
            <w:rStyle w:val="Hyperlink"/>
          </w:rPr>
          <w:t>http://www.intracen.org/itc/a-propos-de-l-itc/Standards-Map</w:t>
        </w:r>
      </w:hyperlink>
      <w:r>
        <w:t>.</w:t>
      </w:r>
    </w:p>
  </w:footnote>
  <w:footnote w:id="31">
    <w:p w14:paraId="1E1AAA3B" w14:textId="77777777" w:rsidR="0040225A" w:rsidRDefault="0040225A" w:rsidP="002C4840">
      <w:pPr>
        <w:pStyle w:val="FootnoteText"/>
      </w:pPr>
      <w:r>
        <w:rPr>
          <w:sz w:val="24"/>
          <w:vertAlign w:val="superscript"/>
        </w:rPr>
        <w:footnoteRef/>
      </w:r>
      <w:r>
        <w:tab/>
        <w:t xml:space="preserve">Observatory on Corporate Social Responsibility: </w:t>
      </w:r>
      <w:hyperlink r:id="rId27">
        <w:r>
          <w:rPr>
            <w:rStyle w:val="Lien"/>
            <w:rFonts w:hAnsi="Arial Unicode MS"/>
          </w:rPr>
          <w:t>orse.org</w:t>
        </w:r>
      </w:hyperlink>
      <w:r>
        <w:rPr>
          <w:rStyle w:val="Lien"/>
          <w:rFonts w:hAnsi="Arial Unicode MS"/>
          <w:color w:val="auto"/>
          <w:u w:val="none"/>
        </w:rPr>
        <w:t>.</w:t>
      </w:r>
    </w:p>
  </w:footnote>
  <w:footnote w:id="32">
    <w:p w14:paraId="000149EB" w14:textId="77777777" w:rsidR="0040225A" w:rsidRDefault="0040225A" w:rsidP="002C4840">
      <w:pPr>
        <w:pStyle w:val="FootnoteText"/>
      </w:pPr>
      <w:r>
        <w:rPr>
          <w:sz w:val="24"/>
          <w:vertAlign w:val="superscript"/>
        </w:rPr>
        <w:footnoteRef/>
      </w:r>
      <w:r>
        <w:tab/>
      </w:r>
      <w:hyperlink r:id="rId28">
        <w:r>
          <w:rPr>
            <w:rStyle w:val="Lien"/>
            <w:rFonts w:hAnsi="Arial Unicode MS"/>
          </w:rPr>
          <w:t>http://www.reportingcsr.org/home-p-1.html</w:t>
        </w:r>
      </w:hyperlink>
      <w:r>
        <w:rPr>
          <w:rStyle w:val="Lien"/>
          <w:rFonts w:hAnsi="Arial Unicode MS"/>
        </w:rPr>
        <w:t>.</w:t>
      </w:r>
    </w:p>
  </w:footnote>
  <w:footnote w:id="33">
    <w:p w14:paraId="4C7D5D7D" w14:textId="77777777" w:rsidR="0040225A" w:rsidRPr="0002767C" w:rsidRDefault="0040225A" w:rsidP="002C4840">
      <w:pPr>
        <w:pStyle w:val="FootnoteText"/>
      </w:pPr>
      <w:r>
        <w:rPr>
          <w:rStyle w:val="FootnoteReference"/>
        </w:rPr>
        <w:footnoteRef/>
      </w:r>
      <w:r>
        <w:rPr>
          <w:rStyle w:val="FootnoteReference"/>
        </w:rPr>
        <w:t xml:space="preserve"> </w:t>
      </w:r>
      <w:r>
        <w:tab/>
      </w:r>
      <w:hyperlink r:id="rId29">
        <w:r>
          <w:rPr>
            <w:rStyle w:val="Hyperlink"/>
          </w:rPr>
          <w:t>http://www.ohchr.org/Documents/Publications/GuidingPrinciplesBusinessHR_En.pdf</w:t>
        </w:r>
      </w:hyperlink>
      <w:r>
        <w:t>.</w:t>
      </w:r>
    </w:p>
  </w:footnote>
  <w:footnote w:id="34">
    <w:p w14:paraId="00786932" w14:textId="77777777" w:rsidR="0040225A" w:rsidRPr="0002767C" w:rsidRDefault="0040225A" w:rsidP="002C4840">
      <w:pPr>
        <w:pStyle w:val="FootnoteText"/>
      </w:pPr>
      <w:r>
        <w:rPr>
          <w:rStyle w:val="FootnoteReference"/>
        </w:rPr>
        <w:footnoteRef/>
      </w:r>
      <w:r>
        <w:t xml:space="preserve"> </w:t>
      </w:r>
      <w:r>
        <w:tab/>
        <w:t xml:space="preserve">Promotion and protection of all human rights, civil, political, economic, social and cultural rights, including the right to development - Protect, Respect and Remedy: a Framework for Business and Human Rights - Report of the Special Representative of the Secretary-General on the issue of human rights and transnational corporations and other business enterprises, John </w:t>
      </w:r>
      <w:proofErr w:type="spellStart"/>
      <w:r>
        <w:t>Ruggie</w:t>
      </w:r>
      <w:proofErr w:type="spellEnd"/>
      <w:r>
        <w:t>.</w:t>
      </w:r>
    </w:p>
  </w:footnote>
  <w:footnote w:id="35">
    <w:p w14:paraId="266849E7" w14:textId="77777777" w:rsidR="0040225A" w:rsidRPr="0002767C" w:rsidRDefault="0040225A" w:rsidP="002C4840">
      <w:pPr>
        <w:pStyle w:val="FootnoteText"/>
      </w:pPr>
      <w:r>
        <w:rPr>
          <w:rStyle w:val="FootnoteReference"/>
        </w:rPr>
        <w:footnoteRef/>
      </w:r>
      <w:r>
        <w:rPr>
          <w:rStyle w:val="FootnoteReference"/>
        </w:rPr>
        <w:t xml:space="preserve"> </w:t>
      </w:r>
      <w:r>
        <w:tab/>
      </w:r>
      <w:hyperlink r:id="rId30">
        <w:r>
          <w:rPr>
            <w:rStyle w:val="Hyperlink"/>
          </w:rPr>
          <w:t>http://mneguidelines.oecd.org/text/</w:t>
        </w:r>
      </w:hyperlink>
      <w:r>
        <w:t>.</w:t>
      </w:r>
    </w:p>
  </w:footnote>
  <w:footnote w:id="36">
    <w:p w14:paraId="09E7F93D" w14:textId="411A6635" w:rsidR="0040225A" w:rsidRPr="0002767C" w:rsidRDefault="0040225A" w:rsidP="002C4840">
      <w:pPr>
        <w:pStyle w:val="FootnoteText"/>
      </w:pPr>
      <w:r>
        <w:rPr>
          <w:rStyle w:val="FootnoteReference"/>
        </w:rPr>
        <w:footnoteRef/>
      </w:r>
      <w:r>
        <w:t xml:space="preserve"> </w:t>
      </w:r>
      <w:r>
        <w:tab/>
      </w:r>
      <w:proofErr w:type="gramStart"/>
      <w:r>
        <w:t>Directive 2014/95/EU concerning the disclosure of non-financial and diversity information by certain large undertakings and groups, amending Directive 2013/34/EU on accounting.</w:t>
      </w:r>
      <w:proofErr w:type="gramEnd"/>
    </w:p>
  </w:footnote>
  <w:footnote w:id="37">
    <w:p w14:paraId="235161BB" w14:textId="7371DBAD" w:rsidR="0040225A" w:rsidRPr="0002767C" w:rsidRDefault="0040225A" w:rsidP="002C4840">
      <w:pPr>
        <w:pStyle w:val="FootnoteText"/>
      </w:pPr>
      <w:r>
        <w:rPr>
          <w:rStyle w:val="FootnoteReference"/>
        </w:rPr>
        <w:footnoteRef/>
      </w:r>
      <w:r>
        <w:t xml:space="preserve"> </w:t>
      </w:r>
      <w:r>
        <w:tab/>
      </w:r>
      <w:proofErr w:type="gramStart"/>
      <w:r>
        <w:t>Corporate social responsibility national public policies in the European Union, 2014 Compendium (31 October 2014).</w:t>
      </w:r>
      <w:proofErr w:type="gramEnd"/>
    </w:p>
  </w:footnote>
  <w:footnote w:id="38">
    <w:p w14:paraId="041F067C" w14:textId="5EF7FB06" w:rsidR="0040225A" w:rsidRPr="0002767C" w:rsidRDefault="0040225A" w:rsidP="002C4840">
      <w:pPr>
        <w:pStyle w:val="FootnoteText"/>
      </w:pPr>
      <w:r>
        <w:rPr>
          <w:rStyle w:val="FootnoteReference"/>
        </w:rPr>
        <w:footnoteRef/>
      </w:r>
      <w:r>
        <w:t xml:space="preserve"> </w:t>
      </w:r>
      <w:r>
        <w:tab/>
        <w:t xml:space="preserve">The Group of Friends of Paragraph 47 is composed of government representatives from different regions of the world that are committed to contributing to the implementation of paragraph 47 of the Outcome Document of the 2012 United Nations Conference on Sustainable Development (Rio+20), </w:t>
      </w:r>
      <w:r>
        <w:rPr>
          <w:i/>
        </w:rPr>
        <w:t>The Future We Want.</w:t>
      </w:r>
      <w:r>
        <w:t xml:space="preserve"> See the </w:t>
      </w:r>
      <w:r>
        <w:rPr>
          <w:i/>
        </w:rPr>
        <w:t xml:space="preserve">Charter of the Group of Friends of Paragraph 47 on Corporate Sustainability Reporting: </w:t>
      </w:r>
      <w:hyperlink r:id="rId31">
        <w:r>
          <w:rPr>
            <w:rStyle w:val="Hyperlink"/>
          </w:rPr>
          <w:t>www.unep.org/</w:t>
        </w:r>
      </w:hyperlink>
      <w:r>
        <w:t>.</w:t>
      </w:r>
    </w:p>
  </w:footnote>
  <w:footnote w:id="39">
    <w:p w14:paraId="35488014" w14:textId="77777777" w:rsidR="0040225A" w:rsidRPr="0002767C" w:rsidRDefault="0040225A" w:rsidP="002C4840">
      <w:pPr>
        <w:pStyle w:val="FootnoteText"/>
      </w:pPr>
      <w:r>
        <w:rPr>
          <w:rStyle w:val="FootnoteReference"/>
        </w:rPr>
        <w:footnoteRef/>
      </w:r>
      <w:r>
        <w:t xml:space="preserve"> </w:t>
      </w:r>
      <w:r>
        <w:tab/>
      </w:r>
      <w:hyperlink r:id="rId32">
        <w:r>
          <w:rPr>
            <w:rStyle w:val="Hyperlink"/>
          </w:rPr>
          <w:t>http://ec.europa.eu/growth/industry/corporate-social-responsibility/in-practice/index_en.htm</w:t>
        </w:r>
      </w:hyperlink>
      <w:r>
        <w:t>.</w:t>
      </w:r>
    </w:p>
  </w:footnote>
  <w:footnote w:id="40">
    <w:p w14:paraId="396643DD" w14:textId="6A65F469" w:rsidR="0040225A" w:rsidRPr="0002767C" w:rsidRDefault="0040225A" w:rsidP="002C4840">
      <w:pPr>
        <w:pStyle w:val="FootnoteText"/>
      </w:pPr>
      <w:r>
        <w:rPr>
          <w:rStyle w:val="FootnoteReference"/>
        </w:rPr>
        <w:footnoteRef/>
      </w:r>
      <w:r>
        <w:rPr>
          <w:rStyle w:val="FootnoteReference"/>
        </w:rPr>
        <w:t xml:space="preserve"> </w:t>
      </w:r>
      <w:r>
        <w:tab/>
        <w:t>Id. 35.</w:t>
      </w:r>
    </w:p>
  </w:footnote>
  <w:footnote w:id="41">
    <w:p w14:paraId="23464725" w14:textId="12DCB0EE" w:rsidR="0040225A" w:rsidRPr="0002767C" w:rsidRDefault="0040225A" w:rsidP="002C4840">
      <w:pPr>
        <w:pStyle w:val="FootnoteText"/>
      </w:pPr>
      <w:r>
        <w:rPr>
          <w:rStyle w:val="FootnoteReference"/>
        </w:rPr>
        <w:footnoteRef/>
      </w:r>
      <w:r>
        <w:tab/>
        <w:t>Id.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C948" w14:textId="77777777" w:rsidR="00EB079B" w:rsidRDefault="00EB0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484A" w14:textId="77777777" w:rsidR="00EB079B" w:rsidRDefault="00EB0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9C8E" w14:textId="77777777" w:rsidR="00EB079B" w:rsidRDefault="00EB07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9E93" w14:textId="77777777" w:rsidR="0040225A" w:rsidRPr="0072284C" w:rsidRDefault="0040225A" w:rsidP="00714E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4BC6" w14:textId="77777777" w:rsidR="0040225A" w:rsidRPr="0072284C" w:rsidRDefault="0040225A" w:rsidP="007228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328E" w14:textId="77777777" w:rsidR="0040225A" w:rsidRPr="0072284C" w:rsidRDefault="0040225A" w:rsidP="00714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80802C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4A3EB30A"/>
    <w:lvl w:ilvl="0">
      <w:start w:val="1"/>
      <w:numFmt w:val="decimal"/>
      <w:lvlText w:val="%1."/>
      <w:lvlJc w:val="left"/>
      <w:pPr>
        <w:tabs>
          <w:tab w:val="num" w:pos="0"/>
        </w:tabs>
      </w:pPr>
      <w:rPr>
        <w:rFonts w:cs="Times New Roman"/>
        <w:b w:val="0"/>
        <w:i w:val="0"/>
      </w:rPr>
    </w:lvl>
    <w:lvl w:ilvl="1">
      <w:start w:val="1"/>
      <w:numFmt w:val="decimal"/>
      <w:lvlText w:val="%1.%2"/>
      <w:lvlJc w:val="left"/>
      <w:pPr>
        <w:tabs>
          <w:tab w:val="num" w:pos="0"/>
        </w:tabs>
      </w:pPr>
      <w:rPr>
        <w:rFonts w:cs="Times New Roman"/>
        <w:b w:val="0"/>
      </w:rPr>
    </w:lvl>
    <w:lvl w:ilvl="2">
      <w:start w:val="1"/>
      <w:numFmt w:val="decimal"/>
      <w:lvlText w:val="%1.%2.%3"/>
      <w:lvlJc w:val="left"/>
      <w:pPr>
        <w:tabs>
          <w:tab w:val="num" w:pos="0"/>
        </w:tabs>
      </w:pPr>
      <w:rPr>
        <w:rFonts w:cs="Times New Roman"/>
        <w:b w:val="0"/>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70C089B"/>
    <w:multiLevelType w:val="hybridMultilevel"/>
    <w:tmpl w:val="875E8EB4"/>
    <w:lvl w:ilvl="0" w:tplc="9E34B7C6">
      <w:start w:val="1"/>
      <w:numFmt w:val="bullet"/>
      <w:lvlText w:val="-"/>
      <w:lvlJc w:val="left"/>
      <w:pPr>
        <w:ind w:left="1778" w:hanging="360"/>
      </w:pPr>
      <w:rPr>
        <w:rFonts w:ascii="Symbol" w:hAnsi="Symbol" w:hint="default"/>
        <w:b w:val="0"/>
        <w:i w:val="0"/>
        <w:sz w:val="22"/>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07E049F5"/>
    <w:multiLevelType w:val="hybridMultilevel"/>
    <w:tmpl w:val="046040CC"/>
    <w:lvl w:ilvl="0" w:tplc="9E34B7C6">
      <w:start w:val="1"/>
      <w:numFmt w:val="bullet"/>
      <w:lvlText w:val="-"/>
      <w:lvlJc w:val="left"/>
      <w:pPr>
        <w:ind w:left="1778" w:hanging="360"/>
      </w:pPr>
      <w:rPr>
        <w:rFonts w:ascii="Symbol" w:hAnsi="Symbol" w:hint="default"/>
        <w:b w:val="0"/>
        <w:i w:val="0"/>
        <w:sz w:val="22"/>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085D7B24"/>
    <w:multiLevelType w:val="hybridMultilevel"/>
    <w:tmpl w:val="E8EC6DC8"/>
    <w:lvl w:ilvl="0" w:tplc="B2B6772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674186"/>
    <w:multiLevelType w:val="hybridMultilevel"/>
    <w:tmpl w:val="E62CE378"/>
    <w:lvl w:ilvl="0" w:tplc="B2B67724">
      <w:start w:val="3"/>
      <w:numFmt w:val="bullet"/>
      <w:lvlText w:val="˗"/>
      <w:lvlJc w:val="left"/>
      <w:pPr>
        <w:ind w:left="1069" w:hanging="360"/>
      </w:pPr>
      <w:rPr>
        <w:rFonts w:ascii="Times New Roman" w:eastAsia="Times New Roman" w:hAnsi="Times New Roman"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nsid w:val="18BB065D"/>
    <w:multiLevelType w:val="hybridMultilevel"/>
    <w:tmpl w:val="A770E486"/>
    <w:lvl w:ilvl="0" w:tplc="B2B67724">
      <w:start w:val="3"/>
      <w:numFmt w:val="bullet"/>
      <w:lvlText w:val="˗"/>
      <w:lvlJc w:val="left"/>
      <w:pPr>
        <w:ind w:left="1778" w:hanging="360"/>
      </w:pPr>
      <w:rPr>
        <w:rFonts w:ascii="Times New Roman" w:eastAsia="Times New Roman" w:hAnsi="Times New Roman"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nsid w:val="25C11923"/>
    <w:multiLevelType w:val="hybridMultilevel"/>
    <w:tmpl w:val="33221D3C"/>
    <w:lvl w:ilvl="0" w:tplc="FFEEE4F2">
      <w:numFmt w:val="bullet"/>
      <w:lvlText w:val="-"/>
      <w:lvlJc w:val="left"/>
      <w:pPr>
        <w:ind w:left="1778" w:hanging="360"/>
      </w:pPr>
      <w:rPr>
        <w:rFonts w:ascii="Times New Roman" w:eastAsia="Times New Roman" w:hAnsi="Times New Roman"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nsid w:val="2FC013B8"/>
    <w:multiLevelType w:val="hybridMultilevel"/>
    <w:tmpl w:val="B754B042"/>
    <w:lvl w:ilvl="0" w:tplc="B2B67724">
      <w:start w:val="3"/>
      <w:numFmt w:val="bullet"/>
      <w:lvlText w:val="˗"/>
      <w:lvlJc w:val="left"/>
      <w:pPr>
        <w:ind w:left="1429" w:hanging="360"/>
      </w:pPr>
      <w:rPr>
        <w:rFonts w:ascii="Times New Roman" w:eastAsia="Times New Roman" w:hAnsi="Times New Roman" w:cs="Times New Roman" w:hint="default"/>
      </w:rPr>
    </w:lvl>
    <w:lvl w:ilvl="1" w:tplc="B2B67724">
      <w:start w:val="3"/>
      <w:numFmt w:val="bullet"/>
      <w:lvlText w:val="˗"/>
      <w:lvlJc w:val="left"/>
      <w:pPr>
        <w:ind w:left="2149" w:hanging="360"/>
      </w:pPr>
      <w:rPr>
        <w:rFonts w:ascii="Times New Roman" w:eastAsia="Times New Roman" w:hAnsi="Times New Roman" w:cs="Times New Roman"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nsid w:val="361B6874"/>
    <w:multiLevelType w:val="hybridMultilevel"/>
    <w:tmpl w:val="D4266382"/>
    <w:lvl w:ilvl="0" w:tplc="9E34B7C6">
      <w:start w:val="1"/>
      <w:numFmt w:val="bullet"/>
      <w:lvlText w:val="-"/>
      <w:lvlJc w:val="left"/>
      <w:pPr>
        <w:ind w:left="1429" w:hanging="360"/>
      </w:pPr>
      <w:rPr>
        <w:rFonts w:ascii="Symbol" w:hAnsi="Symbol" w:hint="default"/>
        <w:b w:val="0"/>
        <w:i w:val="0"/>
        <w:sz w:val="22"/>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nsid w:val="48286766"/>
    <w:multiLevelType w:val="hybridMultilevel"/>
    <w:tmpl w:val="C890C4DC"/>
    <w:lvl w:ilvl="0" w:tplc="FFEEE4F2">
      <w:numFmt w:val="bullet"/>
      <w:lvlText w:val="-"/>
      <w:lvlJc w:val="left"/>
      <w:pPr>
        <w:ind w:left="1069" w:hanging="360"/>
      </w:pPr>
      <w:rPr>
        <w:rFonts w:ascii="Times New Roman" w:eastAsia="Times New Roman" w:hAnsi="Times New Roman"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1">
    <w:nsid w:val="53FC4344"/>
    <w:multiLevelType w:val="hybridMultilevel"/>
    <w:tmpl w:val="9BA0B022"/>
    <w:lvl w:ilvl="0" w:tplc="9E34B7C6">
      <w:start w:val="1"/>
      <w:numFmt w:val="bullet"/>
      <w:lvlText w:val="-"/>
      <w:lvlJc w:val="left"/>
      <w:pPr>
        <w:ind w:left="1069" w:hanging="360"/>
      </w:pPr>
      <w:rPr>
        <w:rFonts w:ascii="Symbol" w:hAnsi="Symbol" w:hint="default"/>
        <w:b w:val="0"/>
        <w:i w:val="0"/>
        <w:sz w:val="22"/>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2">
    <w:nsid w:val="548B287A"/>
    <w:multiLevelType w:val="hybridMultilevel"/>
    <w:tmpl w:val="0A582BC8"/>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nsid w:val="59D630D8"/>
    <w:multiLevelType w:val="hybridMultilevel"/>
    <w:tmpl w:val="09AA0004"/>
    <w:lvl w:ilvl="0" w:tplc="9E34B7C6">
      <w:start w:val="1"/>
      <w:numFmt w:val="bullet"/>
      <w:lvlText w:val="-"/>
      <w:lvlJc w:val="left"/>
      <w:pPr>
        <w:ind w:left="1429" w:hanging="360"/>
      </w:pPr>
      <w:rPr>
        <w:rFonts w:ascii="Symbol" w:hAnsi="Symbol" w:hint="default"/>
        <w:b w:val="0"/>
        <w:i w:val="0"/>
        <w:sz w:val="22"/>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nsid w:val="5DDB5A6C"/>
    <w:multiLevelType w:val="hybridMultilevel"/>
    <w:tmpl w:val="47DC39C8"/>
    <w:lvl w:ilvl="0" w:tplc="FFEEE4F2">
      <w:numFmt w:val="bullet"/>
      <w:lvlText w:val="-"/>
      <w:lvlJc w:val="left"/>
      <w:pPr>
        <w:ind w:left="1778" w:hanging="360"/>
      </w:pPr>
      <w:rPr>
        <w:rFonts w:ascii="Times New Roman" w:eastAsia="Times New Roman" w:hAnsi="Times New Roman"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5">
    <w:nsid w:val="5EEC5D3C"/>
    <w:multiLevelType w:val="hybridMultilevel"/>
    <w:tmpl w:val="0C9C04D6"/>
    <w:lvl w:ilvl="0" w:tplc="B2B67724">
      <w:start w:val="3"/>
      <w:numFmt w:val="bullet"/>
      <w:lvlText w:val="˗"/>
      <w:lvlJc w:val="left"/>
      <w:pPr>
        <w:ind w:left="1778" w:hanging="360"/>
      </w:pPr>
      <w:rPr>
        <w:rFonts w:ascii="Times New Roman" w:eastAsia="Times New Roman" w:hAnsi="Times New Roman" w:hint="default"/>
      </w:rPr>
    </w:lvl>
    <w:lvl w:ilvl="1" w:tplc="080C0003" w:tentative="1">
      <w:start w:val="1"/>
      <w:numFmt w:val="bullet"/>
      <w:lvlText w:val="o"/>
      <w:lvlJc w:val="left"/>
      <w:pPr>
        <w:ind w:left="2149" w:hanging="360"/>
      </w:pPr>
      <w:rPr>
        <w:rFonts w:ascii="Courier New" w:hAnsi="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6">
    <w:nsid w:val="63EC118D"/>
    <w:multiLevelType w:val="hybridMultilevel"/>
    <w:tmpl w:val="251AA97A"/>
    <w:lvl w:ilvl="0" w:tplc="9E34B7C6">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4456F43"/>
    <w:multiLevelType w:val="hybridMultilevel"/>
    <w:tmpl w:val="796C91C2"/>
    <w:lvl w:ilvl="0" w:tplc="86D29F80">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14"/>
  </w:num>
  <w:num w:numId="6">
    <w:abstractNumId w:val="18"/>
  </w:num>
  <w:num w:numId="7">
    <w:abstractNumId w:val="0"/>
  </w:num>
  <w:num w:numId="8">
    <w:abstractNumId w:val="5"/>
  </w:num>
  <w:num w:numId="9">
    <w:abstractNumId w:val="15"/>
  </w:num>
  <w:num w:numId="10">
    <w:abstractNumId w:val="6"/>
  </w:num>
  <w:num w:numId="11">
    <w:abstractNumId w:val="8"/>
  </w:num>
  <w:num w:numId="12">
    <w:abstractNumId w:val="4"/>
  </w:num>
  <w:num w:numId="13">
    <w:abstractNumId w:val="17"/>
  </w:num>
  <w:num w:numId="14">
    <w:abstractNumId w:val="11"/>
  </w:num>
  <w:num w:numId="15">
    <w:abstractNumId w:val="9"/>
  </w:num>
  <w:num w:numId="16">
    <w:abstractNumId w:val="13"/>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07"/>
    <w:rsid w:val="00001DFE"/>
    <w:rsid w:val="00007849"/>
    <w:rsid w:val="00010977"/>
    <w:rsid w:val="000110EB"/>
    <w:rsid w:val="00012302"/>
    <w:rsid w:val="00012966"/>
    <w:rsid w:val="000162DA"/>
    <w:rsid w:val="0002511A"/>
    <w:rsid w:val="000269EC"/>
    <w:rsid w:val="0002767C"/>
    <w:rsid w:val="00032494"/>
    <w:rsid w:val="0003428D"/>
    <w:rsid w:val="00037514"/>
    <w:rsid w:val="00041EF2"/>
    <w:rsid w:val="000427CB"/>
    <w:rsid w:val="0005106B"/>
    <w:rsid w:val="00055186"/>
    <w:rsid w:val="00067DBB"/>
    <w:rsid w:val="00072698"/>
    <w:rsid w:val="000754B9"/>
    <w:rsid w:val="000756E0"/>
    <w:rsid w:val="000821A7"/>
    <w:rsid w:val="00082777"/>
    <w:rsid w:val="00084032"/>
    <w:rsid w:val="00085A64"/>
    <w:rsid w:val="0009026B"/>
    <w:rsid w:val="00091099"/>
    <w:rsid w:val="000923D2"/>
    <w:rsid w:val="00096432"/>
    <w:rsid w:val="000A2091"/>
    <w:rsid w:val="000B2B45"/>
    <w:rsid w:val="000B34D8"/>
    <w:rsid w:val="000B6AE1"/>
    <w:rsid w:val="000D0097"/>
    <w:rsid w:val="000D0A19"/>
    <w:rsid w:val="000D16B6"/>
    <w:rsid w:val="000D1B8D"/>
    <w:rsid w:val="000D2FE1"/>
    <w:rsid w:val="000D4E02"/>
    <w:rsid w:val="000D51CD"/>
    <w:rsid w:val="000E0F2A"/>
    <w:rsid w:val="000E14B8"/>
    <w:rsid w:val="000E1799"/>
    <w:rsid w:val="000E4A98"/>
    <w:rsid w:val="000E6A39"/>
    <w:rsid w:val="000F2750"/>
    <w:rsid w:val="000F6E27"/>
    <w:rsid w:val="001000A2"/>
    <w:rsid w:val="00101A56"/>
    <w:rsid w:val="00102D2F"/>
    <w:rsid w:val="00103A32"/>
    <w:rsid w:val="0010798C"/>
    <w:rsid w:val="00110204"/>
    <w:rsid w:val="001127D6"/>
    <w:rsid w:val="001127F4"/>
    <w:rsid w:val="00112DB2"/>
    <w:rsid w:val="00121050"/>
    <w:rsid w:val="00130373"/>
    <w:rsid w:val="00135551"/>
    <w:rsid w:val="0014076E"/>
    <w:rsid w:val="00140BB5"/>
    <w:rsid w:val="00141AE1"/>
    <w:rsid w:val="00144DAB"/>
    <w:rsid w:val="00147AE2"/>
    <w:rsid w:val="001538D9"/>
    <w:rsid w:val="00153926"/>
    <w:rsid w:val="00153F8C"/>
    <w:rsid w:val="00156FD7"/>
    <w:rsid w:val="00160481"/>
    <w:rsid w:val="00170863"/>
    <w:rsid w:val="00187DDA"/>
    <w:rsid w:val="00192E00"/>
    <w:rsid w:val="00195629"/>
    <w:rsid w:val="001A1DBD"/>
    <w:rsid w:val="001A6121"/>
    <w:rsid w:val="001B57D7"/>
    <w:rsid w:val="001C0074"/>
    <w:rsid w:val="001C2BE3"/>
    <w:rsid w:val="001C38F7"/>
    <w:rsid w:val="001C696A"/>
    <w:rsid w:val="001C7525"/>
    <w:rsid w:val="001D141D"/>
    <w:rsid w:val="001D40AE"/>
    <w:rsid w:val="001D515B"/>
    <w:rsid w:val="001E21A4"/>
    <w:rsid w:val="001E4901"/>
    <w:rsid w:val="001F2C7C"/>
    <w:rsid w:val="001F4BD2"/>
    <w:rsid w:val="00200630"/>
    <w:rsid w:val="00200F6D"/>
    <w:rsid w:val="0020156F"/>
    <w:rsid w:val="00201FD0"/>
    <w:rsid w:val="00211745"/>
    <w:rsid w:val="002121A6"/>
    <w:rsid w:val="00216BE4"/>
    <w:rsid w:val="00220BDE"/>
    <w:rsid w:val="00220F76"/>
    <w:rsid w:val="00221C04"/>
    <w:rsid w:val="0022490F"/>
    <w:rsid w:val="0022650A"/>
    <w:rsid w:val="00240014"/>
    <w:rsid w:val="00240D8D"/>
    <w:rsid w:val="002433F0"/>
    <w:rsid w:val="00244D88"/>
    <w:rsid w:val="002515A3"/>
    <w:rsid w:val="002521AF"/>
    <w:rsid w:val="002548F9"/>
    <w:rsid w:val="00256611"/>
    <w:rsid w:val="002614B6"/>
    <w:rsid w:val="002633D4"/>
    <w:rsid w:val="0027194E"/>
    <w:rsid w:val="00274484"/>
    <w:rsid w:val="00276EBB"/>
    <w:rsid w:val="00281D0D"/>
    <w:rsid w:val="0028255B"/>
    <w:rsid w:val="00286ED4"/>
    <w:rsid w:val="00287321"/>
    <w:rsid w:val="00291F65"/>
    <w:rsid w:val="00294348"/>
    <w:rsid w:val="002A7701"/>
    <w:rsid w:val="002B53E5"/>
    <w:rsid w:val="002C4840"/>
    <w:rsid w:val="002C4E54"/>
    <w:rsid w:val="002C6C4B"/>
    <w:rsid w:val="002C7FD5"/>
    <w:rsid w:val="002D0EBF"/>
    <w:rsid w:val="002D2B59"/>
    <w:rsid w:val="002D770F"/>
    <w:rsid w:val="002E2300"/>
    <w:rsid w:val="002E5903"/>
    <w:rsid w:val="002E7DAE"/>
    <w:rsid w:val="002F43BA"/>
    <w:rsid w:val="003035B6"/>
    <w:rsid w:val="00305CA8"/>
    <w:rsid w:val="0030700D"/>
    <w:rsid w:val="00310BD8"/>
    <w:rsid w:val="00315747"/>
    <w:rsid w:val="00316847"/>
    <w:rsid w:val="00323DE7"/>
    <w:rsid w:val="00331841"/>
    <w:rsid w:val="003341A3"/>
    <w:rsid w:val="00334224"/>
    <w:rsid w:val="00347A3D"/>
    <w:rsid w:val="003519AA"/>
    <w:rsid w:val="0037029F"/>
    <w:rsid w:val="00375296"/>
    <w:rsid w:val="003806DC"/>
    <w:rsid w:val="00381438"/>
    <w:rsid w:val="0038368F"/>
    <w:rsid w:val="00383843"/>
    <w:rsid w:val="003851EB"/>
    <w:rsid w:val="0038692D"/>
    <w:rsid w:val="003A34CD"/>
    <w:rsid w:val="003B0A77"/>
    <w:rsid w:val="003B19D0"/>
    <w:rsid w:val="003B27BC"/>
    <w:rsid w:val="003B359A"/>
    <w:rsid w:val="003C3616"/>
    <w:rsid w:val="003C45ED"/>
    <w:rsid w:val="003C4B02"/>
    <w:rsid w:val="003C6446"/>
    <w:rsid w:val="003D2DC2"/>
    <w:rsid w:val="003D3714"/>
    <w:rsid w:val="003D552D"/>
    <w:rsid w:val="003D6BFE"/>
    <w:rsid w:val="003E1B0C"/>
    <w:rsid w:val="003E1E81"/>
    <w:rsid w:val="003E289D"/>
    <w:rsid w:val="003E556C"/>
    <w:rsid w:val="003E6E56"/>
    <w:rsid w:val="00401D1F"/>
    <w:rsid w:val="0040225A"/>
    <w:rsid w:val="004065B0"/>
    <w:rsid w:val="00426992"/>
    <w:rsid w:val="00444336"/>
    <w:rsid w:val="004449A0"/>
    <w:rsid w:val="0045335E"/>
    <w:rsid w:val="00455C57"/>
    <w:rsid w:val="00456DF4"/>
    <w:rsid w:val="004578F8"/>
    <w:rsid w:val="00462C17"/>
    <w:rsid w:val="00465BC3"/>
    <w:rsid w:val="00471671"/>
    <w:rsid w:val="00475398"/>
    <w:rsid w:val="00476535"/>
    <w:rsid w:val="00481D32"/>
    <w:rsid w:val="0048208D"/>
    <w:rsid w:val="00482BBC"/>
    <w:rsid w:val="00484BFC"/>
    <w:rsid w:val="00492775"/>
    <w:rsid w:val="00496417"/>
    <w:rsid w:val="00497BC3"/>
    <w:rsid w:val="004A495C"/>
    <w:rsid w:val="004A69DB"/>
    <w:rsid w:val="004B4884"/>
    <w:rsid w:val="004B5875"/>
    <w:rsid w:val="004C0B28"/>
    <w:rsid w:val="004C26D5"/>
    <w:rsid w:val="004C29C5"/>
    <w:rsid w:val="004C4C21"/>
    <w:rsid w:val="004C5F01"/>
    <w:rsid w:val="004C7ECF"/>
    <w:rsid w:val="004D1FE7"/>
    <w:rsid w:val="004D476A"/>
    <w:rsid w:val="004E061E"/>
    <w:rsid w:val="004E2793"/>
    <w:rsid w:val="004E4A85"/>
    <w:rsid w:val="004F2CE2"/>
    <w:rsid w:val="00500BC3"/>
    <w:rsid w:val="005032CE"/>
    <w:rsid w:val="00507F91"/>
    <w:rsid w:val="00510017"/>
    <w:rsid w:val="00516030"/>
    <w:rsid w:val="00526D61"/>
    <w:rsid w:val="00531D1B"/>
    <w:rsid w:val="0054119C"/>
    <w:rsid w:val="005416C4"/>
    <w:rsid w:val="00543B49"/>
    <w:rsid w:val="0054421D"/>
    <w:rsid w:val="00546882"/>
    <w:rsid w:val="00553E4D"/>
    <w:rsid w:val="00554893"/>
    <w:rsid w:val="00556E13"/>
    <w:rsid w:val="00571079"/>
    <w:rsid w:val="00581CBE"/>
    <w:rsid w:val="00584485"/>
    <w:rsid w:val="005851A6"/>
    <w:rsid w:val="00596861"/>
    <w:rsid w:val="00597F6D"/>
    <w:rsid w:val="005A0A02"/>
    <w:rsid w:val="005A0B76"/>
    <w:rsid w:val="005A5841"/>
    <w:rsid w:val="005A7636"/>
    <w:rsid w:val="005B1ACF"/>
    <w:rsid w:val="005B23D8"/>
    <w:rsid w:val="005B4536"/>
    <w:rsid w:val="005B68C6"/>
    <w:rsid w:val="005B6EBA"/>
    <w:rsid w:val="005C4587"/>
    <w:rsid w:val="005D418E"/>
    <w:rsid w:val="005D4237"/>
    <w:rsid w:val="005D4758"/>
    <w:rsid w:val="005D61BA"/>
    <w:rsid w:val="005D695C"/>
    <w:rsid w:val="005E617A"/>
    <w:rsid w:val="005F2204"/>
    <w:rsid w:val="005F683C"/>
    <w:rsid w:val="005F6FB5"/>
    <w:rsid w:val="005F7A31"/>
    <w:rsid w:val="00605548"/>
    <w:rsid w:val="00606569"/>
    <w:rsid w:val="00613D9C"/>
    <w:rsid w:val="00623199"/>
    <w:rsid w:val="00625D8F"/>
    <w:rsid w:val="00627E67"/>
    <w:rsid w:val="00630195"/>
    <w:rsid w:val="0063085B"/>
    <w:rsid w:val="00635D0B"/>
    <w:rsid w:val="00642F58"/>
    <w:rsid w:val="006437AF"/>
    <w:rsid w:val="00651BA2"/>
    <w:rsid w:val="00667CF9"/>
    <w:rsid w:val="00674C73"/>
    <w:rsid w:val="00692C51"/>
    <w:rsid w:val="00693CA2"/>
    <w:rsid w:val="00696D72"/>
    <w:rsid w:val="006A56F3"/>
    <w:rsid w:val="006A6163"/>
    <w:rsid w:val="006B06D7"/>
    <w:rsid w:val="006B2CA3"/>
    <w:rsid w:val="006C1253"/>
    <w:rsid w:val="006C13CD"/>
    <w:rsid w:val="006C6A9B"/>
    <w:rsid w:val="006D0048"/>
    <w:rsid w:val="006D115F"/>
    <w:rsid w:val="006D57F1"/>
    <w:rsid w:val="006D618F"/>
    <w:rsid w:val="006D6759"/>
    <w:rsid w:val="006E28CD"/>
    <w:rsid w:val="006F486D"/>
    <w:rsid w:val="00701AD1"/>
    <w:rsid w:val="00701B2A"/>
    <w:rsid w:val="00702065"/>
    <w:rsid w:val="007040CC"/>
    <w:rsid w:val="00710FC7"/>
    <w:rsid w:val="00714E37"/>
    <w:rsid w:val="00715386"/>
    <w:rsid w:val="007223A1"/>
    <w:rsid w:val="0072284C"/>
    <w:rsid w:val="007275E2"/>
    <w:rsid w:val="00730094"/>
    <w:rsid w:val="00742427"/>
    <w:rsid w:val="007425E5"/>
    <w:rsid w:val="007473C3"/>
    <w:rsid w:val="007513E8"/>
    <w:rsid w:val="007530A4"/>
    <w:rsid w:val="0076062A"/>
    <w:rsid w:val="00765E5B"/>
    <w:rsid w:val="00765FF0"/>
    <w:rsid w:val="00770FCC"/>
    <w:rsid w:val="007745B7"/>
    <w:rsid w:val="007776F7"/>
    <w:rsid w:val="007805C4"/>
    <w:rsid w:val="00781E60"/>
    <w:rsid w:val="00786AA3"/>
    <w:rsid w:val="007877D4"/>
    <w:rsid w:val="00793214"/>
    <w:rsid w:val="00795D30"/>
    <w:rsid w:val="007A5B70"/>
    <w:rsid w:val="007A79CD"/>
    <w:rsid w:val="007B0922"/>
    <w:rsid w:val="007B0A72"/>
    <w:rsid w:val="007B7069"/>
    <w:rsid w:val="007C0F6B"/>
    <w:rsid w:val="007C37FA"/>
    <w:rsid w:val="007C4ACD"/>
    <w:rsid w:val="007D01E7"/>
    <w:rsid w:val="007D36AF"/>
    <w:rsid w:val="007D62A3"/>
    <w:rsid w:val="007D726D"/>
    <w:rsid w:val="007E2161"/>
    <w:rsid w:val="007E65B5"/>
    <w:rsid w:val="007F0051"/>
    <w:rsid w:val="007F589D"/>
    <w:rsid w:val="007F5EDB"/>
    <w:rsid w:val="00800F7D"/>
    <w:rsid w:val="00802D07"/>
    <w:rsid w:val="00803C70"/>
    <w:rsid w:val="00813977"/>
    <w:rsid w:val="00813998"/>
    <w:rsid w:val="008157BE"/>
    <w:rsid w:val="00820B59"/>
    <w:rsid w:val="00822181"/>
    <w:rsid w:val="00823ADF"/>
    <w:rsid w:val="008319F8"/>
    <w:rsid w:val="00831BAF"/>
    <w:rsid w:val="00832641"/>
    <w:rsid w:val="00836383"/>
    <w:rsid w:val="008474B3"/>
    <w:rsid w:val="0085026C"/>
    <w:rsid w:val="008518AD"/>
    <w:rsid w:val="008525AE"/>
    <w:rsid w:val="00876BD9"/>
    <w:rsid w:val="00877BF1"/>
    <w:rsid w:val="008812E3"/>
    <w:rsid w:val="008829D6"/>
    <w:rsid w:val="0088431F"/>
    <w:rsid w:val="0088723E"/>
    <w:rsid w:val="008932BB"/>
    <w:rsid w:val="00893AF6"/>
    <w:rsid w:val="00895013"/>
    <w:rsid w:val="00897F83"/>
    <w:rsid w:val="008A1036"/>
    <w:rsid w:val="008A2554"/>
    <w:rsid w:val="008A2B61"/>
    <w:rsid w:val="008A50B6"/>
    <w:rsid w:val="008B1FB8"/>
    <w:rsid w:val="008B2877"/>
    <w:rsid w:val="008B738B"/>
    <w:rsid w:val="008B78D2"/>
    <w:rsid w:val="008C0154"/>
    <w:rsid w:val="008C0AE4"/>
    <w:rsid w:val="008C4898"/>
    <w:rsid w:val="008D0BE5"/>
    <w:rsid w:val="008D7646"/>
    <w:rsid w:val="008E3918"/>
    <w:rsid w:val="008F05D8"/>
    <w:rsid w:val="008F35DE"/>
    <w:rsid w:val="009022C7"/>
    <w:rsid w:val="009033C8"/>
    <w:rsid w:val="009124B8"/>
    <w:rsid w:val="0091460C"/>
    <w:rsid w:val="00916522"/>
    <w:rsid w:val="009239CC"/>
    <w:rsid w:val="00924DA3"/>
    <w:rsid w:val="00935521"/>
    <w:rsid w:val="00936C51"/>
    <w:rsid w:val="0094236B"/>
    <w:rsid w:val="00946F99"/>
    <w:rsid w:val="00952CD0"/>
    <w:rsid w:val="00952F4E"/>
    <w:rsid w:val="00956262"/>
    <w:rsid w:val="00960558"/>
    <w:rsid w:val="00962EA0"/>
    <w:rsid w:val="00963EF8"/>
    <w:rsid w:val="0096695E"/>
    <w:rsid w:val="00967C16"/>
    <w:rsid w:val="009706C4"/>
    <w:rsid w:val="00983A77"/>
    <w:rsid w:val="009846B2"/>
    <w:rsid w:val="00985A89"/>
    <w:rsid w:val="00995C43"/>
    <w:rsid w:val="00997D7E"/>
    <w:rsid w:val="009A3032"/>
    <w:rsid w:val="009A52B4"/>
    <w:rsid w:val="009B1EDF"/>
    <w:rsid w:val="009B5D91"/>
    <w:rsid w:val="009B6EC1"/>
    <w:rsid w:val="009B70A2"/>
    <w:rsid w:val="009C2986"/>
    <w:rsid w:val="009C3777"/>
    <w:rsid w:val="009C7EF4"/>
    <w:rsid w:val="009D3603"/>
    <w:rsid w:val="009D5369"/>
    <w:rsid w:val="009D6150"/>
    <w:rsid w:val="009D6FF3"/>
    <w:rsid w:val="009E4180"/>
    <w:rsid w:val="009E44BC"/>
    <w:rsid w:val="009E6CC0"/>
    <w:rsid w:val="009F4355"/>
    <w:rsid w:val="009F7688"/>
    <w:rsid w:val="00A017A4"/>
    <w:rsid w:val="00A06604"/>
    <w:rsid w:val="00A176E3"/>
    <w:rsid w:val="00A17E6A"/>
    <w:rsid w:val="00A24400"/>
    <w:rsid w:val="00A258B0"/>
    <w:rsid w:val="00A27D9D"/>
    <w:rsid w:val="00A341AC"/>
    <w:rsid w:val="00A343B3"/>
    <w:rsid w:val="00A359B5"/>
    <w:rsid w:val="00A35D62"/>
    <w:rsid w:val="00A36759"/>
    <w:rsid w:val="00A44181"/>
    <w:rsid w:val="00A45EE3"/>
    <w:rsid w:val="00A52357"/>
    <w:rsid w:val="00A535A1"/>
    <w:rsid w:val="00A55C12"/>
    <w:rsid w:val="00A603E6"/>
    <w:rsid w:val="00A645EF"/>
    <w:rsid w:val="00A73650"/>
    <w:rsid w:val="00A7377E"/>
    <w:rsid w:val="00A75114"/>
    <w:rsid w:val="00A90CFA"/>
    <w:rsid w:val="00A9136D"/>
    <w:rsid w:val="00A95140"/>
    <w:rsid w:val="00A962D0"/>
    <w:rsid w:val="00AA5463"/>
    <w:rsid w:val="00AA6474"/>
    <w:rsid w:val="00AB6402"/>
    <w:rsid w:val="00AD092B"/>
    <w:rsid w:val="00AD4404"/>
    <w:rsid w:val="00AD4E13"/>
    <w:rsid w:val="00AD51AB"/>
    <w:rsid w:val="00AD6DCC"/>
    <w:rsid w:val="00AD6F8A"/>
    <w:rsid w:val="00AE043F"/>
    <w:rsid w:val="00AE2AD7"/>
    <w:rsid w:val="00AE41A6"/>
    <w:rsid w:val="00AE42F4"/>
    <w:rsid w:val="00AE56D4"/>
    <w:rsid w:val="00AE762B"/>
    <w:rsid w:val="00AF271E"/>
    <w:rsid w:val="00AF4B51"/>
    <w:rsid w:val="00AF693D"/>
    <w:rsid w:val="00B04874"/>
    <w:rsid w:val="00B04888"/>
    <w:rsid w:val="00B07787"/>
    <w:rsid w:val="00B07FF4"/>
    <w:rsid w:val="00B11DAD"/>
    <w:rsid w:val="00B21F64"/>
    <w:rsid w:val="00B2653D"/>
    <w:rsid w:val="00B3102C"/>
    <w:rsid w:val="00B379C8"/>
    <w:rsid w:val="00B42552"/>
    <w:rsid w:val="00B434BE"/>
    <w:rsid w:val="00B5205B"/>
    <w:rsid w:val="00B53085"/>
    <w:rsid w:val="00B538C8"/>
    <w:rsid w:val="00B53F23"/>
    <w:rsid w:val="00B6472A"/>
    <w:rsid w:val="00B6759D"/>
    <w:rsid w:val="00B67C89"/>
    <w:rsid w:val="00B74348"/>
    <w:rsid w:val="00B74A42"/>
    <w:rsid w:val="00B8533A"/>
    <w:rsid w:val="00B85FEE"/>
    <w:rsid w:val="00B90810"/>
    <w:rsid w:val="00B9095D"/>
    <w:rsid w:val="00B91DD1"/>
    <w:rsid w:val="00B92FC6"/>
    <w:rsid w:val="00B9365A"/>
    <w:rsid w:val="00B94513"/>
    <w:rsid w:val="00B94E3E"/>
    <w:rsid w:val="00B951B0"/>
    <w:rsid w:val="00B96303"/>
    <w:rsid w:val="00BB320A"/>
    <w:rsid w:val="00BB73F6"/>
    <w:rsid w:val="00BC2C11"/>
    <w:rsid w:val="00BC5724"/>
    <w:rsid w:val="00BD0738"/>
    <w:rsid w:val="00BD09DF"/>
    <w:rsid w:val="00BD4FF0"/>
    <w:rsid w:val="00BD61AC"/>
    <w:rsid w:val="00BE1AE0"/>
    <w:rsid w:val="00BF0137"/>
    <w:rsid w:val="00BF102D"/>
    <w:rsid w:val="00BF3F76"/>
    <w:rsid w:val="00BF6D74"/>
    <w:rsid w:val="00C075CB"/>
    <w:rsid w:val="00C12DB2"/>
    <w:rsid w:val="00C15285"/>
    <w:rsid w:val="00C1657C"/>
    <w:rsid w:val="00C26F0F"/>
    <w:rsid w:val="00C27658"/>
    <w:rsid w:val="00C301DB"/>
    <w:rsid w:val="00C319AF"/>
    <w:rsid w:val="00C33D89"/>
    <w:rsid w:val="00C33DDE"/>
    <w:rsid w:val="00C37AF6"/>
    <w:rsid w:val="00C40276"/>
    <w:rsid w:val="00C53F99"/>
    <w:rsid w:val="00C62F5A"/>
    <w:rsid w:val="00C76749"/>
    <w:rsid w:val="00C865BF"/>
    <w:rsid w:val="00C86D08"/>
    <w:rsid w:val="00C93F0C"/>
    <w:rsid w:val="00C94A5D"/>
    <w:rsid w:val="00CA06C7"/>
    <w:rsid w:val="00CA31A3"/>
    <w:rsid w:val="00CA4A16"/>
    <w:rsid w:val="00CB0982"/>
    <w:rsid w:val="00CB16C2"/>
    <w:rsid w:val="00CB5165"/>
    <w:rsid w:val="00CB53AD"/>
    <w:rsid w:val="00CB7DA1"/>
    <w:rsid w:val="00CC1FB4"/>
    <w:rsid w:val="00CC26AA"/>
    <w:rsid w:val="00CC3A6B"/>
    <w:rsid w:val="00CC3BC4"/>
    <w:rsid w:val="00CD0553"/>
    <w:rsid w:val="00CD64CD"/>
    <w:rsid w:val="00CE152F"/>
    <w:rsid w:val="00CE17C5"/>
    <w:rsid w:val="00CE46BF"/>
    <w:rsid w:val="00CE613F"/>
    <w:rsid w:val="00CE6BC9"/>
    <w:rsid w:val="00CE7DC0"/>
    <w:rsid w:val="00CF44BD"/>
    <w:rsid w:val="00CF6C2A"/>
    <w:rsid w:val="00CF7094"/>
    <w:rsid w:val="00CF7FE3"/>
    <w:rsid w:val="00D04707"/>
    <w:rsid w:val="00D05ACB"/>
    <w:rsid w:val="00D073CE"/>
    <w:rsid w:val="00D12ABC"/>
    <w:rsid w:val="00D12E74"/>
    <w:rsid w:val="00D13C26"/>
    <w:rsid w:val="00D16EC6"/>
    <w:rsid w:val="00D16FE8"/>
    <w:rsid w:val="00D1715E"/>
    <w:rsid w:val="00D21F13"/>
    <w:rsid w:val="00D251C1"/>
    <w:rsid w:val="00D30891"/>
    <w:rsid w:val="00D34C61"/>
    <w:rsid w:val="00D45F90"/>
    <w:rsid w:val="00D51DAF"/>
    <w:rsid w:val="00D56931"/>
    <w:rsid w:val="00D57E5C"/>
    <w:rsid w:val="00D57F4F"/>
    <w:rsid w:val="00D60D9C"/>
    <w:rsid w:val="00D62395"/>
    <w:rsid w:val="00D628B3"/>
    <w:rsid w:val="00D63ABE"/>
    <w:rsid w:val="00D6691C"/>
    <w:rsid w:val="00D670C5"/>
    <w:rsid w:val="00D72B64"/>
    <w:rsid w:val="00D72C80"/>
    <w:rsid w:val="00D734DA"/>
    <w:rsid w:val="00D762B2"/>
    <w:rsid w:val="00D81A22"/>
    <w:rsid w:val="00D87205"/>
    <w:rsid w:val="00D93C95"/>
    <w:rsid w:val="00D94FBF"/>
    <w:rsid w:val="00D971CD"/>
    <w:rsid w:val="00DA307F"/>
    <w:rsid w:val="00DA397D"/>
    <w:rsid w:val="00DB1174"/>
    <w:rsid w:val="00DB164D"/>
    <w:rsid w:val="00DB4A27"/>
    <w:rsid w:val="00DC02DC"/>
    <w:rsid w:val="00DC0865"/>
    <w:rsid w:val="00DD3E34"/>
    <w:rsid w:val="00DD65AA"/>
    <w:rsid w:val="00DE46ED"/>
    <w:rsid w:val="00DE712C"/>
    <w:rsid w:val="00DF0C95"/>
    <w:rsid w:val="00DF4C5D"/>
    <w:rsid w:val="00E000EF"/>
    <w:rsid w:val="00E00F43"/>
    <w:rsid w:val="00E01F31"/>
    <w:rsid w:val="00E02BB9"/>
    <w:rsid w:val="00E05A83"/>
    <w:rsid w:val="00E06B1E"/>
    <w:rsid w:val="00E12027"/>
    <w:rsid w:val="00E20CD2"/>
    <w:rsid w:val="00E253A3"/>
    <w:rsid w:val="00E26B55"/>
    <w:rsid w:val="00E3106A"/>
    <w:rsid w:val="00E33017"/>
    <w:rsid w:val="00E357CF"/>
    <w:rsid w:val="00E36C06"/>
    <w:rsid w:val="00E37327"/>
    <w:rsid w:val="00E40437"/>
    <w:rsid w:val="00E420C6"/>
    <w:rsid w:val="00E5023D"/>
    <w:rsid w:val="00E5087F"/>
    <w:rsid w:val="00E62AA0"/>
    <w:rsid w:val="00E65AAE"/>
    <w:rsid w:val="00E65D63"/>
    <w:rsid w:val="00E70459"/>
    <w:rsid w:val="00E71564"/>
    <w:rsid w:val="00E864B7"/>
    <w:rsid w:val="00E87F87"/>
    <w:rsid w:val="00EA722D"/>
    <w:rsid w:val="00EB079B"/>
    <w:rsid w:val="00EB2CB6"/>
    <w:rsid w:val="00EB35B2"/>
    <w:rsid w:val="00EB37BA"/>
    <w:rsid w:val="00EC0931"/>
    <w:rsid w:val="00EC67DF"/>
    <w:rsid w:val="00EC7CE2"/>
    <w:rsid w:val="00ED30A2"/>
    <w:rsid w:val="00EE3678"/>
    <w:rsid w:val="00EE37C2"/>
    <w:rsid w:val="00EF5A46"/>
    <w:rsid w:val="00EF5BB7"/>
    <w:rsid w:val="00F022F1"/>
    <w:rsid w:val="00F02750"/>
    <w:rsid w:val="00F11717"/>
    <w:rsid w:val="00F25671"/>
    <w:rsid w:val="00F25A67"/>
    <w:rsid w:val="00F37542"/>
    <w:rsid w:val="00F37793"/>
    <w:rsid w:val="00F43341"/>
    <w:rsid w:val="00F43E3B"/>
    <w:rsid w:val="00F5260B"/>
    <w:rsid w:val="00F56EE2"/>
    <w:rsid w:val="00F570E2"/>
    <w:rsid w:val="00F642BB"/>
    <w:rsid w:val="00F6713B"/>
    <w:rsid w:val="00F80802"/>
    <w:rsid w:val="00F85962"/>
    <w:rsid w:val="00F87423"/>
    <w:rsid w:val="00F938DD"/>
    <w:rsid w:val="00FA0CC3"/>
    <w:rsid w:val="00FA19E8"/>
    <w:rsid w:val="00FA1E8E"/>
    <w:rsid w:val="00FB41DD"/>
    <w:rsid w:val="00FC0671"/>
    <w:rsid w:val="00FC361D"/>
    <w:rsid w:val="00FC57C2"/>
    <w:rsid w:val="00FE21C6"/>
    <w:rsid w:val="00FE4C2A"/>
    <w:rsid w:val="00FE4ED8"/>
    <w:rsid w:val="00FE518F"/>
    <w:rsid w:val="00FF5E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7C"/>
    <w:pPr>
      <w:spacing w:line="288" w:lineRule="auto"/>
      <w:jc w:val="both"/>
    </w:pPr>
    <w:rPr>
      <w:sz w:val="22"/>
      <w:szCs w:val="22"/>
    </w:rPr>
  </w:style>
  <w:style w:type="paragraph" w:styleId="Heading1">
    <w:name w:val="heading 1"/>
    <w:basedOn w:val="Normal"/>
    <w:next w:val="Normal"/>
    <w:link w:val="Heading1Char"/>
    <w:qFormat/>
    <w:rsid w:val="0002767C"/>
    <w:pPr>
      <w:numPr>
        <w:numId w:val="7"/>
      </w:numPr>
      <w:ind w:left="720" w:hanging="720"/>
      <w:outlineLvl w:val="0"/>
    </w:pPr>
    <w:rPr>
      <w:kern w:val="28"/>
    </w:rPr>
  </w:style>
  <w:style w:type="paragraph" w:styleId="Heading2">
    <w:name w:val="heading 2"/>
    <w:basedOn w:val="Normal"/>
    <w:next w:val="Normal"/>
    <w:link w:val="Heading2Char"/>
    <w:qFormat/>
    <w:rsid w:val="0002767C"/>
    <w:pPr>
      <w:numPr>
        <w:ilvl w:val="1"/>
        <w:numId w:val="7"/>
      </w:numPr>
      <w:ind w:left="720" w:hanging="720"/>
      <w:outlineLvl w:val="1"/>
    </w:pPr>
  </w:style>
  <w:style w:type="paragraph" w:styleId="Heading3">
    <w:name w:val="heading 3"/>
    <w:basedOn w:val="Normal"/>
    <w:next w:val="Normal"/>
    <w:link w:val="Heading3Char"/>
    <w:qFormat/>
    <w:rsid w:val="0002767C"/>
    <w:pPr>
      <w:numPr>
        <w:ilvl w:val="2"/>
        <w:numId w:val="7"/>
      </w:numPr>
      <w:ind w:left="720" w:hanging="720"/>
      <w:outlineLvl w:val="2"/>
    </w:pPr>
  </w:style>
  <w:style w:type="paragraph" w:styleId="Heading4">
    <w:name w:val="heading 4"/>
    <w:basedOn w:val="Normal"/>
    <w:next w:val="Normal"/>
    <w:link w:val="Heading4Char"/>
    <w:qFormat/>
    <w:rsid w:val="0002767C"/>
    <w:pPr>
      <w:numPr>
        <w:ilvl w:val="3"/>
        <w:numId w:val="7"/>
      </w:numPr>
      <w:ind w:left="720" w:hanging="720"/>
      <w:outlineLvl w:val="3"/>
    </w:pPr>
  </w:style>
  <w:style w:type="paragraph" w:styleId="Heading5">
    <w:name w:val="heading 5"/>
    <w:basedOn w:val="Normal"/>
    <w:next w:val="Normal"/>
    <w:link w:val="Heading5Char"/>
    <w:qFormat/>
    <w:rsid w:val="0002767C"/>
    <w:pPr>
      <w:numPr>
        <w:ilvl w:val="4"/>
        <w:numId w:val="7"/>
      </w:numPr>
      <w:ind w:left="720" w:hanging="720"/>
      <w:outlineLvl w:val="4"/>
    </w:pPr>
  </w:style>
  <w:style w:type="paragraph" w:styleId="Heading6">
    <w:name w:val="heading 6"/>
    <w:basedOn w:val="Normal"/>
    <w:next w:val="Normal"/>
    <w:link w:val="Heading6Char"/>
    <w:qFormat/>
    <w:rsid w:val="0002767C"/>
    <w:pPr>
      <w:numPr>
        <w:ilvl w:val="5"/>
        <w:numId w:val="7"/>
      </w:numPr>
      <w:ind w:left="720" w:hanging="720"/>
      <w:outlineLvl w:val="5"/>
    </w:pPr>
  </w:style>
  <w:style w:type="paragraph" w:styleId="Heading7">
    <w:name w:val="heading 7"/>
    <w:basedOn w:val="Normal"/>
    <w:next w:val="Normal"/>
    <w:link w:val="Heading7Char"/>
    <w:qFormat/>
    <w:rsid w:val="0002767C"/>
    <w:pPr>
      <w:numPr>
        <w:ilvl w:val="6"/>
        <w:numId w:val="7"/>
      </w:numPr>
      <w:ind w:left="720" w:hanging="720"/>
      <w:outlineLvl w:val="6"/>
    </w:pPr>
  </w:style>
  <w:style w:type="paragraph" w:styleId="Heading8">
    <w:name w:val="heading 8"/>
    <w:basedOn w:val="Normal"/>
    <w:next w:val="Normal"/>
    <w:link w:val="Heading8Char"/>
    <w:qFormat/>
    <w:rsid w:val="0002767C"/>
    <w:pPr>
      <w:numPr>
        <w:ilvl w:val="7"/>
        <w:numId w:val="7"/>
      </w:numPr>
      <w:ind w:left="720" w:hanging="720"/>
      <w:outlineLvl w:val="7"/>
    </w:pPr>
  </w:style>
  <w:style w:type="paragraph" w:styleId="Heading9">
    <w:name w:val="heading 9"/>
    <w:basedOn w:val="Normal"/>
    <w:next w:val="Normal"/>
    <w:link w:val="Heading9Char"/>
    <w:qFormat/>
    <w:rsid w:val="0002767C"/>
    <w:pPr>
      <w:numPr>
        <w:ilvl w:val="8"/>
        <w:numId w:val="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F58"/>
    <w:rPr>
      <w:kern w:val="28"/>
      <w:sz w:val="22"/>
      <w:szCs w:val="22"/>
      <w:lang w:val="en-GB" w:eastAsia="en-GB"/>
    </w:rPr>
  </w:style>
  <w:style w:type="character" w:customStyle="1" w:styleId="Heading2Char">
    <w:name w:val="Heading 2 Char"/>
    <w:basedOn w:val="DefaultParagraphFont"/>
    <w:link w:val="Heading2"/>
    <w:rsid w:val="00475F58"/>
    <w:rPr>
      <w:sz w:val="22"/>
      <w:szCs w:val="22"/>
      <w:lang w:val="en-GB" w:eastAsia="en-GB"/>
    </w:rPr>
  </w:style>
  <w:style w:type="character" w:customStyle="1" w:styleId="Heading3Char">
    <w:name w:val="Heading 3 Char"/>
    <w:basedOn w:val="DefaultParagraphFont"/>
    <w:link w:val="Heading3"/>
    <w:rsid w:val="00475F58"/>
    <w:rPr>
      <w:sz w:val="22"/>
      <w:szCs w:val="22"/>
      <w:lang w:val="en-GB" w:eastAsia="en-GB"/>
    </w:rPr>
  </w:style>
  <w:style w:type="character" w:customStyle="1" w:styleId="Heading4Char">
    <w:name w:val="Heading 4 Char"/>
    <w:basedOn w:val="DefaultParagraphFont"/>
    <w:link w:val="Heading4"/>
    <w:rsid w:val="00475F58"/>
    <w:rPr>
      <w:sz w:val="22"/>
      <w:szCs w:val="22"/>
      <w:lang w:val="en-GB" w:eastAsia="en-GB"/>
    </w:rPr>
  </w:style>
  <w:style w:type="character" w:customStyle="1" w:styleId="Heading5Char">
    <w:name w:val="Heading 5 Char"/>
    <w:basedOn w:val="DefaultParagraphFont"/>
    <w:link w:val="Heading5"/>
    <w:rsid w:val="00475F58"/>
    <w:rPr>
      <w:sz w:val="22"/>
      <w:szCs w:val="22"/>
      <w:lang w:val="en-GB" w:eastAsia="en-GB"/>
    </w:rPr>
  </w:style>
  <w:style w:type="character" w:customStyle="1" w:styleId="Heading6Char">
    <w:name w:val="Heading 6 Char"/>
    <w:basedOn w:val="DefaultParagraphFont"/>
    <w:link w:val="Heading6"/>
    <w:rsid w:val="00475F58"/>
    <w:rPr>
      <w:sz w:val="22"/>
      <w:szCs w:val="22"/>
      <w:lang w:val="en-GB" w:eastAsia="en-GB"/>
    </w:rPr>
  </w:style>
  <w:style w:type="character" w:customStyle="1" w:styleId="Heading7Char">
    <w:name w:val="Heading 7 Char"/>
    <w:basedOn w:val="DefaultParagraphFont"/>
    <w:link w:val="Heading7"/>
    <w:rsid w:val="00475F58"/>
    <w:rPr>
      <w:sz w:val="22"/>
      <w:szCs w:val="22"/>
      <w:lang w:val="en-GB" w:eastAsia="en-GB"/>
    </w:rPr>
  </w:style>
  <w:style w:type="character" w:customStyle="1" w:styleId="Heading8Char">
    <w:name w:val="Heading 8 Char"/>
    <w:basedOn w:val="DefaultParagraphFont"/>
    <w:link w:val="Heading8"/>
    <w:rsid w:val="00475F58"/>
    <w:rPr>
      <w:sz w:val="22"/>
      <w:szCs w:val="22"/>
      <w:lang w:val="en-GB" w:eastAsia="en-GB"/>
    </w:rPr>
  </w:style>
  <w:style w:type="character" w:customStyle="1" w:styleId="Heading9Char">
    <w:name w:val="Heading 9 Char"/>
    <w:basedOn w:val="DefaultParagraphFont"/>
    <w:link w:val="Heading9"/>
    <w:rsid w:val="00475F58"/>
    <w:rPr>
      <w:sz w:val="22"/>
      <w:szCs w:val="22"/>
      <w:lang w:val="en-GB" w:eastAsia="en-GB"/>
    </w:rPr>
  </w:style>
  <w:style w:type="character" w:styleId="Hyperlink">
    <w:name w:val="Hyperlink"/>
    <w:basedOn w:val="DefaultParagraphFont"/>
    <w:rsid w:val="00497BC3"/>
    <w:rPr>
      <w:color w:val="0000FF"/>
      <w:u w:val="single"/>
    </w:rPr>
  </w:style>
  <w:style w:type="character" w:styleId="FollowedHyperlink">
    <w:name w:val="FollowedHyperlink"/>
    <w:basedOn w:val="DefaultParagraphFont"/>
    <w:rsid w:val="00497BC3"/>
    <w:rPr>
      <w:color w:val="800080"/>
      <w:u w:val="single"/>
    </w:rPr>
  </w:style>
  <w:style w:type="character" w:styleId="EndnoteReference">
    <w:name w:val="endnote reference"/>
    <w:basedOn w:val="DefaultParagraphFont"/>
    <w:rsid w:val="00497BC3"/>
    <w:rPr>
      <w:vertAlign w:val="superscript"/>
    </w:rPr>
  </w:style>
  <w:style w:type="character" w:styleId="FootnoteReference">
    <w:name w:val="footnote reference"/>
    <w:basedOn w:val="DefaultParagraphFont"/>
    <w:unhideWhenUsed/>
    <w:qFormat/>
    <w:rsid w:val="0002767C"/>
    <w:rPr>
      <w:sz w:val="24"/>
      <w:vertAlign w:val="superscript"/>
    </w:rPr>
  </w:style>
  <w:style w:type="paragraph" w:styleId="Footer">
    <w:name w:val="footer"/>
    <w:basedOn w:val="Normal"/>
    <w:link w:val="FooterChar"/>
    <w:qFormat/>
    <w:rsid w:val="0002767C"/>
  </w:style>
  <w:style w:type="character" w:customStyle="1" w:styleId="FooterChar">
    <w:name w:val="Footer Char"/>
    <w:basedOn w:val="DefaultParagraphFont"/>
    <w:link w:val="Footer"/>
    <w:rsid w:val="00475F58"/>
    <w:rPr>
      <w:sz w:val="22"/>
      <w:szCs w:val="22"/>
      <w:lang w:val="en-GB" w:eastAsia="en-GB"/>
    </w:rPr>
  </w:style>
  <w:style w:type="paragraph" w:styleId="FootnoteText">
    <w:name w:val="footnote text"/>
    <w:basedOn w:val="Normal"/>
    <w:link w:val="FootnoteTextChar"/>
    <w:qFormat/>
    <w:rsid w:val="0002767C"/>
    <w:pPr>
      <w:keepLines/>
      <w:spacing w:after="60" w:line="240" w:lineRule="auto"/>
      <w:ind w:left="720" w:hanging="720"/>
    </w:pPr>
    <w:rPr>
      <w:sz w:val="16"/>
    </w:rPr>
  </w:style>
  <w:style w:type="character" w:customStyle="1" w:styleId="FootnoteTextChar">
    <w:name w:val="Footnote Text Char"/>
    <w:basedOn w:val="DefaultParagraphFont"/>
    <w:link w:val="FootnoteText"/>
    <w:rsid w:val="00475F58"/>
    <w:rPr>
      <w:sz w:val="16"/>
      <w:szCs w:val="22"/>
      <w:lang w:val="en-GB" w:eastAsia="en-GB"/>
    </w:rPr>
  </w:style>
  <w:style w:type="paragraph" w:styleId="Header">
    <w:name w:val="header"/>
    <w:basedOn w:val="Normal"/>
    <w:link w:val="HeaderChar"/>
    <w:qFormat/>
    <w:rsid w:val="0002767C"/>
  </w:style>
  <w:style w:type="character" w:customStyle="1" w:styleId="HeaderChar">
    <w:name w:val="Header Char"/>
    <w:basedOn w:val="DefaultParagraphFont"/>
    <w:link w:val="Header"/>
    <w:rsid w:val="00475F58"/>
    <w:rPr>
      <w:sz w:val="22"/>
      <w:szCs w:val="22"/>
      <w:lang w:val="en-GB" w:eastAsia="en-GB"/>
    </w:rPr>
  </w:style>
  <w:style w:type="paragraph" w:customStyle="1" w:styleId="LOGO">
    <w:name w:val="LOGO"/>
    <w:basedOn w:val="Normal"/>
    <w:rsid w:val="00C53F99"/>
    <w:pPr>
      <w:jc w:val="center"/>
    </w:pPr>
    <w:rPr>
      <w:rFonts w:ascii="Arial" w:hAnsi="Arial" w:cs="Arial"/>
      <w:b/>
      <w:i/>
      <w:sz w:val="20"/>
    </w:rPr>
  </w:style>
  <w:style w:type="paragraph" w:customStyle="1" w:styleId="quotes">
    <w:name w:val="quotes"/>
    <w:basedOn w:val="Normal"/>
    <w:next w:val="Normal"/>
    <w:rsid w:val="0002767C"/>
    <w:pPr>
      <w:ind w:left="720"/>
    </w:pPr>
    <w:rPr>
      <w:i/>
    </w:rPr>
  </w:style>
  <w:style w:type="paragraph" w:customStyle="1" w:styleId="Paragraphedeliste">
    <w:name w:val="Paragraphe de liste"/>
    <w:basedOn w:val="Normal"/>
    <w:uiPriority w:val="34"/>
    <w:qFormat/>
    <w:rsid w:val="0010798C"/>
    <w:pPr>
      <w:ind w:left="720"/>
      <w:contextualSpacing/>
    </w:pPr>
  </w:style>
  <w:style w:type="paragraph" w:styleId="EndnoteText">
    <w:name w:val="endnote text"/>
    <w:basedOn w:val="Normal"/>
    <w:link w:val="EndnoteTextChar"/>
    <w:uiPriority w:val="99"/>
    <w:semiHidden/>
    <w:unhideWhenUsed/>
    <w:rsid w:val="006D115F"/>
    <w:rPr>
      <w:sz w:val="20"/>
      <w:szCs w:val="20"/>
    </w:rPr>
  </w:style>
  <w:style w:type="character" w:customStyle="1" w:styleId="EndnoteTextChar">
    <w:name w:val="Endnote Text Char"/>
    <w:basedOn w:val="DefaultParagraphFont"/>
    <w:link w:val="EndnoteText"/>
    <w:uiPriority w:val="99"/>
    <w:semiHidden/>
    <w:rsid w:val="006D115F"/>
    <w:rPr>
      <w:lang w:val="en-GB" w:eastAsia="en-GB"/>
    </w:rPr>
  </w:style>
  <w:style w:type="paragraph" w:styleId="ListParagraph">
    <w:name w:val="List Paragraph"/>
    <w:basedOn w:val="Normal"/>
    <w:uiPriority w:val="34"/>
    <w:qFormat/>
    <w:rsid w:val="008A2554"/>
    <w:pPr>
      <w:ind w:left="720"/>
      <w:contextualSpacing/>
    </w:pPr>
  </w:style>
  <w:style w:type="character" w:customStyle="1" w:styleId="Hyperlink2">
    <w:name w:val="Hyperlink.2"/>
    <w:basedOn w:val="DefaultParagraphFont"/>
    <w:rsid w:val="001A1DBD"/>
    <w:rPr>
      <w:color w:val="0000FF"/>
      <w:u w:val="single" w:color="0000FF"/>
    </w:rPr>
  </w:style>
  <w:style w:type="character" w:customStyle="1" w:styleId="Hyperlink3">
    <w:name w:val="Hyperlink.3"/>
    <w:basedOn w:val="Hyperlink"/>
    <w:rsid w:val="001A1DBD"/>
    <w:rPr>
      <w:color w:val="0000FF" w:themeColor="hyperlink"/>
      <w:u w:val="single"/>
    </w:rPr>
  </w:style>
  <w:style w:type="character" w:customStyle="1" w:styleId="Lien">
    <w:name w:val="Lien"/>
    <w:rsid w:val="00823ADF"/>
    <w:rPr>
      <w:color w:val="0000FF"/>
      <w:u w:val="single" w:color="0000FF"/>
    </w:rPr>
  </w:style>
  <w:style w:type="paragraph" w:styleId="BalloonText">
    <w:name w:val="Balloon Text"/>
    <w:basedOn w:val="Normal"/>
    <w:link w:val="BalloonTextChar"/>
    <w:uiPriority w:val="99"/>
    <w:semiHidden/>
    <w:unhideWhenUsed/>
    <w:rsid w:val="001F4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D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7C"/>
    <w:pPr>
      <w:spacing w:line="288" w:lineRule="auto"/>
      <w:jc w:val="both"/>
    </w:pPr>
    <w:rPr>
      <w:sz w:val="22"/>
      <w:szCs w:val="22"/>
    </w:rPr>
  </w:style>
  <w:style w:type="paragraph" w:styleId="Heading1">
    <w:name w:val="heading 1"/>
    <w:basedOn w:val="Normal"/>
    <w:next w:val="Normal"/>
    <w:link w:val="Heading1Char"/>
    <w:qFormat/>
    <w:rsid w:val="0002767C"/>
    <w:pPr>
      <w:numPr>
        <w:numId w:val="7"/>
      </w:numPr>
      <w:ind w:left="720" w:hanging="720"/>
      <w:outlineLvl w:val="0"/>
    </w:pPr>
    <w:rPr>
      <w:kern w:val="28"/>
    </w:rPr>
  </w:style>
  <w:style w:type="paragraph" w:styleId="Heading2">
    <w:name w:val="heading 2"/>
    <w:basedOn w:val="Normal"/>
    <w:next w:val="Normal"/>
    <w:link w:val="Heading2Char"/>
    <w:qFormat/>
    <w:rsid w:val="0002767C"/>
    <w:pPr>
      <w:numPr>
        <w:ilvl w:val="1"/>
        <w:numId w:val="7"/>
      </w:numPr>
      <w:ind w:left="720" w:hanging="720"/>
      <w:outlineLvl w:val="1"/>
    </w:pPr>
  </w:style>
  <w:style w:type="paragraph" w:styleId="Heading3">
    <w:name w:val="heading 3"/>
    <w:basedOn w:val="Normal"/>
    <w:next w:val="Normal"/>
    <w:link w:val="Heading3Char"/>
    <w:qFormat/>
    <w:rsid w:val="0002767C"/>
    <w:pPr>
      <w:numPr>
        <w:ilvl w:val="2"/>
        <w:numId w:val="7"/>
      </w:numPr>
      <w:ind w:left="720" w:hanging="720"/>
      <w:outlineLvl w:val="2"/>
    </w:pPr>
  </w:style>
  <w:style w:type="paragraph" w:styleId="Heading4">
    <w:name w:val="heading 4"/>
    <w:basedOn w:val="Normal"/>
    <w:next w:val="Normal"/>
    <w:link w:val="Heading4Char"/>
    <w:qFormat/>
    <w:rsid w:val="0002767C"/>
    <w:pPr>
      <w:numPr>
        <w:ilvl w:val="3"/>
        <w:numId w:val="7"/>
      </w:numPr>
      <w:ind w:left="720" w:hanging="720"/>
      <w:outlineLvl w:val="3"/>
    </w:pPr>
  </w:style>
  <w:style w:type="paragraph" w:styleId="Heading5">
    <w:name w:val="heading 5"/>
    <w:basedOn w:val="Normal"/>
    <w:next w:val="Normal"/>
    <w:link w:val="Heading5Char"/>
    <w:qFormat/>
    <w:rsid w:val="0002767C"/>
    <w:pPr>
      <w:numPr>
        <w:ilvl w:val="4"/>
        <w:numId w:val="7"/>
      </w:numPr>
      <w:ind w:left="720" w:hanging="720"/>
      <w:outlineLvl w:val="4"/>
    </w:pPr>
  </w:style>
  <w:style w:type="paragraph" w:styleId="Heading6">
    <w:name w:val="heading 6"/>
    <w:basedOn w:val="Normal"/>
    <w:next w:val="Normal"/>
    <w:link w:val="Heading6Char"/>
    <w:qFormat/>
    <w:rsid w:val="0002767C"/>
    <w:pPr>
      <w:numPr>
        <w:ilvl w:val="5"/>
        <w:numId w:val="7"/>
      </w:numPr>
      <w:ind w:left="720" w:hanging="720"/>
      <w:outlineLvl w:val="5"/>
    </w:pPr>
  </w:style>
  <w:style w:type="paragraph" w:styleId="Heading7">
    <w:name w:val="heading 7"/>
    <w:basedOn w:val="Normal"/>
    <w:next w:val="Normal"/>
    <w:link w:val="Heading7Char"/>
    <w:qFormat/>
    <w:rsid w:val="0002767C"/>
    <w:pPr>
      <w:numPr>
        <w:ilvl w:val="6"/>
        <w:numId w:val="7"/>
      </w:numPr>
      <w:ind w:left="720" w:hanging="720"/>
      <w:outlineLvl w:val="6"/>
    </w:pPr>
  </w:style>
  <w:style w:type="paragraph" w:styleId="Heading8">
    <w:name w:val="heading 8"/>
    <w:basedOn w:val="Normal"/>
    <w:next w:val="Normal"/>
    <w:link w:val="Heading8Char"/>
    <w:qFormat/>
    <w:rsid w:val="0002767C"/>
    <w:pPr>
      <w:numPr>
        <w:ilvl w:val="7"/>
        <w:numId w:val="7"/>
      </w:numPr>
      <w:ind w:left="720" w:hanging="720"/>
      <w:outlineLvl w:val="7"/>
    </w:pPr>
  </w:style>
  <w:style w:type="paragraph" w:styleId="Heading9">
    <w:name w:val="heading 9"/>
    <w:basedOn w:val="Normal"/>
    <w:next w:val="Normal"/>
    <w:link w:val="Heading9Char"/>
    <w:qFormat/>
    <w:rsid w:val="0002767C"/>
    <w:pPr>
      <w:numPr>
        <w:ilvl w:val="8"/>
        <w:numId w:val="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F58"/>
    <w:rPr>
      <w:kern w:val="28"/>
      <w:sz w:val="22"/>
      <w:szCs w:val="22"/>
      <w:lang w:val="en-GB" w:eastAsia="en-GB"/>
    </w:rPr>
  </w:style>
  <w:style w:type="character" w:customStyle="1" w:styleId="Heading2Char">
    <w:name w:val="Heading 2 Char"/>
    <w:basedOn w:val="DefaultParagraphFont"/>
    <w:link w:val="Heading2"/>
    <w:rsid w:val="00475F58"/>
    <w:rPr>
      <w:sz w:val="22"/>
      <w:szCs w:val="22"/>
      <w:lang w:val="en-GB" w:eastAsia="en-GB"/>
    </w:rPr>
  </w:style>
  <w:style w:type="character" w:customStyle="1" w:styleId="Heading3Char">
    <w:name w:val="Heading 3 Char"/>
    <w:basedOn w:val="DefaultParagraphFont"/>
    <w:link w:val="Heading3"/>
    <w:rsid w:val="00475F58"/>
    <w:rPr>
      <w:sz w:val="22"/>
      <w:szCs w:val="22"/>
      <w:lang w:val="en-GB" w:eastAsia="en-GB"/>
    </w:rPr>
  </w:style>
  <w:style w:type="character" w:customStyle="1" w:styleId="Heading4Char">
    <w:name w:val="Heading 4 Char"/>
    <w:basedOn w:val="DefaultParagraphFont"/>
    <w:link w:val="Heading4"/>
    <w:rsid w:val="00475F58"/>
    <w:rPr>
      <w:sz w:val="22"/>
      <w:szCs w:val="22"/>
      <w:lang w:val="en-GB" w:eastAsia="en-GB"/>
    </w:rPr>
  </w:style>
  <w:style w:type="character" w:customStyle="1" w:styleId="Heading5Char">
    <w:name w:val="Heading 5 Char"/>
    <w:basedOn w:val="DefaultParagraphFont"/>
    <w:link w:val="Heading5"/>
    <w:rsid w:val="00475F58"/>
    <w:rPr>
      <w:sz w:val="22"/>
      <w:szCs w:val="22"/>
      <w:lang w:val="en-GB" w:eastAsia="en-GB"/>
    </w:rPr>
  </w:style>
  <w:style w:type="character" w:customStyle="1" w:styleId="Heading6Char">
    <w:name w:val="Heading 6 Char"/>
    <w:basedOn w:val="DefaultParagraphFont"/>
    <w:link w:val="Heading6"/>
    <w:rsid w:val="00475F58"/>
    <w:rPr>
      <w:sz w:val="22"/>
      <w:szCs w:val="22"/>
      <w:lang w:val="en-GB" w:eastAsia="en-GB"/>
    </w:rPr>
  </w:style>
  <w:style w:type="character" w:customStyle="1" w:styleId="Heading7Char">
    <w:name w:val="Heading 7 Char"/>
    <w:basedOn w:val="DefaultParagraphFont"/>
    <w:link w:val="Heading7"/>
    <w:rsid w:val="00475F58"/>
    <w:rPr>
      <w:sz w:val="22"/>
      <w:szCs w:val="22"/>
      <w:lang w:val="en-GB" w:eastAsia="en-GB"/>
    </w:rPr>
  </w:style>
  <w:style w:type="character" w:customStyle="1" w:styleId="Heading8Char">
    <w:name w:val="Heading 8 Char"/>
    <w:basedOn w:val="DefaultParagraphFont"/>
    <w:link w:val="Heading8"/>
    <w:rsid w:val="00475F58"/>
    <w:rPr>
      <w:sz w:val="22"/>
      <w:szCs w:val="22"/>
      <w:lang w:val="en-GB" w:eastAsia="en-GB"/>
    </w:rPr>
  </w:style>
  <w:style w:type="character" w:customStyle="1" w:styleId="Heading9Char">
    <w:name w:val="Heading 9 Char"/>
    <w:basedOn w:val="DefaultParagraphFont"/>
    <w:link w:val="Heading9"/>
    <w:rsid w:val="00475F58"/>
    <w:rPr>
      <w:sz w:val="22"/>
      <w:szCs w:val="22"/>
      <w:lang w:val="en-GB" w:eastAsia="en-GB"/>
    </w:rPr>
  </w:style>
  <w:style w:type="character" w:styleId="Hyperlink">
    <w:name w:val="Hyperlink"/>
    <w:basedOn w:val="DefaultParagraphFont"/>
    <w:rsid w:val="00497BC3"/>
    <w:rPr>
      <w:color w:val="0000FF"/>
      <w:u w:val="single"/>
    </w:rPr>
  </w:style>
  <w:style w:type="character" w:styleId="FollowedHyperlink">
    <w:name w:val="FollowedHyperlink"/>
    <w:basedOn w:val="DefaultParagraphFont"/>
    <w:rsid w:val="00497BC3"/>
    <w:rPr>
      <w:color w:val="800080"/>
      <w:u w:val="single"/>
    </w:rPr>
  </w:style>
  <w:style w:type="character" w:styleId="EndnoteReference">
    <w:name w:val="endnote reference"/>
    <w:basedOn w:val="DefaultParagraphFont"/>
    <w:rsid w:val="00497BC3"/>
    <w:rPr>
      <w:vertAlign w:val="superscript"/>
    </w:rPr>
  </w:style>
  <w:style w:type="character" w:styleId="FootnoteReference">
    <w:name w:val="footnote reference"/>
    <w:basedOn w:val="DefaultParagraphFont"/>
    <w:unhideWhenUsed/>
    <w:qFormat/>
    <w:rsid w:val="0002767C"/>
    <w:rPr>
      <w:sz w:val="24"/>
      <w:vertAlign w:val="superscript"/>
    </w:rPr>
  </w:style>
  <w:style w:type="paragraph" w:styleId="Footer">
    <w:name w:val="footer"/>
    <w:basedOn w:val="Normal"/>
    <w:link w:val="FooterChar"/>
    <w:qFormat/>
    <w:rsid w:val="0002767C"/>
  </w:style>
  <w:style w:type="character" w:customStyle="1" w:styleId="FooterChar">
    <w:name w:val="Footer Char"/>
    <w:basedOn w:val="DefaultParagraphFont"/>
    <w:link w:val="Footer"/>
    <w:rsid w:val="00475F58"/>
    <w:rPr>
      <w:sz w:val="22"/>
      <w:szCs w:val="22"/>
      <w:lang w:val="en-GB" w:eastAsia="en-GB"/>
    </w:rPr>
  </w:style>
  <w:style w:type="paragraph" w:styleId="FootnoteText">
    <w:name w:val="footnote text"/>
    <w:basedOn w:val="Normal"/>
    <w:link w:val="FootnoteTextChar"/>
    <w:qFormat/>
    <w:rsid w:val="0002767C"/>
    <w:pPr>
      <w:keepLines/>
      <w:spacing w:after="60" w:line="240" w:lineRule="auto"/>
      <w:ind w:left="720" w:hanging="720"/>
    </w:pPr>
    <w:rPr>
      <w:sz w:val="16"/>
    </w:rPr>
  </w:style>
  <w:style w:type="character" w:customStyle="1" w:styleId="FootnoteTextChar">
    <w:name w:val="Footnote Text Char"/>
    <w:basedOn w:val="DefaultParagraphFont"/>
    <w:link w:val="FootnoteText"/>
    <w:rsid w:val="00475F58"/>
    <w:rPr>
      <w:sz w:val="16"/>
      <w:szCs w:val="22"/>
      <w:lang w:val="en-GB" w:eastAsia="en-GB"/>
    </w:rPr>
  </w:style>
  <w:style w:type="paragraph" w:styleId="Header">
    <w:name w:val="header"/>
    <w:basedOn w:val="Normal"/>
    <w:link w:val="HeaderChar"/>
    <w:qFormat/>
    <w:rsid w:val="0002767C"/>
  </w:style>
  <w:style w:type="character" w:customStyle="1" w:styleId="HeaderChar">
    <w:name w:val="Header Char"/>
    <w:basedOn w:val="DefaultParagraphFont"/>
    <w:link w:val="Header"/>
    <w:rsid w:val="00475F58"/>
    <w:rPr>
      <w:sz w:val="22"/>
      <w:szCs w:val="22"/>
      <w:lang w:val="en-GB" w:eastAsia="en-GB"/>
    </w:rPr>
  </w:style>
  <w:style w:type="paragraph" w:customStyle="1" w:styleId="LOGO">
    <w:name w:val="LOGO"/>
    <w:basedOn w:val="Normal"/>
    <w:rsid w:val="00C53F99"/>
    <w:pPr>
      <w:jc w:val="center"/>
    </w:pPr>
    <w:rPr>
      <w:rFonts w:ascii="Arial" w:hAnsi="Arial" w:cs="Arial"/>
      <w:b/>
      <w:i/>
      <w:sz w:val="20"/>
    </w:rPr>
  </w:style>
  <w:style w:type="paragraph" w:customStyle="1" w:styleId="quotes">
    <w:name w:val="quotes"/>
    <w:basedOn w:val="Normal"/>
    <w:next w:val="Normal"/>
    <w:rsid w:val="0002767C"/>
    <w:pPr>
      <w:ind w:left="720"/>
    </w:pPr>
    <w:rPr>
      <w:i/>
    </w:rPr>
  </w:style>
  <w:style w:type="paragraph" w:customStyle="1" w:styleId="Paragraphedeliste">
    <w:name w:val="Paragraphe de liste"/>
    <w:basedOn w:val="Normal"/>
    <w:uiPriority w:val="34"/>
    <w:qFormat/>
    <w:rsid w:val="0010798C"/>
    <w:pPr>
      <w:ind w:left="720"/>
      <w:contextualSpacing/>
    </w:pPr>
  </w:style>
  <w:style w:type="paragraph" w:styleId="EndnoteText">
    <w:name w:val="endnote text"/>
    <w:basedOn w:val="Normal"/>
    <w:link w:val="EndnoteTextChar"/>
    <w:uiPriority w:val="99"/>
    <w:semiHidden/>
    <w:unhideWhenUsed/>
    <w:rsid w:val="006D115F"/>
    <w:rPr>
      <w:sz w:val="20"/>
      <w:szCs w:val="20"/>
    </w:rPr>
  </w:style>
  <w:style w:type="character" w:customStyle="1" w:styleId="EndnoteTextChar">
    <w:name w:val="Endnote Text Char"/>
    <w:basedOn w:val="DefaultParagraphFont"/>
    <w:link w:val="EndnoteText"/>
    <w:uiPriority w:val="99"/>
    <w:semiHidden/>
    <w:rsid w:val="006D115F"/>
    <w:rPr>
      <w:lang w:val="en-GB" w:eastAsia="en-GB"/>
    </w:rPr>
  </w:style>
  <w:style w:type="paragraph" w:styleId="ListParagraph">
    <w:name w:val="List Paragraph"/>
    <w:basedOn w:val="Normal"/>
    <w:uiPriority w:val="34"/>
    <w:qFormat/>
    <w:rsid w:val="008A2554"/>
    <w:pPr>
      <w:ind w:left="720"/>
      <w:contextualSpacing/>
    </w:pPr>
  </w:style>
  <w:style w:type="character" w:customStyle="1" w:styleId="Hyperlink2">
    <w:name w:val="Hyperlink.2"/>
    <w:basedOn w:val="DefaultParagraphFont"/>
    <w:rsid w:val="001A1DBD"/>
    <w:rPr>
      <w:color w:val="0000FF"/>
      <w:u w:val="single" w:color="0000FF"/>
    </w:rPr>
  </w:style>
  <w:style w:type="character" w:customStyle="1" w:styleId="Hyperlink3">
    <w:name w:val="Hyperlink.3"/>
    <w:basedOn w:val="Hyperlink"/>
    <w:rsid w:val="001A1DBD"/>
    <w:rPr>
      <w:color w:val="0000FF" w:themeColor="hyperlink"/>
      <w:u w:val="single"/>
    </w:rPr>
  </w:style>
  <w:style w:type="character" w:customStyle="1" w:styleId="Lien">
    <w:name w:val="Lien"/>
    <w:rsid w:val="00823ADF"/>
    <w:rPr>
      <w:color w:val="0000FF"/>
      <w:u w:val="single" w:color="0000FF"/>
    </w:rPr>
  </w:style>
  <w:style w:type="paragraph" w:styleId="BalloonText">
    <w:name w:val="Balloon Text"/>
    <w:basedOn w:val="Normal"/>
    <w:link w:val="BalloonTextChar"/>
    <w:uiPriority w:val="99"/>
    <w:semiHidden/>
    <w:unhideWhenUsed/>
    <w:rsid w:val="001F4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D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150">
      <w:bodyDiv w:val="1"/>
      <w:marLeft w:val="0"/>
      <w:marRight w:val="0"/>
      <w:marTop w:val="0"/>
      <w:marBottom w:val="0"/>
      <w:divBdr>
        <w:top w:val="none" w:sz="0" w:space="0" w:color="auto"/>
        <w:left w:val="none" w:sz="0" w:space="0" w:color="auto"/>
        <w:bottom w:val="none" w:sz="0" w:space="0" w:color="auto"/>
        <w:right w:val="none" w:sz="0" w:space="0" w:color="auto"/>
      </w:divBdr>
    </w:div>
    <w:div w:id="246546879">
      <w:bodyDiv w:val="1"/>
      <w:marLeft w:val="0"/>
      <w:marRight w:val="0"/>
      <w:marTop w:val="0"/>
      <w:marBottom w:val="0"/>
      <w:divBdr>
        <w:top w:val="none" w:sz="0" w:space="0" w:color="auto"/>
        <w:left w:val="none" w:sz="0" w:space="0" w:color="auto"/>
        <w:bottom w:val="none" w:sz="0" w:space="0" w:color="auto"/>
        <w:right w:val="none" w:sz="0" w:space="0" w:color="auto"/>
      </w:divBdr>
      <w:divsChild>
        <w:div w:id="842163584">
          <w:marLeft w:val="0"/>
          <w:marRight w:val="0"/>
          <w:marTop w:val="0"/>
          <w:marBottom w:val="0"/>
          <w:divBdr>
            <w:top w:val="none" w:sz="0" w:space="0" w:color="auto"/>
            <w:left w:val="none" w:sz="0" w:space="0" w:color="auto"/>
            <w:bottom w:val="none" w:sz="0" w:space="0" w:color="auto"/>
            <w:right w:val="none" w:sz="0" w:space="0" w:color="auto"/>
          </w:divBdr>
        </w:div>
        <w:div w:id="2020814332">
          <w:marLeft w:val="0"/>
          <w:marRight w:val="0"/>
          <w:marTop w:val="0"/>
          <w:marBottom w:val="0"/>
          <w:divBdr>
            <w:top w:val="none" w:sz="0" w:space="0" w:color="auto"/>
            <w:left w:val="none" w:sz="0" w:space="0" w:color="auto"/>
            <w:bottom w:val="none" w:sz="0" w:space="0" w:color="auto"/>
            <w:right w:val="none" w:sz="0" w:space="0" w:color="auto"/>
          </w:divBdr>
        </w:div>
        <w:div w:id="921135675">
          <w:marLeft w:val="0"/>
          <w:marRight w:val="0"/>
          <w:marTop w:val="0"/>
          <w:marBottom w:val="0"/>
          <w:divBdr>
            <w:top w:val="none" w:sz="0" w:space="0" w:color="auto"/>
            <w:left w:val="none" w:sz="0" w:space="0" w:color="auto"/>
            <w:bottom w:val="none" w:sz="0" w:space="0" w:color="auto"/>
            <w:right w:val="none" w:sz="0" w:space="0" w:color="auto"/>
          </w:divBdr>
        </w:div>
        <w:div w:id="2098013582">
          <w:marLeft w:val="0"/>
          <w:marRight w:val="0"/>
          <w:marTop w:val="0"/>
          <w:marBottom w:val="0"/>
          <w:divBdr>
            <w:top w:val="none" w:sz="0" w:space="0" w:color="auto"/>
            <w:left w:val="none" w:sz="0" w:space="0" w:color="auto"/>
            <w:bottom w:val="none" w:sz="0" w:space="0" w:color="auto"/>
            <w:right w:val="none" w:sz="0" w:space="0" w:color="auto"/>
          </w:divBdr>
        </w:div>
        <w:div w:id="1017344291">
          <w:marLeft w:val="0"/>
          <w:marRight w:val="0"/>
          <w:marTop w:val="0"/>
          <w:marBottom w:val="0"/>
          <w:divBdr>
            <w:top w:val="none" w:sz="0" w:space="0" w:color="auto"/>
            <w:left w:val="none" w:sz="0" w:space="0" w:color="auto"/>
            <w:bottom w:val="none" w:sz="0" w:space="0" w:color="auto"/>
            <w:right w:val="none" w:sz="0" w:space="0" w:color="auto"/>
          </w:divBdr>
        </w:div>
        <w:div w:id="42758831">
          <w:marLeft w:val="0"/>
          <w:marRight w:val="0"/>
          <w:marTop w:val="0"/>
          <w:marBottom w:val="0"/>
          <w:divBdr>
            <w:top w:val="none" w:sz="0" w:space="0" w:color="auto"/>
            <w:left w:val="none" w:sz="0" w:space="0" w:color="auto"/>
            <w:bottom w:val="none" w:sz="0" w:space="0" w:color="auto"/>
            <w:right w:val="none" w:sz="0" w:space="0" w:color="auto"/>
          </w:divBdr>
        </w:div>
        <w:div w:id="1224371494">
          <w:marLeft w:val="0"/>
          <w:marRight w:val="0"/>
          <w:marTop w:val="0"/>
          <w:marBottom w:val="0"/>
          <w:divBdr>
            <w:top w:val="none" w:sz="0" w:space="0" w:color="auto"/>
            <w:left w:val="none" w:sz="0" w:space="0" w:color="auto"/>
            <w:bottom w:val="none" w:sz="0" w:space="0" w:color="auto"/>
            <w:right w:val="none" w:sz="0" w:space="0" w:color="auto"/>
          </w:divBdr>
        </w:div>
        <w:div w:id="1794253782">
          <w:marLeft w:val="0"/>
          <w:marRight w:val="0"/>
          <w:marTop w:val="0"/>
          <w:marBottom w:val="0"/>
          <w:divBdr>
            <w:top w:val="none" w:sz="0" w:space="0" w:color="auto"/>
            <w:left w:val="none" w:sz="0" w:space="0" w:color="auto"/>
            <w:bottom w:val="none" w:sz="0" w:space="0" w:color="auto"/>
            <w:right w:val="none" w:sz="0" w:space="0" w:color="auto"/>
          </w:divBdr>
        </w:div>
        <w:div w:id="1518077756">
          <w:marLeft w:val="0"/>
          <w:marRight w:val="0"/>
          <w:marTop w:val="0"/>
          <w:marBottom w:val="0"/>
          <w:divBdr>
            <w:top w:val="none" w:sz="0" w:space="0" w:color="auto"/>
            <w:left w:val="none" w:sz="0" w:space="0" w:color="auto"/>
            <w:bottom w:val="none" w:sz="0" w:space="0" w:color="auto"/>
            <w:right w:val="none" w:sz="0" w:space="0" w:color="auto"/>
          </w:divBdr>
        </w:div>
        <w:div w:id="433400528">
          <w:marLeft w:val="0"/>
          <w:marRight w:val="0"/>
          <w:marTop w:val="0"/>
          <w:marBottom w:val="0"/>
          <w:divBdr>
            <w:top w:val="none" w:sz="0" w:space="0" w:color="auto"/>
            <w:left w:val="none" w:sz="0" w:space="0" w:color="auto"/>
            <w:bottom w:val="none" w:sz="0" w:space="0" w:color="auto"/>
            <w:right w:val="none" w:sz="0" w:space="0" w:color="auto"/>
          </w:divBdr>
        </w:div>
        <w:div w:id="62610913">
          <w:marLeft w:val="0"/>
          <w:marRight w:val="0"/>
          <w:marTop w:val="0"/>
          <w:marBottom w:val="0"/>
          <w:divBdr>
            <w:top w:val="none" w:sz="0" w:space="0" w:color="auto"/>
            <w:left w:val="none" w:sz="0" w:space="0" w:color="auto"/>
            <w:bottom w:val="none" w:sz="0" w:space="0" w:color="auto"/>
            <w:right w:val="none" w:sz="0" w:space="0" w:color="auto"/>
          </w:divBdr>
        </w:div>
        <w:div w:id="885869059">
          <w:marLeft w:val="0"/>
          <w:marRight w:val="0"/>
          <w:marTop w:val="0"/>
          <w:marBottom w:val="0"/>
          <w:divBdr>
            <w:top w:val="none" w:sz="0" w:space="0" w:color="auto"/>
            <w:left w:val="none" w:sz="0" w:space="0" w:color="auto"/>
            <w:bottom w:val="none" w:sz="0" w:space="0" w:color="auto"/>
            <w:right w:val="none" w:sz="0" w:space="0" w:color="auto"/>
          </w:divBdr>
        </w:div>
        <w:div w:id="2031299114">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
        <w:div w:id="1992560433">
          <w:marLeft w:val="0"/>
          <w:marRight w:val="0"/>
          <w:marTop w:val="0"/>
          <w:marBottom w:val="0"/>
          <w:divBdr>
            <w:top w:val="none" w:sz="0" w:space="0" w:color="auto"/>
            <w:left w:val="none" w:sz="0" w:space="0" w:color="auto"/>
            <w:bottom w:val="none" w:sz="0" w:space="0" w:color="auto"/>
            <w:right w:val="none" w:sz="0" w:space="0" w:color="auto"/>
          </w:divBdr>
        </w:div>
        <w:div w:id="1472206741">
          <w:marLeft w:val="0"/>
          <w:marRight w:val="0"/>
          <w:marTop w:val="0"/>
          <w:marBottom w:val="0"/>
          <w:divBdr>
            <w:top w:val="none" w:sz="0" w:space="0" w:color="auto"/>
            <w:left w:val="none" w:sz="0" w:space="0" w:color="auto"/>
            <w:bottom w:val="none" w:sz="0" w:space="0" w:color="auto"/>
            <w:right w:val="none" w:sz="0" w:space="0" w:color="auto"/>
          </w:divBdr>
        </w:div>
        <w:div w:id="733554241">
          <w:marLeft w:val="0"/>
          <w:marRight w:val="0"/>
          <w:marTop w:val="0"/>
          <w:marBottom w:val="0"/>
          <w:divBdr>
            <w:top w:val="none" w:sz="0" w:space="0" w:color="auto"/>
            <w:left w:val="none" w:sz="0" w:space="0" w:color="auto"/>
            <w:bottom w:val="none" w:sz="0" w:space="0" w:color="auto"/>
            <w:right w:val="none" w:sz="0" w:space="0" w:color="auto"/>
          </w:divBdr>
        </w:div>
        <w:div w:id="426002394">
          <w:marLeft w:val="0"/>
          <w:marRight w:val="0"/>
          <w:marTop w:val="0"/>
          <w:marBottom w:val="0"/>
          <w:divBdr>
            <w:top w:val="none" w:sz="0" w:space="0" w:color="auto"/>
            <w:left w:val="none" w:sz="0" w:space="0" w:color="auto"/>
            <w:bottom w:val="none" w:sz="0" w:space="0" w:color="auto"/>
            <w:right w:val="none" w:sz="0" w:space="0" w:color="auto"/>
          </w:divBdr>
        </w:div>
        <w:div w:id="166403300">
          <w:marLeft w:val="0"/>
          <w:marRight w:val="0"/>
          <w:marTop w:val="0"/>
          <w:marBottom w:val="0"/>
          <w:divBdr>
            <w:top w:val="none" w:sz="0" w:space="0" w:color="auto"/>
            <w:left w:val="none" w:sz="0" w:space="0" w:color="auto"/>
            <w:bottom w:val="none" w:sz="0" w:space="0" w:color="auto"/>
            <w:right w:val="none" w:sz="0" w:space="0" w:color="auto"/>
          </w:divBdr>
        </w:div>
        <w:div w:id="1642878194">
          <w:marLeft w:val="0"/>
          <w:marRight w:val="0"/>
          <w:marTop w:val="0"/>
          <w:marBottom w:val="0"/>
          <w:divBdr>
            <w:top w:val="none" w:sz="0" w:space="0" w:color="auto"/>
            <w:left w:val="none" w:sz="0" w:space="0" w:color="auto"/>
            <w:bottom w:val="none" w:sz="0" w:space="0" w:color="auto"/>
            <w:right w:val="none" w:sz="0" w:space="0" w:color="auto"/>
          </w:divBdr>
        </w:div>
        <w:div w:id="1597130765">
          <w:marLeft w:val="0"/>
          <w:marRight w:val="0"/>
          <w:marTop w:val="0"/>
          <w:marBottom w:val="0"/>
          <w:divBdr>
            <w:top w:val="none" w:sz="0" w:space="0" w:color="auto"/>
            <w:left w:val="none" w:sz="0" w:space="0" w:color="auto"/>
            <w:bottom w:val="none" w:sz="0" w:space="0" w:color="auto"/>
            <w:right w:val="none" w:sz="0" w:space="0" w:color="auto"/>
          </w:divBdr>
        </w:div>
        <w:div w:id="886797185">
          <w:marLeft w:val="0"/>
          <w:marRight w:val="0"/>
          <w:marTop w:val="0"/>
          <w:marBottom w:val="0"/>
          <w:divBdr>
            <w:top w:val="none" w:sz="0" w:space="0" w:color="auto"/>
            <w:left w:val="none" w:sz="0" w:space="0" w:color="auto"/>
            <w:bottom w:val="none" w:sz="0" w:space="0" w:color="auto"/>
            <w:right w:val="none" w:sz="0" w:space="0" w:color="auto"/>
          </w:divBdr>
        </w:div>
        <w:div w:id="1018970070">
          <w:marLeft w:val="0"/>
          <w:marRight w:val="0"/>
          <w:marTop w:val="0"/>
          <w:marBottom w:val="0"/>
          <w:divBdr>
            <w:top w:val="none" w:sz="0" w:space="0" w:color="auto"/>
            <w:left w:val="none" w:sz="0" w:space="0" w:color="auto"/>
            <w:bottom w:val="none" w:sz="0" w:space="0" w:color="auto"/>
            <w:right w:val="none" w:sz="0" w:space="0" w:color="auto"/>
          </w:divBdr>
        </w:div>
        <w:div w:id="347682354">
          <w:marLeft w:val="0"/>
          <w:marRight w:val="0"/>
          <w:marTop w:val="0"/>
          <w:marBottom w:val="0"/>
          <w:divBdr>
            <w:top w:val="none" w:sz="0" w:space="0" w:color="auto"/>
            <w:left w:val="none" w:sz="0" w:space="0" w:color="auto"/>
            <w:bottom w:val="none" w:sz="0" w:space="0" w:color="auto"/>
            <w:right w:val="none" w:sz="0" w:space="0" w:color="auto"/>
          </w:divBdr>
        </w:div>
        <w:div w:id="562645116">
          <w:marLeft w:val="0"/>
          <w:marRight w:val="0"/>
          <w:marTop w:val="0"/>
          <w:marBottom w:val="0"/>
          <w:divBdr>
            <w:top w:val="none" w:sz="0" w:space="0" w:color="auto"/>
            <w:left w:val="none" w:sz="0" w:space="0" w:color="auto"/>
            <w:bottom w:val="none" w:sz="0" w:space="0" w:color="auto"/>
            <w:right w:val="none" w:sz="0" w:space="0" w:color="auto"/>
          </w:divBdr>
        </w:div>
        <w:div w:id="1595356249">
          <w:marLeft w:val="0"/>
          <w:marRight w:val="0"/>
          <w:marTop w:val="0"/>
          <w:marBottom w:val="0"/>
          <w:divBdr>
            <w:top w:val="none" w:sz="0" w:space="0" w:color="auto"/>
            <w:left w:val="none" w:sz="0" w:space="0" w:color="auto"/>
            <w:bottom w:val="none" w:sz="0" w:space="0" w:color="auto"/>
            <w:right w:val="none" w:sz="0" w:space="0" w:color="auto"/>
          </w:divBdr>
        </w:div>
        <w:div w:id="1650744649">
          <w:marLeft w:val="0"/>
          <w:marRight w:val="0"/>
          <w:marTop w:val="0"/>
          <w:marBottom w:val="0"/>
          <w:divBdr>
            <w:top w:val="none" w:sz="0" w:space="0" w:color="auto"/>
            <w:left w:val="none" w:sz="0" w:space="0" w:color="auto"/>
            <w:bottom w:val="none" w:sz="0" w:space="0" w:color="auto"/>
            <w:right w:val="none" w:sz="0" w:space="0" w:color="auto"/>
          </w:divBdr>
        </w:div>
        <w:div w:id="1868055363">
          <w:marLeft w:val="0"/>
          <w:marRight w:val="0"/>
          <w:marTop w:val="0"/>
          <w:marBottom w:val="0"/>
          <w:divBdr>
            <w:top w:val="none" w:sz="0" w:space="0" w:color="auto"/>
            <w:left w:val="none" w:sz="0" w:space="0" w:color="auto"/>
            <w:bottom w:val="none" w:sz="0" w:space="0" w:color="auto"/>
            <w:right w:val="none" w:sz="0" w:space="0" w:color="auto"/>
          </w:divBdr>
        </w:div>
        <w:div w:id="158472056">
          <w:marLeft w:val="0"/>
          <w:marRight w:val="0"/>
          <w:marTop w:val="0"/>
          <w:marBottom w:val="0"/>
          <w:divBdr>
            <w:top w:val="none" w:sz="0" w:space="0" w:color="auto"/>
            <w:left w:val="none" w:sz="0" w:space="0" w:color="auto"/>
            <w:bottom w:val="none" w:sz="0" w:space="0" w:color="auto"/>
            <w:right w:val="none" w:sz="0" w:space="0" w:color="auto"/>
          </w:divBdr>
        </w:div>
        <w:div w:id="1782148129">
          <w:marLeft w:val="0"/>
          <w:marRight w:val="0"/>
          <w:marTop w:val="0"/>
          <w:marBottom w:val="0"/>
          <w:divBdr>
            <w:top w:val="none" w:sz="0" w:space="0" w:color="auto"/>
            <w:left w:val="none" w:sz="0" w:space="0" w:color="auto"/>
            <w:bottom w:val="none" w:sz="0" w:space="0" w:color="auto"/>
            <w:right w:val="none" w:sz="0" w:space="0" w:color="auto"/>
          </w:divBdr>
        </w:div>
        <w:div w:id="1661545826">
          <w:marLeft w:val="0"/>
          <w:marRight w:val="0"/>
          <w:marTop w:val="0"/>
          <w:marBottom w:val="0"/>
          <w:divBdr>
            <w:top w:val="none" w:sz="0" w:space="0" w:color="auto"/>
            <w:left w:val="none" w:sz="0" w:space="0" w:color="auto"/>
            <w:bottom w:val="none" w:sz="0" w:space="0" w:color="auto"/>
            <w:right w:val="none" w:sz="0" w:space="0" w:color="auto"/>
          </w:divBdr>
        </w:div>
        <w:div w:id="367871931">
          <w:marLeft w:val="0"/>
          <w:marRight w:val="0"/>
          <w:marTop w:val="0"/>
          <w:marBottom w:val="0"/>
          <w:divBdr>
            <w:top w:val="none" w:sz="0" w:space="0" w:color="auto"/>
            <w:left w:val="none" w:sz="0" w:space="0" w:color="auto"/>
            <w:bottom w:val="none" w:sz="0" w:space="0" w:color="auto"/>
            <w:right w:val="none" w:sz="0" w:space="0" w:color="auto"/>
          </w:divBdr>
        </w:div>
        <w:div w:id="1840149144">
          <w:marLeft w:val="0"/>
          <w:marRight w:val="0"/>
          <w:marTop w:val="0"/>
          <w:marBottom w:val="0"/>
          <w:divBdr>
            <w:top w:val="none" w:sz="0" w:space="0" w:color="auto"/>
            <w:left w:val="none" w:sz="0" w:space="0" w:color="auto"/>
            <w:bottom w:val="none" w:sz="0" w:space="0" w:color="auto"/>
            <w:right w:val="none" w:sz="0" w:space="0" w:color="auto"/>
          </w:divBdr>
        </w:div>
        <w:div w:id="1251500028">
          <w:marLeft w:val="0"/>
          <w:marRight w:val="0"/>
          <w:marTop w:val="0"/>
          <w:marBottom w:val="0"/>
          <w:divBdr>
            <w:top w:val="none" w:sz="0" w:space="0" w:color="auto"/>
            <w:left w:val="none" w:sz="0" w:space="0" w:color="auto"/>
            <w:bottom w:val="none" w:sz="0" w:space="0" w:color="auto"/>
            <w:right w:val="none" w:sz="0" w:space="0" w:color="auto"/>
          </w:divBdr>
        </w:div>
        <w:div w:id="1520392695">
          <w:marLeft w:val="0"/>
          <w:marRight w:val="0"/>
          <w:marTop w:val="0"/>
          <w:marBottom w:val="0"/>
          <w:divBdr>
            <w:top w:val="none" w:sz="0" w:space="0" w:color="auto"/>
            <w:left w:val="none" w:sz="0" w:space="0" w:color="auto"/>
            <w:bottom w:val="none" w:sz="0" w:space="0" w:color="auto"/>
            <w:right w:val="none" w:sz="0" w:space="0" w:color="auto"/>
          </w:divBdr>
        </w:div>
        <w:div w:id="1809974642">
          <w:marLeft w:val="0"/>
          <w:marRight w:val="0"/>
          <w:marTop w:val="0"/>
          <w:marBottom w:val="0"/>
          <w:divBdr>
            <w:top w:val="none" w:sz="0" w:space="0" w:color="auto"/>
            <w:left w:val="none" w:sz="0" w:space="0" w:color="auto"/>
            <w:bottom w:val="none" w:sz="0" w:space="0" w:color="auto"/>
            <w:right w:val="none" w:sz="0" w:space="0" w:color="auto"/>
          </w:divBdr>
        </w:div>
        <w:div w:id="1793984808">
          <w:marLeft w:val="0"/>
          <w:marRight w:val="0"/>
          <w:marTop w:val="0"/>
          <w:marBottom w:val="0"/>
          <w:divBdr>
            <w:top w:val="none" w:sz="0" w:space="0" w:color="auto"/>
            <w:left w:val="none" w:sz="0" w:space="0" w:color="auto"/>
            <w:bottom w:val="none" w:sz="0" w:space="0" w:color="auto"/>
            <w:right w:val="none" w:sz="0" w:space="0" w:color="auto"/>
          </w:divBdr>
        </w:div>
        <w:div w:id="1217668510">
          <w:marLeft w:val="0"/>
          <w:marRight w:val="0"/>
          <w:marTop w:val="0"/>
          <w:marBottom w:val="0"/>
          <w:divBdr>
            <w:top w:val="none" w:sz="0" w:space="0" w:color="auto"/>
            <w:left w:val="none" w:sz="0" w:space="0" w:color="auto"/>
            <w:bottom w:val="none" w:sz="0" w:space="0" w:color="auto"/>
            <w:right w:val="none" w:sz="0" w:space="0" w:color="auto"/>
          </w:divBdr>
        </w:div>
        <w:div w:id="975991339">
          <w:marLeft w:val="0"/>
          <w:marRight w:val="0"/>
          <w:marTop w:val="0"/>
          <w:marBottom w:val="0"/>
          <w:divBdr>
            <w:top w:val="none" w:sz="0" w:space="0" w:color="auto"/>
            <w:left w:val="none" w:sz="0" w:space="0" w:color="auto"/>
            <w:bottom w:val="none" w:sz="0" w:space="0" w:color="auto"/>
            <w:right w:val="none" w:sz="0" w:space="0" w:color="auto"/>
          </w:divBdr>
        </w:div>
        <w:div w:id="19284354">
          <w:marLeft w:val="0"/>
          <w:marRight w:val="0"/>
          <w:marTop w:val="0"/>
          <w:marBottom w:val="0"/>
          <w:divBdr>
            <w:top w:val="none" w:sz="0" w:space="0" w:color="auto"/>
            <w:left w:val="none" w:sz="0" w:space="0" w:color="auto"/>
            <w:bottom w:val="none" w:sz="0" w:space="0" w:color="auto"/>
            <w:right w:val="none" w:sz="0" w:space="0" w:color="auto"/>
          </w:divBdr>
        </w:div>
        <w:div w:id="975835468">
          <w:marLeft w:val="0"/>
          <w:marRight w:val="0"/>
          <w:marTop w:val="0"/>
          <w:marBottom w:val="0"/>
          <w:divBdr>
            <w:top w:val="none" w:sz="0" w:space="0" w:color="auto"/>
            <w:left w:val="none" w:sz="0" w:space="0" w:color="auto"/>
            <w:bottom w:val="none" w:sz="0" w:space="0" w:color="auto"/>
            <w:right w:val="none" w:sz="0" w:space="0" w:color="auto"/>
          </w:divBdr>
        </w:div>
        <w:div w:id="397047630">
          <w:marLeft w:val="0"/>
          <w:marRight w:val="0"/>
          <w:marTop w:val="0"/>
          <w:marBottom w:val="0"/>
          <w:divBdr>
            <w:top w:val="none" w:sz="0" w:space="0" w:color="auto"/>
            <w:left w:val="none" w:sz="0" w:space="0" w:color="auto"/>
            <w:bottom w:val="none" w:sz="0" w:space="0" w:color="auto"/>
            <w:right w:val="none" w:sz="0" w:space="0" w:color="auto"/>
          </w:divBdr>
        </w:div>
        <w:div w:id="522597342">
          <w:marLeft w:val="0"/>
          <w:marRight w:val="0"/>
          <w:marTop w:val="0"/>
          <w:marBottom w:val="0"/>
          <w:divBdr>
            <w:top w:val="none" w:sz="0" w:space="0" w:color="auto"/>
            <w:left w:val="none" w:sz="0" w:space="0" w:color="auto"/>
            <w:bottom w:val="none" w:sz="0" w:space="0" w:color="auto"/>
            <w:right w:val="none" w:sz="0" w:space="0" w:color="auto"/>
          </w:divBdr>
        </w:div>
        <w:div w:id="1503280533">
          <w:marLeft w:val="0"/>
          <w:marRight w:val="0"/>
          <w:marTop w:val="0"/>
          <w:marBottom w:val="0"/>
          <w:divBdr>
            <w:top w:val="none" w:sz="0" w:space="0" w:color="auto"/>
            <w:left w:val="none" w:sz="0" w:space="0" w:color="auto"/>
            <w:bottom w:val="none" w:sz="0" w:space="0" w:color="auto"/>
            <w:right w:val="none" w:sz="0" w:space="0" w:color="auto"/>
          </w:divBdr>
        </w:div>
        <w:div w:id="508179293">
          <w:marLeft w:val="0"/>
          <w:marRight w:val="0"/>
          <w:marTop w:val="0"/>
          <w:marBottom w:val="0"/>
          <w:divBdr>
            <w:top w:val="none" w:sz="0" w:space="0" w:color="auto"/>
            <w:left w:val="none" w:sz="0" w:space="0" w:color="auto"/>
            <w:bottom w:val="none" w:sz="0" w:space="0" w:color="auto"/>
            <w:right w:val="none" w:sz="0" w:space="0" w:color="auto"/>
          </w:divBdr>
        </w:div>
        <w:div w:id="7829544">
          <w:marLeft w:val="0"/>
          <w:marRight w:val="0"/>
          <w:marTop w:val="0"/>
          <w:marBottom w:val="0"/>
          <w:divBdr>
            <w:top w:val="none" w:sz="0" w:space="0" w:color="auto"/>
            <w:left w:val="none" w:sz="0" w:space="0" w:color="auto"/>
            <w:bottom w:val="none" w:sz="0" w:space="0" w:color="auto"/>
            <w:right w:val="none" w:sz="0" w:space="0" w:color="auto"/>
          </w:divBdr>
        </w:div>
        <w:div w:id="918489422">
          <w:marLeft w:val="0"/>
          <w:marRight w:val="0"/>
          <w:marTop w:val="0"/>
          <w:marBottom w:val="0"/>
          <w:divBdr>
            <w:top w:val="none" w:sz="0" w:space="0" w:color="auto"/>
            <w:left w:val="none" w:sz="0" w:space="0" w:color="auto"/>
            <w:bottom w:val="none" w:sz="0" w:space="0" w:color="auto"/>
            <w:right w:val="none" w:sz="0" w:space="0" w:color="auto"/>
          </w:divBdr>
        </w:div>
        <w:div w:id="158159218">
          <w:marLeft w:val="0"/>
          <w:marRight w:val="0"/>
          <w:marTop w:val="0"/>
          <w:marBottom w:val="0"/>
          <w:divBdr>
            <w:top w:val="none" w:sz="0" w:space="0" w:color="auto"/>
            <w:left w:val="none" w:sz="0" w:space="0" w:color="auto"/>
            <w:bottom w:val="none" w:sz="0" w:space="0" w:color="auto"/>
            <w:right w:val="none" w:sz="0" w:space="0" w:color="auto"/>
          </w:divBdr>
        </w:div>
        <w:div w:id="308290042">
          <w:marLeft w:val="0"/>
          <w:marRight w:val="0"/>
          <w:marTop w:val="0"/>
          <w:marBottom w:val="0"/>
          <w:divBdr>
            <w:top w:val="none" w:sz="0" w:space="0" w:color="auto"/>
            <w:left w:val="none" w:sz="0" w:space="0" w:color="auto"/>
            <w:bottom w:val="none" w:sz="0" w:space="0" w:color="auto"/>
            <w:right w:val="none" w:sz="0" w:space="0" w:color="auto"/>
          </w:divBdr>
        </w:div>
        <w:div w:id="195776759">
          <w:marLeft w:val="0"/>
          <w:marRight w:val="0"/>
          <w:marTop w:val="0"/>
          <w:marBottom w:val="0"/>
          <w:divBdr>
            <w:top w:val="none" w:sz="0" w:space="0" w:color="auto"/>
            <w:left w:val="none" w:sz="0" w:space="0" w:color="auto"/>
            <w:bottom w:val="none" w:sz="0" w:space="0" w:color="auto"/>
            <w:right w:val="none" w:sz="0" w:space="0" w:color="auto"/>
          </w:divBdr>
        </w:div>
        <w:div w:id="803231649">
          <w:marLeft w:val="0"/>
          <w:marRight w:val="0"/>
          <w:marTop w:val="0"/>
          <w:marBottom w:val="0"/>
          <w:divBdr>
            <w:top w:val="none" w:sz="0" w:space="0" w:color="auto"/>
            <w:left w:val="none" w:sz="0" w:space="0" w:color="auto"/>
            <w:bottom w:val="none" w:sz="0" w:space="0" w:color="auto"/>
            <w:right w:val="none" w:sz="0" w:space="0" w:color="auto"/>
          </w:divBdr>
        </w:div>
        <w:div w:id="1529218951">
          <w:marLeft w:val="0"/>
          <w:marRight w:val="0"/>
          <w:marTop w:val="0"/>
          <w:marBottom w:val="0"/>
          <w:divBdr>
            <w:top w:val="none" w:sz="0" w:space="0" w:color="auto"/>
            <w:left w:val="none" w:sz="0" w:space="0" w:color="auto"/>
            <w:bottom w:val="none" w:sz="0" w:space="0" w:color="auto"/>
            <w:right w:val="none" w:sz="0" w:space="0" w:color="auto"/>
          </w:divBdr>
        </w:div>
        <w:div w:id="1370572066">
          <w:marLeft w:val="0"/>
          <w:marRight w:val="0"/>
          <w:marTop w:val="0"/>
          <w:marBottom w:val="0"/>
          <w:divBdr>
            <w:top w:val="none" w:sz="0" w:space="0" w:color="auto"/>
            <w:left w:val="none" w:sz="0" w:space="0" w:color="auto"/>
            <w:bottom w:val="none" w:sz="0" w:space="0" w:color="auto"/>
            <w:right w:val="none" w:sz="0" w:space="0" w:color="auto"/>
          </w:divBdr>
        </w:div>
        <w:div w:id="1226532619">
          <w:marLeft w:val="0"/>
          <w:marRight w:val="0"/>
          <w:marTop w:val="0"/>
          <w:marBottom w:val="0"/>
          <w:divBdr>
            <w:top w:val="none" w:sz="0" w:space="0" w:color="auto"/>
            <w:left w:val="none" w:sz="0" w:space="0" w:color="auto"/>
            <w:bottom w:val="none" w:sz="0" w:space="0" w:color="auto"/>
            <w:right w:val="none" w:sz="0" w:space="0" w:color="auto"/>
          </w:divBdr>
        </w:div>
        <w:div w:id="724059629">
          <w:marLeft w:val="0"/>
          <w:marRight w:val="0"/>
          <w:marTop w:val="0"/>
          <w:marBottom w:val="0"/>
          <w:divBdr>
            <w:top w:val="none" w:sz="0" w:space="0" w:color="auto"/>
            <w:left w:val="none" w:sz="0" w:space="0" w:color="auto"/>
            <w:bottom w:val="none" w:sz="0" w:space="0" w:color="auto"/>
            <w:right w:val="none" w:sz="0" w:space="0" w:color="auto"/>
          </w:divBdr>
        </w:div>
        <w:div w:id="1074471804">
          <w:marLeft w:val="0"/>
          <w:marRight w:val="0"/>
          <w:marTop w:val="0"/>
          <w:marBottom w:val="0"/>
          <w:divBdr>
            <w:top w:val="none" w:sz="0" w:space="0" w:color="auto"/>
            <w:left w:val="none" w:sz="0" w:space="0" w:color="auto"/>
            <w:bottom w:val="none" w:sz="0" w:space="0" w:color="auto"/>
            <w:right w:val="none" w:sz="0" w:space="0" w:color="auto"/>
          </w:divBdr>
        </w:div>
        <w:div w:id="1480927644">
          <w:marLeft w:val="0"/>
          <w:marRight w:val="0"/>
          <w:marTop w:val="0"/>
          <w:marBottom w:val="0"/>
          <w:divBdr>
            <w:top w:val="none" w:sz="0" w:space="0" w:color="auto"/>
            <w:left w:val="none" w:sz="0" w:space="0" w:color="auto"/>
            <w:bottom w:val="none" w:sz="0" w:space="0" w:color="auto"/>
            <w:right w:val="none" w:sz="0" w:space="0" w:color="auto"/>
          </w:divBdr>
        </w:div>
        <w:div w:id="1628848519">
          <w:marLeft w:val="0"/>
          <w:marRight w:val="0"/>
          <w:marTop w:val="0"/>
          <w:marBottom w:val="0"/>
          <w:divBdr>
            <w:top w:val="none" w:sz="0" w:space="0" w:color="auto"/>
            <w:left w:val="none" w:sz="0" w:space="0" w:color="auto"/>
            <w:bottom w:val="none" w:sz="0" w:space="0" w:color="auto"/>
            <w:right w:val="none" w:sz="0" w:space="0" w:color="auto"/>
          </w:divBdr>
        </w:div>
        <w:div w:id="1862547155">
          <w:marLeft w:val="0"/>
          <w:marRight w:val="0"/>
          <w:marTop w:val="0"/>
          <w:marBottom w:val="0"/>
          <w:divBdr>
            <w:top w:val="none" w:sz="0" w:space="0" w:color="auto"/>
            <w:left w:val="none" w:sz="0" w:space="0" w:color="auto"/>
            <w:bottom w:val="none" w:sz="0" w:space="0" w:color="auto"/>
            <w:right w:val="none" w:sz="0" w:space="0" w:color="auto"/>
          </w:divBdr>
        </w:div>
        <w:div w:id="1663121773">
          <w:marLeft w:val="0"/>
          <w:marRight w:val="0"/>
          <w:marTop w:val="0"/>
          <w:marBottom w:val="0"/>
          <w:divBdr>
            <w:top w:val="none" w:sz="0" w:space="0" w:color="auto"/>
            <w:left w:val="none" w:sz="0" w:space="0" w:color="auto"/>
            <w:bottom w:val="none" w:sz="0" w:space="0" w:color="auto"/>
            <w:right w:val="none" w:sz="0" w:space="0" w:color="auto"/>
          </w:divBdr>
        </w:div>
        <w:div w:id="743995212">
          <w:marLeft w:val="0"/>
          <w:marRight w:val="0"/>
          <w:marTop w:val="0"/>
          <w:marBottom w:val="0"/>
          <w:divBdr>
            <w:top w:val="none" w:sz="0" w:space="0" w:color="auto"/>
            <w:left w:val="none" w:sz="0" w:space="0" w:color="auto"/>
            <w:bottom w:val="none" w:sz="0" w:space="0" w:color="auto"/>
            <w:right w:val="none" w:sz="0" w:space="0" w:color="auto"/>
          </w:divBdr>
        </w:div>
        <w:div w:id="1182821049">
          <w:marLeft w:val="0"/>
          <w:marRight w:val="0"/>
          <w:marTop w:val="0"/>
          <w:marBottom w:val="0"/>
          <w:divBdr>
            <w:top w:val="none" w:sz="0" w:space="0" w:color="auto"/>
            <w:left w:val="none" w:sz="0" w:space="0" w:color="auto"/>
            <w:bottom w:val="none" w:sz="0" w:space="0" w:color="auto"/>
            <w:right w:val="none" w:sz="0" w:space="0" w:color="auto"/>
          </w:divBdr>
        </w:div>
        <w:div w:id="1424112616">
          <w:marLeft w:val="0"/>
          <w:marRight w:val="0"/>
          <w:marTop w:val="0"/>
          <w:marBottom w:val="0"/>
          <w:divBdr>
            <w:top w:val="none" w:sz="0" w:space="0" w:color="auto"/>
            <w:left w:val="none" w:sz="0" w:space="0" w:color="auto"/>
            <w:bottom w:val="none" w:sz="0" w:space="0" w:color="auto"/>
            <w:right w:val="none" w:sz="0" w:space="0" w:color="auto"/>
          </w:divBdr>
        </w:div>
        <w:div w:id="1613317179">
          <w:marLeft w:val="0"/>
          <w:marRight w:val="0"/>
          <w:marTop w:val="0"/>
          <w:marBottom w:val="0"/>
          <w:divBdr>
            <w:top w:val="none" w:sz="0" w:space="0" w:color="auto"/>
            <w:left w:val="none" w:sz="0" w:space="0" w:color="auto"/>
            <w:bottom w:val="none" w:sz="0" w:space="0" w:color="auto"/>
            <w:right w:val="none" w:sz="0" w:space="0" w:color="auto"/>
          </w:divBdr>
        </w:div>
        <w:div w:id="911237495">
          <w:marLeft w:val="0"/>
          <w:marRight w:val="0"/>
          <w:marTop w:val="0"/>
          <w:marBottom w:val="0"/>
          <w:divBdr>
            <w:top w:val="none" w:sz="0" w:space="0" w:color="auto"/>
            <w:left w:val="none" w:sz="0" w:space="0" w:color="auto"/>
            <w:bottom w:val="none" w:sz="0" w:space="0" w:color="auto"/>
            <w:right w:val="none" w:sz="0" w:space="0" w:color="auto"/>
          </w:divBdr>
        </w:div>
        <w:div w:id="1116412878">
          <w:marLeft w:val="0"/>
          <w:marRight w:val="0"/>
          <w:marTop w:val="0"/>
          <w:marBottom w:val="0"/>
          <w:divBdr>
            <w:top w:val="none" w:sz="0" w:space="0" w:color="auto"/>
            <w:left w:val="none" w:sz="0" w:space="0" w:color="auto"/>
            <w:bottom w:val="none" w:sz="0" w:space="0" w:color="auto"/>
            <w:right w:val="none" w:sz="0" w:space="0" w:color="auto"/>
          </w:divBdr>
        </w:div>
        <w:div w:id="1309168376">
          <w:marLeft w:val="0"/>
          <w:marRight w:val="0"/>
          <w:marTop w:val="0"/>
          <w:marBottom w:val="0"/>
          <w:divBdr>
            <w:top w:val="none" w:sz="0" w:space="0" w:color="auto"/>
            <w:left w:val="none" w:sz="0" w:space="0" w:color="auto"/>
            <w:bottom w:val="none" w:sz="0" w:space="0" w:color="auto"/>
            <w:right w:val="none" w:sz="0" w:space="0" w:color="auto"/>
          </w:divBdr>
        </w:div>
        <w:div w:id="567421441">
          <w:marLeft w:val="0"/>
          <w:marRight w:val="0"/>
          <w:marTop w:val="0"/>
          <w:marBottom w:val="0"/>
          <w:divBdr>
            <w:top w:val="none" w:sz="0" w:space="0" w:color="auto"/>
            <w:left w:val="none" w:sz="0" w:space="0" w:color="auto"/>
            <w:bottom w:val="none" w:sz="0" w:space="0" w:color="auto"/>
            <w:right w:val="none" w:sz="0" w:space="0" w:color="auto"/>
          </w:divBdr>
        </w:div>
        <w:div w:id="1786189459">
          <w:marLeft w:val="0"/>
          <w:marRight w:val="0"/>
          <w:marTop w:val="0"/>
          <w:marBottom w:val="0"/>
          <w:divBdr>
            <w:top w:val="none" w:sz="0" w:space="0" w:color="auto"/>
            <w:left w:val="none" w:sz="0" w:space="0" w:color="auto"/>
            <w:bottom w:val="none" w:sz="0" w:space="0" w:color="auto"/>
            <w:right w:val="none" w:sz="0" w:space="0" w:color="auto"/>
          </w:divBdr>
        </w:div>
      </w:divsChild>
    </w:div>
    <w:div w:id="387144035">
      <w:bodyDiv w:val="1"/>
      <w:marLeft w:val="0"/>
      <w:marRight w:val="0"/>
      <w:marTop w:val="0"/>
      <w:marBottom w:val="0"/>
      <w:divBdr>
        <w:top w:val="none" w:sz="0" w:space="0" w:color="auto"/>
        <w:left w:val="none" w:sz="0" w:space="0" w:color="auto"/>
        <w:bottom w:val="none" w:sz="0" w:space="0" w:color="auto"/>
        <w:right w:val="none" w:sz="0" w:space="0" w:color="auto"/>
      </w:divBdr>
      <w:divsChild>
        <w:div w:id="1518500166">
          <w:marLeft w:val="38"/>
          <w:marRight w:val="38"/>
          <w:marTop w:val="0"/>
          <w:marBottom w:val="0"/>
          <w:divBdr>
            <w:top w:val="none" w:sz="0" w:space="0" w:color="auto"/>
            <w:left w:val="none" w:sz="0" w:space="0" w:color="auto"/>
            <w:bottom w:val="none" w:sz="0" w:space="0" w:color="auto"/>
            <w:right w:val="none" w:sz="0" w:space="0" w:color="auto"/>
          </w:divBdr>
          <w:divsChild>
            <w:div w:id="2931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9394">
      <w:bodyDiv w:val="1"/>
      <w:marLeft w:val="0"/>
      <w:marRight w:val="0"/>
      <w:marTop w:val="0"/>
      <w:marBottom w:val="0"/>
      <w:divBdr>
        <w:top w:val="none" w:sz="0" w:space="0" w:color="auto"/>
        <w:left w:val="none" w:sz="0" w:space="0" w:color="auto"/>
        <w:bottom w:val="none" w:sz="0" w:space="0" w:color="auto"/>
        <w:right w:val="none" w:sz="0" w:space="0" w:color="auto"/>
      </w:divBdr>
    </w:div>
    <w:div w:id="7726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ib.org/infocentre/publications/all/environmental-and-social-practices-handbook.htm?lang=en" TargetMode="External"/><Relationship Id="rId13" Type="http://schemas.openxmlformats.org/officeDocument/2006/relationships/hyperlink" Target="http://eur-lex.europa.eu/LexUriServ/LexUriServ.do?uri=COM:2014:0111:FIN:en:PDF" TargetMode="External"/><Relationship Id="rId18" Type="http://schemas.openxmlformats.org/officeDocument/2006/relationships/hyperlink" Target="http://trade.ec.europa.eu/doclib/press/index.cfm?id=1296" TargetMode="External"/><Relationship Id="rId26" Type="http://schemas.openxmlformats.org/officeDocument/2006/relationships/hyperlink" Target="http://www.intracen.org/itc/a-propos-de-l-itc/Standards-Map" TargetMode="External"/><Relationship Id="rId3" Type="http://schemas.openxmlformats.org/officeDocument/2006/relationships/hyperlink" Target="http://www.eesc.europa.eu/?i=portal.en.rex-opinions.33193" TargetMode="External"/><Relationship Id="rId21" Type="http://schemas.openxmlformats.org/officeDocument/2006/relationships/hyperlink" Target="http://www.gestion-attentive.com/" TargetMode="External"/><Relationship Id="rId7" Type="http://schemas.openxmlformats.org/officeDocument/2006/relationships/hyperlink" Target="file:///C:\Users\jtho\AppData\Local\Temp\unctad.org\fr\docs\iteteb20076_fr.pdf" TargetMode="External"/><Relationship Id="rId12" Type="http://schemas.openxmlformats.org/officeDocument/2006/relationships/hyperlink" Target="http://ec.europa.eu/growth/single-market/public-procurement/modernising-rules/reform-proposals/index_en.htm" TargetMode="External"/><Relationship Id="rId17" Type="http://schemas.openxmlformats.org/officeDocument/2006/relationships/hyperlink" Target="http://trade.ec.europa.eu/doclib/docs/2013/july/tradoc_151601.pdf" TargetMode="External"/><Relationship Id="rId25" Type="http://schemas.openxmlformats.org/officeDocument/2006/relationships/hyperlink" Target="http://www.intracen.org/itc/a-propos-de-l-itc/Standards-Map/" TargetMode="External"/><Relationship Id="rId2" Type="http://schemas.openxmlformats.org/officeDocument/2006/relationships/hyperlink" Target="http://www.eesc.europa.eu/?i=portal.en.external-relations-international-trade-monitoring-korea" TargetMode="External"/><Relationship Id="rId16" Type="http://schemas.openxmlformats.org/officeDocument/2006/relationships/hyperlink" Target="http://pcnitalia.sviluppoeconomico.gov.it/en/news/item/301-report-on-responsible-business-conduct-in-the-textile-and-garment-supply-chain" TargetMode="External"/><Relationship Id="rId20" Type="http://schemas.openxmlformats.org/officeDocument/2006/relationships/hyperlink" Target="http://www.ranaplaza-arrangement.org/" TargetMode="External"/><Relationship Id="rId29" Type="http://schemas.openxmlformats.org/officeDocument/2006/relationships/hyperlink" Target="http://www.ohchr.org/Documents/Publications/GuidingPrinciplesBusinessHR_EN.pdf" TargetMode="External"/><Relationship Id="rId1" Type="http://schemas.openxmlformats.org/officeDocument/2006/relationships/hyperlink" Target="http://eur-lex.europa.eu/legal-content/EN/TXT/PDF/?uri=CELEX:22011A0514%2801%29&amp;rid=5" TargetMode="External"/><Relationship Id="rId6" Type="http://schemas.openxmlformats.org/officeDocument/2006/relationships/hyperlink" Target="https://www.unglobalcompact.org/docs/publications/LN_Report_2012.pdf" TargetMode="External"/><Relationship Id="rId11" Type="http://schemas.openxmlformats.org/officeDocument/2006/relationships/hyperlink" Target="http://ec.europa.eu/finance/accounting/non-financial_reporting/index_en.htm" TargetMode="External"/><Relationship Id="rId24" Type="http://schemas.openxmlformats.org/officeDocument/2006/relationships/hyperlink" Target="http://www.intracen.org/default.aspx" TargetMode="External"/><Relationship Id="rId32" Type="http://schemas.openxmlformats.org/officeDocument/2006/relationships/hyperlink" Target="http://ec.europa.eu/growth/industry/corporate-social-responsibility/in-practice/index_en.htm" TargetMode="External"/><Relationship Id="rId5" Type="http://schemas.openxmlformats.org/officeDocument/2006/relationships/hyperlink" Target="http://www.unglobalcompact.org.participantsandstakeholders/index.html" TargetMode="External"/><Relationship Id="rId15" Type="http://schemas.openxmlformats.org/officeDocument/2006/relationships/hyperlink" Target="http://www.tresor.economie.gouv.fr/8507_rapport-du-pcn-sur-la-mise-en-oeuvre-des-principes-directeurs-de-l-ocde-dans-la-filiere-textile-habillement" TargetMode="External"/><Relationship Id="rId23" Type="http://schemas.openxmlformats.org/officeDocument/2006/relationships/hyperlink" Target="http://www.unglobalcompact.org/Issues/supply_chain/index.html" TargetMode="External"/><Relationship Id="rId28" Type="http://schemas.openxmlformats.org/officeDocument/2006/relationships/hyperlink" Target="http://www.reportingcsr.org/home-p-1.html" TargetMode="External"/><Relationship Id="rId10" Type="http://schemas.openxmlformats.org/officeDocument/2006/relationships/hyperlink" Target="http://www.ituc-csi.org/business-accountability-for-development?lang=en" TargetMode="External"/><Relationship Id="rId19" Type="http://schemas.openxmlformats.org/officeDocument/2006/relationships/hyperlink" Target="http://www.hrw.org/" TargetMode="External"/><Relationship Id="rId31" Type="http://schemas.openxmlformats.org/officeDocument/2006/relationships/hyperlink" Target="file:///C:\Users\jtho\AppData\Local\Temp\www.unep.org\" TargetMode="External"/><Relationship Id="rId4" Type="http://schemas.openxmlformats.org/officeDocument/2006/relationships/hyperlink" Target="http://www.ilo.org/wcmsp5/groups/public/---dgreports/---inst/documents/publication/wcms_228965.pdf" TargetMode="External"/><Relationship Id="rId9" Type="http://schemas.openxmlformats.org/officeDocument/2006/relationships/hyperlink" Target="http://www.iso.org/iso/fr/home/store/catalogue_tc/catalogue_detail.htm?csnumber=63026" TargetMode="External"/><Relationship Id="rId14" Type="http://schemas.openxmlformats.org/officeDocument/2006/relationships/hyperlink" Target="http://economie.fgov.be/fr/binaries/CP_Bangladesh_20140207_FR_tcm326-242681.pdf" TargetMode="External"/><Relationship Id="rId22" Type="http://schemas.openxmlformats.org/officeDocument/2006/relationships/hyperlink" Target="http://www.fao.org/docrep/016/i2801e/i2801e.pdf" TargetMode="External"/><Relationship Id="rId27" Type="http://schemas.openxmlformats.org/officeDocument/2006/relationships/hyperlink" Target="http://orse.org/" TargetMode="External"/><Relationship Id="rId30" Type="http://schemas.openxmlformats.org/officeDocument/2006/relationships/hyperlink" Target="http://mneguidelines.oecd.org/te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SNS6YXTC77FS-3-11070</_dlc_DocId>
    <_dlc_DocIdUrl xmlns="9f264e46-9252-4f01-a3b2-4cb67eb6fc3c">
      <Url>http://dm/EESC/2015/_layouts/DocIdRedir.aspx?ID=SNS6YXTC77FS-3-11070</Url>
      <Description>SNS6YXTC77FS-3-11070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PRI</TermName>
          <TermId xmlns="http://schemas.microsoft.com/office/infopath/2007/PartnerControls">eb973a53-a9a4-4d09-9c6f-303e0532eff4</TermId>
        </TermInfo>
      </Terms>
    </DocumentType_0>
    <MeetingNumber xmlns="daefb7e8-1f47-44e3-ba48-d0d28204e5f9">147</MeetingNumber>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2015-07-10T12:00:00+00:00</ProductionDate>
    <DocumentNumber xmlns="daefb7e8-1f47-44e3-ba48-d0d28204e5f9">558</DocumentNumber>
    <FicheYear xmlns="9f264e46-9252-4f01-a3b2-4cb67eb6fc3c">2015</FicheYear>
    <DocumentVersion xmlns="9f264e46-9252-4f01-a3b2-4cb67eb6fc3c">1</DocumentVersion>
    <DossierNumber xmlns="9f264e46-9252-4f01-a3b2-4cb67eb6fc3c">443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f264e46-9252-4f01-a3b2-4cb67eb6fc3c">
      <Value>43</Value>
      <Value>41</Value>
      <Value>40</Value>
      <Value>39</Value>
      <Value>38</Value>
      <Value>37</Value>
      <Value>36</Value>
      <Value>35</Value>
      <Value>33</Value>
      <Value>216</Value>
      <Value>120</Value>
      <Value>25</Value>
      <Value>24</Value>
      <Value>22</Value>
      <Value>20</Value>
      <Value>18</Value>
      <Value>17</Value>
      <Value>16</Value>
      <Value>14</Value>
      <Value>13</Value>
      <Value>11</Value>
      <Value>10</Value>
      <Value>9</Value>
      <Value>4</Value>
      <Value>5</Value>
      <Value>48</Value>
      <Value>2</Value>
      <Value>1</Value>
      <Value>47</Value>
    </TaxCatchAll>
    <MeetingDate xmlns="9f264e46-9252-4f01-a3b2-4cb67eb6fc3c">2015-07-16T12:00:00+00:00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PICHENOT</Rapporteur>
    <DocumentYear xmlns="9f264e46-9252-4f01-a3b2-4cb67eb6fc3c">2015</DocumentYear>
    <FicheNumber xmlns="9f264e46-9252-4f01-a3b2-4cb67eb6fc3c">6681</FicheNumber>
    <DocumentPart xmlns="9f264e46-9252-4f01-a3b2-4cb67eb6fc3c">0</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c240c7b9-469b-4d95-ac60-67933f315822</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65E0-E2CB-42CC-BA94-BE7977191972}">
  <ds:schemaRefs>
    <ds:schemaRef ds:uri="http://schemas.microsoft.com/office/2006/documentManagement/types"/>
    <ds:schemaRef ds:uri="http://schemas.microsoft.com/office/2006/metadata/properties"/>
    <ds:schemaRef ds:uri="http://www.w3.org/XML/1998/namespace"/>
    <ds:schemaRef ds:uri="http://schemas.microsoft.com/sharepoint/v3/fields"/>
    <ds:schemaRef ds:uri="http://schemas.openxmlformats.org/package/2006/metadata/core-properties"/>
    <ds:schemaRef ds:uri="http://purl.org/dc/elements/1.1/"/>
    <ds:schemaRef ds:uri="http://purl.org/dc/dcmitype/"/>
    <ds:schemaRef ds:uri="http://schemas.microsoft.com/office/infopath/2007/PartnerControls"/>
    <ds:schemaRef ds:uri="daefb7e8-1f47-44e3-ba48-d0d28204e5f9"/>
    <ds:schemaRef ds:uri="9f264e46-9252-4f01-a3b2-4cb67eb6fc3c"/>
    <ds:schemaRef ds:uri="http://purl.org/dc/terms/"/>
  </ds:schemaRefs>
</ds:datastoreItem>
</file>

<file path=customXml/itemProps2.xml><?xml version="1.0" encoding="utf-8"?>
<ds:datastoreItem xmlns:ds="http://schemas.openxmlformats.org/officeDocument/2006/customXml" ds:itemID="{33193AE8-5EDF-4E57-B966-AE55951F7C20}">
  <ds:schemaRefs>
    <ds:schemaRef ds:uri="http://schemas.microsoft.com/sharepoint/events"/>
  </ds:schemaRefs>
</ds:datastoreItem>
</file>

<file path=customXml/itemProps3.xml><?xml version="1.0" encoding="utf-8"?>
<ds:datastoreItem xmlns:ds="http://schemas.openxmlformats.org/officeDocument/2006/customXml" ds:itemID="{0B6C8BD2-A4AE-4511-88BA-0446928A523A}">
  <ds:schemaRefs>
    <ds:schemaRef ds:uri="http://schemas.microsoft.com/sharepoint/v3/contenttype/forms"/>
  </ds:schemaRefs>
</ds:datastoreItem>
</file>

<file path=customXml/itemProps4.xml><?xml version="1.0" encoding="utf-8"?>
<ds:datastoreItem xmlns:ds="http://schemas.openxmlformats.org/officeDocument/2006/customXml" ds:itemID="{3E5F04FF-E4A8-445F-9870-0C05BB41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617D7-F091-4FA5-A4B3-5E89A2D9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141</TotalTime>
  <Pages>10</Pages>
  <Words>3122</Words>
  <Characters>17177</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Corporate social and societal responsibility (information report)</vt:lpstr>
      <vt:lpstr>La responsabilité sociale et sociétale des entreprises (rapport d'information)</vt:lpstr>
    </vt:vector>
  </TitlesOfParts>
  <Company>CESE-CdR</Company>
  <LinksUpToDate>false</LinksUpToDate>
  <CharactersWithSpaces>20259</CharactersWithSpaces>
  <SharedDoc>false</SharedDoc>
  <HLinks>
    <vt:vector size="144" baseType="variant">
      <vt:variant>
        <vt:i4>7405645</vt:i4>
      </vt:variant>
      <vt:variant>
        <vt:i4>66</vt:i4>
      </vt:variant>
      <vt:variant>
        <vt:i4>0</vt:i4>
      </vt:variant>
      <vt:variant>
        <vt:i4>5</vt:i4>
      </vt:variant>
      <vt:variant>
        <vt:lpwstr>http://ec.europa.eu/growth/industry/corporate-social-responsibility/in-practice/index_en.htm</vt:lpwstr>
      </vt:variant>
      <vt:variant>
        <vt:lpwstr/>
      </vt:variant>
      <vt:variant>
        <vt:i4>2949163</vt:i4>
      </vt:variant>
      <vt:variant>
        <vt:i4>63</vt:i4>
      </vt:variant>
      <vt:variant>
        <vt:i4>0</vt:i4>
      </vt:variant>
      <vt:variant>
        <vt:i4>5</vt:i4>
      </vt:variant>
      <vt:variant>
        <vt:lpwstr>http://mneguidelines.oecd.org/text/</vt:lpwstr>
      </vt:variant>
      <vt:variant>
        <vt:lpwstr/>
      </vt:variant>
      <vt:variant>
        <vt:i4>5701675</vt:i4>
      </vt:variant>
      <vt:variant>
        <vt:i4>60</vt:i4>
      </vt:variant>
      <vt:variant>
        <vt:i4>0</vt:i4>
      </vt:variant>
      <vt:variant>
        <vt:i4>5</vt:i4>
      </vt:variant>
      <vt:variant>
        <vt:lpwstr>http://www.ohchr.org/Documents/Publications/GuidingPrinciplesBusinessHR_FR.pdf</vt:lpwstr>
      </vt:variant>
      <vt:variant>
        <vt:lpwstr/>
      </vt:variant>
      <vt:variant>
        <vt:i4>2752614</vt:i4>
      </vt:variant>
      <vt:variant>
        <vt:i4>57</vt:i4>
      </vt:variant>
      <vt:variant>
        <vt:i4>0</vt:i4>
      </vt:variant>
      <vt:variant>
        <vt:i4>5</vt:i4>
      </vt:variant>
      <vt:variant>
        <vt:lpwstr>http://www.intracen.org/itc/a-propos-de-l-itc/Standards-Map</vt:lpwstr>
      </vt:variant>
      <vt:variant>
        <vt:lpwstr/>
      </vt:variant>
      <vt:variant>
        <vt:i4>131140</vt:i4>
      </vt:variant>
      <vt:variant>
        <vt:i4>54</vt:i4>
      </vt:variant>
      <vt:variant>
        <vt:i4>0</vt:i4>
      </vt:variant>
      <vt:variant>
        <vt:i4>5</vt:i4>
      </vt:variant>
      <vt:variant>
        <vt:lpwstr>http://www.intracen.org/itc/a-propos-de-l-itc/Standards-Map/</vt:lpwstr>
      </vt:variant>
      <vt:variant>
        <vt:lpwstr>sthash.2iPVKvKl.dpuf</vt:lpwstr>
      </vt:variant>
      <vt:variant>
        <vt:i4>4259913</vt:i4>
      </vt:variant>
      <vt:variant>
        <vt:i4>51</vt:i4>
      </vt:variant>
      <vt:variant>
        <vt:i4>0</vt:i4>
      </vt:variant>
      <vt:variant>
        <vt:i4>5</vt:i4>
      </vt:variant>
      <vt:variant>
        <vt:lpwstr>http://www.intracen.org/</vt:lpwstr>
      </vt:variant>
      <vt:variant>
        <vt:lpwstr/>
      </vt:variant>
      <vt:variant>
        <vt:i4>1310825</vt:i4>
      </vt:variant>
      <vt:variant>
        <vt:i4>48</vt:i4>
      </vt:variant>
      <vt:variant>
        <vt:i4>0</vt:i4>
      </vt:variant>
      <vt:variant>
        <vt:i4>5</vt:i4>
      </vt:variant>
      <vt:variant>
        <vt:lpwstr>http://www.unglobalcompact.org/Issues/supply_chain/index.html</vt:lpwstr>
      </vt:variant>
      <vt:variant>
        <vt:lpwstr/>
      </vt:variant>
      <vt:variant>
        <vt:i4>3604594</vt:i4>
      </vt:variant>
      <vt:variant>
        <vt:i4>45</vt:i4>
      </vt:variant>
      <vt:variant>
        <vt:i4>0</vt:i4>
      </vt:variant>
      <vt:variant>
        <vt:i4>5</vt:i4>
      </vt:variant>
      <vt:variant>
        <vt:lpwstr>http://www.fao.org/docrep/016/i2801f/i2801f.pdf</vt:lpwstr>
      </vt:variant>
      <vt:variant>
        <vt:lpwstr/>
      </vt:variant>
      <vt:variant>
        <vt:i4>4259921</vt:i4>
      </vt:variant>
      <vt:variant>
        <vt:i4>42</vt:i4>
      </vt:variant>
      <vt:variant>
        <vt:i4>0</vt:i4>
      </vt:variant>
      <vt:variant>
        <vt:i4>5</vt:i4>
      </vt:variant>
      <vt:variant>
        <vt:lpwstr>http://www.gestion-attentive.com/</vt:lpwstr>
      </vt:variant>
      <vt:variant>
        <vt:lpwstr/>
      </vt:variant>
      <vt:variant>
        <vt:i4>5046388</vt:i4>
      </vt:variant>
      <vt:variant>
        <vt:i4>39</vt:i4>
      </vt:variant>
      <vt:variant>
        <vt:i4>0</vt:i4>
      </vt:variant>
      <vt:variant>
        <vt:i4>5</vt:i4>
      </vt:variant>
      <vt:variant>
        <vt:lpwstr>http://trade.ec.europa.eu/doclib/docs/2013/july/tradoc_151601.pdf</vt:lpwstr>
      </vt:variant>
      <vt:variant>
        <vt:lpwstr/>
      </vt:variant>
      <vt:variant>
        <vt:i4>5505040</vt:i4>
      </vt:variant>
      <vt:variant>
        <vt:i4>36</vt:i4>
      </vt:variant>
      <vt:variant>
        <vt:i4>0</vt:i4>
      </vt:variant>
      <vt:variant>
        <vt:i4>5</vt:i4>
      </vt:variant>
      <vt:variant>
        <vt:lpwstr>http://pcnitalia.sviluppoeconomico.gov.it/en/news/item/301-report-on-responsible-business-conduct-in-the-textile-and-garment-supply-chain</vt:lpwstr>
      </vt:variant>
      <vt:variant>
        <vt:lpwstr/>
      </vt:variant>
      <vt:variant>
        <vt:i4>327727</vt:i4>
      </vt:variant>
      <vt:variant>
        <vt:i4>33</vt:i4>
      </vt:variant>
      <vt:variant>
        <vt:i4>0</vt:i4>
      </vt:variant>
      <vt:variant>
        <vt:i4>5</vt:i4>
      </vt:variant>
      <vt:variant>
        <vt:lpwstr>http://www.tresor.economie.gouv.fr/8507_rapport-du-pcn-sur-la-mise-en-oeuvre-des-principes-directeurs-de-l-ocde-dans-la-filiere-textile-habillement</vt:lpwstr>
      </vt:variant>
      <vt:variant>
        <vt:lpwstr/>
      </vt:variant>
      <vt:variant>
        <vt:i4>6750248</vt:i4>
      </vt:variant>
      <vt:variant>
        <vt:i4>30</vt:i4>
      </vt:variant>
      <vt:variant>
        <vt:i4>0</vt:i4>
      </vt:variant>
      <vt:variant>
        <vt:i4>5</vt:i4>
      </vt:variant>
      <vt:variant>
        <vt:lpwstr>http://economie.fgov.be/fr/binaries/CP_Bangladesh_20140207_FR_tcm326-242681.pdf</vt:lpwstr>
      </vt:variant>
      <vt:variant>
        <vt:lpwstr/>
      </vt:variant>
      <vt:variant>
        <vt:i4>7602238</vt:i4>
      </vt:variant>
      <vt:variant>
        <vt:i4>27</vt:i4>
      </vt:variant>
      <vt:variant>
        <vt:i4>0</vt:i4>
      </vt:variant>
      <vt:variant>
        <vt:i4>5</vt:i4>
      </vt:variant>
      <vt:variant>
        <vt:lpwstr>http://old.eur-lex.europa.eu/LexUriServ/LexUriServ.do?uri=COM:2014:0111:FIN:FR:PDF</vt:lpwstr>
      </vt:variant>
      <vt:variant>
        <vt:lpwstr/>
      </vt:variant>
      <vt:variant>
        <vt:i4>2097177</vt:i4>
      </vt:variant>
      <vt:variant>
        <vt:i4>24</vt:i4>
      </vt:variant>
      <vt:variant>
        <vt:i4>0</vt:i4>
      </vt:variant>
      <vt:variant>
        <vt:i4>5</vt:i4>
      </vt:variant>
      <vt:variant>
        <vt:lpwstr>http://ec.europa.eu/growth/single-market/public-procurement/modernising-rules/reform-proposals/index_fr.htm</vt:lpwstr>
      </vt:variant>
      <vt:variant>
        <vt:lpwstr/>
      </vt:variant>
      <vt:variant>
        <vt:i4>2949233</vt:i4>
      </vt:variant>
      <vt:variant>
        <vt:i4>21</vt:i4>
      </vt:variant>
      <vt:variant>
        <vt:i4>0</vt:i4>
      </vt:variant>
      <vt:variant>
        <vt:i4>5</vt:i4>
      </vt:variant>
      <vt:variant>
        <vt:lpwstr>http://ec.europa.eu/finance/accounting/non-financial_reporting/index_fr.htm</vt:lpwstr>
      </vt:variant>
      <vt:variant>
        <vt:lpwstr/>
      </vt:variant>
      <vt:variant>
        <vt:i4>8060967</vt:i4>
      </vt:variant>
      <vt:variant>
        <vt:i4>18</vt:i4>
      </vt:variant>
      <vt:variant>
        <vt:i4>0</vt:i4>
      </vt:variant>
      <vt:variant>
        <vt:i4>5</vt:i4>
      </vt:variant>
      <vt:variant>
        <vt:lpwstr>http://www.ituc-csi.org/business-accountability-FR?lang=fr</vt:lpwstr>
      </vt:variant>
      <vt:variant>
        <vt:lpwstr/>
      </vt:variant>
      <vt:variant>
        <vt:i4>2752558</vt:i4>
      </vt:variant>
      <vt:variant>
        <vt:i4>15</vt:i4>
      </vt:variant>
      <vt:variant>
        <vt:i4>0</vt:i4>
      </vt:variant>
      <vt:variant>
        <vt:i4>5</vt:i4>
      </vt:variant>
      <vt:variant>
        <vt:lpwstr>http://www.iso.org/iso/fr/home/store/catalogue_tc/catalogue_detail.htm?csnumber=63026</vt:lpwstr>
      </vt:variant>
      <vt:variant>
        <vt:lpwstr/>
      </vt:variant>
      <vt:variant>
        <vt:i4>3539003</vt:i4>
      </vt:variant>
      <vt:variant>
        <vt:i4>12</vt:i4>
      </vt:variant>
      <vt:variant>
        <vt:i4>0</vt:i4>
      </vt:variant>
      <vt:variant>
        <vt:i4>5</vt:i4>
      </vt:variant>
      <vt:variant>
        <vt:lpwstr>http://www.eib.org/infocentre/publications/all/environmental-and-social-practices-handbook.htm?lang=fr</vt:lpwstr>
      </vt:variant>
      <vt:variant>
        <vt:lpwstr/>
      </vt:variant>
      <vt:variant>
        <vt:i4>4915287</vt:i4>
      </vt:variant>
      <vt:variant>
        <vt:i4>9</vt:i4>
      </vt:variant>
      <vt:variant>
        <vt:i4>0</vt:i4>
      </vt:variant>
      <vt:variant>
        <vt:i4>5</vt:i4>
      </vt:variant>
      <vt:variant>
        <vt:lpwstr>http://www.unglobalcompact.org.participantsandstakeholders/index.html</vt:lpwstr>
      </vt:variant>
      <vt:variant>
        <vt:lpwstr/>
      </vt:variant>
      <vt:variant>
        <vt:i4>4653084</vt:i4>
      </vt:variant>
      <vt:variant>
        <vt:i4>6</vt:i4>
      </vt:variant>
      <vt:variant>
        <vt:i4>0</vt:i4>
      </vt:variant>
      <vt:variant>
        <vt:i4>5</vt:i4>
      </vt:variant>
      <vt:variant>
        <vt:lpwstr>http://www.eesc.europa.eu/?i=portal.en.rex-opinions.33193</vt:lpwstr>
      </vt:variant>
      <vt:variant>
        <vt:lpwstr/>
      </vt:variant>
      <vt:variant>
        <vt:i4>524314</vt:i4>
      </vt:variant>
      <vt:variant>
        <vt:i4>3</vt:i4>
      </vt:variant>
      <vt:variant>
        <vt:i4>0</vt:i4>
      </vt:variant>
      <vt:variant>
        <vt:i4>5</vt:i4>
      </vt:variant>
      <vt:variant>
        <vt:lpwstr>http://eur-lex.europa.eu/legal-content/FR/TXT/PDF/?uri=CELEX:22011A0514(01)&amp;rid=5</vt:lpwstr>
      </vt:variant>
      <vt:variant>
        <vt:lpwstr/>
      </vt:variant>
      <vt:variant>
        <vt:i4>5242989</vt:i4>
      </vt:variant>
      <vt:variant>
        <vt:i4>0</vt:i4>
      </vt:variant>
      <vt:variant>
        <vt:i4>0</vt:i4>
      </vt:variant>
      <vt:variant>
        <vt:i4>5</vt:i4>
      </vt:variant>
      <vt:variant>
        <vt:lpwstr>http://www.ilo.org/wcmsp5/groups/public/@ed_protect/.../wcms_112581.pdf</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and societal responsibility (information report)</dc:title>
  <dc:subject>Draft information report</dc:subject>
  <dc:creator>Magdalena Ruda</dc:creator>
  <cp:keywords>EESC-2015-00558-00-01-PRI-TRA-EN</cp:keywords>
  <dc:description>Rapporteur: PICHENOT_x000d_
Original language: FR_x000d_
Date of document: 10/07/2015_x000d_
Date of meeting: 16/07/2015_x000d_
External documents: -_x000d_
Administrator responsible: Ruda Magdalena, telephone: + 2 546 9286_x000d_
_x000d_
Abstract:</dc:description>
  <cp:lastModifiedBy>Magdalena Ruda</cp:lastModifiedBy>
  <cp:revision>12</cp:revision>
  <cp:lastPrinted>2015-07-10T14:19:00Z</cp:lastPrinted>
  <dcterms:created xsi:type="dcterms:W3CDTF">2015-07-22T11:06:00Z</dcterms:created>
  <dcterms:modified xsi:type="dcterms:W3CDTF">2015-08-27T16:04:00Z</dcterms:modified>
  <cp:category>REX/443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24/06/2015, 05/06/2015, 15/04/2015, 13/04/2015, 13/04/2015, 24/02/2015</vt:lpwstr>
  </property>
  <property fmtid="{D5CDD505-2E9C-101B-9397-08002B2CF9AE}" pid="4" name="Pref_Time">
    <vt:lpwstr>11:11:42, 11/52/24, 10/03/12, 16/38/25, 11/52/59, 17:32:20</vt:lpwstr>
  </property>
  <property fmtid="{D5CDD505-2E9C-101B-9397-08002B2CF9AE}" pid="5" name="Pref_User">
    <vt:lpwstr>dtai, amett, dtai, amett, mkop, amett</vt:lpwstr>
  </property>
  <property fmtid="{D5CDD505-2E9C-101B-9397-08002B2CF9AE}" pid="6" name="Pref_FileName">
    <vt:lpwstr>EESC-2015-00558-00-01-PRI-TRA-FR-CRR.docx, EESC-2015-00558-00-00-PRI-TRA-FR-CRR.docx, EESC-2015-00558-00-01-APRI-TRA-FR-CRR.docx, EESC-2015-00558-00-00-APRI-ORI.docx, EESC-2015-00558-00-00-APRI-TRA-FR-CRR.docx, EESC-2015-00558-00-00-DT-TRA-FR-CRR.docx</vt:lpwstr>
  </property>
  <property fmtid="{D5CDD505-2E9C-101B-9397-08002B2CF9AE}" pid="7" name="StyleCheckSum">
    <vt:lpwstr>48967_C38365_P303_L85</vt:lpwstr>
  </property>
  <property fmtid="{D5CDD505-2E9C-101B-9397-08002B2CF9AE}" pid="8" name="ContentTypeId">
    <vt:lpwstr>0x010100EA97B91038054C99906057A708A1480A00BD5EE53CA4B49C49ACBE99A76B489250</vt:lpwstr>
  </property>
  <property fmtid="{D5CDD505-2E9C-101B-9397-08002B2CF9AE}" pid="9" name="_dlc_DocIdItemGuid">
    <vt:lpwstr>14cc5180-ca33-42f9-b165-9d62c9ddd160</vt:lpwstr>
  </property>
  <property fmtid="{D5CDD505-2E9C-101B-9397-08002B2CF9AE}" pid="10" name="AvailableTranslations">
    <vt:lpwstr>10;#LT|a7ff5ce7-6123-4f68-865a-a57c31810414;#17;#ES|e7a6b05b-ae16-40c8-add9-68b64b03aeba;#40;#MT|7df99101-6854-4a26-b53a-b88c0da02c26;#16;#PL|1e03da61-4678-4e07-b136-b5024ca9197b;#36;#FI|87606a43-d45f-42d6-b8c9-e1a3457db5b7;#18;#SV|c2ed69e7-a339-43d7-8f22</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4;#FR|d2afafd3-4c81-4f60-8f52-ee33f2f54ff3</vt:lpwstr>
  </property>
  <property fmtid="{D5CDD505-2E9C-101B-9397-08002B2CF9AE}" pid="15" name="MeetingName">
    <vt:lpwstr>47;#REX|c240c7b9-469b-4d95-ac60-67933f315822</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216;#PRI|eb973a53-a9a4-4d09-9c6f-303e0532eff4</vt:lpwstr>
  </property>
  <property fmtid="{D5CDD505-2E9C-101B-9397-08002B2CF9AE}" pid="19" name="DocumentLanguage">
    <vt:lpwstr>9;#EN|f2175f21-25d7-44a3-96da-d6a61b075e1b</vt:lpwstr>
  </property>
  <property fmtid="{D5CDD505-2E9C-101B-9397-08002B2CF9AE}" pid="20" name="_dlc_DocId">
    <vt:lpwstr>SNS6YXTC77FS-3-6924</vt:lpwstr>
  </property>
  <property fmtid="{D5CDD505-2E9C-101B-9397-08002B2CF9AE}" pid="21" name="_dlc_DocIdUrl">
    <vt:lpwstr>http://dm/EESC/2015/_layouts/DocIdRedir.aspx?ID=SNS6YXTC77FS-3-6924, SNS6YXTC77FS-3-6924</vt:lpwstr>
  </property>
  <property fmtid="{D5CDD505-2E9C-101B-9397-08002B2CF9AE}" pid="22" name="DocumentType_0">
    <vt:lpwstr>APRI|2870b729-c736-44b8-a8a2-918115c7bfcc</vt:lpwstr>
  </property>
  <property fmtid="{D5CDD505-2E9C-101B-9397-08002B2CF9AE}" pid="23" name="DossierName_0">
    <vt:lpwstr>REX|6820eaf5-116e-436b-ad9c-156f8a94c2a1</vt:lpwstr>
  </property>
  <property fmtid="{D5CDD505-2E9C-101B-9397-08002B2CF9AE}" pid="24" name="DocumentSource_0">
    <vt:lpwstr>EESC|422833ec-8d7e-4e65-8e4e-8bed07ffb729</vt:lpwstr>
  </property>
  <property fmtid="{D5CDD505-2E9C-101B-9397-08002B2CF9AE}" pid="25" name="Confidentiality_0">
    <vt:lpwstr>Unrestricted|826e22d7-d029-4ec0-a450-0c28ff673572</vt:lpwstr>
  </property>
  <property fmtid="{D5CDD505-2E9C-101B-9397-08002B2CF9AE}" pid="26" name="MeetingName_0">
    <vt:lpwstr>REX/443|bf4ab647-4529-44af-8190-8e171103b34b</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DocumentLanguage_0">
    <vt:lpwstr>FR|d2afafd3-4c81-4f60-8f52-ee33f2f54ff3</vt:lpwstr>
  </property>
  <property fmtid="{D5CDD505-2E9C-101B-9397-08002B2CF9AE}" pid="30" name="TaxCatchAll">
    <vt:lpwstr>130;#REX/443|bf4ab647-4529-44af-8190-8e171103b34b;#120;#Final|ea5e6674-7b27-4bac-b091-73adbb394efe;#163;#APRI|2870b729-c736-44b8-a8a2-918115c7bfcc;#5;#Unrestricted|826e22d7-d029-4ec0-a450-0c28ff673572;#48;#REX|6820eaf5-116e-436b-ad9c-156f8a94c2a1;#4;#FR|d</vt:lpwstr>
  </property>
  <property fmtid="{D5CDD505-2E9C-101B-9397-08002B2CF9AE}" pid="31" name="AvailableTranslations_0">
    <vt:lpwstr>FR|d2afafd3-4c81-4f60-8f52-ee33f2f54ff3</vt:lpwstr>
  </property>
  <property fmtid="{D5CDD505-2E9C-101B-9397-08002B2CF9AE}" pid="32" name="VersionStatus_0">
    <vt:lpwstr>Final|ea5e6674-7b27-4bac-b091-73adbb394efe</vt:lpwstr>
  </property>
  <property fmtid="{D5CDD505-2E9C-101B-9397-08002B2CF9AE}" pid="33" name="ProductionDate">
    <vt:filetime>2015-04-15T12:00:00Z</vt:filetime>
  </property>
  <property fmtid="{D5CDD505-2E9C-101B-9397-08002B2CF9AE}" pid="34" name="DocumentNumber">
    <vt:lpwstr>558</vt:lpwstr>
  </property>
  <property fmtid="{D5CDD505-2E9C-101B-9397-08002B2CF9AE}" pid="35" name="FicheYear">
    <vt:lpwstr>2015</vt:lpwstr>
  </property>
  <property fmtid="{D5CDD505-2E9C-101B-9397-08002B2CF9AE}" pid="36" name="DocumentVersion">
    <vt:lpwstr>1</vt:lpwstr>
  </property>
  <property fmtid="{D5CDD505-2E9C-101B-9397-08002B2CF9AE}" pid="37" name="DossierNumber">
    <vt:lpwstr>443</vt:lpwstr>
  </property>
  <property fmtid="{D5CDD505-2E9C-101B-9397-08002B2CF9AE}" pid="38" name="MeetingDate">
    <vt:filetime>2015-04-29T12:00:00Z</vt:filetime>
  </property>
  <property fmtid="{D5CDD505-2E9C-101B-9397-08002B2CF9AE}" pid="39" name="Rapporteur">
    <vt:lpwstr>PICHENOT</vt:lpwstr>
  </property>
  <property fmtid="{D5CDD505-2E9C-101B-9397-08002B2CF9AE}" pid="40" name="DocumentYear">
    <vt:lpwstr>2015</vt:lpwstr>
  </property>
  <property fmtid="{D5CDD505-2E9C-101B-9397-08002B2CF9AE}" pid="41" name="FicheNumber">
    <vt:lpwstr>3811</vt:lpwstr>
  </property>
  <property fmtid="{D5CDD505-2E9C-101B-9397-08002B2CF9AE}" pid="42" name="DocumentPart">
    <vt:lpwstr>0</vt:lpwstr>
  </property>
  <property fmtid="{D5CDD505-2E9C-101B-9397-08002B2CF9AE}" pid="43" name="RequestingService">
    <vt:lpwstr>Relations extérieures</vt:lpwstr>
  </property>
</Properties>
</file>