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76" w:rsidRPr="00B0434A" w:rsidRDefault="009B545A" w:rsidP="000A76B9">
      <w:pPr>
        <w:jc w:val="center"/>
      </w:pPr>
      <w:r w:rsidRPr="00B0434A">
        <w:rPr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E1EFF36" wp14:editId="1631A1CC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45A" w:rsidRPr="009B545A" w:rsidRDefault="009B545A" w:rsidP="009B54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left:0;text-align:left;margin-left:532.9pt;margin-top:793.7pt;width:51pt;height:31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n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I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BooHcntQIA&#10;ALgFAAAOAAAAAAAAAAAAAAAAAC4CAABkcnMvZTJvRG9jLnhtbFBLAQItABQABgAIAAAAIQCBA6l8&#10;4QAAAA8BAAAPAAAAAAAAAAAAAAAAAA8FAABkcnMvZG93bnJldi54bWxQSwUGAAAAAAQABADzAAAA&#10;HQYAAAAA&#10;">
                <v:textbox>
                  <w:txbxContent>
                    <w:p w:rsidRPr="009B545A" w:rsidR="009B545A" w:rsidP="009B545A" w:rsidRDefault="009B545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  <w:r w:rsidRPr="00B0434A">
        <w:rPr>
          <w:lang w:eastAsia="en-GB" w:bidi="ar-SA"/>
        </w:rPr>
        <w:drawing>
          <wp:inline distT="0" distB="0" distL="0" distR="0" wp14:anchorId="0918C729" wp14:editId="169D1E47">
            <wp:extent cx="8763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76" w:rsidRPr="00B0434A" w:rsidRDefault="00E01876" w:rsidP="000A76B9">
      <w:pPr>
        <w:jc w:val="center"/>
        <w:rPr>
          <w:b/>
          <w:i/>
        </w:rPr>
      </w:pPr>
      <w:r w:rsidRPr="00B0434A">
        <w:rPr>
          <w:rFonts w:ascii="Arial" w:hAnsi="Arial"/>
          <w:b/>
          <w:i/>
          <w:sz w:val="20"/>
        </w:rPr>
        <w:t>Kumitat Ekonomiku u Soċjali Ewropew</w:t>
      </w:r>
    </w:p>
    <w:p w:rsidR="00E01876" w:rsidRPr="00B0434A" w:rsidRDefault="00E01876" w:rsidP="000A76B9"/>
    <w:p w:rsidR="00E01876" w:rsidRPr="00B0434A" w:rsidRDefault="00E01876" w:rsidP="000A76B9"/>
    <w:p w:rsidR="00E01876" w:rsidRPr="00B0434A" w:rsidRDefault="008E7E04" w:rsidP="000A76B9">
      <w:pPr>
        <w:ind w:left="-189"/>
        <w:jc w:val="right"/>
        <w:rPr>
          <w:b/>
        </w:rPr>
      </w:pPr>
      <w:r w:rsidRPr="00B0434A">
        <w:t>Brussell, 6 ta' Lulju 2017</w:t>
      </w:r>
    </w:p>
    <w:p w:rsidR="00E01876" w:rsidRPr="00B0434A" w:rsidRDefault="00E01876" w:rsidP="000A76B9"/>
    <w:p w:rsidR="00E01876" w:rsidRPr="00B0434A" w:rsidRDefault="00E01876" w:rsidP="000A76B9"/>
    <w:p w:rsidR="00E01876" w:rsidRPr="00B0434A" w:rsidRDefault="00E01876" w:rsidP="000A76B9"/>
    <w:p w:rsidR="00E01876" w:rsidRPr="00B0434A" w:rsidRDefault="00E01876" w:rsidP="000A76B9">
      <w:pPr>
        <w:jc w:val="center"/>
        <w:rPr>
          <w:b/>
        </w:rPr>
      </w:pPr>
      <w:r w:rsidRPr="00B0434A">
        <w:rPr>
          <w:b/>
        </w:rPr>
        <w:t>RIŻOLUZZJONI</w:t>
      </w:r>
      <w:r w:rsidRPr="00B0434A">
        <w:br/>
        <w:t>dwar</w:t>
      </w:r>
      <w:r w:rsidRPr="00B0434A">
        <w:br/>
      </w:r>
      <w:r w:rsidRPr="00B0434A">
        <w:rPr>
          <w:b/>
        </w:rPr>
        <w:t>Il-White Paper tal-Kummissjoni</w:t>
      </w:r>
      <w:r w:rsidR="00E51DD2" w:rsidRPr="00B0434A">
        <w:rPr>
          <w:b/>
        </w:rPr>
        <w:t xml:space="preserve"> </w:t>
      </w:r>
      <w:r w:rsidRPr="00B0434A">
        <w:rPr>
          <w:b/>
        </w:rPr>
        <w:t>dwar il-Ġejjieni tal-Ewropa u lil hinn</w:t>
      </w:r>
    </w:p>
    <w:p w:rsidR="00E01876" w:rsidRPr="00B0434A" w:rsidRDefault="00E01876" w:rsidP="000A76B9">
      <w:pPr>
        <w:jc w:val="center"/>
      </w:pPr>
      <w:r w:rsidRPr="00B0434A">
        <w:t>_____________</w:t>
      </w:r>
    </w:p>
    <w:p w:rsidR="00E01876" w:rsidRPr="00B0434A" w:rsidRDefault="00E01876" w:rsidP="000A76B9"/>
    <w:p w:rsidR="00E01876" w:rsidRPr="00B0434A" w:rsidRDefault="00E01876" w:rsidP="000A76B9"/>
    <w:p w:rsidR="00E01876" w:rsidRPr="00B0434A" w:rsidRDefault="00E01876" w:rsidP="000A76B9">
      <w:pPr>
        <w:sectPr w:rsidR="00E01876" w:rsidRPr="00B0434A" w:rsidSect="009B545A">
          <w:footerReference w:type="default" r:id="rId14"/>
          <w:pgSz w:w="11907" w:h="1683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="00C10895" w:rsidRPr="00B0434A" w:rsidRDefault="00C10895" w:rsidP="000A76B9">
      <w:pPr>
        <w:jc w:val="center"/>
        <w:outlineLvl w:val="0"/>
        <w:rPr>
          <w:b/>
          <w:i/>
          <w:sz w:val="24"/>
        </w:rPr>
      </w:pPr>
      <w:bookmarkStart w:id="0" w:name="_GoBack"/>
      <w:bookmarkEnd w:id="0"/>
      <w:r w:rsidRPr="00B0434A">
        <w:rPr>
          <w:b/>
          <w:i/>
          <w:sz w:val="24"/>
        </w:rPr>
        <w:lastRenderedPageBreak/>
        <w:t>Lejn viżjoni komuni</w:t>
      </w:r>
    </w:p>
    <w:p w:rsidR="00C10895" w:rsidRPr="00B0434A" w:rsidRDefault="002516D5" w:rsidP="000A76B9">
      <w:r w:rsidRPr="00B0434A">
        <w:rPr>
          <w:sz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49F4DFB" wp14:editId="0E7F54E7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6D5" w:rsidRPr="009B545A" w:rsidRDefault="002516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xmlns:o="urn:schemas-microsoft-com:office:office" xmlns:v="urn:schemas-microsoft-com:vml" id="Text Box 21" style="position:absolute;left:0;text-align:left;margin-left:533pt;margin-top:793.8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YAuQIAAME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">
                <v:textbox>
                  <w:txbxContent>
                    <w:p w:rsidRPr="009B545A" w:rsidR="002516D5" w:rsidRDefault="002516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C10895" w:rsidRPr="00B0434A" w:rsidRDefault="00C10895" w:rsidP="000A76B9">
      <w:pPr>
        <w:jc w:val="center"/>
        <w:outlineLvl w:val="0"/>
        <w:rPr>
          <w:b/>
          <w:i/>
          <w:sz w:val="24"/>
        </w:rPr>
      </w:pPr>
      <w:r w:rsidRPr="00B0434A">
        <w:rPr>
          <w:b/>
          <w:i/>
          <w:sz w:val="24"/>
        </w:rPr>
        <w:t>Il-fehma tal-KESE dwar il-ġejjieni tal-Ewropa</w:t>
      </w:r>
      <w:r w:rsidRPr="00B0434A">
        <w:rPr>
          <w:rStyle w:val="FootnoteReference"/>
        </w:rPr>
        <w:footnoteReference w:id="1"/>
      </w:r>
    </w:p>
    <w:p w:rsidR="00C10895" w:rsidRPr="00B0434A" w:rsidRDefault="00C10895" w:rsidP="000A76B9">
      <w:pPr>
        <w:ind w:left="720" w:hanging="720"/>
        <w:rPr>
          <w:sz w:val="20"/>
          <w:szCs w:val="20"/>
        </w:rPr>
      </w:pPr>
    </w:p>
    <w:p w:rsidR="00C10895" w:rsidRPr="00B0434A" w:rsidRDefault="00C10895" w:rsidP="000A76B9">
      <w:pPr>
        <w:pStyle w:val="Heading1"/>
      </w:pPr>
      <w:r w:rsidRPr="00B0434A">
        <w:t>Is-soċjetà u ċ-ċittadini Ewropej jitolbu UE kredibbli, leġittima u reżiljenti. Għal aktar minn għaxar snin, l-UE ġiet sfidata minn skossi politiċi, ekonomiċi u soċjali, u dan rawwem attitudni ta’ qtigħ il-qalb u inċertezza fost iċ-ċittadini. L-UE teħtieġ strateġiji globali biex tippromovi l-benesseri taċ-ċittadini tagħha, investimenti robusti u sostenibbli, il-kreattività u l-intraprenditorija, u biex tindirizza d-distakk dejjem jikber bejn is-sinjuri u l-foqra, il-faqar u l-inugwaljanza tal-ġid. L-irkupru ekonomiku attwali bl-ebda mod m’għandu jkun ta’ skuża sabiex wieħed jibqa’ passiv. Għall-kuntrarju, il-KESE jħeġġeġ li tinstab triq ’il quddiem ponderata u koeżiva sabiex tissaħħaħ il-fiduċja, kif ukoll sabiex tiffoka fuq riżultati tanġibbli għaċ-ċittadini u fuq il-potenzjal enormi tal-Ewropa.</w:t>
      </w:r>
    </w:p>
    <w:p w:rsidR="00C10895" w:rsidRPr="00B0434A" w:rsidRDefault="00C10895" w:rsidP="000A76B9">
      <w:pPr>
        <w:rPr>
          <w:sz w:val="20"/>
          <w:szCs w:val="20"/>
        </w:rPr>
      </w:pPr>
    </w:p>
    <w:p w:rsidR="003443EB" w:rsidRPr="00B0434A" w:rsidRDefault="00C10895" w:rsidP="000A76B9">
      <w:pPr>
        <w:pStyle w:val="Heading1"/>
      </w:pPr>
      <w:r w:rsidRPr="00B0434A">
        <w:t>L-aspettattivi foloz għandhom jiġu evitati. Fuq kollox, l-għan għandu jkun UE li kapaċi tagħti riżultati fil-provvediment ta’ opportunitajiet kompletament indaqs għal kulħadd. Il-fatturi ekonomiċi, soċjali u ambjentali huma interrelatati. Huwa essenzjali li l-kontinentl-ispazju Ewropew ikun jista’ jaġġusta l-proċess ta’ trasformazzjoni profond tiegħu u l-kompetizzjoni ħarxa madwar id-dinja, u li l-globalizzazzjoni tiġi ffurmata b’mod effettiv skont il-valuri tal-UE.</w:t>
      </w:r>
    </w:p>
    <w:p w:rsidR="003443EB" w:rsidRPr="00B0434A" w:rsidRDefault="003443EB" w:rsidP="00380B84">
      <w:pPr>
        <w:rPr>
          <w:sz w:val="20"/>
          <w:szCs w:val="20"/>
        </w:rPr>
      </w:pPr>
    </w:p>
    <w:p w:rsidR="00C10895" w:rsidRPr="00B0434A" w:rsidRDefault="00C10895" w:rsidP="000A76B9">
      <w:pPr>
        <w:pStyle w:val="Heading1"/>
      </w:pPr>
      <w:r w:rsidRPr="00B0434A">
        <w:t>Il-logħba ta' “tort ta’ Brussell”, li lagħbu u għadhom jilagħbu wisq nies, trid tieqaf. Huwa indispensabbli li jkun hemm impenn komuni min-naħa tal-Istituzzjonijiet Ewropej u minn firxa wiesgħa ta’ partijiet interessati fosthom l-imsieħba soċjali u l-organizzazzjoni tas-soċjetà ċivili, kemm fuq livell nazzjonali kif ukoll tal-UE. Il-KESE jenfasizza li l-leġittimità tad-deċiżjonijiet tal-UE fl-aħħar mill-aħħar tiddependi fuq il-kwalità tal-proċess demokratiku.</w:t>
      </w:r>
    </w:p>
    <w:p w:rsidR="00C10895" w:rsidRPr="00B0434A" w:rsidRDefault="00C10895" w:rsidP="000A76B9">
      <w:pPr>
        <w:outlineLvl w:val="1"/>
        <w:rPr>
          <w:sz w:val="20"/>
          <w:szCs w:val="20"/>
        </w:rPr>
      </w:pPr>
    </w:p>
    <w:p w:rsidR="00C10895" w:rsidRPr="00B0434A" w:rsidRDefault="00C10895" w:rsidP="000A76B9">
      <w:pPr>
        <w:pStyle w:val="Heading1"/>
      </w:pPr>
      <w:r w:rsidRPr="00B0434A">
        <w:t xml:space="preserve">It-triq ’il quddiem tista’ tiġi segwita b’suċċess biss jekk tiġi ispirata mill-istess </w:t>
      </w:r>
      <w:r w:rsidRPr="00B0434A">
        <w:rPr>
          <w:i/>
        </w:rPr>
        <w:t>viżjoni komuni</w:t>
      </w:r>
      <w:r w:rsidRPr="00B0434A">
        <w:t xml:space="preserve"> li kienet turija tal-konvinzjoni tal-missirijiet fundaturi, u aktar tard ġie riflessa f’pass kbir ’il quddiem. L-UE għandha timmobilizza l-għodod leġislattivi , il-gwida, il-finanzjament u l-kooperazzjoni għad-dispożizzjoni tagħha sabiex l-UE tkun tista’ tavvanza fid-dimensjonijiet mixtieqa kollha. It-Trattat ta’ Lisbona jwitti t-triq.</w:t>
      </w:r>
    </w:p>
    <w:p w:rsidR="00C10895" w:rsidRPr="00B0434A" w:rsidRDefault="00C10895" w:rsidP="000A76B9">
      <w:pPr>
        <w:rPr>
          <w:sz w:val="20"/>
          <w:szCs w:val="20"/>
        </w:rPr>
      </w:pPr>
    </w:p>
    <w:p w:rsidR="00C10895" w:rsidRPr="00B0434A" w:rsidRDefault="00C10895" w:rsidP="00B2494B">
      <w:pPr>
        <w:keepNext/>
        <w:ind w:left="567"/>
        <w:rPr>
          <w:b/>
          <w:i/>
        </w:rPr>
      </w:pPr>
      <w:r w:rsidRPr="00B0434A">
        <w:rPr>
          <w:b/>
          <w:i/>
        </w:rPr>
        <w:t>Ix-xenarji tal-White Paper</w:t>
      </w:r>
    </w:p>
    <w:p w:rsidR="00C10895" w:rsidRPr="00B0434A" w:rsidRDefault="00C10895" w:rsidP="0018637E">
      <w:pPr>
        <w:keepNext/>
        <w:rPr>
          <w:sz w:val="20"/>
          <w:szCs w:val="20"/>
        </w:rPr>
      </w:pPr>
    </w:p>
    <w:p w:rsidR="00C10895" w:rsidRPr="00B0434A" w:rsidRDefault="00C10895" w:rsidP="00380B84">
      <w:pPr>
        <w:pStyle w:val="Heading1"/>
      </w:pPr>
      <w:r w:rsidRPr="00B0434A">
        <w:t>Il-KESE ma jemminx li għażla bejn xenarji</w:t>
      </w:r>
      <w:r w:rsidRPr="00B0434A">
        <w:rPr>
          <w:rStyle w:val="FootnoteReference"/>
        </w:rPr>
        <w:footnoteReference w:id="2"/>
      </w:r>
      <w:r w:rsidRPr="00B0434A">
        <w:t xml:space="preserve"> huwa metodu ta’ suċċess għall-promozzjoni ta’ sens ta’ għan komuni jew sabiex tiġi definita t-triq għall-ġejjieni. L-ewwel nett, l-Ewropa mhijiex qiegħda tibda mill-bidu. Għalhekk, il-Kummissjoni għandha tibbaża l-proposti tagħha fuq analiżi profonda tal-istorja tal-UE - il-kisbiet u n-nuqqasijiet tagħha - bħala sors siewi għall-ġejjieni. L-impenji tal-Istati Membri fid-Dikjarazzjoni ta’ Ruma huma punt ta’ tluq pożittiv u </w:t>
      </w:r>
      <w:r w:rsidRPr="00B0434A">
        <w:lastRenderedPageBreak/>
        <w:t>tajjeb</w:t>
      </w:r>
      <w:r w:rsidRPr="00B0434A">
        <w:rPr>
          <w:rStyle w:val="FootnoteReference"/>
        </w:rPr>
        <w:footnoteReference w:id="3"/>
      </w:r>
      <w:r w:rsidRPr="00B0434A">
        <w:t>. Barra minn hekk, il-ħames xenarji huma indirizzati lill-Istati Membri, u jiffukaw fuq il-bidliet istituzzjonali. Għalhekk, huma ma għandhomx rilevanza diretta għaċ-ċittadini Ewropej. Dawn jidhru wkoll artifiċjali.</w:t>
      </w:r>
    </w:p>
    <w:p w:rsidR="00C10895" w:rsidRPr="00B0434A" w:rsidRDefault="00C10895" w:rsidP="0018637E">
      <w:pPr>
        <w:rPr>
          <w:sz w:val="20"/>
          <w:szCs w:val="20"/>
        </w:rPr>
      </w:pPr>
    </w:p>
    <w:p w:rsidR="00C10895" w:rsidRPr="00B0434A" w:rsidRDefault="00C10895" w:rsidP="00380B84">
      <w:pPr>
        <w:pStyle w:val="Heading1"/>
      </w:pPr>
      <w:r w:rsidRPr="00B0434A">
        <w:t xml:space="preserve">Għall-KESE, l-ewwel xenarju, jew kif jarah hu, konfużjoni sħiħa, mhuwiex għażla. Ix-xenarju 5 jattira numru ta’ nies, iżda attwalment mhuwiex realistiku. Ix-xenarju 2, b’fokus esklużiv fuq is-suq komuni, huwa limitat wisq. Ix-xenarju 4 jeħtieġ ftehim bejn is-27 Stat Membru, li jista’ jwassal għal paraliżi tal-UE u jippromwovi xejriet ċentrifugali, u b’hekk jpoġġi f’periklu l-miri u l-valuri tal-Unjoni. Skont ix-xenarju 3, il-mekkaniżmi għall-integrazzjoni differenzjata, bħal kooperazzjoni msaħħa, jistgħu jkunu strument utli biex jingħelbu l-ostakli f’oqsma partikolari u biex tiġi promossa dinamika pożittiva fil-proċess ta’ integrazzjoni tal-UE. Madankollu, dawn huma strumenti għall-kisba ta’ objettivi ta’ politika aktar milli għan fih innifsu. Filwaqt li għandhom jiġu rrakkomandati bħala mod biex jingħelbu l-paraliżi jew l-ostakli għal leġislazzjoni mixtieqa tal-UE, il-KESE jenfasizza wkoll il-ħtieġa li tiġi promossa l-konverġenza fi ħdan l-Unjoni u li jiġu miġġielda l-frammentazzjoni u d-diviżjoni. Għaldaqstant, ftehim bejn dawk minn ta’ quddiem nett jew il-pajjiżi katalizzaturi għandu dejjem ikun miftuħ </w:t>
      </w:r>
      <w:r w:rsidRPr="00B0434A">
        <w:rPr>
          <w:i/>
        </w:rPr>
        <w:t>għal dawk li huma lesti</w:t>
      </w:r>
      <w:r w:rsidRPr="00B0434A">
        <w:t xml:space="preserve"> filwaqt li għandha tkun prevalenti </w:t>
      </w:r>
      <w:r w:rsidRPr="00B0434A">
        <w:rPr>
          <w:i/>
        </w:rPr>
        <w:t>viżjoni komuni</w:t>
      </w:r>
      <w:r w:rsidRPr="00B0434A">
        <w:t>.</w:t>
      </w:r>
    </w:p>
    <w:p w:rsidR="00C10895" w:rsidRPr="00B0434A" w:rsidRDefault="00C10895" w:rsidP="0018637E">
      <w:pPr>
        <w:ind w:firstLine="33"/>
        <w:rPr>
          <w:sz w:val="20"/>
          <w:szCs w:val="20"/>
        </w:rPr>
      </w:pPr>
    </w:p>
    <w:p w:rsidR="00C10895" w:rsidRPr="00B0434A" w:rsidRDefault="007F754F" w:rsidP="00380B84">
      <w:pPr>
        <w:keepNext/>
        <w:ind w:left="567"/>
        <w:rPr>
          <w:b/>
          <w:i/>
        </w:rPr>
      </w:pPr>
      <w:r w:rsidRPr="00B0434A">
        <w:rPr>
          <w:b/>
          <w:i/>
        </w:rPr>
        <w:t>Il-fehma tal-KESE dwar il-ġejjieni</w:t>
      </w:r>
    </w:p>
    <w:p w:rsidR="00C10895" w:rsidRPr="00B0434A" w:rsidRDefault="00C10895" w:rsidP="0018637E">
      <w:pPr>
        <w:keepNext/>
        <w:rPr>
          <w:sz w:val="20"/>
          <w:szCs w:val="20"/>
        </w:rPr>
      </w:pPr>
    </w:p>
    <w:p w:rsidR="00C10895" w:rsidRPr="00B0434A" w:rsidRDefault="00C10895" w:rsidP="00380B84">
      <w:pPr>
        <w:keepNext/>
        <w:tabs>
          <w:tab w:val="left" w:pos="851"/>
        </w:tabs>
        <w:ind w:left="567"/>
        <w:rPr>
          <w:b/>
          <w:i/>
        </w:rPr>
      </w:pPr>
      <w:r w:rsidRPr="00B0434A">
        <w:rPr>
          <w:b/>
          <w:i/>
        </w:rPr>
        <w:t>A.</w:t>
      </w:r>
      <w:r w:rsidRPr="00B0434A">
        <w:tab/>
      </w:r>
      <w:r w:rsidRPr="00B0434A">
        <w:rPr>
          <w:b/>
          <w:i/>
        </w:rPr>
        <w:t>Metodu</w:t>
      </w:r>
    </w:p>
    <w:p w:rsidR="00C10895" w:rsidRPr="00B0434A" w:rsidRDefault="00C10895" w:rsidP="0018637E">
      <w:pPr>
        <w:keepNext/>
        <w:rPr>
          <w:sz w:val="20"/>
          <w:szCs w:val="20"/>
        </w:rPr>
      </w:pPr>
    </w:p>
    <w:p w:rsidR="00C10895" w:rsidRPr="00B0434A" w:rsidRDefault="00C10895" w:rsidP="000A76B9">
      <w:pPr>
        <w:pStyle w:val="Heading1"/>
      </w:pPr>
      <w:r w:rsidRPr="00B0434A">
        <w:t xml:space="preserve">It-temi strateġiċi għandhom jitpoġġew f’perspettiva komuni sabiex tiġi evitata </w:t>
      </w:r>
      <w:r w:rsidRPr="00B0434A">
        <w:rPr>
          <w:i/>
        </w:rPr>
        <w:t>Europe à la carte</w:t>
      </w:r>
      <w:r w:rsidRPr="00B0434A">
        <w:t xml:space="preserve"> imminenti jew tendenzi ċentrifugali. Il-KESE jirrakkomanda żvilupp li permezz tiegħu jiġu stabbiliti kundizzjonijiet għall-kondiviżjoni tal-poter politiku bejn kulħadd b’mod aħjar. Dan kollu jiddependi primarjament fuq ir-rieda politika u bħala tali din għandha tkun kwistjoni ewlenija f’dibattitu ġenwin dwar il-futur.</w:t>
      </w:r>
    </w:p>
    <w:p w:rsidR="00C10895" w:rsidRPr="00B0434A" w:rsidRDefault="00C10895" w:rsidP="0018637E">
      <w:pPr>
        <w:ind w:firstLine="33"/>
        <w:rPr>
          <w:sz w:val="20"/>
          <w:szCs w:val="20"/>
        </w:rPr>
      </w:pPr>
    </w:p>
    <w:p w:rsidR="00B968AB" w:rsidRPr="00B0434A" w:rsidRDefault="00C10895" w:rsidP="00380B84">
      <w:pPr>
        <w:pStyle w:val="Heading1"/>
      </w:pPr>
      <w:r w:rsidRPr="00B0434A">
        <w:t xml:space="preserve">Id-distinzjoni tradizzjonali bejn il-livell nazzjonali u l-livell tal-UE għandha titneħħa. L-isfidi komuni u r-realtajiet minsuġa madwar il-kontinent jenfasizzaw il-ħtieġa għal </w:t>
      </w:r>
      <w:r w:rsidRPr="00B0434A">
        <w:rPr>
          <w:i/>
        </w:rPr>
        <w:t>missjoni komuni</w:t>
      </w:r>
      <w:r w:rsidRPr="00B0434A">
        <w:t>.</w:t>
      </w:r>
      <w:r w:rsidRPr="00B0434A">
        <w:rPr>
          <w:i/>
        </w:rPr>
        <w:t xml:space="preserve"> </w:t>
      </w:r>
      <w:r w:rsidRPr="00B0434A">
        <w:t>Flimkien maċ-ċittadinanza nazzjonali dawn jirrikjedu wkoll rikonoxximent ta’ ċittadinanza Ewropea. It-tfassil ta’ politiki għandu jinkludi u jinvolvi l-livelli kollha tas-soċjetà. L-objettivi għandhom jiġu kondiviżi u l-impatt tad-deċiżjonijiet u l-politiki għandu jiġi evalwat ukoll b'mod sistematiku fuq livell nazzjonali, reġjonali u lokali sabiex jinkiseb l-appoġġ taċ-ċittadini.</w:t>
      </w:r>
    </w:p>
    <w:p w:rsidR="00B157C3" w:rsidRPr="00B0434A" w:rsidRDefault="00B157C3" w:rsidP="00B157C3">
      <w:pPr>
        <w:rPr>
          <w:sz w:val="20"/>
          <w:szCs w:val="20"/>
        </w:rPr>
      </w:pPr>
    </w:p>
    <w:p w:rsidR="00C10895" w:rsidRPr="00B0434A" w:rsidRDefault="00766BF2" w:rsidP="00380B84">
      <w:pPr>
        <w:pStyle w:val="Heading1"/>
      </w:pPr>
      <w:r w:rsidRPr="00B0434A">
        <w:t>Il-Parlament Ewropew (PE) għandu jkollu rwol ewlieni fit-tiswir tad-direzzjoni futura tal-Ewropa. Barra minn hekk, hemm bżonn fundamentali li jiġi promoss l-involviment tal-parlamenti nazzjonali, kif ukoll l-interazzjoni tagħhom mal-PE.</w:t>
      </w:r>
    </w:p>
    <w:p w:rsidR="00766BF2" w:rsidRPr="00B0434A" w:rsidRDefault="00766BF2" w:rsidP="00766BF2">
      <w:pPr>
        <w:rPr>
          <w:sz w:val="20"/>
          <w:szCs w:val="20"/>
        </w:rPr>
      </w:pPr>
    </w:p>
    <w:p w:rsidR="00C10895" w:rsidRPr="00B0434A" w:rsidRDefault="00C10895" w:rsidP="000A76B9">
      <w:pPr>
        <w:pStyle w:val="Heading1"/>
      </w:pPr>
      <w:r w:rsidRPr="00B0434A">
        <w:t>L-objettivi ċentrali għandhom ikunu akkumpanjati minn ftehim bejn l-Istati Membri dwar:</w:t>
      </w:r>
    </w:p>
    <w:p w:rsidR="00C10895" w:rsidRPr="00B0434A" w:rsidRDefault="00C10895" w:rsidP="000A76B9">
      <w:pPr>
        <w:rPr>
          <w:sz w:val="20"/>
          <w:szCs w:val="20"/>
        </w:rPr>
      </w:pPr>
    </w:p>
    <w:p w:rsidR="00C10895" w:rsidRPr="00B0434A" w:rsidRDefault="00C10895" w:rsidP="000A76B9">
      <w:pPr>
        <w:numPr>
          <w:ilvl w:val="0"/>
          <w:numId w:val="3"/>
        </w:numPr>
        <w:ind w:left="851" w:hanging="284"/>
        <w:contextualSpacing/>
        <w:rPr>
          <w:rFonts w:eastAsiaTheme="minorEastAsia"/>
        </w:rPr>
      </w:pPr>
      <w:r w:rsidRPr="00B0434A">
        <w:lastRenderedPageBreak/>
        <w:t>l-għanijiet, l-istrumenti u l-iskadenzi komuni; l-iktar ħaġa importanti hija narrattiva komuni, li tibni fuq il-konsistenza, it-trasparenza, il-viżibilità u, fuq kollox, il-komunikazzjoni kondiviża;</w:t>
      </w:r>
    </w:p>
    <w:p w:rsidR="00C10895" w:rsidRPr="00B0434A" w:rsidRDefault="00C10895" w:rsidP="000A76B9">
      <w:pPr>
        <w:contextualSpacing/>
        <w:rPr>
          <w:rFonts w:eastAsiaTheme="minorEastAsia"/>
          <w:sz w:val="20"/>
          <w:szCs w:val="20"/>
        </w:rPr>
      </w:pPr>
    </w:p>
    <w:p w:rsidR="00C10895" w:rsidRPr="00B0434A" w:rsidRDefault="00C10895" w:rsidP="000A76B9">
      <w:pPr>
        <w:numPr>
          <w:ilvl w:val="0"/>
          <w:numId w:val="3"/>
        </w:numPr>
        <w:ind w:left="851" w:hanging="284"/>
        <w:contextualSpacing/>
        <w:rPr>
          <w:rFonts w:eastAsiaTheme="minorEastAsia"/>
        </w:rPr>
      </w:pPr>
      <w:r w:rsidRPr="00B0434A">
        <w:t>riforma mixtieqa tal-Kunsill, li tiżgura l-effettività u t-trasparenza, kif ukoll Kummissjoni indipendenti kemm fi kwistjonijiet ta’ kompetenza esklużva kif ukoll ta’ kompetenzi kondiviżi, b’enfasi fuq il-metodu tal-Komunità.</w:t>
      </w:r>
    </w:p>
    <w:p w:rsidR="00C10895" w:rsidRPr="00B0434A" w:rsidRDefault="00C10895" w:rsidP="000A76B9">
      <w:pPr>
        <w:contextualSpacing/>
        <w:rPr>
          <w:rFonts w:eastAsiaTheme="minorEastAsia"/>
          <w:sz w:val="20"/>
          <w:szCs w:val="20"/>
        </w:rPr>
      </w:pPr>
    </w:p>
    <w:p w:rsidR="00C10895" w:rsidRPr="00B0434A" w:rsidRDefault="001D65F7" w:rsidP="000A76B9">
      <w:pPr>
        <w:numPr>
          <w:ilvl w:val="0"/>
          <w:numId w:val="3"/>
        </w:numPr>
        <w:ind w:left="851" w:hanging="284"/>
        <w:contextualSpacing/>
        <w:rPr>
          <w:rFonts w:eastAsiaTheme="minorEastAsia"/>
        </w:rPr>
      </w:pPr>
      <w:r w:rsidRPr="00B0434A">
        <w:t>il-ħtieġa għal arranġamenti konsultattivi effiċjenti mal-partijiet interessati kollha, kif ukoll implimentazzjoni tajba u rispett għall-istat tad-dritt.</w:t>
      </w:r>
    </w:p>
    <w:p w:rsidR="00C10895" w:rsidRPr="00B0434A" w:rsidRDefault="00C10895" w:rsidP="0018637E">
      <w:pPr>
        <w:rPr>
          <w:rFonts w:eastAsiaTheme="minorEastAsia"/>
          <w:sz w:val="20"/>
          <w:szCs w:val="20"/>
        </w:rPr>
      </w:pPr>
    </w:p>
    <w:p w:rsidR="00C10895" w:rsidRPr="00B0434A" w:rsidRDefault="00C10895" w:rsidP="00B2494B">
      <w:pPr>
        <w:keepNext/>
        <w:keepLines/>
        <w:ind w:left="851" w:hanging="284"/>
        <w:outlineLvl w:val="1"/>
        <w:rPr>
          <w:rFonts w:eastAsiaTheme="minorEastAsia"/>
          <w:b/>
          <w:i/>
        </w:rPr>
      </w:pPr>
      <w:r w:rsidRPr="00B0434A">
        <w:rPr>
          <w:rFonts w:eastAsiaTheme="minorEastAsia"/>
          <w:b/>
          <w:i/>
        </w:rPr>
        <w:t>B.</w:t>
      </w:r>
      <w:r w:rsidRPr="00B0434A">
        <w:tab/>
      </w:r>
      <w:r w:rsidRPr="00B0434A">
        <w:rPr>
          <w:rFonts w:eastAsiaTheme="minorEastAsia"/>
          <w:b/>
          <w:i/>
        </w:rPr>
        <w:t>Politiki</w:t>
      </w:r>
    </w:p>
    <w:p w:rsidR="00C10895" w:rsidRPr="00B0434A" w:rsidRDefault="00C10895" w:rsidP="0018637E">
      <w:pPr>
        <w:keepNext/>
        <w:keepLines/>
        <w:outlineLvl w:val="1"/>
        <w:rPr>
          <w:rFonts w:eastAsiaTheme="minorEastAsia"/>
          <w:sz w:val="20"/>
          <w:szCs w:val="20"/>
        </w:rPr>
      </w:pPr>
    </w:p>
    <w:p w:rsidR="00C10895" w:rsidRPr="00B0434A" w:rsidRDefault="008A40A5">
      <w:pPr>
        <w:pStyle w:val="Heading1"/>
      </w:pPr>
      <w:r w:rsidRPr="00B0434A">
        <w:t>Irrispettivament minn liema opzjoni tiġi magħżula għall-ġejjieni tal-Ewropa, il-KESE jrid Unjoni Ewropea koeżiva u koerenti. Bosta politiki attwali huma parti mill-approfondiment tal-integrazzjoni, proċess fit-tul li l-KESE jappoġġja bis-sħiħ. Kważi dwarhom kollha, pjuttost reċentement, il-KESE għamel kummenti dettaljati u proposti għall-ġejjieni.</w:t>
      </w:r>
    </w:p>
    <w:p w:rsidR="00C10895" w:rsidRPr="00B0434A" w:rsidRDefault="00C10895" w:rsidP="0018637E">
      <w:pPr>
        <w:outlineLvl w:val="1"/>
        <w:rPr>
          <w:sz w:val="20"/>
          <w:szCs w:val="20"/>
        </w:rPr>
      </w:pPr>
    </w:p>
    <w:p w:rsidR="00C10895" w:rsidRPr="00B0434A" w:rsidRDefault="00C10895" w:rsidP="000A76B9">
      <w:pPr>
        <w:pStyle w:val="Heading1"/>
      </w:pPr>
      <w:r w:rsidRPr="00B0434A">
        <w:t>Is-suq uniku fid-dimensjonijiet ekonomiċi u soċjali kollha tiegħu, kif ukoll fil-qafas ta’ mudell ta’ żvilupp sostenibbli huwa l-pedament indispensabbli tal-integrazzjoni Ewropea. Dan għandu jiżgura kondizzjonijiet ekwivalenti ta’ kompetizzjoni ġenwini. Bl-istess mod, l-UEM ġiet meqjusa bħala pass deċiżiv ’il quddiem. Madankollu, minkejja progress impressjonanti, l-arkitettura tagħha għadha fraġli. L-UEM hija fil-qalba tal-iżviluppi futuri fl-UE; għalhekk l-approfondiment tagħha huwa kruċjali. Il-KESE jiffavorixxi perkors gradwali lejn unjoni politika b’firxa ta’ miżuri u dispożizzjonijiet makroekonomiċi u mikroekonomiċi kif ukoll dimensjoni soċjali b’saħħitha. L-ikkompletar tal-UEM jitlob governanza ekonomika ġenwina, inkluż l-immaniġġjar tal-UE tas-settur finanzjarju, riformi organizzati tajjeb fl-Istati Membri kkonċernati, u approċċi kondiviżi għall-politiki tas-suq tax-xogħol. Governanza mtejba għandha issaħħaħ il-bażi għal aktar konverġenza kif ukoll solidarjetà madwar iż-żona tal-euro. Is-servizzi pubbliċi kompetenti ferm fl-UE jistgħu jkunu ta’ għajnuna. Iż-żona tal-euro għandha tibda kooperazzjoni aktar mill-qrib f’oqsma oħra.</w:t>
      </w:r>
    </w:p>
    <w:p w:rsidR="00C10895" w:rsidRPr="00B0434A" w:rsidRDefault="00C10895" w:rsidP="0018637E">
      <w:pPr>
        <w:outlineLvl w:val="1"/>
        <w:rPr>
          <w:sz w:val="20"/>
          <w:szCs w:val="20"/>
        </w:rPr>
      </w:pPr>
    </w:p>
    <w:p w:rsidR="00C10895" w:rsidRPr="00B0434A" w:rsidRDefault="00335A8C" w:rsidP="00380B84">
      <w:pPr>
        <w:pStyle w:val="Heading1"/>
        <w:keepNext/>
      </w:pPr>
      <w:r w:rsidRPr="00B0434A">
        <w:t>Il-KESE jisħaq ukoll dwar il-ħtieġa għal governanza aktar koeżiva, integrazzjoni aktar profonda u impenn sħiħ tal-Istati Membri fl-oqsma li ġejjin:</w:t>
      </w:r>
    </w:p>
    <w:p w:rsidR="00C10895" w:rsidRPr="00B0434A" w:rsidRDefault="00C10895" w:rsidP="00380B84">
      <w:pPr>
        <w:keepNext/>
        <w:rPr>
          <w:sz w:val="20"/>
          <w:szCs w:val="20"/>
        </w:rPr>
      </w:pPr>
    </w:p>
    <w:p w:rsidR="00C10895" w:rsidRPr="00B0434A" w:rsidRDefault="00C10895" w:rsidP="000A76B9">
      <w:pPr>
        <w:numPr>
          <w:ilvl w:val="0"/>
          <w:numId w:val="2"/>
        </w:numPr>
        <w:ind w:left="851" w:hanging="284"/>
        <w:contextualSpacing/>
        <w:rPr>
          <w:rFonts w:eastAsiaTheme="minorEastAsia"/>
        </w:rPr>
      </w:pPr>
      <w:r w:rsidRPr="00B0434A">
        <w:t>politika industrijali Ewropea kkoordinata bbażata fuq il-kompetizzjoni ġusta - anke fl-iskoraġġiment tal-evażjoni tat-taxxa - għandha tiżgura approċċi kondiviżi minflok nazzjonali fit-titjib tal-kundizzjonijiet madwar l-Ewropa għat-trawwim tal-kompetizzjoni f’ekonomija tas-suq soċjali bil-parteċipazzjoni impenjata tal-partijiet interessati kollha fi djalogi kunsenswali u biex jiġi ffaċilitat l-investiment (programmi) u jiġu appoġġjati l-SMEs;</w:t>
      </w:r>
    </w:p>
    <w:p w:rsidR="00C10895" w:rsidRPr="00B0434A" w:rsidRDefault="00C10895" w:rsidP="000A76B9">
      <w:pPr>
        <w:numPr>
          <w:ilvl w:val="0"/>
          <w:numId w:val="2"/>
        </w:numPr>
        <w:ind w:left="851" w:hanging="284"/>
        <w:contextualSpacing/>
        <w:rPr>
          <w:rFonts w:eastAsiaTheme="minorEastAsia"/>
        </w:rPr>
      </w:pPr>
      <w:r w:rsidRPr="00B0434A">
        <w:t>il-promozzjoni ta’ konverġenza soċjali ’l fuq - f’konformità mal-konverġenza ekonomika - f’termini ta’ impjieg u eżiti soċjali, permezz tal-implimentazzjoni tal-Pilastru Ewropew tad-Drittijiet Soċjali, filwaqt li jiġu rispettati l-kompetenzi nazzjonali;</w:t>
      </w:r>
    </w:p>
    <w:p w:rsidR="00C10895" w:rsidRPr="00B0434A" w:rsidRDefault="00C10895" w:rsidP="000A76B9">
      <w:pPr>
        <w:numPr>
          <w:ilvl w:val="0"/>
          <w:numId w:val="2"/>
        </w:numPr>
        <w:ind w:left="851" w:hanging="284"/>
        <w:contextualSpacing/>
        <w:rPr>
          <w:rFonts w:eastAsiaTheme="minorEastAsia"/>
        </w:rPr>
      </w:pPr>
      <w:r w:rsidRPr="00B0434A">
        <w:t>Unjoni tal-Enerġija b’governanza tajba, li hija indispensabbli għal suq komuni adatt u għas-sigurtà tal-enerġija;</w:t>
      </w:r>
    </w:p>
    <w:p w:rsidR="00C10895" w:rsidRPr="00B0434A" w:rsidRDefault="00C10895" w:rsidP="00380B84">
      <w:pPr>
        <w:keepNext/>
        <w:keepLines/>
        <w:numPr>
          <w:ilvl w:val="0"/>
          <w:numId w:val="2"/>
        </w:numPr>
        <w:ind w:left="851" w:hanging="284"/>
        <w:contextualSpacing/>
        <w:rPr>
          <w:rFonts w:eastAsiaTheme="minorEastAsia"/>
        </w:rPr>
      </w:pPr>
      <w:r w:rsidRPr="00B0434A">
        <w:t>strateġija Ewropea li tħares ’il quddiem u qafas leġislattiv biex jiġi miġġieled it-tibdil fil-klima abbażi tal-Ftehim ta’ Pariġi u bħala kontribut għall-ftehimiet internazzjonali dwar il-klima, u l-promozzjoni tal-Aġenda 2030 għal Żvilupp Sostenibbli fil-politiki tal-UE;</w:t>
      </w:r>
    </w:p>
    <w:p w:rsidR="00C10895" w:rsidRPr="00B0434A" w:rsidRDefault="00C10895" w:rsidP="000A76B9">
      <w:pPr>
        <w:numPr>
          <w:ilvl w:val="0"/>
          <w:numId w:val="2"/>
        </w:numPr>
        <w:ind w:left="851" w:hanging="284"/>
        <w:contextualSpacing/>
        <w:rPr>
          <w:rFonts w:eastAsiaTheme="minorEastAsia"/>
        </w:rPr>
      </w:pPr>
      <w:r w:rsidRPr="00B0434A">
        <w:t>Suq Uniku Diġitali bħala element importanti tal-kompetittività futura u l-promozzjoni tal-ħolqien ta’ impjiegi ta’ kwalità, filwaqt li jiġu antiċipati l-effetti tat-trasformazzjoni diġitali fuq l-impjiegi u s-swieq tax-xogħol;</w:t>
      </w:r>
    </w:p>
    <w:p w:rsidR="00C10895" w:rsidRPr="00B0434A" w:rsidRDefault="00C10895" w:rsidP="000A76B9">
      <w:pPr>
        <w:numPr>
          <w:ilvl w:val="0"/>
          <w:numId w:val="2"/>
        </w:numPr>
        <w:ind w:left="851" w:hanging="284"/>
        <w:contextualSpacing/>
        <w:rPr>
          <w:rFonts w:eastAsiaTheme="minorEastAsia"/>
        </w:rPr>
      </w:pPr>
      <w:r w:rsidRPr="00B0434A">
        <w:t>strateġija intensifikata u madwar l-Ewropa kollha għat-teknoloġija, ir-riċerka u l-innovazzjoni;</w:t>
      </w:r>
    </w:p>
    <w:p w:rsidR="00C10895" w:rsidRPr="00B0434A" w:rsidRDefault="00C10895" w:rsidP="000A76B9">
      <w:pPr>
        <w:numPr>
          <w:ilvl w:val="0"/>
          <w:numId w:val="2"/>
        </w:numPr>
        <w:ind w:left="851" w:hanging="284"/>
        <w:contextualSpacing/>
        <w:rPr>
          <w:rFonts w:eastAsiaTheme="minorEastAsia"/>
        </w:rPr>
      </w:pPr>
      <w:r w:rsidRPr="00B0434A">
        <w:t>politika kummerċjali (multilaterali) li, f’negozjati trasparenti, għandha tiżgura swieq miftuħa u sostenibbiltà soċjali u ambjentali, filwaqt li tenfasizza wkoll l-ugwaljanza fir-relazzjonijiet kummerċjali sabiex tħares l-interessi Ewropej f’dinja li qed taffaċċja dejjem aktar tendenzi protezzjonisti.</w:t>
      </w:r>
    </w:p>
    <w:p w:rsidR="008E7E04" w:rsidRPr="00B0434A" w:rsidRDefault="00E0446F" w:rsidP="000A76B9">
      <w:pPr>
        <w:numPr>
          <w:ilvl w:val="0"/>
          <w:numId w:val="2"/>
        </w:numPr>
        <w:ind w:left="851" w:hanging="284"/>
        <w:contextualSpacing/>
        <w:rPr>
          <w:rFonts w:eastAsiaTheme="minorEastAsia"/>
        </w:rPr>
      </w:pPr>
      <w:r w:rsidRPr="00B0434A">
        <w:t>politika Ewropea għall-konsumaturi bħala politika ta’ ċittadinanza.</w:t>
      </w:r>
    </w:p>
    <w:p w:rsidR="00C10895" w:rsidRPr="00B0434A" w:rsidRDefault="00C10895" w:rsidP="000A76B9">
      <w:pPr>
        <w:rPr>
          <w:sz w:val="20"/>
          <w:szCs w:val="20"/>
        </w:rPr>
      </w:pPr>
    </w:p>
    <w:p w:rsidR="00C10895" w:rsidRPr="00B0434A" w:rsidRDefault="00C10895" w:rsidP="000A76B9">
      <w:pPr>
        <w:pStyle w:val="Heading1"/>
      </w:pPr>
      <w:r w:rsidRPr="00B0434A">
        <w:t>Fil-fehma tal-KESE, il-kwistjonijiet soċjali u l-edukazzjoni għandhom bl-istess mod jiġu indirizzati b’mod aktar sistematiku fil-livell tal-UE biex jinstabu soluzzjonijiet konvinċenti. Is-sigurtà soċjali u l-edukazzjoni huma soġġetti l-aktar għall-principju tas-sussidjarjetà, u għalhekk jaqgħu taħt il-kamp ta’ applikazzjoni tal-leġislazzjoni nazzjonali u tal-proċessi għat-teħid ta’ deċiżjonijiet, li spiss jinkludu l-parteċipazzjoni attiva tal-imsieħba soċjali. Il-kompetenzi kondiviżi bejn l-UE u l-Istati Membri jridu jiġu applikati b’mod aħjar fl-affarijiet soċjali. Minħabba tensjonijiet akbar fis-swieq tax-xogħol, li jirriżultaw mir-revoluzzjoni diġitali, id-dgħjufijiet strutturali fis-swieq tax-xogħol u l-globalizzazzjoni, il-KESE jappella għal involviment Ewropew viżibbli bil-għan li titħeġġeġ aktar konverġenza fir-rigward ta’ ċerti kundizzjonijiet soċjali u tax-xogħol, b’kontribut għall-promozzjoni tal-ħolqien ta' impjiegi ta’ kwalità, mobilità ġusta u l-impenn pożittiv taċ-ċittadini. Hemm bżonn ta' enfasi partikolari fuq iż-żgħażagħ u l-qgħad fost iż-żgħażagħ. Ir-rwol tal-imsieħba soċjali, is-soċjetà ċivili inġenerali u d-djalogu soċjali huma ta’ importanza fundamentali.</w:t>
      </w:r>
    </w:p>
    <w:p w:rsidR="00C10895" w:rsidRPr="00B0434A" w:rsidRDefault="00C10895" w:rsidP="000A76B9">
      <w:pPr>
        <w:ind w:left="720" w:hanging="720"/>
        <w:rPr>
          <w:sz w:val="20"/>
          <w:szCs w:val="20"/>
        </w:rPr>
      </w:pPr>
    </w:p>
    <w:p w:rsidR="00C10895" w:rsidRPr="00B0434A" w:rsidRDefault="00C10895" w:rsidP="000A76B9">
      <w:pPr>
        <w:pStyle w:val="Heading1"/>
      </w:pPr>
      <w:r w:rsidRPr="00B0434A">
        <w:t>Hija meħtieġa aktar konverġenza ekonomika u soċjali fl-UE. Minkejja dan, iridu jitqiesu d-diskrepanzi bejn l-ekonomiji, il-kultura u t-tradizzjonijiet nazzjonali tas-sistemi soċjali. Il-KESE jenfasizza li l-UE m’għandhiex tibqa’ tħares iżda għandha terfa’ responsabbiltà definita tajjeb. Qabel ma tkun tista’ tiġi definita direzzjoni komuni ’l quddiem, l-ewwel huma meħtieġa diskussjonijiet xierqa bejn l-imsieħba soċjali (u partijiet interessati oħrajn). Barra minn hekk, il-KESE jenfasizza l-importanza li d-Direttivi tal-UE fil-qasam soċjali jiġu implimentati b’mod effikaċi mill-Istati Membri.</w:t>
      </w:r>
    </w:p>
    <w:p w:rsidR="00C10895" w:rsidRPr="00B0434A" w:rsidRDefault="00C10895" w:rsidP="000A76B9">
      <w:pPr>
        <w:ind w:left="720" w:hanging="720"/>
        <w:rPr>
          <w:sz w:val="20"/>
          <w:szCs w:val="20"/>
        </w:rPr>
      </w:pPr>
    </w:p>
    <w:p w:rsidR="00C10895" w:rsidRPr="00B0434A" w:rsidRDefault="00C10895" w:rsidP="000A76B9">
      <w:pPr>
        <w:pStyle w:val="Heading1"/>
      </w:pPr>
      <w:r w:rsidRPr="00B0434A">
        <w:t>L-edukazzjoni wkoll hija soġġetta għas-sussidjarjetà. Madankollu, wieħed ma jistax jinnega l-fatt li l-ġejjieni soċjali u ekonomiku tal-Ewropa u l-involviment taċ-ċittadini huma marbutin mill-qrib ma’ sistemi ta’ edukazzjoni u taħriġ aġġornati fil-livelli kollha. Il-futur tal-ġenerazzjoni żagħżugħa jiddependi bil-kbir fuq l-edukazzjoni. Il-ħiliet huma kruċjali kemm għaż-żgħażagħ kif ukoll għall-ġenerazzjonijiet aktar kbar fl-età. Għalhekk, l-UE għandha tieħu sehem attiv fil-proċess ta’ modernizzazzjoni li għaddej bħalissa. L-edukazzjoni taqdi wkoll rwol importanti fir-rigward tal-komunikazzjoni dwar l-Ewropa: il-KESE jenfasizza l-ħtieġa ta’ disponibbiltà ta’ informazzjoni u tagħlim adatti dwar l-Unjoni Ewropea– speċjalment dwar il-valuri u ċ-ċittadinanza Ewropea – fl-iskejjel primarji u sekondarji.</w:t>
      </w:r>
    </w:p>
    <w:p w:rsidR="00C10895" w:rsidRPr="00B0434A" w:rsidRDefault="00C10895" w:rsidP="000A76B9">
      <w:pPr>
        <w:ind w:left="720" w:hanging="720"/>
        <w:rPr>
          <w:sz w:val="20"/>
          <w:szCs w:val="20"/>
        </w:rPr>
      </w:pPr>
    </w:p>
    <w:p w:rsidR="00C10895" w:rsidRPr="00B0434A" w:rsidRDefault="00C10895" w:rsidP="000A76B9">
      <w:pPr>
        <w:pStyle w:val="Heading1"/>
      </w:pPr>
      <w:r w:rsidRPr="00B0434A">
        <w:t>Il-moviment liberu ta’ persuni fiż-żona Schengen irid jiġi stabbilit mill-ġdid. Fid-definizzjoni, dan ifisser li l-fruntieri komuni jridu jiġu kkontrollati b’mod aktar effettiv. B’mod parallel, trid tiġi indirizzata ż-żieda inaċċettabbli fit-terroriżmu internazzjonali, inklużi l-qtil kif ukoll iċ-ċiberkriminalità, kawża serja ta’ inċertezza pubblika. Aktar minn qatt qabel, hija meħtieġa kooperazzjoni bejn il-forzi tal-pulizija u l-awtoritajiet ġudizzjarji.</w:t>
      </w:r>
    </w:p>
    <w:p w:rsidR="00C10895" w:rsidRPr="00B0434A" w:rsidRDefault="00C10895" w:rsidP="000A76B9">
      <w:pPr>
        <w:rPr>
          <w:sz w:val="20"/>
          <w:szCs w:val="20"/>
        </w:rPr>
      </w:pPr>
    </w:p>
    <w:p w:rsidR="00C10895" w:rsidRPr="00B0434A" w:rsidRDefault="00C10895" w:rsidP="00380B84">
      <w:pPr>
        <w:pStyle w:val="Heading1"/>
        <w:keepNext/>
        <w:keepLines/>
      </w:pPr>
      <w:r w:rsidRPr="00B0434A">
        <w:t>Dawn l-oqsma huma direttament relatati mal-politika barranija u mal-problema kbira ta’ stati li qed ifallu u gwerer ċivili fil-viċinat tal-Ewropa, kif ukoll mal-flussi migratorji li jirriżultaw minn dan, li attwalment qed jieħdu prevalenza fuq il-kwistjonijiet Ewropej l-oħra kollha. Il-KESE huwa ferm favur politika konġunta dwar il-migrazzjoni li toffri protezzjoni lir-rifuġjati f’konformità mal-liġi internazzjonali, Sistema Komuni tal-Asil, azzjoni sabiex jiġu miġġielda l-migrazzjoni illegali u t-traffikar tal-bnedmin, u l-promozzjoni ta’ rotot legali lejn l-UE. Fl-istess kuntest, l-UE għandha tistabbilixxi sħubijiet xierqa mal-pajjiżi ġirien, u b’mod partikolari għandha tniedi mill-ġdid politika Ewro-Mediterranja reali.</w:t>
      </w:r>
    </w:p>
    <w:p w:rsidR="00C10895" w:rsidRPr="00B0434A" w:rsidRDefault="00C10895" w:rsidP="000A76B9">
      <w:pPr>
        <w:ind w:left="720" w:hanging="720"/>
        <w:rPr>
          <w:sz w:val="20"/>
          <w:szCs w:val="20"/>
        </w:rPr>
      </w:pPr>
    </w:p>
    <w:p w:rsidR="00C10895" w:rsidRPr="00B0434A" w:rsidRDefault="00C10895" w:rsidP="00430A34">
      <w:pPr>
        <w:pStyle w:val="Heading1"/>
      </w:pPr>
      <w:r w:rsidRPr="00B0434A">
        <w:t>L-Ewropa qed taffaċċja l-ikbar sfida sa mill-1945, jiġifieri dik li tieħu ħsieb l-affarijiet tagħha stess. Ir-relazzjonijiet fi ħdan in-NATO u mal-Istati Uniti, u l-ġestjoni Ewropea komuni u effettiva tal-problemi li jinqalgħu fil-viċinat tal-Unjoni Ewropea, kollha jeħtieġu b’urġenza l-approfondiment tal-Politika Estera u ta’ Sigurtà Komuni tal-UE, li sigurtà interna u esterna ta' suċċess bilfors tkun tiddependi fuqhom.</w:t>
      </w:r>
    </w:p>
    <w:p w:rsidR="00C10895" w:rsidRPr="00B0434A" w:rsidRDefault="00C10895" w:rsidP="00430A34">
      <w:pPr>
        <w:ind w:left="567" w:hanging="567"/>
        <w:outlineLvl w:val="0"/>
        <w:rPr>
          <w:sz w:val="20"/>
          <w:szCs w:val="20"/>
        </w:rPr>
      </w:pPr>
    </w:p>
    <w:p w:rsidR="00DE5756" w:rsidRPr="00B0434A" w:rsidRDefault="00C10895" w:rsidP="000A76B9">
      <w:pPr>
        <w:jc w:val="center"/>
      </w:pPr>
      <w:r w:rsidRPr="00B0434A">
        <w:t>_________________</w:t>
      </w:r>
    </w:p>
    <w:sectPr w:rsidR="00DE5756" w:rsidRPr="00B0434A" w:rsidSect="009B54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8C" w:rsidRDefault="00BF718C" w:rsidP="00C10895">
      <w:pPr>
        <w:spacing w:line="240" w:lineRule="auto"/>
      </w:pPr>
      <w:r>
        <w:separator/>
      </w:r>
    </w:p>
    <w:p w:rsidR="00BF718C" w:rsidRDefault="00BF718C"/>
  </w:endnote>
  <w:endnote w:type="continuationSeparator" w:id="0">
    <w:p w:rsidR="00BF718C" w:rsidRDefault="00BF718C" w:rsidP="00C10895">
      <w:pPr>
        <w:spacing w:line="240" w:lineRule="auto"/>
      </w:pPr>
      <w:r>
        <w:continuationSeparator/>
      </w:r>
    </w:p>
    <w:p w:rsidR="00BF718C" w:rsidRDefault="00BF7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12" w:rsidRPr="009B545A" w:rsidRDefault="007F50F0" w:rsidP="009B545A">
    <w:pPr>
      <w:pStyle w:val="Footer"/>
    </w:pPr>
    <w:r>
      <w:t>EESC-2017-02874-00-01</w:t>
    </w:r>
    <w:r w:rsidR="009B545A">
      <w:t xml:space="preserve">-RES-TRA (FR) </w:t>
    </w:r>
    <w:r w:rsidR="009B545A">
      <w:fldChar w:fldCharType="begin"/>
    </w:r>
    <w:r w:rsidR="009B545A">
      <w:instrText xml:space="preserve"> PAGE  \* Arabic  \* MERGEFORMAT </w:instrText>
    </w:r>
    <w:r w:rsidR="009B545A">
      <w:fldChar w:fldCharType="separate"/>
    </w:r>
    <w:r w:rsidR="00B0434A">
      <w:rPr>
        <w:noProof/>
      </w:rPr>
      <w:t>1</w:t>
    </w:r>
    <w:r w:rsidR="009B545A">
      <w:fldChar w:fldCharType="end"/>
    </w:r>
    <w:r w:rsidR="009B545A">
      <w:t>/</w:t>
    </w:r>
    <w:r w:rsidR="009B545A">
      <w:fldChar w:fldCharType="begin"/>
    </w:r>
    <w:r w:rsidR="009B545A">
      <w:instrText xml:space="preserve"> = </w:instrText>
    </w:r>
    <w:fldSimple w:instr=" NUMPAGES ">
      <w:r w:rsidR="00B0434A">
        <w:rPr>
          <w:noProof/>
        </w:rPr>
        <w:instrText>3</w:instrText>
      </w:r>
    </w:fldSimple>
    <w:r w:rsidR="009B545A">
      <w:instrText xml:space="preserve"> -0 </w:instrText>
    </w:r>
    <w:r w:rsidR="009B545A">
      <w:fldChar w:fldCharType="separate"/>
    </w:r>
    <w:r w:rsidR="00B0434A">
      <w:rPr>
        <w:noProof/>
      </w:rPr>
      <w:t>3</w:t>
    </w:r>
    <w:r w:rsidR="009B545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F6" w:rsidRPr="009B545A" w:rsidRDefault="001672F6" w:rsidP="009B54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F6" w:rsidRPr="009B545A" w:rsidRDefault="007F50F0" w:rsidP="009B545A">
    <w:pPr>
      <w:pStyle w:val="Footer"/>
    </w:pPr>
    <w:r>
      <w:t>EESC-2017-02874-00-01</w:t>
    </w:r>
    <w:r w:rsidR="009B545A">
      <w:t xml:space="preserve">-RES-TRA (FR) </w:t>
    </w:r>
    <w:r w:rsidR="009B545A">
      <w:fldChar w:fldCharType="begin"/>
    </w:r>
    <w:r w:rsidR="009B545A">
      <w:instrText xml:space="preserve"> PAGE  \* Arabic  \* MERGEFORMAT </w:instrText>
    </w:r>
    <w:r w:rsidR="009B545A">
      <w:fldChar w:fldCharType="separate"/>
    </w:r>
    <w:r w:rsidR="00B0434A">
      <w:rPr>
        <w:noProof/>
      </w:rPr>
      <w:t>3</w:t>
    </w:r>
    <w:r w:rsidR="009B545A">
      <w:fldChar w:fldCharType="end"/>
    </w:r>
    <w:r w:rsidR="009B545A">
      <w:t>/</w:t>
    </w:r>
    <w:r w:rsidR="009B545A">
      <w:fldChar w:fldCharType="begin"/>
    </w:r>
    <w:r w:rsidR="009B545A">
      <w:instrText xml:space="preserve"> = </w:instrText>
    </w:r>
    <w:fldSimple w:instr=" NUMPAGES ">
      <w:r w:rsidR="00B0434A">
        <w:rPr>
          <w:noProof/>
        </w:rPr>
        <w:instrText>3</w:instrText>
      </w:r>
    </w:fldSimple>
    <w:r w:rsidR="009B545A">
      <w:instrText xml:space="preserve"> -0 </w:instrText>
    </w:r>
    <w:r w:rsidR="009B545A">
      <w:fldChar w:fldCharType="separate"/>
    </w:r>
    <w:r w:rsidR="00B0434A">
      <w:rPr>
        <w:noProof/>
      </w:rPr>
      <w:t>3</w:t>
    </w:r>
    <w:r w:rsidR="009B545A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F6" w:rsidRPr="009B545A" w:rsidRDefault="001672F6" w:rsidP="009B5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8C" w:rsidRDefault="00BF718C" w:rsidP="00380B84">
      <w:pPr>
        <w:spacing w:line="240" w:lineRule="auto"/>
      </w:pPr>
      <w:r>
        <w:separator/>
      </w:r>
    </w:p>
  </w:footnote>
  <w:footnote w:type="continuationSeparator" w:id="0">
    <w:p w:rsidR="00BF718C" w:rsidRDefault="00BF718C" w:rsidP="00C10895">
      <w:pPr>
        <w:spacing w:line="240" w:lineRule="auto"/>
      </w:pPr>
      <w:r>
        <w:continuationSeparator/>
      </w:r>
    </w:p>
    <w:p w:rsidR="00BF718C" w:rsidRDefault="00BF718C"/>
  </w:footnote>
  <w:footnote w:id="1">
    <w:p w:rsidR="001672F6" w:rsidRPr="009B545A" w:rsidRDefault="001672F6" w:rsidP="00DE151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  <w:t>B’din ir-riżoluzzjoni, li l-Kumitat Ekonomiku u Soċjali Ewropew adotta waqt is-sessjoni plenarja tiegħu tal-5 ta’ Lulju 2017, il-KESE qed isegwi t-talba tal-4 ta’ April 2017 mill-President tal-Kummissjoni Ewropea Jean Claude Juncker, li talab lill-KESE biex jistabbilixxi l-ideat u l-prijoritajiet tas-soċjetà ċivili organizzata tal-Ewropa għall-iżvilupp ġejjieni tal-Unjoni Ewropea, abbażi tal-White Paper dwar il-Ġejjieni tal-UE.</w:t>
      </w:r>
    </w:p>
  </w:footnote>
  <w:footnote w:id="2">
    <w:p w:rsidR="001672F6" w:rsidRPr="009B545A" w:rsidRDefault="001672F6" w:rsidP="00DE151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ab/>
        <w:t>Ara l-White Paper dwar il-Ġejjieni tal-Ewropa, Marzu 2017.</w:t>
      </w:r>
    </w:p>
  </w:footnote>
  <w:footnote w:id="3">
    <w:p w:rsidR="00FF41C3" w:rsidRPr="009B545A" w:rsidRDefault="00FF41C3" w:rsidP="00380B84">
      <w:pPr>
        <w:ind w:left="567" w:hanging="567"/>
        <w:rPr>
          <w:sz w:val="16"/>
          <w:szCs w:val="16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16"/>
        </w:rPr>
        <w:t>Dikjarazzjoni mill-mexxejja tas-27 Stat Membru u mill-Kunsill Ewropew, il-Parlament Ewropew u l-Kummissjoni Ewropea fil-25 ta’ Marzu 2017:</w:t>
      </w:r>
    </w:p>
    <w:p w:rsidR="00FF41C3" w:rsidRPr="009B545A" w:rsidRDefault="00FF41C3" w:rsidP="00DE1512">
      <w:pPr>
        <w:pStyle w:val="FootnoteText"/>
        <w:rPr>
          <w:szCs w:val="16"/>
        </w:rPr>
      </w:pPr>
      <w:r>
        <w:tab/>
      </w:r>
      <w:hyperlink r:id="rId1">
        <w:r>
          <w:rPr>
            <w:color w:val="0000FF"/>
            <w:u w:val="single"/>
          </w:rPr>
          <w:t>http://www.consilium.europa.eu/fr/press/press-releases/2017/03/25-rome-declaration/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F6" w:rsidRPr="009B545A" w:rsidRDefault="001672F6" w:rsidP="009B5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F6" w:rsidRPr="009B545A" w:rsidRDefault="001672F6" w:rsidP="009B54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F6" w:rsidRPr="009B545A" w:rsidRDefault="001672F6" w:rsidP="009B5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453307A3"/>
    <w:multiLevelType w:val="hybridMultilevel"/>
    <w:tmpl w:val="4680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305C11"/>
    <w:multiLevelType w:val="hybridMultilevel"/>
    <w:tmpl w:val="76005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95"/>
    <w:rsid w:val="0005327C"/>
    <w:rsid w:val="0005676B"/>
    <w:rsid w:val="0007190C"/>
    <w:rsid w:val="00085B2E"/>
    <w:rsid w:val="000973B5"/>
    <w:rsid w:val="000A6540"/>
    <w:rsid w:val="000A76B9"/>
    <w:rsid w:val="000B2C6F"/>
    <w:rsid w:val="000D33EE"/>
    <w:rsid w:val="000D6AF2"/>
    <w:rsid w:val="000F4121"/>
    <w:rsid w:val="000F562F"/>
    <w:rsid w:val="000F5653"/>
    <w:rsid w:val="001155E9"/>
    <w:rsid w:val="001252A7"/>
    <w:rsid w:val="00135BB6"/>
    <w:rsid w:val="00165B3E"/>
    <w:rsid w:val="001672F6"/>
    <w:rsid w:val="00167BF0"/>
    <w:rsid w:val="00183919"/>
    <w:rsid w:val="0018637E"/>
    <w:rsid w:val="0019510C"/>
    <w:rsid w:val="001A1001"/>
    <w:rsid w:val="001A1582"/>
    <w:rsid w:val="001B149E"/>
    <w:rsid w:val="001B369A"/>
    <w:rsid w:val="001D2E0D"/>
    <w:rsid w:val="001D65F7"/>
    <w:rsid w:val="001F2C84"/>
    <w:rsid w:val="001F7587"/>
    <w:rsid w:val="00203FBF"/>
    <w:rsid w:val="00230C31"/>
    <w:rsid w:val="002511BD"/>
    <w:rsid w:val="002516D5"/>
    <w:rsid w:val="00253311"/>
    <w:rsid w:val="00262B9D"/>
    <w:rsid w:val="002706E1"/>
    <w:rsid w:val="002820E4"/>
    <w:rsid w:val="00296946"/>
    <w:rsid w:val="002A2B0A"/>
    <w:rsid w:val="002A5013"/>
    <w:rsid w:val="002C5707"/>
    <w:rsid w:val="002C658C"/>
    <w:rsid w:val="002C7FD0"/>
    <w:rsid w:val="002E3D64"/>
    <w:rsid w:val="002E4C22"/>
    <w:rsid w:val="00335A8C"/>
    <w:rsid w:val="003443EB"/>
    <w:rsid w:val="003447DA"/>
    <w:rsid w:val="003579CA"/>
    <w:rsid w:val="00361ABD"/>
    <w:rsid w:val="00380B84"/>
    <w:rsid w:val="00382CC6"/>
    <w:rsid w:val="003B5843"/>
    <w:rsid w:val="003C7870"/>
    <w:rsid w:val="003D220F"/>
    <w:rsid w:val="003E1CF7"/>
    <w:rsid w:val="004160CE"/>
    <w:rsid w:val="00417363"/>
    <w:rsid w:val="00430A34"/>
    <w:rsid w:val="004407CB"/>
    <w:rsid w:val="00443F73"/>
    <w:rsid w:val="00466BFD"/>
    <w:rsid w:val="004839A7"/>
    <w:rsid w:val="00485086"/>
    <w:rsid w:val="004E0A55"/>
    <w:rsid w:val="004E1B9D"/>
    <w:rsid w:val="004E7991"/>
    <w:rsid w:val="004F1D7C"/>
    <w:rsid w:val="00503D88"/>
    <w:rsid w:val="005205CF"/>
    <w:rsid w:val="00523033"/>
    <w:rsid w:val="00533006"/>
    <w:rsid w:val="00535328"/>
    <w:rsid w:val="00545F38"/>
    <w:rsid w:val="005539F1"/>
    <w:rsid w:val="00553D22"/>
    <w:rsid w:val="00555B8B"/>
    <w:rsid w:val="00561E07"/>
    <w:rsid w:val="00576E31"/>
    <w:rsid w:val="00591BC9"/>
    <w:rsid w:val="00596D0F"/>
    <w:rsid w:val="005B51D2"/>
    <w:rsid w:val="005C246C"/>
    <w:rsid w:val="005E246B"/>
    <w:rsid w:val="006032A7"/>
    <w:rsid w:val="00610336"/>
    <w:rsid w:val="00622D55"/>
    <w:rsid w:val="0062562D"/>
    <w:rsid w:val="006308F4"/>
    <w:rsid w:val="00643577"/>
    <w:rsid w:val="0064797A"/>
    <w:rsid w:val="00692D00"/>
    <w:rsid w:val="006A5ECF"/>
    <w:rsid w:val="006E195C"/>
    <w:rsid w:val="0070586E"/>
    <w:rsid w:val="0071359C"/>
    <w:rsid w:val="00760039"/>
    <w:rsid w:val="00766BF2"/>
    <w:rsid w:val="00770C91"/>
    <w:rsid w:val="00785F90"/>
    <w:rsid w:val="007A67C7"/>
    <w:rsid w:val="007B19B7"/>
    <w:rsid w:val="007E23AD"/>
    <w:rsid w:val="007F50F0"/>
    <w:rsid w:val="007F754F"/>
    <w:rsid w:val="008026E0"/>
    <w:rsid w:val="00824E3E"/>
    <w:rsid w:val="008429A1"/>
    <w:rsid w:val="00846EDF"/>
    <w:rsid w:val="008539AE"/>
    <w:rsid w:val="00854784"/>
    <w:rsid w:val="00856733"/>
    <w:rsid w:val="00866C40"/>
    <w:rsid w:val="008843E1"/>
    <w:rsid w:val="008861CE"/>
    <w:rsid w:val="008A40A5"/>
    <w:rsid w:val="008A657D"/>
    <w:rsid w:val="008B05AB"/>
    <w:rsid w:val="008B1AA5"/>
    <w:rsid w:val="008C2757"/>
    <w:rsid w:val="008D00C0"/>
    <w:rsid w:val="008D5390"/>
    <w:rsid w:val="008E7E04"/>
    <w:rsid w:val="00904455"/>
    <w:rsid w:val="0091384B"/>
    <w:rsid w:val="00914AE7"/>
    <w:rsid w:val="00923CB9"/>
    <w:rsid w:val="00962F48"/>
    <w:rsid w:val="00965151"/>
    <w:rsid w:val="00977976"/>
    <w:rsid w:val="009972A2"/>
    <w:rsid w:val="009A6630"/>
    <w:rsid w:val="009B1C36"/>
    <w:rsid w:val="009B545A"/>
    <w:rsid w:val="009F191C"/>
    <w:rsid w:val="00A01955"/>
    <w:rsid w:val="00A23F6B"/>
    <w:rsid w:val="00A24F51"/>
    <w:rsid w:val="00A332F3"/>
    <w:rsid w:val="00A85F54"/>
    <w:rsid w:val="00A90D23"/>
    <w:rsid w:val="00A96AF5"/>
    <w:rsid w:val="00AC23F6"/>
    <w:rsid w:val="00AD1CE5"/>
    <w:rsid w:val="00AD27B8"/>
    <w:rsid w:val="00AE2EB3"/>
    <w:rsid w:val="00AF5CFD"/>
    <w:rsid w:val="00AF715D"/>
    <w:rsid w:val="00B0105E"/>
    <w:rsid w:val="00B0434A"/>
    <w:rsid w:val="00B066E1"/>
    <w:rsid w:val="00B157C3"/>
    <w:rsid w:val="00B2494B"/>
    <w:rsid w:val="00B30553"/>
    <w:rsid w:val="00B459CF"/>
    <w:rsid w:val="00B51131"/>
    <w:rsid w:val="00B5167F"/>
    <w:rsid w:val="00B548B0"/>
    <w:rsid w:val="00B60919"/>
    <w:rsid w:val="00B66461"/>
    <w:rsid w:val="00B7108D"/>
    <w:rsid w:val="00B75336"/>
    <w:rsid w:val="00B92EB4"/>
    <w:rsid w:val="00B94B6F"/>
    <w:rsid w:val="00B968AB"/>
    <w:rsid w:val="00B97A90"/>
    <w:rsid w:val="00BA555A"/>
    <w:rsid w:val="00BC0034"/>
    <w:rsid w:val="00BD1325"/>
    <w:rsid w:val="00BE1EC7"/>
    <w:rsid w:val="00BF718C"/>
    <w:rsid w:val="00C10895"/>
    <w:rsid w:val="00C3589B"/>
    <w:rsid w:val="00C417AB"/>
    <w:rsid w:val="00C60899"/>
    <w:rsid w:val="00C66254"/>
    <w:rsid w:val="00C76FDD"/>
    <w:rsid w:val="00C777B7"/>
    <w:rsid w:val="00CB26E4"/>
    <w:rsid w:val="00CE545F"/>
    <w:rsid w:val="00D0478B"/>
    <w:rsid w:val="00D10283"/>
    <w:rsid w:val="00D342DD"/>
    <w:rsid w:val="00D3647D"/>
    <w:rsid w:val="00D76A92"/>
    <w:rsid w:val="00D80F99"/>
    <w:rsid w:val="00D93080"/>
    <w:rsid w:val="00DC17A5"/>
    <w:rsid w:val="00DC4F9A"/>
    <w:rsid w:val="00DE1512"/>
    <w:rsid w:val="00DE4793"/>
    <w:rsid w:val="00DE531F"/>
    <w:rsid w:val="00DE5756"/>
    <w:rsid w:val="00DE6EEC"/>
    <w:rsid w:val="00E01876"/>
    <w:rsid w:val="00E0446F"/>
    <w:rsid w:val="00E1252C"/>
    <w:rsid w:val="00E4574D"/>
    <w:rsid w:val="00E51DD2"/>
    <w:rsid w:val="00E60F5B"/>
    <w:rsid w:val="00E644DA"/>
    <w:rsid w:val="00E95CD1"/>
    <w:rsid w:val="00EA34C7"/>
    <w:rsid w:val="00EC0D70"/>
    <w:rsid w:val="00EC29DB"/>
    <w:rsid w:val="00EE121B"/>
    <w:rsid w:val="00EE1A2D"/>
    <w:rsid w:val="00EE2F88"/>
    <w:rsid w:val="00F12008"/>
    <w:rsid w:val="00F1343E"/>
    <w:rsid w:val="00F172E2"/>
    <w:rsid w:val="00F20AC7"/>
    <w:rsid w:val="00F3357A"/>
    <w:rsid w:val="00F33A5E"/>
    <w:rsid w:val="00F361FF"/>
    <w:rsid w:val="00F36871"/>
    <w:rsid w:val="00F43F5A"/>
    <w:rsid w:val="00F74A2A"/>
    <w:rsid w:val="00F80F00"/>
    <w:rsid w:val="00F87844"/>
    <w:rsid w:val="00FB2608"/>
    <w:rsid w:val="00FB6D4A"/>
    <w:rsid w:val="00FC10AD"/>
    <w:rsid w:val="00FD0F82"/>
    <w:rsid w:val="00FF41C3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5A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B545A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B545A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B545A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B545A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B545A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B545A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B545A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B545A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B545A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895"/>
    <w:rPr>
      <w:rFonts w:ascii="Times New Roman" w:eastAsia="Times New Roman" w:hAnsi="Times New Roman" w:cs="Times New Roman"/>
      <w:kern w:val="28"/>
      <w:lang w:val="mt-MT" w:eastAsia="mt-MT" w:bidi="mt-MT"/>
    </w:rPr>
  </w:style>
  <w:style w:type="character" w:customStyle="1" w:styleId="Heading2Char">
    <w:name w:val="Heading 2 Char"/>
    <w:basedOn w:val="DefaultParagraphFont"/>
    <w:link w:val="Heading2"/>
    <w:rsid w:val="00C10895"/>
    <w:rPr>
      <w:rFonts w:ascii="Times New Roman" w:eastAsia="Times New Roman" w:hAnsi="Times New Roman" w:cs="Times New Roman"/>
      <w:lang w:val="mt-MT" w:eastAsia="mt-MT" w:bidi="mt-MT"/>
    </w:rPr>
  </w:style>
  <w:style w:type="character" w:customStyle="1" w:styleId="Heading3Char">
    <w:name w:val="Heading 3 Char"/>
    <w:basedOn w:val="DefaultParagraphFont"/>
    <w:link w:val="Heading3"/>
    <w:rsid w:val="00C10895"/>
    <w:rPr>
      <w:rFonts w:ascii="Times New Roman" w:eastAsia="Times New Roman" w:hAnsi="Times New Roman" w:cs="Times New Roman"/>
      <w:lang w:val="mt-MT" w:eastAsia="mt-MT" w:bidi="mt-MT"/>
    </w:rPr>
  </w:style>
  <w:style w:type="character" w:customStyle="1" w:styleId="Heading4Char">
    <w:name w:val="Heading 4 Char"/>
    <w:basedOn w:val="DefaultParagraphFont"/>
    <w:link w:val="Heading4"/>
    <w:rsid w:val="00C10895"/>
    <w:rPr>
      <w:rFonts w:ascii="Times New Roman" w:eastAsia="Times New Roman" w:hAnsi="Times New Roman" w:cs="Times New Roman"/>
      <w:lang w:val="mt-MT" w:eastAsia="mt-MT" w:bidi="mt-MT"/>
    </w:rPr>
  </w:style>
  <w:style w:type="character" w:customStyle="1" w:styleId="Heading5Char">
    <w:name w:val="Heading 5 Char"/>
    <w:basedOn w:val="DefaultParagraphFont"/>
    <w:link w:val="Heading5"/>
    <w:rsid w:val="00C10895"/>
    <w:rPr>
      <w:rFonts w:ascii="Times New Roman" w:eastAsia="Times New Roman" w:hAnsi="Times New Roman" w:cs="Times New Roman"/>
      <w:lang w:val="mt-MT" w:eastAsia="mt-MT" w:bidi="mt-MT"/>
    </w:rPr>
  </w:style>
  <w:style w:type="character" w:customStyle="1" w:styleId="Heading6Char">
    <w:name w:val="Heading 6 Char"/>
    <w:basedOn w:val="DefaultParagraphFont"/>
    <w:link w:val="Heading6"/>
    <w:rsid w:val="00C10895"/>
    <w:rPr>
      <w:rFonts w:ascii="Times New Roman" w:eastAsia="Times New Roman" w:hAnsi="Times New Roman" w:cs="Times New Roman"/>
      <w:lang w:val="mt-MT" w:eastAsia="mt-MT" w:bidi="mt-MT"/>
    </w:rPr>
  </w:style>
  <w:style w:type="character" w:customStyle="1" w:styleId="Heading7Char">
    <w:name w:val="Heading 7 Char"/>
    <w:basedOn w:val="DefaultParagraphFont"/>
    <w:link w:val="Heading7"/>
    <w:rsid w:val="00C10895"/>
    <w:rPr>
      <w:rFonts w:ascii="Times New Roman" w:eastAsia="Times New Roman" w:hAnsi="Times New Roman" w:cs="Times New Roman"/>
      <w:lang w:val="mt-MT" w:eastAsia="mt-MT" w:bidi="mt-MT"/>
    </w:rPr>
  </w:style>
  <w:style w:type="character" w:customStyle="1" w:styleId="Heading8Char">
    <w:name w:val="Heading 8 Char"/>
    <w:basedOn w:val="DefaultParagraphFont"/>
    <w:link w:val="Heading8"/>
    <w:rsid w:val="00C10895"/>
    <w:rPr>
      <w:rFonts w:ascii="Times New Roman" w:eastAsia="Times New Roman" w:hAnsi="Times New Roman" w:cs="Times New Roman"/>
      <w:lang w:val="mt-MT" w:eastAsia="mt-MT" w:bidi="mt-MT"/>
    </w:rPr>
  </w:style>
  <w:style w:type="character" w:customStyle="1" w:styleId="Heading9Char">
    <w:name w:val="Heading 9 Char"/>
    <w:basedOn w:val="DefaultParagraphFont"/>
    <w:link w:val="Heading9"/>
    <w:rsid w:val="00C10895"/>
    <w:rPr>
      <w:rFonts w:ascii="Times New Roman" w:eastAsia="Times New Roman" w:hAnsi="Times New Roman" w:cs="Times New Roman"/>
      <w:lang w:val="mt-MT" w:eastAsia="mt-MT" w:bidi="mt-MT"/>
    </w:rPr>
  </w:style>
  <w:style w:type="paragraph" w:styleId="Footer">
    <w:name w:val="footer"/>
    <w:basedOn w:val="Normal"/>
    <w:link w:val="FooterChar"/>
    <w:qFormat/>
    <w:rsid w:val="009B545A"/>
  </w:style>
  <w:style w:type="character" w:customStyle="1" w:styleId="FooterChar">
    <w:name w:val="Footer Char"/>
    <w:basedOn w:val="DefaultParagraphFont"/>
    <w:link w:val="Footer"/>
    <w:rsid w:val="00C10895"/>
    <w:rPr>
      <w:rFonts w:ascii="Times New Roman" w:eastAsia="Times New Roman" w:hAnsi="Times New Roman" w:cs="Times New Roman"/>
      <w:lang w:val="mt-MT" w:eastAsia="mt-MT" w:bidi="mt-MT"/>
    </w:rPr>
  </w:style>
  <w:style w:type="paragraph" w:styleId="FootnoteText">
    <w:name w:val="footnote text"/>
    <w:basedOn w:val="Normal"/>
    <w:link w:val="FootnoteTextChar"/>
    <w:qFormat/>
    <w:rsid w:val="009B545A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C10895"/>
    <w:rPr>
      <w:rFonts w:ascii="Times New Roman" w:eastAsia="Times New Roman" w:hAnsi="Times New Roman" w:cs="Times New Roman"/>
      <w:sz w:val="16"/>
      <w:lang w:val="mt-MT" w:eastAsia="mt-MT" w:bidi="mt-MT"/>
    </w:rPr>
  </w:style>
  <w:style w:type="paragraph" w:styleId="Header">
    <w:name w:val="header"/>
    <w:basedOn w:val="Normal"/>
    <w:link w:val="HeaderChar"/>
    <w:qFormat/>
    <w:rsid w:val="009B545A"/>
  </w:style>
  <w:style w:type="character" w:customStyle="1" w:styleId="HeaderChar">
    <w:name w:val="Header Char"/>
    <w:basedOn w:val="DefaultParagraphFont"/>
    <w:link w:val="Header"/>
    <w:rsid w:val="00C10895"/>
    <w:rPr>
      <w:rFonts w:ascii="Times New Roman" w:eastAsia="Times New Roman" w:hAnsi="Times New Roman" w:cs="Times New Roman"/>
      <w:lang w:val="mt-MT" w:eastAsia="mt-MT" w:bidi="mt-MT"/>
    </w:rPr>
  </w:style>
  <w:style w:type="character" w:styleId="FootnoteReference">
    <w:name w:val="footnote reference"/>
    <w:basedOn w:val="DefaultParagraphFont"/>
    <w:unhideWhenUsed/>
    <w:qFormat/>
    <w:rsid w:val="009B545A"/>
    <w:rPr>
      <w:sz w:val="24"/>
      <w:vertAlign w:val="superscript"/>
    </w:rPr>
  </w:style>
  <w:style w:type="paragraph" w:styleId="Revision">
    <w:name w:val="Revision"/>
    <w:hidden/>
    <w:uiPriority w:val="99"/>
    <w:semiHidden/>
    <w:rsid w:val="006479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quotes">
    <w:name w:val="quotes"/>
    <w:basedOn w:val="Normal"/>
    <w:next w:val="Normal"/>
    <w:rsid w:val="009B545A"/>
    <w:pPr>
      <w:ind w:left="7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34"/>
    <w:rPr>
      <w:rFonts w:ascii="Tahoma" w:eastAsia="Times New Roman" w:hAnsi="Tahoma" w:cs="Tahoma"/>
      <w:sz w:val="16"/>
      <w:szCs w:val="16"/>
      <w:lang w:eastAsia="mt-MT" w:bidi="mt-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5A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B545A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B545A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B545A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B545A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B545A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B545A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B545A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B545A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B545A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895"/>
    <w:rPr>
      <w:rFonts w:ascii="Times New Roman" w:eastAsia="Times New Roman" w:hAnsi="Times New Roman" w:cs="Times New Roman"/>
      <w:kern w:val="28"/>
      <w:lang w:val="mt-MT" w:eastAsia="mt-MT" w:bidi="mt-MT"/>
    </w:rPr>
  </w:style>
  <w:style w:type="character" w:customStyle="1" w:styleId="Heading2Char">
    <w:name w:val="Heading 2 Char"/>
    <w:basedOn w:val="DefaultParagraphFont"/>
    <w:link w:val="Heading2"/>
    <w:rsid w:val="00C10895"/>
    <w:rPr>
      <w:rFonts w:ascii="Times New Roman" w:eastAsia="Times New Roman" w:hAnsi="Times New Roman" w:cs="Times New Roman"/>
      <w:lang w:val="mt-MT" w:eastAsia="mt-MT" w:bidi="mt-MT"/>
    </w:rPr>
  </w:style>
  <w:style w:type="character" w:customStyle="1" w:styleId="Heading3Char">
    <w:name w:val="Heading 3 Char"/>
    <w:basedOn w:val="DefaultParagraphFont"/>
    <w:link w:val="Heading3"/>
    <w:rsid w:val="00C10895"/>
    <w:rPr>
      <w:rFonts w:ascii="Times New Roman" w:eastAsia="Times New Roman" w:hAnsi="Times New Roman" w:cs="Times New Roman"/>
      <w:lang w:val="mt-MT" w:eastAsia="mt-MT" w:bidi="mt-MT"/>
    </w:rPr>
  </w:style>
  <w:style w:type="character" w:customStyle="1" w:styleId="Heading4Char">
    <w:name w:val="Heading 4 Char"/>
    <w:basedOn w:val="DefaultParagraphFont"/>
    <w:link w:val="Heading4"/>
    <w:rsid w:val="00C10895"/>
    <w:rPr>
      <w:rFonts w:ascii="Times New Roman" w:eastAsia="Times New Roman" w:hAnsi="Times New Roman" w:cs="Times New Roman"/>
      <w:lang w:val="mt-MT" w:eastAsia="mt-MT" w:bidi="mt-MT"/>
    </w:rPr>
  </w:style>
  <w:style w:type="character" w:customStyle="1" w:styleId="Heading5Char">
    <w:name w:val="Heading 5 Char"/>
    <w:basedOn w:val="DefaultParagraphFont"/>
    <w:link w:val="Heading5"/>
    <w:rsid w:val="00C10895"/>
    <w:rPr>
      <w:rFonts w:ascii="Times New Roman" w:eastAsia="Times New Roman" w:hAnsi="Times New Roman" w:cs="Times New Roman"/>
      <w:lang w:val="mt-MT" w:eastAsia="mt-MT" w:bidi="mt-MT"/>
    </w:rPr>
  </w:style>
  <w:style w:type="character" w:customStyle="1" w:styleId="Heading6Char">
    <w:name w:val="Heading 6 Char"/>
    <w:basedOn w:val="DefaultParagraphFont"/>
    <w:link w:val="Heading6"/>
    <w:rsid w:val="00C10895"/>
    <w:rPr>
      <w:rFonts w:ascii="Times New Roman" w:eastAsia="Times New Roman" w:hAnsi="Times New Roman" w:cs="Times New Roman"/>
      <w:lang w:val="mt-MT" w:eastAsia="mt-MT" w:bidi="mt-MT"/>
    </w:rPr>
  </w:style>
  <w:style w:type="character" w:customStyle="1" w:styleId="Heading7Char">
    <w:name w:val="Heading 7 Char"/>
    <w:basedOn w:val="DefaultParagraphFont"/>
    <w:link w:val="Heading7"/>
    <w:rsid w:val="00C10895"/>
    <w:rPr>
      <w:rFonts w:ascii="Times New Roman" w:eastAsia="Times New Roman" w:hAnsi="Times New Roman" w:cs="Times New Roman"/>
      <w:lang w:val="mt-MT" w:eastAsia="mt-MT" w:bidi="mt-MT"/>
    </w:rPr>
  </w:style>
  <w:style w:type="character" w:customStyle="1" w:styleId="Heading8Char">
    <w:name w:val="Heading 8 Char"/>
    <w:basedOn w:val="DefaultParagraphFont"/>
    <w:link w:val="Heading8"/>
    <w:rsid w:val="00C10895"/>
    <w:rPr>
      <w:rFonts w:ascii="Times New Roman" w:eastAsia="Times New Roman" w:hAnsi="Times New Roman" w:cs="Times New Roman"/>
      <w:lang w:val="mt-MT" w:eastAsia="mt-MT" w:bidi="mt-MT"/>
    </w:rPr>
  </w:style>
  <w:style w:type="character" w:customStyle="1" w:styleId="Heading9Char">
    <w:name w:val="Heading 9 Char"/>
    <w:basedOn w:val="DefaultParagraphFont"/>
    <w:link w:val="Heading9"/>
    <w:rsid w:val="00C10895"/>
    <w:rPr>
      <w:rFonts w:ascii="Times New Roman" w:eastAsia="Times New Roman" w:hAnsi="Times New Roman" w:cs="Times New Roman"/>
      <w:lang w:val="mt-MT" w:eastAsia="mt-MT" w:bidi="mt-MT"/>
    </w:rPr>
  </w:style>
  <w:style w:type="paragraph" w:styleId="Footer">
    <w:name w:val="footer"/>
    <w:basedOn w:val="Normal"/>
    <w:link w:val="FooterChar"/>
    <w:qFormat/>
    <w:rsid w:val="009B545A"/>
  </w:style>
  <w:style w:type="character" w:customStyle="1" w:styleId="FooterChar">
    <w:name w:val="Footer Char"/>
    <w:basedOn w:val="DefaultParagraphFont"/>
    <w:link w:val="Footer"/>
    <w:rsid w:val="00C10895"/>
    <w:rPr>
      <w:rFonts w:ascii="Times New Roman" w:eastAsia="Times New Roman" w:hAnsi="Times New Roman" w:cs="Times New Roman"/>
      <w:lang w:val="mt-MT" w:eastAsia="mt-MT" w:bidi="mt-MT"/>
    </w:rPr>
  </w:style>
  <w:style w:type="paragraph" w:styleId="FootnoteText">
    <w:name w:val="footnote text"/>
    <w:basedOn w:val="Normal"/>
    <w:link w:val="FootnoteTextChar"/>
    <w:qFormat/>
    <w:rsid w:val="009B545A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C10895"/>
    <w:rPr>
      <w:rFonts w:ascii="Times New Roman" w:eastAsia="Times New Roman" w:hAnsi="Times New Roman" w:cs="Times New Roman"/>
      <w:sz w:val="16"/>
      <w:lang w:val="mt-MT" w:eastAsia="mt-MT" w:bidi="mt-MT"/>
    </w:rPr>
  </w:style>
  <w:style w:type="paragraph" w:styleId="Header">
    <w:name w:val="header"/>
    <w:basedOn w:val="Normal"/>
    <w:link w:val="HeaderChar"/>
    <w:qFormat/>
    <w:rsid w:val="009B545A"/>
  </w:style>
  <w:style w:type="character" w:customStyle="1" w:styleId="HeaderChar">
    <w:name w:val="Header Char"/>
    <w:basedOn w:val="DefaultParagraphFont"/>
    <w:link w:val="Header"/>
    <w:rsid w:val="00C10895"/>
    <w:rPr>
      <w:rFonts w:ascii="Times New Roman" w:eastAsia="Times New Roman" w:hAnsi="Times New Roman" w:cs="Times New Roman"/>
      <w:lang w:val="mt-MT" w:eastAsia="mt-MT" w:bidi="mt-MT"/>
    </w:rPr>
  </w:style>
  <w:style w:type="character" w:styleId="FootnoteReference">
    <w:name w:val="footnote reference"/>
    <w:basedOn w:val="DefaultParagraphFont"/>
    <w:unhideWhenUsed/>
    <w:qFormat/>
    <w:rsid w:val="009B545A"/>
    <w:rPr>
      <w:sz w:val="24"/>
      <w:vertAlign w:val="superscript"/>
    </w:rPr>
  </w:style>
  <w:style w:type="paragraph" w:styleId="Revision">
    <w:name w:val="Revision"/>
    <w:hidden/>
    <w:uiPriority w:val="99"/>
    <w:semiHidden/>
    <w:rsid w:val="006479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quotes">
    <w:name w:val="quotes"/>
    <w:basedOn w:val="Normal"/>
    <w:next w:val="Normal"/>
    <w:rsid w:val="009B545A"/>
    <w:pPr>
      <w:ind w:left="7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A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34"/>
    <w:rPr>
      <w:rFonts w:ascii="Tahoma" w:eastAsia="Times New Roman" w:hAnsi="Tahoma" w:cs="Tahoma"/>
      <w:sz w:val="16"/>
      <w:szCs w:val="16"/>
      <w:lang w:eastAsia="mt-MT" w:bidi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lium.europa.eu/fr/press/press-releases/2017/03/25-rome-declar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WTPCSN73YJ26-5-7847</_dlc_DocId>
    <_dlc_DocIdUrl xmlns="8a3471f6-0f36-4ccf-b5ee-1ca67ea797ef">
      <Url>http://dm/EESC/2017/_layouts/DocIdRedir.aspx?ID=WTPCSN73YJ26-5-7847</Url>
      <Description>WTPCSN73YJ26-5-7847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MeetingNumber xmlns="d1332135-b17a-446f-a1ae-f2f9eb486b6d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2017-07-10T12:00:00+00:00</ProductionDate>
    <FicheYear xmlns="8a3471f6-0f36-4ccf-b5ee-1ca67ea797ef">2017</FicheYear>
    <DocumentNumber xmlns="d1332135-b17a-446f-a1ae-f2f9eb486b6d">2874</DocumentNumber>
    <DocumentVersion xmlns="8a3471f6-0f36-4ccf-b5ee-1ca67ea797ef">1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a3471f6-0f36-4ccf-b5ee-1ca67ea797ef">
      <Value>222</Value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18</Value>
      <Value>15</Value>
      <Value>14</Value>
      <Value>12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MeetingDate xmlns="8a3471f6-0f36-4ccf-b5ee-1ca67ea797ef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8055</FicheNumber>
    <DocumentYear xmlns="8a3471f6-0f36-4ccf-b5ee-1ca67ea797ef">2017</DocumentYear>
    <DocumentPart xmlns="8a3471f6-0f36-4ccf-b5ee-1ca67ea797ef">0</DocumentPart>
    <AdoptionDate xmlns="8a3471f6-0f36-4ccf-b5ee-1ca67ea797ef">2017-07-05T12:00:00+00:00</AdoptionDate>
    <RequestingService xmlns="8a3471f6-0f36-4ccf-b5ee-1ca67ea797ef">Greffe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F2E69B9A178FF4F86235F65FC497A74" ma:contentTypeVersion="4" ma:contentTypeDescription="Defines the documents for Document Manager V2" ma:contentTypeScope="" ma:versionID="7c76dc00318021c4131402d5d550c55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1332135-b17a-446f-a1ae-f2f9eb486b6d" targetNamespace="http://schemas.microsoft.com/office/2006/metadata/properties" ma:root="true" ma:fieldsID="328337ce365f822503f6772e098c50a7" ns2:_="" ns3:_="" ns4:_="">
    <xsd:import namespace="8a3471f6-0f36-4ccf-b5ee-1ca67ea797ef"/>
    <xsd:import namespace="http://schemas.microsoft.com/sharepoint/v3/fields"/>
    <xsd:import namespace="d1332135-b17a-446f-a1ae-f2f9eb486b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2135-b17a-446f-a1ae-f2f9eb486b6d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4FB9-33CE-4DA9-B516-4A51A142C094}"/>
</file>

<file path=customXml/itemProps2.xml><?xml version="1.0" encoding="utf-8"?>
<ds:datastoreItem xmlns:ds="http://schemas.openxmlformats.org/officeDocument/2006/customXml" ds:itemID="{B44ABF4E-61AE-41A9-80B3-6049DBC3569A}"/>
</file>

<file path=customXml/itemProps3.xml><?xml version="1.0" encoding="utf-8"?>
<ds:datastoreItem xmlns:ds="http://schemas.openxmlformats.org/officeDocument/2006/customXml" ds:itemID="{203DF8EE-1967-40B2-95DF-2506972E50B2}"/>
</file>

<file path=customXml/itemProps4.xml><?xml version="1.0" encoding="utf-8"?>
<ds:datastoreItem xmlns:ds="http://schemas.openxmlformats.org/officeDocument/2006/customXml" ds:itemID="{20D0C659-D870-4FF7-ACC1-A35546AF03B0}"/>
</file>

<file path=customXml/itemProps5.xml><?xml version="1.0" encoding="utf-8"?>
<ds:datastoreItem xmlns:ds="http://schemas.openxmlformats.org/officeDocument/2006/customXml" ds:itemID="{74E8C8F3-7E80-4D34-842C-7313CC9ADF38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</TotalTime>
  <Pages>3</Pages>
  <Words>1705</Words>
  <Characters>12330</Characters>
  <Application>Microsoft Office Word</Application>
  <DocSecurity>0</DocSecurity>
  <Lines>208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Pt_C.3_ANN_Projet de résolution_Livre blanc de la Commission sur l'avenir de l'Europe</vt:lpstr>
    </vt:vector>
  </TitlesOfParts>
  <Company>CESE-CdR</Company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Il-White Paper tal-Kummissjoni dwar il-Ġejjieni tal-Ewropa u lil hinn</dc:title>
  <dc:subject>Riżoluzzjoni</dc:subject>
  <dc:creator/>
  <cp:keywords>EESC-2017-02874-00-01-RES-TRA-MT</cp:keywords>
  <dc:description>Rapporteur: -_x000d_
Original language: EN_x000d_
Date of document: 10/07/2017_x000d_
Date of meeting: _x000d_
External documents: -_x000d_
Administrator responsible: Fève Patrick, telephone: +32 (0)2 546 9616_x000d_
_x000d_
Abstract:</dc:description>
  <cp:lastModifiedBy>Sephora Gauci</cp:lastModifiedBy>
  <cp:revision>4</cp:revision>
  <cp:lastPrinted>2017-06-22T09:43:00Z</cp:lastPrinted>
  <dcterms:created xsi:type="dcterms:W3CDTF">2017-07-10T13:25:00Z</dcterms:created>
  <dcterms:modified xsi:type="dcterms:W3CDTF">2017-07-10T13:27:00Z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06/07/2017, 22/06/2017, 13/06/2017, 13/06/2017, 12/06/2017</vt:lpwstr>
  </property>
  <property fmtid="{D5CDD505-2E9C-101B-9397-08002B2CF9AE}" pid="4" name="Pref_Time">
    <vt:lpwstr>10:08:48, 14:53:17, 15:32:11, 12:16:57, 16:54:53</vt:lpwstr>
  </property>
  <property fmtid="{D5CDD505-2E9C-101B-9397-08002B2CF9AE}" pid="5" name="Pref_User">
    <vt:lpwstr>enied, enied, amett, YMUR, hnic</vt:lpwstr>
  </property>
  <property fmtid="{D5CDD505-2E9C-101B-9397-08002B2CF9AE}" pid="6" name="Pref_FileName">
    <vt:lpwstr>EESC-2017-02874-00-00-RES-TRA-FR-CRR.docx, EESC-2017-02874-00-00-PRES-ORI.docx, EESC-2017-02507-04-01-TCD-TRA-EN-CRR.docx, EESC-2017-02507-04-01-TCD-CRR-EN.docx, EESC-2017-02507-04-00-TCD-ORI.docx</vt:lpwstr>
  </property>
  <property fmtid="{D5CDD505-2E9C-101B-9397-08002B2CF9AE}" pid="7" name="ContentTypeId">
    <vt:lpwstr>0x010100EA97B91038054C99906057A708A1480A003F2E69B9A178FF4F86235F65FC497A74</vt:lpwstr>
  </property>
  <property fmtid="{D5CDD505-2E9C-101B-9397-08002B2CF9AE}" pid="8" name="_dlc_DocIdItemGuid">
    <vt:lpwstr>57df3faa-9280-41d5-b401-3419d66204bd</vt:lpwstr>
  </property>
  <property fmtid="{D5CDD505-2E9C-101B-9397-08002B2CF9AE}" pid="9" name="DocumentType_0">
    <vt:lpwstr>RES|9e3e62eb-6858-4bc7-8a50-3453e395fd01</vt:lpwstr>
  </property>
  <property fmtid="{D5CDD505-2E9C-101B-9397-08002B2CF9AE}" pid="10" name="AvailableTranslations">
    <vt:lpwstr>4;#EN|f2175f21-25d7-44a3-96da-d6a61b075e1b;#14;#ES|e7a6b05b-ae16-40c8-add9-68b64b03aeba;#36;#BG|1a1b3951-7821-4e6a-85f5-5673fc08bd2c;#27;#CS|72f9705b-0217-4fd3-bea2-cbc7ed80e26e;#29;#HU|6b229040-c589-4408-b4c1-4285663d20a8;#22;#IT|0774613c-01ed-4e5d-a25d-11d2388de825;#32;#MT|7df99101-6854-4a26-b53a-b88c0da02c26;#8;#FR|d2afafd3-4c81-4f60-8f52-ee33f2f54ff3;#37;#RO|feb747a2-64cd-4299-af12-4833ddc30497;#18;#DE|f6b31e5a-26fa-4935-b661-318e46daf27e;#34;#SK|46d9fce0-ef79-4f71-b89b-cd6aa82426b8;#25;#FI|87606a43-d45f-42d6-b8c9-e1a3457db5b7;#30;#LV|46f7e311-5d9f-4663-b433-18aeccb7ace7;#38;#HR|2f555653-ed1a-4fe6-8362-9082d95989e5;#28;#ET|ff6c3f4c-b02c-4c3c-ab07-2c37995a7a0a;#24;#EL|6d4f4d51-af9b-4650-94b4-4276bee85c91;#31;#LT|a7ff5ce7-6123-4f68-865a-a57c31810414;#33;#PL|1e03da61-4678-4e07-b136-b5024ca9197b;#35;#SL|98a412ae-eb01-49e9-ae3d-585a81724cfc;#23;#DA|5d49c027-8956-412b-aa16-e85a0f96ad0e;#12;#NL|55c6556c-b4f4-441d-9acf-c498d4f838bd;#15;#PT|50ccc04a-eadd-42ae-a0cb-acaf45f812ba;#26;#SV|c2ed69e7-a339-43d7-8f22-d93680a92aa0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2874</vt:i4>
  </property>
  <property fmtid="{D5CDD505-2E9C-101B-9397-08002B2CF9AE}" pid="15" name="DocumentVersion">
    <vt:i4>1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222;#RES|9e3e62eb-6858-4bc7-8a50-3453e395fd01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Greffe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222;#RES|9e3e62eb-6858-4bc7-8a50-3453e395fd01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0" name="AvailableTranslations_0">
    <vt:lpwstr>EN|f2175f21-25d7-44a3-96da-d6a61b075e1b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8055</vt:i4>
  </property>
  <property fmtid="{D5CDD505-2E9C-101B-9397-08002B2CF9AE}" pid="34" name="DocumentYear">
    <vt:i4>2017</vt:i4>
  </property>
  <property fmtid="{D5CDD505-2E9C-101B-9397-08002B2CF9AE}" pid="35" name="DocumentLanguage">
    <vt:lpwstr>32;#MT|7df99101-6854-4a26-b53a-b88c0da02c26</vt:lpwstr>
  </property>
  <property fmtid="{D5CDD505-2E9C-101B-9397-08002B2CF9AE}" pid="36" name="StyleCheckSum">
    <vt:lpwstr>32471_C12905_P135_L28</vt:lpwstr>
  </property>
  <property fmtid="{D5CDD505-2E9C-101B-9397-08002B2CF9AE}" pid="37" name="DocumentLanguage_0">
    <vt:lpwstr>EN|f2175f21-25d7-44a3-96da-d6a61b075e1b</vt:lpwstr>
  </property>
  <property fmtid="{D5CDD505-2E9C-101B-9397-08002B2CF9AE}" pid="38" name="AdoptionDate">
    <vt:filetime>2017-07-05T12:00:00Z</vt:filetime>
  </property>
</Properties>
</file>