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542774" w:rsidRDefault="0085249A" w:rsidP="00780E20">
      <w:pPr>
        <w:snapToGrid w:val="0"/>
        <w:jc w:val="center"/>
        <w:rPr>
          <w:lang w:val="es-ES_tradnl"/>
        </w:rPr>
      </w:pPr>
      <w:r w:rsidRPr="00542774">
        <w:rPr>
          <w:sz w:val="20"/>
          <w:lang w:val="es-ES_tradnl" w:eastAsia="fr-BE" w:bidi="ar-SA"/>
        </w:rPr>
        <mc:AlternateContent>
          <mc:Choice Requires="wps">
            <w:drawing>
              <wp:anchor distT="0" distB="0" distL="114300" distR="114300" simplePos="0" relativeHeight="251659264" behindDoc="1" locked="0" layoutInCell="0" allowOverlap="1" wp14:anchorId="2A449334" wp14:editId="23CFF7A7">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49A" w:rsidRPr="0085249A" w:rsidRDefault="0085249A" w:rsidP="0085249A">
                            <w:pPr>
                              <w:jc w:val="center"/>
                              <w:rPr>
                                <w:rFonts w:ascii="Arial" w:hAnsi="Arial" w:cs="Arial"/>
                                <w:b/>
                                <w:bCs/>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85249A" w:rsidRPr="0085249A" w:rsidRDefault="0085249A" w:rsidP="0085249A">
                      <w:pPr>
                        <w:jc w:val="center"/>
                        <w:rPr>
                          <w:rFonts w:ascii="Arial" w:hAnsi="Arial" w:cs="Arial"/>
                          <w:b/>
                          <w:bCs/>
                          <w:sz w:val="48"/>
                        </w:rPr>
                      </w:pPr>
                      <w:r>
                        <w:rPr>
                          <w:rFonts w:ascii="Arial" w:hAnsi="Arial"/>
                          <w:b/>
                          <w:sz w:val="48"/>
                        </w:rPr>
                        <w:t>ES</w:t>
                      </w:r>
                    </w:p>
                  </w:txbxContent>
                </v:textbox>
                <w10:wrap anchorx="page" anchory="page"/>
              </v:shape>
            </w:pict>
          </mc:Fallback>
        </mc:AlternateContent>
      </w:r>
      <w:r w:rsidRPr="00542774">
        <w:rPr>
          <w:lang w:val="es-ES_tradnl" w:eastAsia="fr-BE" w:bidi="ar-SA"/>
        </w:rPr>
        <w:drawing>
          <wp:inline distT="0" distB="0" distL="0" distR="0" wp14:anchorId="7C5C7943" wp14:editId="02A4F701">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542774" w:rsidRDefault="008405A0" w:rsidP="00780E20">
      <w:pPr>
        <w:snapToGrid w:val="0"/>
        <w:jc w:val="center"/>
        <w:rPr>
          <w:rFonts w:ascii="Arial" w:eastAsia="MS Mincho" w:hAnsi="Arial" w:cs="Arial"/>
          <w:b/>
          <w:i/>
          <w:sz w:val="20"/>
          <w:lang w:val="es-ES_tradnl"/>
        </w:rPr>
      </w:pPr>
      <w:r w:rsidRPr="00542774">
        <w:rPr>
          <w:rFonts w:ascii="Arial" w:hAnsi="Arial"/>
          <w:b/>
          <w:i/>
          <w:sz w:val="20"/>
          <w:lang w:val="es-ES_tradnl"/>
        </w:rPr>
        <w:t>Comité Económico y Social Europeo</w:t>
      </w:r>
    </w:p>
    <w:p w:rsidR="008405A0" w:rsidRPr="00542774" w:rsidRDefault="008405A0" w:rsidP="00780E20">
      <w:pPr>
        <w:snapToGrid w:val="0"/>
        <w:rPr>
          <w:lang w:val="es-ES_tradnl"/>
        </w:rPr>
      </w:pPr>
    </w:p>
    <w:p w:rsidR="008405A0" w:rsidRPr="00542774" w:rsidRDefault="008405A0" w:rsidP="00780E20">
      <w:pPr>
        <w:snapToGrid w:val="0"/>
        <w:rPr>
          <w:lang w:val="es-ES_tradnl"/>
        </w:rPr>
      </w:pPr>
    </w:p>
    <w:p w:rsidR="008405A0" w:rsidRPr="00542774" w:rsidRDefault="008405A0" w:rsidP="00780E20">
      <w:pPr>
        <w:snapToGrid w:val="0"/>
        <w:jc w:val="right"/>
        <w:rPr>
          <w:rFonts w:eastAsia="MS Mincho"/>
          <w:lang w:val="es-ES_tradnl"/>
        </w:rPr>
      </w:pPr>
      <w:r w:rsidRPr="00542774">
        <w:rPr>
          <w:lang w:val="es-ES_tradnl"/>
        </w:rPr>
        <w:t>Bruselas, 5 de mayo de 2017</w:t>
      </w:r>
    </w:p>
    <w:p w:rsidR="008405A0" w:rsidRPr="00542774" w:rsidRDefault="008405A0" w:rsidP="00780E20">
      <w:pPr>
        <w:snapToGrid w:val="0"/>
        <w:rPr>
          <w:lang w:val="es-ES_tradnl"/>
        </w:rPr>
      </w:pPr>
    </w:p>
    <w:p w:rsidR="008405A0" w:rsidRPr="00542774" w:rsidRDefault="008405A0">
      <w:pPr>
        <w:snapToGrid w:val="0"/>
        <w:rPr>
          <w:lang w:val="es-ES_tradnl"/>
        </w:rPr>
      </w:pPr>
    </w:p>
    <w:p w:rsidR="00AF6F3E" w:rsidRPr="00542774" w:rsidRDefault="00AF6F3E">
      <w:pPr>
        <w:snapToGrid w:val="0"/>
        <w:rPr>
          <w:lang w:val="es-ES_tradnl"/>
        </w:rPr>
      </w:pPr>
    </w:p>
    <w:p w:rsidR="006819C8" w:rsidRPr="00542774" w:rsidRDefault="006819C8">
      <w:pPr>
        <w:snapToGrid w:val="0"/>
        <w:rPr>
          <w:lang w:val="es-ES_tradnl"/>
        </w:rPr>
      </w:pPr>
    </w:p>
    <w:tbl>
      <w:tblPr>
        <w:tblW w:w="0" w:type="auto"/>
        <w:tblLayout w:type="fixed"/>
        <w:tblLook w:val="0000" w:firstRow="0" w:lastRow="0" w:firstColumn="0" w:lastColumn="0" w:noHBand="0" w:noVBand="0"/>
      </w:tblPr>
      <w:tblGrid>
        <w:gridCol w:w="9289"/>
      </w:tblGrid>
      <w:tr w:rsidR="008405A0" w:rsidRPr="00542774" w:rsidTr="00A72D7A">
        <w:tc>
          <w:tcPr>
            <w:tcW w:w="9289" w:type="dxa"/>
            <w:tcBorders>
              <w:top w:val="nil"/>
              <w:left w:val="nil"/>
              <w:bottom w:val="double" w:sz="4" w:space="0" w:color="auto"/>
              <w:right w:val="nil"/>
            </w:tcBorders>
          </w:tcPr>
          <w:p w:rsidR="008405A0" w:rsidRPr="00542774" w:rsidRDefault="0072400C">
            <w:pPr>
              <w:snapToGrid w:val="0"/>
              <w:jc w:val="center"/>
              <w:rPr>
                <w:rFonts w:eastAsia="MS Mincho"/>
                <w:b/>
                <w:sz w:val="32"/>
                <w:lang w:val="es-ES_tradnl"/>
              </w:rPr>
            </w:pPr>
            <w:r w:rsidRPr="00542774">
              <w:rPr>
                <w:b/>
                <w:sz w:val="32"/>
                <w:lang w:val="es-ES_tradnl"/>
              </w:rPr>
              <w:t xml:space="preserve">PLENO </w:t>
            </w:r>
            <w:r w:rsidRPr="00542774">
              <w:rPr>
                <w:b/>
                <w:sz w:val="32"/>
                <w:lang w:val="es-ES_tradnl"/>
              </w:rPr>
              <w:br/>
              <w:t xml:space="preserve"> </w:t>
            </w:r>
            <w:r w:rsidRPr="00542774">
              <w:rPr>
                <w:b/>
                <w:sz w:val="32"/>
                <w:lang w:val="es-ES_tradnl"/>
              </w:rPr>
              <w:br/>
              <w:t xml:space="preserve">DE LOS DÍAS 26 Y 27 DE ABRIL DE 2017 </w:t>
            </w:r>
            <w:r w:rsidRPr="00542774">
              <w:rPr>
                <w:b/>
                <w:sz w:val="32"/>
                <w:lang w:val="es-ES_tradnl"/>
              </w:rPr>
              <w:br/>
              <w:t xml:space="preserve"> </w:t>
            </w:r>
            <w:r w:rsidRPr="00542774">
              <w:rPr>
                <w:b/>
                <w:sz w:val="32"/>
                <w:lang w:val="es-ES_tradnl"/>
              </w:rPr>
              <w:br/>
              <w:t>SÍNTESIS DE LOS DICTÁMENES APROBADOS</w:t>
            </w:r>
          </w:p>
          <w:p w:rsidR="008405A0" w:rsidRPr="00542774" w:rsidRDefault="008405A0">
            <w:pPr>
              <w:rPr>
                <w:lang w:val="es-ES_tradnl"/>
              </w:rPr>
            </w:pPr>
          </w:p>
          <w:p w:rsidR="008405A0" w:rsidRPr="00542774" w:rsidRDefault="008405A0">
            <w:pPr>
              <w:rPr>
                <w:lang w:val="es-ES_tradnl"/>
              </w:rPr>
            </w:pPr>
          </w:p>
        </w:tc>
      </w:tr>
      <w:tr w:rsidR="008405A0" w:rsidRPr="00542774" w:rsidTr="00A72D7A">
        <w:tc>
          <w:tcPr>
            <w:tcW w:w="9289" w:type="dxa"/>
            <w:tcBorders>
              <w:top w:val="double" w:sz="4" w:space="0" w:color="auto"/>
              <w:left w:val="double" w:sz="4" w:space="0" w:color="auto"/>
              <w:bottom w:val="double" w:sz="4" w:space="0" w:color="auto"/>
              <w:right w:val="double" w:sz="4" w:space="0" w:color="auto"/>
            </w:tcBorders>
          </w:tcPr>
          <w:p w:rsidR="008405A0" w:rsidRPr="00542774" w:rsidRDefault="00A31921" w:rsidP="00780E20">
            <w:pPr>
              <w:snapToGrid w:val="0"/>
              <w:jc w:val="center"/>
              <w:rPr>
                <w:rFonts w:eastAsia="MS Mincho"/>
                <w:b/>
                <w:lang w:val="es-ES_tradnl"/>
              </w:rPr>
            </w:pPr>
            <w:r w:rsidRPr="00542774">
              <w:rPr>
                <w:b/>
                <w:lang w:val="es-ES_tradnl"/>
              </w:rPr>
              <w:t>Este documento puede consultarse en todas las lenguas oficiales en el sitio Internet del Comité en la siguiente dirección:</w:t>
            </w:r>
          </w:p>
          <w:p w:rsidR="008405A0" w:rsidRPr="00542774" w:rsidRDefault="008405A0">
            <w:pPr>
              <w:snapToGrid w:val="0"/>
              <w:jc w:val="center"/>
              <w:rPr>
                <w:b/>
                <w:lang w:val="es-ES_tradnl"/>
              </w:rPr>
            </w:pPr>
          </w:p>
          <w:p w:rsidR="008405A0" w:rsidRPr="00542774" w:rsidRDefault="00542774">
            <w:pPr>
              <w:jc w:val="center"/>
              <w:rPr>
                <w:rFonts w:eastAsia="MS Mincho"/>
                <w:b/>
                <w:lang w:val="es-ES_tradnl"/>
              </w:rPr>
            </w:pPr>
            <w:hyperlink r:id="rId14" w:anchor="/boxTab1-2">
              <w:r w:rsidR="001D1144" w:rsidRPr="00542774">
                <w:rPr>
                  <w:rStyle w:val="Hyperlink"/>
                  <w:b/>
                  <w:lang w:val="es-ES_tradnl"/>
                </w:rPr>
                <w:t>http://www.eesc.europa.eu/?i=portal.es.documents#/boxTab1-2</w:t>
              </w:r>
            </w:hyperlink>
          </w:p>
          <w:p w:rsidR="008405A0" w:rsidRPr="00542774" w:rsidRDefault="008405A0">
            <w:pPr>
              <w:snapToGrid w:val="0"/>
              <w:jc w:val="center"/>
              <w:rPr>
                <w:lang w:val="es-ES_tradnl"/>
              </w:rPr>
            </w:pPr>
          </w:p>
          <w:p w:rsidR="008405A0" w:rsidRPr="00542774" w:rsidRDefault="008405A0">
            <w:pPr>
              <w:snapToGrid w:val="0"/>
              <w:jc w:val="center"/>
              <w:rPr>
                <w:rFonts w:eastAsia="SimSun"/>
                <w:b/>
                <w:lang w:val="es-ES_tradnl"/>
              </w:rPr>
            </w:pPr>
          </w:p>
          <w:p w:rsidR="008405A0" w:rsidRPr="00542774" w:rsidRDefault="008405A0">
            <w:pPr>
              <w:snapToGrid w:val="0"/>
              <w:jc w:val="center"/>
              <w:rPr>
                <w:rFonts w:eastAsia="MS Mincho"/>
                <w:b/>
                <w:lang w:val="es-ES_tradnl"/>
              </w:rPr>
            </w:pPr>
            <w:r w:rsidRPr="00542774">
              <w:rPr>
                <w:b/>
                <w:lang w:val="es-ES_tradnl"/>
              </w:rPr>
              <w:t>Los dictámenes mencionados pueden consultarse en línea a partir del motor de búsqueda del Comité:</w:t>
            </w:r>
          </w:p>
          <w:p w:rsidR="008405A0" w:rsidRPr="00542774" w:rsidRDefault="008405A0">
            <w:pPr>
              <w:snapToGrid w:val="0"/>
              <w:jc w:val="center"/>
              <w:rPr>
                <w:b/>
                <w:lang w:val="es-ES_tradnl"/>
              </w:rPr>
            </w:pPr>
          </w:p>
          <w:p w:rsidR="008405A0" w:rsidRPr="00542774" w:rsidRDefault="00542774">
            <w:pPr>
              <w:jc w:val="center"/>
              <w:rPr>
                <w:rFonts w:eastAsia="MS Mincho"/>
                <w:b/>
                <w:lang w:val="es-ES_tradnl"/>
              </w:rPr>
            </w:pPr>
            <w:hyperlink r:id="rId15">
              <w:r w:rsidR="001D1144" w:rsidRPr="00542774">
                <w:rPr>
                  <w:rStyle w:val="Hyperlink"/>
                  <w:b/>
                  <w:lang w:val="es-ES_tradnl"/>
                </w:rPr>
                <w:t>http://www.eesc.europa.eu/?i=portal.fr.opinions-search</w:t>
              </w:r>
            </w:hyperlink>
          </w:p>
          <w:p w:rsidR="008405A0" w:rsidRPr="00542774" w:rsidRDefault="008405A0">
            <w:pPr>
              <w:snapToGrid w:val="0"/>
              <w:jc w:val="center"/>
              <w:rPr>
                <w:b/>
                <w:bCs/>
                <w:lang w:val="es-ES_tradnl"/>
              </w:rPr>
            </w:pPr>
          </w:p>
        </w:tc>
      </w:tr>
    </w:tbl>
    <w:p w:rsidR="008F7791" w:rsidRPr="00542774" w:rsidRDefault="008F7791">
      <w:pPr>
        <w:rPr>
          <w:rFonts w:eastAsia="SimSun"/>
          <w:sz w:val="28"/>
          <w:lang w:val="es-ES_tradnl"/>
        </w:rPr>
      </w:pPr>
    </w:p>
    <w:p w:rsidR="00A9340A" w:rsidRPr="00542774" w:rsidRDefault="00A9340A">
      <w:pPr>
        <w:rPr>
          <w:rFonts w:eastAsia="SimSun"/>
          <w:sz w:val="28"/>
          <w:lang w:val="es-ES_tradnl"/>
        </w:rPr>
        <w:sectPr w:rsidR="00A9340A" w:rsidRPr="00542774" w:rsidSect="0085249A">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542774" w:rsidRDefault="008405A0">
      <w:pPr>
        <w:snapToGrid w:val="0"/>
        <w:rPr>
          <w:b/>
          <w:lang w:val="es-ES_tradnl"/>
        </w:rPr>
      </w:pPr>
      <w:bookmarkStart w:id="0" w:name="_GoBack"/>
      <w:bookmarkEnd w:id="0"/>
      <w:r w:rsidRPr="00542774">
        <w:rPr>
          <w:b/>
          <w:lang w:val="es-ES_tradnl"/>
        </w:rPr>
        <w:lastRenderedPageBreak/>
        <w:t>Sumario:</w:t>
      </w:r>
    </w:p>
    <w:p w:rsidR="00D16D76" w:rsidRPr="00542774" w:rsidRDefault="00D16D76">
      <w:pPr>
        <w:rPr>
          <w:lang w:val="es-ES_tradnl"/>
        </w:rPr>
      </w:pPr>
    </w:p>
    <w:p w:rsidR="00CB225C" w:rsidRPr="00542774" w:rsidRDefault="00FC45F0">
      <w:pPr>
        <w:pStyle w:val="TOC1"/>
        <w:rPr>
          <w:rFonts w:asciiTheme="minorHAnsi" w:eastAsiaTheme="minorEastAsia" w:hAnsiTheme="minorHAnsi" w:cstheme="minorBidi"/>
          <w:lang w:val="es-ES_tradnl" w:eastAsia="fr-BE" w:bidi="ar-SA"/>
        </w:rPr>
      </w:pPr>
      <w:r w:rsidRPr="00542774">
        <w:rPr>
          <w:b/>
          <w:lang w:val="es-ES_tradnl"/>
        </w:rPr>
        <w:fldChar w:fldCharType="begin"/>
      </w:r>
      <w:r w:rsidRPr="00542774">
        <w:rPr>
          <w:b/>
          <w:lang w:val="es-ES_tradnl"/>
        </w:rPr>
        <w:instrText xml:space="preserve"> TOC \o "1-1" \h \z \u </w:instrText>
      </w:r>
      <w:r w:rsidRPr="00542774">
        <w:rPr>
          <w:b/>
          <w:lang w:val="es-ES_tradnl"/>
        </w:rPr>
        <w:fldChar w:fldCharType="separate"/>
      </w:r>
      <w:hyperlink w:anchor="_Toc482864438" w:history="1">
        <w:r w:rsidR="00CB225C" w:rsidRPr="00542774">
          <w:rPr>
            <w:rStyle w:val="Hyperlink"/>
            <w:caps/>
            <w:lang w:val="es-ES_tradnl"/>
          </w:rPr>
          <w:t>1.</w:t>
        </w:r>
        <w:r w:rsidR="00CB225C" w:rsidRPr="00542774">
          <w:rPr>
            <w:rFonts w:asciiTheme="minorHAnsi" w:eastAsiaTheme="minorEastAsia" w:hAnsiTheme="minorHAnsi" w:cstheme="minorBidi"/>
            <w:lang w:val="es-ES_tradnl" w:eastAsia="fr-BE" w:bidi="ar-SA"/>
          </w:rPr>
          <w:tab/>
        </w:r>
        <w:r w:rsidR="00CB225C" w:rsidRPr="00542774">
          <w:rPr>
            <w:rStyle w:val="Hyperlink"/>
            <w:b/>
            <w:caps/>
            <w:lang w:val="es-ES_tradnl"/>
          </w:rPr>
          <w:t>Asuntos institucionales</w:t>
        </w:r>
        <w:r w:rsidR="00CB225C" w:rsidRPr="00542774">
          <w:rPr>
            <w:webHidden/>
            <w:lang w:val="es-ES_tradnl"/>
          </w:rPr>
          <w:tab/>
        </w:r>
        <w:r w:rsidR="00CB225C" w:rsidRPr="00542774">
          <w:rPr>
            <w:webHidden/>
            <w:lang w:val="es-ES_tradnl"/>
          </w:rPr>
          <w:fldChar w:fldCharType="begin"/>
        </w:r>
        <w:r w:rsidR="00CB225C" w:rsidRPr="00542774">
          <w:rPr>
            <w:webHidden/>
            <w:lang w:val="es-ES_tradnl"/>
          </w:rPr>
          <w:instrText xml:space="preserve"> PAGEREF _Toc482864438 \h </w:instrText>
        </w:r>
        <w:r w:rsidR="00CB225C" w:rsidRPr="00542774">
          <w:rPr>
            <w:webHidden/>
            <w:lang w:val="es-ES_tradnl"/>
          </w:rPr>
        </w:r>
        <w:r w:rsidR="00CB225C" w:rsidRPr="00542774">
          <w:rPr>
            <w:webHidden/>
            <w:lang w:val="es-ES_tradnl"/>
          </w:rPr>
          <w:fldChar w:fldCharType="separate"/>
        </w:r>
        <w:r w:rsidR="007D1D16" w:rsidRPr="00542774">
          <w:rPr>
            <w:webHidden/>
            <w:lang w:val="es-ES_tradnl"/>
          </w:rPr>
          <w:t>3</w:t>
        </w:r>
        <w:r w:rsidR="00CB225C" w:rsidRPr="00542774">
          <w:rPr>
            <w:webHidden/>
            <w:lang w:val="es-ES_tradnl"/>
          </w:rPr>
          <w:fldChar w:fldCharType="end"/>
        </w:r>
      </w:hyperlink>
    </w:p>
    <w:p w:rsidR="00CB225C" w:rsidRPr="00542774" w:rsidRDefault="00542774">
      <w:pPr>
        <w:pStyle w:val="TOC1"/>
        <w:rPr>
          <w:rFonts w:asciiTheme="minorHAnsi" w:eastAsiaTheme="minorEastAsia" w:hAnsiTheme="minorHAnsi" w:cstheme="minorBidi"/>
          <w:lang w:val="es-ES_tradnl" w:eastAsia="fr-BE" w:bidi="ar-SA"/>
        </w:rPr>
      </w:pPr>
      <w:hyperlink w:anchor="_Toc482864439" w:history="1">
        <w:r w:rsidR="00CB225C" w:rsidRPr="00542774">
          <w:rPr>
            <w:rStyle w:val="Hyperlink"/>
            <w:caps/>
            <w:lang w:val="es-ES_tradnl"/>
          </w:rPr>
          <w:t>2.</w:t>
        </w:r>
        <w:r w:rsidR="00CB225C" w:rsidRPr="00542774">
          <w:rPr>
            <w:rFonts w:asciiTheme="minorHAnsi" w:eastAsiaTheme="minorEastAsia" w:hAnsiTheme="minorHAnsi" w:cstheme="minorBidi"/>
            <w:lang w:val="es-ES_tradnl" w:eastAsia="fr-BE" w:bidi="ar-SA"/>
          </w:rPr>
          <w:tab/>
        </w:r>
        <w:r w:rsidR="00CB225C" w:rsidRPr="00542774">
          <w:rPr>
            <w:rStyle w:val="Hyperlink"/>
            <w:b/>
            <w:caps/>
            <w:lang w:val="es-ES_tradnl"/>
          </w:rPr>
          <w:t>Gobernanza económica e instrumentos financieros</w:t>
        </w:r>
        <w:r w:rsidR="00CB225C" w:rsidRPr="00542774">
          <w:rPr>
            <w:webHidden/>
            <w:lang w:val="es-ES_tradnl"/>
          </w:rPr>
          <w:tab/>
        </w:r>
        <w:r w:rsidR="00CB225C" w:rsidRPr="00542774">
          <w:rPr>
            <w:webHidden/>
            <w:lang w:val="es-ES_tradnl"/>
          </w:rPr>
          <w:fldChar w:fldCharType="begin"/>
        </w:r>
        <w:r w:rsidR="00CB225C" w:rsidRPr="00542774">
          <w:rPr>
            <w:webHidden/>
            <w:lang w:val="es-ES_tradnl"/>
          </w:rPr>
          <w:instrText xml:space="preserve"> PAGEREF _Toc482864439 \h </w:instrText>
        </w:r>
        <w:r w:rsidR="00CB225C" w:rsidRPr="00542774">
          <w:rPr>
            <w:webHidden/>
            <w:lang w:val="es-ES_tradnl"/>
          </w:rPr>
        </w:r>
        <w:r w:rsidR="00CB225C" w:rsidRPr="00542774">
          <w:rPr>
            <w:webHidden/>
            <w:lang w:val="es-ES_tradnl"/>
          </w:rPr>
          <w:fldChar w:fldCharType="separate"/>
        </w:r>
        <w:r w:rsidR="007D1D16" w:rsidRPr="00542774">
          <w:rPr>
            <w:webHidden/>
            <w:lang w:val="es-ES_tradnl"/>
          </w:rPr>
          <w:t>4</w:t>
        </w:r>
        <w:r w:rsidR="00CB225C" w:rsidRPr="00542774">
          <w:rPr>
            <w:webHidden/>
            <w:lang w:val="es-ES_tradnl"/>
          </w:rPr>
          <w:fldChar w:fldCharType="end"/>
        </w:r>
      </w:hyperlink>
    </w:p>
    <w:p w:rsidR="00CB225C" w:rsidRPr="00542774" w:rsidRDefault="00542774">
      <w:pPr>
        <w:pStyle w:val="TOC1"/>
        <w:rPr>
          <w:rFonts w:asciiTheme="minorHAnsi" w:eastAsiaTheme="minorEastAsia" w:hAnsiTheme="minorHAnsi" w:cstheme="minorBidi"/>
          <w:lang w:val="es-ES_tradnl" w:eastAsia="fr-BE" w:bidi="ar-SA"/>
        </w:rPr>
      </w:pPr>
      <w:hyperlink w:anchor="_Toc482864440" w:history="1">
        <w:r w:rsidR="00CB225C" w:rsidRPr="00542774">
          <w:rPr>
            <w:rStyle w:val="Hyperlink"/>
            <w:caps/>
            <w:lang w:val="es-ES_tradnl"/>
          </w:rPr>
          <w:t>3.</w:t>
        </w:r>
        <w:r w:rsidR="00CB225C" w:rsidRPr="00542774">
          <w:rPr>
            <w:rFonts w:asciiTheme="minorHAnsi" w:eastAsiaTheme="minorEastAsia" w:hAnsiTheme="minorHAnsi" w:cstheme="minorBidi"/>
            <w:lang w:val="es-ES_tradnl" w:eastAsia="fr-BE" w:bidi="ar-SA"/>
          </w:rPr>
          <w:tab/>
        </w:r>
        <w:r w:rsidR="00CB225C" w:rsidRPr="00542774">
          <w:rPr>
            <w:rStyle w:val="Hyperlink"/>
            <w:b/>
            <w:caps/>
            <w:lang w:val="es-ES_tradnl"/>
          </w:rPr>
          <w:t>Transporte</w:t>
        </w:r>
        <w:r w:rsidR="00CB225C" w:rsidRPr="00542774">
          <w:rPr>
            <w:webHidden/>
            <w:lang w:val="es-ES_tradnl"/>
          </w:rPr>
          <w:tab/>
        </w:r>
        <w:r w:rsidR="00CB225C" w:rsidRPr="00542774">
          <w:rPr>
            <w:webHidden/>
            <w:lang w:val="es-ES_tradnl"/>
          </w:rPr>
          <w:fldChar w:fldCharType="begin"/>
        </w:r>
        <w:r w:rsidR="00CB225C" w:rsidRPr="00542774">
          <w:rPr>
            <w:webHidden/>
            <w:lang w:val="es-ES_tradnl"/>
          </w:rPr>
          <w:instrText xml:space="preserve"> PAGEREF _Toc482864440 \h </w:instrText>
        </w:r>
        <w:r w:rsidR="00CB225C" w:rsidRPr="00542774">
          <w:rPr>
            <w:webHidden/>
            <w:lang w:val="es-ES_tradnl"/>
          </w:rPr>
        </w:r>
        <w:r w:rsidR="00CB225C" w:rsidRPr="00542774">
          <w:rPr>
            <w:webHidden/>
            <w:lang w:val="es-ES_tradnl"/>
          </w:rPr>
          <w:fldChar w:fldCharType="separate"/>
        </w:r>
        <w:r w:rsidR="007D1D16" w:rsidRPr="00542774">
          <w:rPr>
            <w:webHidden/>
            <w:lang w:val="es-ES_tradnl"/>
          </w:rPr>
          <w:t>5</w:t>
        </w:r>
        <w:r w:rsidR="00CB225C" w:rsidRPr="00542774">
          <w:rPr>
            <w:webHidden/>
            <w:lang w:val="es-ES_tradnl"/>
          </w:rPr>
          <w:fldChar w:fldCharType="end"/>
        </w:r>
      </w:hyperlink>
    </w:p>
    <w:p w:rsidR="00CB225C" w:rsidRPr="00542774" w:rsidRDefault="00542774">
      <w:pPr>
        <w:pStyle w:val="TOC1"/>
        <w:rPr>
          <w:rFonts w:asciiTheme="minorHAnsi" w:eastAsiaTheme="minorEastAsia" w:hAnsiTheme="minorHAnsi" w:cstheme="minorBidi"/>
          <w:lang w:val="es-ES_tradnl" w:eastAsia="fr-BE" w:bidi="ar-SA"/>
        </w:rPr>
      </w:pPr>
      <w:hyperlink w:anchor="_Toc482864441" w:history="1">
        <w:r w:rsidR="00CB225C" w:rsidRPr="00542774">
          <w:rPr>
            <w:rStyle w:val="Hyperlink"/>
            <w:caps/>
            <w:lang w:val="es-ES_tradnl"/>
          </w:rPr>
          <w:t>4.</w:t>
        </w:r>
        <w:r w:rsidR="00CB225C" w:rsidRPr="00542774">
          <w:rPr>
            <w:rFonts w:asciiTheme="minorHAnsi" w:eastAsiaTheme="minorEastAsia" w:hAnsiTheme="minorHAnsi" w:cstheme="minorBidi"/>
            <w:lang w:val="es-ES_tradnl" w:eastAsia="fr-BE" w:bidi="ar-SA"/>
          </w:rPr>
          <w:tab/>
        </w:r>
        <w:r w:rsidR="00CB225C" w:rsidRPr="00542774">
          <w:rPr>
            <w:rStyle w:val="Hyperlink"/>
            <w:b/>
            <w:caps/>
            <w:lang w:val="es-ES_tradnl"/>
          </w:rPr>
          <w:t>Energía</w:t>
        </w:r>
        <w:r w:rsidR="00CB225C" w:rsidRPr="00542774">
          <w:rPr>
            <w:webHidden/>
            <w:lang w:val="es-ES_tradnl"/>
          </w:rPr>
          <w:tab/>
        </w:r>
        <w:r w:rsidR="00CB225C" w:rsidRPr="00542774">
          <w:rPr>
            <w:webHidden/>
            <w:lang w:val="es-ES_tradnl"/>
          </w:rPr>
          <w:fldChar w:fldCharType="begin"/>
        </w:r>
        <w:r w:rsidR="00CB225C" w:rsidRPr="00542774">
          <w:rPr>
            <w:webHidden/>
            <w:lang w:val="es-ES_tradnl"/>
          </w:rPr>
          <w:instrText xml:space="preserve"> PAGEREF _Toc482864441 \h </w:instrText>
        </w:r>
        <w:r w:rsidR="00CB225C" w:rsidRPr="00542774">
          <w:rPr>
            <w:webHidden/>
            <w:lang w:val="es-ES_tradnl"/>
          </w:rPr>
        </w:r>
        <w:r w:rsidR="00CB225C" w:rsidRPr="00542774">
          <w:rPr>
            <w:webHidden/>
            <w:lang w:val="es-ES_tradnl"/>
          </w:rPr>
          <w:fldChar w:fldCharType="separate"/>
        </w:r>
        <w:r w:rsidR="007D1D16" w:rsidRPr="00542774">
          <w:rPr>
            <w:webHidden/>
            <w:lang w:val="es-ES_tradnl"/>
          </w:rPr>
          <w:t>6</w:t>
        </w:r>
        <w:r w:rsidR="00CB225C" w:rsidRPr="00542774">
          <w:rPr>
            <w:webHidden/>
            <w:lang w:val="es-ES_tradnl"/>
          </w:rPr>
          <w:fldChar w:fldCharType="end"/>
        </w:r>
      </w:hyperlink>
    </w:p>
    <w:p w:rsidR="00CB225C" w:rsidRPr="00542774" w:rsidRDefault="00542774">
      <w:pPr>
        <w:pStyle w:val="TOC1"/>
        <w:rPr>
          <w:rFonts w:asciiTheme="minorHAnsi" w:eastAsiaTheme="minorEastAsia" w:hAnsiTheme="minorHAnsi" w:cstheme="minorBidi"/>
          <w:lang w:val="es-ES_tradnl" w:eastAsia="fr-BE" w:bidi="ar-SA"/>
        </w:rPr>
      </w:pPr>
      <w:hyperlink w:anchor="_Toc482864442" w:history="1">
        <w:r w:rsidR="00CB225C" w:rsidRPr="00542774">
          <w:rPr>
            <w:rStyle w:val="Hyperlink"/>
            <w:caps/>
            <w:lang w:val="es-ES_tradnl"/>
          </w:rPr>
          <w:t>5.</w:t>
        </w:r>
        <w:r w:rsidR="00CB225C" w:rsidRPr="00542774">
          <w:rPr>
            <w:rFonts w:asciiTheme="minorHAnsi" w:eastAsiaTheme="minorEastAsia" w:hAnsiTheme="minorHAnsi" w:cstheme="minorBidi"/>
            <w:lang w:val="es-ES_tradnl" w:eastAsia="fr-BE" w:bidi="ar-SA"/>
          </w:rPr>
          <w:tab/>
        </w:r>
        <w:r w:rsidR="00CB225C" w:rsidRPr="00542774">
          <w:rPr>
            <w:rStyle w:val="Hyperlink"/>
            <w:b/>
            <w:caps/>
            <w:lang w:val="es-ES_tradnl"/>
          </w:rPr>
          <w:t>Digitalización</w:t>
        </w:r>
        <w:r w:rsidR="00CB225C" w:rsidRPr="00542774">
          <w:rPr>
            <w:webHidden/>
            <w:lang w:val="es-ES_tradnl"/>
          </w:rPr>
          <w:tab/>
        </w:r>
        <w:r w:rsidR="00CB225C" w:rsidRPr="00542774">
          <w:rPr>
            <w:webHidden/>
            <w:lang w:val="es-ES_tradnl"/>
          </w:rPr>
          <w:fldChar w:fldCharType="begin"/>
        </w:r>
        <w:r w:rsidR="00CB225C" w:rsidRPr="00542774">
          <w:rPr>
            <w:webHidden/>
            <w:lang w:val="es-ES_tradnl"/>
          </w:rPr>
          <w:instrText xml:space="preserve"> PAGEREF _Toc482864442 \h </w:instrText>
        </w:r>
        <w:r w:rsidR="00CB225C" w:rsidRPr="00542774">
          <w:rPr>
            <w:webHidden/>
            <w:lang w:val="es-ES_tradnl"/>
          </w:rPr>
        </w:r>
        <w:r w:rsidR="00CB225C" w:rsidRPr="00542774">
          <w:rPr>
            <w:webHidden/>
            <w:lang w:val="es-ES_tradnl"/>
          </w:rPr>
          <w:fldChar w:fldCharType="separate"/>
        </w:r>
        <w:r w:rsidR="007D1D16" w:rsidRPr="00542774">
          <w:rPr>
            <w:webHidden/>
            <w:lang w:val="es-ES_tradnl"/>
          </w:rPr>
          <w:t>11</w:t>
        </w:r>
        <w:r w:rsidR="00CB225C" w:rsidRPr="00542774">
          <w:rPr>
            <w:webHidden/>
            <w:lang w:val="es-ES_tradnl"/>
          </w:rPr>
          <w:fldChar w:fldCharType="end"/>
        </w:r>
      </w:hyperlink>
    </w:p>
    <w:p w:rsidR="00CB225C" w:rsidRPr="00542774" w:rsidRDefault="00542774">
      <w:pPr>
        <w:pStyle w:val="TOC1"/>
        <w:rPr>
          <w:rFonts w:asciiTheme="minorHAnsi" w:eastAsiaTheme="minorEastAsia" w:hAnsiTheme="minorHAnsi" w:cstheme="minorBidi"/>
          <w:lang w:val="es-ES_tradnl" w:eastAsia="fr-BE" w:bidi="ar-SA"/>
        </w:rPr>
      </w:pPr>
      <w:hyperlink w:anchor="_Toc482864443" w:history="1">
        <w:r w:rsidR="00CB225C" w:rsidRPr="00542774">
          <w:rPr>
            <w:rStyle w:val="Hyperlink"/>
            <w:caps/>
            <w:lang w:val="es-ES_tradnl"/>
          </w:rPr>
          <w:t>6.</w:t>
        </w:r>
        <w:r w:rsidR="00CB225C" w:rsidRPr="00542774">
          <w:rPr>
            <w:rFonts w:asciiTheme="minorHAnsi" w:eastAsiaTheme="minorEastAsia" w:hAnsiTheme="minorHAnsi" w:cstheme="minorBidi"/>
            <w:lang w:val="es-ES_tradnl" w:eastAsia="fr-BE" w:bidi="ar-SA"/>
          </w:rPr>
          <w:tab/>
        </w:r>
        <w:r w:rsidR="00CB225C" w:rsidRPr="00542774">
          <w:rPr>
            <w:rStyle w:val="Hyperlink"/>
            <w:b/>
            <w:caps/>
            <w:lang w:val="es-ES_tradnl"/>
          </w:rPr>
          <w:t>Industria</w:t>
        </w:r>
        <w:r w:rsidR="00CB225C" w:rsidRPr="00542774">
          <w:rPr>
            <w:webHidden/>
            <w:lang w:val="es-ES_tradnl"/>
          </w:rPr>
          <w:tab/>
        </w:r>
        <w:r w:rsidR="00CB225C" w:rsidRPr="00542774">
          <w:rPr>
            <w:webHidden/>
            <w:lang w:val="es-ES_tradnl"/>
          </w:rPr>
          <w:fldChar w:fldCharType="begin"/>
        </w:r>
        <w:r w:rsidR="00CB225C" w:rsidRPr="00542774">
          <w:rPr>
            <w:webHidden/>
            <w:lang w:val="es-ES_tradnl"/>
          </w:rPr>
          <w:instrText xml:space="preserve"> PAGEREF _Toc482864443 \h </w:instrText>
        </w:r>
        <w:r w:rsidR="00CB225C" w:rsidRPr="00542774">
          <w:rPr>
            <w:webHidden/>
            <w:lang w:val="es-ES_tradnl"/>
          </w:rPr>
        </w:r>
        <w:r w:rsidR="00CB225C" w:rsidRPr="00542774">
          <w:rPr>
            <w:webHidden/>
            <w:lang w:val="es-ES_tradnl"/>
          </w:rPr>
          <w:fldChar w:fldCharType="separate"/>
        </w:r>
        <w:r w:rsidR="007D1D16" w:rsidRPr="00542774">
          <w:rPr>
            <w:webHidden/>
            <w:lang w:val="es-ES_tradnl"/>
          </w:rPr>
          <w:t>12</w:t>
        </w:r>
        <w:r w:rsidR="00CB225C" w:rsidRPr="00542774">
          <w:rPr>
            <w:webHidden/>
            <w:lang w:val="es-ES_tradnl"/>
          </w:rPr>
          <w:fldChar w:fldCharType="end"/>
        </w:r>
      </w:hyperlink>
    </w:p>
    <w:p w:rsidR="00CB225C" w:rsidRPr="00542774" w:rsidRDefault="00542774">
      <w:pPr>
        <w:pStyle w:val="TOC1"/>
        <w:rPr>
          <w:rFonts w:asciiTheme="minorHAnsi" w:eastAsiaTheme="minorEastAsia" w:hAnsiTheme="minorHAnsi" w:cstheme="minorBidi"/>
          <w:lang w:val="es-ES_tradnl" w:eastAsia="fr-BE" w:bidi="ar-SA"/>
        </w:rPr>
      </w:pPr>
      <w:hyperlink w:anchor="_Toc482864444" w:history="1">
        <w:r w:rsidR="00CB225C" w:rsidRPr="00542774">
          <w:rPr>
            <w:rStyle w:val="Hyperlink"/>
            <w:caps/>
            <w:lang w:val="es-ES_tradnl"/>
          </w:rPr>
          <w:t>7.</w:t>
        </w:r>
        <w:r w:rsidR="00CB225C" w:rsidRPr="00542774">
          <w:rPr>
            <w:rFonts w:asciiTheme="minorHAnsi" w:eastAsiaTheme="minorEastAsia" w:hAnsiTheme="minorHAnsi" w:cstheme="minorBidi"/>
            <w:lang w:val="es-ES_tradnl" w:eastAsia="fr-BE" w:bidi="ar-SA"/>
          </w:rPr>
          <w:tab/>
        </w:r>
        <w:r w:rsidR="00CB225C" w:rsidRPr="00542774">
          <w:rPr>
            <w:rStyle w:val="Hyperlink"/>
            <w:b/>
            <w:caps/>
            <w:lang w:val="es-ES_tradnl"/>
          </w:rPr>
          <w:t>Consumidores</w:t>
        </w:r>
        <w:r w:rsidR="00CB225C" w:rsidRPr="00542774">
          <w:rPr>
            <w:webHidden/>
            <w:lang w:val="es-ES_tradnl"/>
          </w:rPr>
          <w:tab/>
        </w:r>
        <w:r w:rsidR="00CB225C" w:rsidRPr="00542774">
          <w:rPr>
            <w:webHidden/>
            <w:lang w:val="es-ES_tradnl"/>
          </w:rPr>
          <w:fldChar w:fldCharType="begin"/>
        </w:r>
        <w:r w:rsidR="00CB225C" w:rsidRPr="00542774">
          <w:rPr>
            <w:webHidden/>
            <w:lang w:val="es-ES_tradnl"/>
          </w:rPr>
          <w:instrText xml:space="preserve"> PAGEREF _Toc482864444 \h </w:instrText>
        </w:r>
        <w:r w:rsidR="00CB225C" w:rsidRPr="00542774">
          <w:rPr>
            <w:webHidden/>
            <w:lang w:val="es-ES_tradnl"/>
          </w:rPr>
        </w:r>
        <w:r w:rsidR="00CB225C" w:rsidRPr="00542774">
          <w:rPr>
            <w:webHidden/>
            <w:lang w:val="es-ES_tradnl"/>
          </w:rPr>
          <w:fldChar w:fldCharType="separate"/>
        </w:r>
        <w:r w:rsidR="007D1D16" w:rsidRPr="00542774">
          <w:rPr>
            <w:webHidden/>
            <w:lang w:val="es-ES_tradnl"/>
          </w:rPr>
          <w:t>12</w:t>
        </w:r>
        <w:r w:rsidR="00CB225C" w:rsidRPr="00542774">
          <w:rPr>
            <w:webHidden/>
            <w:lang w:val="es-ES_tradnl"/>
          </w:rPr>
          <w:fldChar w:fldCharType="end"/>
        </w:r>
      </w:hyperlink>
    </w:p>
    <w:p w:rsidR="00CB225C" w:rsidRPr="00542774" w:rsidRDefault="00542774">
      <w:pPr>
        <w:pStyle w:val="TOC1"/>
        <w:rPr>
          <w:rFonts w:asciiTheme="minorHAnsi" w:eastAsiaTheme="minorEastAsia" w:hAnsiTheme="minorHAnsi" w:cstheme="minorBidi"/>
          <w:lang w:val="es-ES_tradnl" w:eastAsia="fr-BE" w:bidi="ar-SA"/>
        </w:rPr>
      </w:pPr>
      <w:hyperlink w:anchor="_Toc482864445" w:history="1">
        <w:r w:rsidR="00CB225C" w:rsidRPr="00542774">
          <w:rPr>
            <w:rStyle w:val="Hyperlink"/>
            <w:caps/>
            <w:lang w:val="es-ES_tradnl"/>
          </w:rPr>
          <w:t>8.</w:t>
        </w:r>
        <w:r w:rsidR="00CB225C" w:rsidRPr="00542774">
          <w:rPr>
            <w:rFonts w:asciiTheme="minorHAnsi" w:eastAsiaTheme="minorEastAsia" w:hAnsiTheme="minorHAnsi" w:cstheme="minorBidi"/>
            <w:lang w:val="es-ES_tradnl" w:eastAsia="fr-BE" w:bidi="ar-SA"/>
          </w:rPr>
          <w:tab/>
        </w:r>
        <w:r w:rsidR="00CB225C" w:rsidRPr="00542774">
          <w:rPr>
            <w:rStyle w:val="Hyperlink"/>
            <w:b/>
            <w:caps/>
            <w:lang w:val="es-ES_tradnl"/>
          </w:rPr>
          <w:t>Relaciones Exteriores</w:t>
        </w:r>
        <w:r w:rsidR="00CB225C" w:rsidRPr="00542774">
          <w:rPr>
            <w:webHidden/>
            <w:lang w:val="es-ES_tradnl"/>
          </w:rPr>
          <w:tab/>
        </w:r>
        <w:r w:rsidR="00CB225C" w:rsidRPr="00542774">
          <w:rPr>
            <w:webHidden/>
            <w:lang w:val="es-ES_tradnl"/>
          </w:rPr>
          <w:fldChar w:fldCharType="begin"/>
        </w:r>
        <w:r w:rsidR="00CB225C" w:rsidRPr="00542774">
          <w:rPr>
            <w:webHidden/>
            <w:lang w:val="es-ES_tradnl"/>
          </w:rPr>
          <w:instrText xml:space="preserve"> PAGEREF _Toc482864445 \h </w:instrText>
        </w:r>
        <w:r w:rsidR="00CB225C" w:rsidRPr="00542774">
          <w:rPr>
            <w:webHidden/>
            <w:lang w:val="es-ES_tradnl"/>
          </w:rPr>
        </w:r>
        <w:r w:rsidR="00CB225C" w:rsidRPr="00542774">
          <w:rPr>
            <w:webHidden/>
            <w:lang w:val="es-ES_tradnl"/>
          </w:rPr>
          <w:fldChar w:fldCharType="separate"/>
        </w:r>
        <w:r w:rsidR="007D1D16" w:rsidRPr="00542774">
          <w:rPr>
            <w:webHidden/>
            <w:lang w:val="es-ES_tradnl"/>
          </w:rPr>
          <w:t>14</w:t>
        </w:r>
        <w:r w:rsidR="00CB225C" w:rsidRPr="00542774">
          <w:rPr>
            <w:webHidden/>
            <w:lang w:val="es-ES_tradnl"/>
          </w:rPr>
          <w:fldChar w:fldCharType="end"/>
        </w:r>
      </w:hyperlink>
    </w:p>
    <w:p w:rsidR="003C195A" w:rsidRPr="00542774" w:rsidRDefault="00FC45F0">
      <w:pPr>
        <w:pStyle w:val="TOC1"/>
        <w:rPr>
          <w:rFonts w:asciiTheme="minorHAnsi" w:eastAsiaTheme="minorEastAsia" w:hAnsiTheme="minorHAnsi" w:cstheme="minorBidi"/>
          <w:lang w:val="es-ES_tradnl"/>
        </w:rPr>
      </w:pPr>
      <w:r w:rsidRPr="00542774">
        <w:rPr>
          <w:b/>
          <w:lang w:val="es-ES_tradnl"/>
        </w:rPr>
        <w:fldChar w:fldCharType="end"/>
      </w:r>
    </w:p>
    <w:p w:rsidR="008405A0" w:rsidRPr="00542774" w:rsidRDefault="008405A0">
      <w:pPr>
        <w:rPr>
          <w:lang w:val="es-ES_tradnl"/>
        </w:rPr>
      </w:pPr>
      <w:r w:rsidRPr="00542774">
        <w:rPr>
          <w:lang w:val="es-ES_tradnl"/>
        </w:rPr>
        <w:br w:type="page"/>
      </w:r>
    </w:p>
    <w:p w:rsidR="00421682" w:rsidRPr="00542774" w:rsidRDefault="006C1861" w:rsidP="004E3CEC">
      <w:pPr>
        <w:spacing w:line="276" w:lineRule="auto"/>
        <w:rPr>
          <w:lang w:val="es-ES_tradnl"/>
        </w:rPr>
      </w:pPr>
      <w:r w:rsidRPr="00542774">
        <w:rPr>
          <w:lang w:val="es-ES_tradnl"/>
        </w:rPr>
        <w:lastRenderedPageBreak/>
        <w:t xml:space="preserve">El pleno de los días 26 y 27 de abril de 2017 contó con la presencia de </w:t>
      </w:r>
      <w:r w:rsidRPr="00542774">
        <w:rPr>
          <w:b/>
          <w:lang w:val="es-ES_tradnl"/>
        </w:rPr>
        <w:t>Can DÜNDAR</w:t>
      </w:r>
      <w:r w:rsidRPr="00542774">
        <w:rPr>
          <w:lang w:val="es-ES_tradnl"/>
        </w:rPr>
        <w:t xml:space="preserve">, periodista turco nominado para el Premio Sájarov 2016, del catedrático </w:t>
      </w:r>
      <w:r w:rsidRPr="00542774">
        <w:rPr>
          <w:b/>
          <w:lang w:val="es-ES_tradnl"/>
        </w:rPr>
        <w:t>Dusan SIDJANSKI</w:t>
      </w:r>
      <w:r w:rsidRPr="00542774">
        <w:rPr>
          <w:lang w:val="es-ES_tradnl"/>
        </w:rPr>
        <w:t xml:space="preserve">, presidente de honor del Centro Europeo de la Cultura y de </w:t>
      </w:r>
      <w:r w:rsidRPr="00542774">
        <w:rPr>
          <w:b/>
          <w:lang w:val="es-ES_tradnl"/>
        </w:rPr>
        <w:t>Maroš ŠEFČOVIČ</w:t>
      </w:r>
      <w:r w:rsidRPr="00542774">
        <w:rPr>
          <w:lang w:val="es-ES_tradnl"/>
        </w:rPr>
        <w:t>, vicepresidente de la Comisión Europea, responsable de la Unión de la Energía.</w:t>
      </w:r>
    </w:p>
    <w:p w:rsidR="00421682" w:rsidRPr="00542774" w:rsidRDefault="00421682" w:rsidP="004E3CEC">
      <w:pPr>
        <w:spacing w:line="276" w:lineRule="auto"/>
        <w:rPr>
          <w:lang w:val="es-ES_tradnl"/>
        </w:rPr>
      </w:pPr>
    </w:p>
    <w:p w:rsidR="00421682" w:rsidRPr="00542774" w:rsidRDefault="00421682" w:rsidP="004E3CEC">
      <w:pPr>
        <w:spacing w:line="276" w:lineRule="auto"/>
        <w:rPr>
          <w:lang w:val="es-ES_tradnl"/>
        </w:rPr>
      </w:pPr>
      <w:r w:rsidRPr="00542774">
        <w:rPr>
          <w:lang w:val="es-ES_tradnl"/>
        </w:rPr>
        <w:t>Los dictámenes aprobados en el pleno son los siguientes:</w:t>
      </w:r>
    </w:p>
    <w:p w:rsidR="00421682" w:rsidRPr="00542774" w:rsidRDefault="00421682" w:rsidP="004E3CEC">
      <w:pPr>
        <w:spacing w:line="276" w:lineRule="auto"/>
        <w:rPr>
          <w:lang w:val="es-ES_tradnl"/>
        </w:rPr>
      </w:pPr>
    </w:p>
    <w:p w:rsidR="000B1EEE" w:rsidRPr="00542774" w:rsidRDefault="000B1EEE" w:rsidP="004E3CEC">
      <w:pPr>
        <w:pStyle w:val="Heading1"/>
        <w:spacing w:line="276" w:lineRule="auto"/>
        <w:rPr>
          <w:b/>
          <w:caps/>
          <w:lang w:val="es-ES_tradnl"/>
        </w:rPr>
      </w:pPr>
      <w:bookmarkStart w:id="1" w:name="_Toc482012643"/>
      <w:bookmarkStart w:id="2" w:name="_Toc482864438"/>
      <w:r w:rsidRPr="00542774">
        <w:rPr>
          <w:b/>
          <w:caps/>
          <w:lang w:val="es-ES_tradnl"/>
        </w:rPr>
        <w:t>Asuntos institucionales</w:t>
      </w:r>
      <w:bookmarkEnd w:id="1"/>
      <w:bookmarkEnd w:id="2"/>
    </w:p>
    <w:p w:rsidR="000B1EEE" w:rsidRPr="00542774" w:rsidRDefault="000B1EEE" w:rsidP="004E3CEC">
      <w:pPr>
        <w:spacing w:line="276" w:lineRule="auto"/>
        <w:rPr>
          <w:lang w:val="es-ES_tradnl"/>
        </w:rPr>
      </w:pPr>
    </w:p>
    <w:p w:rsidR="000B1EEE" w:rsidRPr="00542774" w:rsidRDefault="000B1EEE" w:rsidP="004E3CEC">
      <w:pPr>
        <w:numPr>
          <w:ilvl w:val="0"/>
          <w:numId w:val="38"/>
        </w:numPr>
        <w:overflowPunct w:val="0"/>
        <w:autoSpaceDE w:val="0"/>
        <w:autoSpaceDN w:val="0"/>
        <w:adjustRightInd w:val="0"/>
        <w:spacing w:line="276" w:lineRule="auto"/>
        <w:ind w:left="567" w:hanging="567"/>
        <w:textAlignment w:val="baseline"/>
        <w:rPr>
          <w:b/>
          <w:i/>
          <w:sz w:val="28"/>
          <w:szCs w:val="28"/>
          <w:lang w:val="es-ES_tradnl"/>
        </w:rPr>
      </w:pPr>
      <w:r w:rsidRPr="00542774">
        <w:rPr>
          <w:b/>
          <w:i/>
          <w:sz w:val="28"/>
          <w:lang w:val="es-ES_tradnl"/>
        </w:rPr>
        <w:t>Plan de Acción Europeo de Defensa</w:t>
      </w:r>
    </w:p>
    <w:p w:rsidR="000B1EEE" w:rsidRPr="00542774" w:rsidRDefault="000B1EEE" w:rsidP="004E3CEC">
      <w:pPr>
        <w:spacing w:line="276" w:lineRule="auto"/>
        <w:rPr>
          <w:lang w:val="es-ES_tradnl"/>
        </w:rPr>
      </w:pPr>
    </w:p>
    <w:p w:rsidR="000B1EEE" w:rsidRPr="00542774" w:rsidRDefault="000B1EEE" w:rsidP="004E3CEC">
      <w:pPr>
        <w:overflowPunct w:val="0"/>
        <w:autoSpaceDE w:val="0"/>
        <w:autoSpaceDN w:val="0"/>
        <w:adjustRightInd w:val="0"/>
        <w:spacing w:line="276" w:lineRule="auto"/>
        <w:ind w:left="1620" w:hanging="1620"/>
        <w:textAlignment w:val="baseline"/>
        <w:rPr>
          <w:szCs w:val="20"/>
          <w:lang w:val="es-ES_tradnl"/>
        </w:rPr>
      </w:pPr>
      <w:r w:rsidRPr="00542774">
        <w:rPr>
          <w:b/>
          <w:lang w:val="es-ES_tradnl"/>
        </w:rPr>
        <w:t>Ponente</w:t>
      </w:r>
      <w:r w:rsidRPr="00542774">
        <w:rPr>
          <w:lang w:val="es-ES_tradnl"/>
        </w:rPr>
        <w:t>:</w:t>
      </w:r>
      <w:r w:rsidR="004E3CEC" w:rsidRPr="00542774">
        <w:rPr>
          <w:lang w:val="es-ES_tradnl"/>
        </w:rPr>
        <w:tab/>
      </w:r>
      <w:r w:rsidRPr="00542774">
        <w:rPr>
          <w:lang w:val="es-ES_tradnl"/>
        </w:rPr>
        <w:t>Christian MOOS (Actividades Diversas – DE)</w:t>
      </w:r>
    </w:p>
    <w:p w:rsidR="000B1EEE" w:rsidRPr="00542774" w:rsidRDefault="000B1EEE" w:rsidP="004E3CEC">
      <w:pPr>
        <w:overflowPunct w:val="0"/>
        <w:autoSpaceDE w:val="0"/>
        <w:autoSpaceDN w:val="0"/>
        <w:adjustRightInd w:val="0"/>
        <w:spacing w:line="276" w:lineRule="auto"/>
        <w:ind w:left="1620" w:hanging="1620"/>
        <w:textAlignment w:val="baseline"/>
        <w:rPr>
          <w:szCs w:val="20"/>
          <w:lang w:val="es-ES_tradnl"/>
        </w:rPr>
      </w:pPr>
      <w:r w:rsidRPr="00542774">
        <w:rPr>
          <w:b/>
          <w:lang w:val="es-ES_tradnl"/>
        </w:rPr>
        <w:t>Coponente:</w:t>
      </w:r>
      <w:r w:rsidR="004E3CEC" w:rsidRPr="00542774">
        <w:rPr>
          <w:b/>
          <w:lang w:val="es-ES_tradnl"/>
        </w:rPr>
        <w:tab/>
      </w:r>
      <w:r w:rsidRPr="00542774">
        <w:rPr>
          <w:b/>
          <w:lang w:val="es-ES_tradnl"/>
        </w:rPr>
        <w:t xml:space="preserve">Jan Pie </w:t>
      </w:r>
      <w:r w:rsidRPr="00542774">
        <w:rPr>
          <w:lang w:val="es-ES_tradnl"/>
        </w:rPr>
        <w:t>(Cat. 1 - SE)</w:t>
      </w:r>
    </w:p>
    <w:p w:rsidR="000B1EEE" w:rsidRPr="00542774" w:rsidRDefault="000B1EEE" w:rsidP="004E3CEC">
      <w:pPr>
        <w:spacing w:line="276" w:lineRule="auto"/>
        <w:rPr>
          <w:lang w:val="es-ES_tradnl"/>
        </w:rPr>
      </w:pPr>
    </w:p>
    <w:p w:rsidR="000B1EEE" w:rsidRPr="00542774" w:rsidRDefault="000B1EEE" w:rsidP="004E3CEC">
      <w:pPr>
        <w:spacing w:line="276" w:lineRule="auto"/>
        <w:ind w:left="1620" w:hanging="1620"/>
        <w:rPr>
          <w:lang w:val="es-ES_tradnl"/>
        </w:rPr>
      </w:pPr>
      <w:r w:rsidRPr="00542774">
        <w:rPr>
          <w:b/>
          <w:lang w:val="es-ES_tradnl"/>
        </w:rPr>
        <w:t>Referencia:</w:t>
      </w:r>
      <w:r w:rsidRPr="00542774">
        <w:rPr>
          <w:lang w:val="es-ES_tradnl"/>
        </w:rPr>
        <w:tab/>
        <w:t>EESC-2016-06865-00-00-AS</w:t>
      </w:r>
    </w:p>
    <w:p w:rsidR="000B1EEE" w:rsidRPr="00542774" w:rsidRDefault="000B1EEE" w:rsidP="004E3CEC">
      <w:pPr>
        <w:spacing w:line="276" w:lineRule="auto"/>
        <w:rPr>
          <w:lang w:val="es-ES_tradnl"/>
        </w:rPr>
      </w:pPr>
    </w:p>
    <w:p w:rsidR="000B1EEE" w:rsidRPr="00542774" w:rsidRDefault="000B1EEE" w:rsidP="004E3CEC">
      <w:pPr>
        <w:overflowPunct w:val="0"/>
        <w:autoSpaceDE w:val="0"/>
        <w:autoSpaceDN w:val="0"/>
        <w:adjustRightInd w:val="0"/>
        <w:spacing w:line="276" w:lineRule="auto"/>
        <w:textAlignment w:val="baseline"/>
        <w:rPr>
          <w:b/>
          <w:szCs w:val="20"/>
          <w:lang w:val="es-ES_tradnl"/>
        </w:rPr>
      </w:pPr>
      <w:r w:rsidRPr="00542774">
        <w:rPr>
          <w:b/>
          <w:lang w:val="es-ES_tradnl"/>
        </w:rPr>
        <w:t>Puntos clave:</w:t>
      </w:r>
    </w:p>
    <w:p w:rsidR="000B1EEE" w:rsidRPr="00542774" w:rsidRDefault="000B1EEE" w:rsidP="004E3CEC">
      <w:pPr>
        <w:spacing w:line="276" w:lineRule="auto"/>
        <w:rPr>
          <w:lang w:val="es-ES_tradnl"/>
        </w:rPr>
      </w:pPr>
    </w:p>
    <w:p w:rsidR="000B1EEE" w:rsidRPr="00542774" w:rsidRDefault="000B1EEE" w:rsidP="004E3CEC">
      <w:pPr>
        <w:spacing w:line="276" w:lineRule="auto"/>
        <w:rPr>
          <w:lang w:val="es-ES_tradnl"/>
        </w:rPr>
      </w:pPr>
      <w:r w:rsidRPr="00542774">
        <w:rPr>
          <w:lang w:val="es-ES_tradnl"/>
        </w:rPr>
        <w:t>Comité Económico y Social Europeo (CESE)</w:t>
      </w:r>
    </w:p>
    <w:p w:rsidR="000B1EEE" w:rsidRPr="00542774" w:rsidRDefault="000B1EEE" w:rsidP="004E3CEC">
      <w:pPr>
        <w:spacing w:line="276" w:lineRule="auto"/>
        <w:rPr>
          <w:lang w:val="es-ES_tradnl"/>
        </w:rPr>
      </w:pPr>
    </w:p>
    <w:p w:rsidR="000B1EEE" w:rsidRPr="00542774" w:rsidRDefault="000B1EEE" w:rsidP="004E3CEC">
      <w:pPr>
        <w:pStyle w:val="ListParagraph"/>
        <w:numPr>
          <w:ilvl w:val="0"/>
          <w:numId w:val="58"/>
        </w:numPr>
        <w:tabs>
          <w:tab w:val="clear" w:pos="0"/>
        </w:tabs>
        <w:overflowPunct w:val="0"/>
        <w:autoSpaceDE w:val="0"/>
        <w:autoSpaceDN w:val="0"/>
        <w:adjustRightInd w:val="0"/>
        <w:spacing w:line="276" w:lineRule="auto"/>
        <w:ind w:left="567" w:hanging="567"/>
        <w:textAlignment w:val="baseline"/>
        <w:rPr>
          <w:szCs w:val="20"/>
          <w:lang w:val="es-ES_tradnl"/>
        </w:rPr>
      </w:pPr>
      <w:r w:rsidRPr="00542774">
        <w:rPr>
          <w:lang w:val="es-ES_tradnl"/>
        </w:rPr>
        <w:t>se manifiesta a favor de la creación de una Unión Europea de la Defensa (UED) y apoya el Plan de Acción Europeo de la Defensa, incluida la propuesta de crear un Fondo Europeo de Defensa común. El CESE aboga por avances cualitativos significativos en la cooperación europea en materia de defensa, ya que la excesiva fragmentación del mercado y la industria de la defensa tiene como resultado una asignación ineficiente de los recursos, solapamientos de competencias, una falta de interoperabilidad y brechas tecnológicas. El CESE aprueba el objetivo de autonomía estratégica en lo que respecta a determinadas capacidades y tecnologías críticas.</w:t>
      </w:r>
    </w:p>
    <w:p w:rsidR="000B1EEE" w:rsidRPr="00542774" w:rsidRDefault="000B1EEE" w:rsidP="004E3CEC">
      <w:pPr>
        <w:pStyle w:val="ListParagraph"/>
        <w:numPr>
          <w:ilvl w:val="0"/>
          <w:numId w:val="58"/>
        </w:numPr>
        <w:tabs>
          <w:tab w:val="clear" w:pos="0"/>
        </w:tabs>
        <w:overflowPunct w:val="0"/>
        <w:autoSpaceDE w:val="0"/>
        <w:autoSpaceDN w:val="0"/>
        <w:adjustRightInd w:val="0"/>
        <w:spacing w:line="276" w:lineRule="auto"/>
        <w:ind w:left="567" w:hanging="567"/>
        <w:textAlignment w:val="baseline"/>
        <w:rPr>
          <w:szCs w:val="20"/>
          <w:lang w:val="es-ES_tradnl"/>
        </w:rPr>
      </w:pPr>
      <w:r w:rsidRPr="00542774">
        <w:rPr>
          <w:lang w:val="es-ES_tradnl"/>
        </w:rPr>
        <w:t>considera que el fortalecimiento de la base industrial y tecnológica de la defensa europea, incluida una mano de obra altamente cualificada, es una condición indispensable para el desarrollo de unas capacidades de defensa comunes.</w:t>
      </w:r>
    </w:p>
    <w:p w:rsidR="000B1EEE" w:rsidRPr="00542774" w:rsidRDefault="000B1EEE" w:rsidP="004E3CEC">
      <w:pPr>
        <w:pStyle w:val="ListParagraph"/>
        <w:numPr>
          <w:ilvl w:val="0"/>
          <w:numId w:val="58"/>
        </w:numPr>
        <w:tabs>
          <w:tab w:val="clear" w:pos="0"/>
        </w:tabs>
        <w:overflowPunct w:val="0"/>
        <w:autoSpaceDE w:val="0"/>
        <w:autoSpaceDN w:val="0"/>
        <w:adjustRightInd w:val="0"/>
        <w:spacing w:line="276" w:lineRule="auto"/>
        <w:ind w:left="567" w:hanging="567"/>
        <w:textAlignment w:val="baseline"/>
        <w:rPr>
          <w:szCs w:val="20"/>
          <w:lang w:val="es-ES_tradnl"/>
        </w:rPr>
      </w:pPr>
      <w:r w:rsidRPr="00542774">
        <w:rPr>
          <w:lang w:val="es-ES_tradnl"/>
        </w:rPr>
        <w:t>está totalmente de acuerdo en que es necesario prestar especial atención a las pymes, también en el ámbito de la investigación y el desarrollo con fines de defensa.</w:t>
      </w:r>
    </w:p>
    <w:p w:rsidR="000B1EEE" w:rsidRPr="00542774" w:rsidRDefault="000B1EEE" w:rsidP="004E3CEC">
      <w:pPr>
        <w:pStyle w:val="ListParagraph"/>
        <w:numPr>
          <w:ilvl w:val="0"/>
          <w:numId w:val="58"/>
        </w:numPr>
        <w:tabs>
          <w:tab w:val="clear" w:pos="0"/>
        </w:tabs>
        <w:overflowPunct w:val="0"/>
        <w:autoSpaceDE w:val="0"/>
        <w:autoSpaceDN w:val="0"/>
        <w:adjustRightInd w:val="0"/>
        <w:spacing w:line="276" w:lineRule="auto"/>
        <w:ind w:left="567" w:hanging="567"/>
        <w:textAlignment w:val="baseline"/>
        <w:rPr>
          <w:szCs w:val="20"/>
          <w:lang w:val="es-ES_tradnl"/>
        </w:rPr>
      </w:pPr>
      <w:r w:rsidRPr="00542774">
        <w:rPr>
          <w:lang w:val="es-ES_tradnl"/>
        </w:rPr>
        <w:t>rechaza la apertura, para fines de defensa, de los fondos existentes destinados a la consecución de objetivos económicos o sociales.</w:t>
      </w:r>
    </w:p>
    <w:p w:rsidR="000B1EEE" w:rsidRPr="00542774" w:rsidRDefault="000B1EEE" w:rsidP="004E3CEC">
      <w:pPr>
        <w:pStyle w:val="ListParagraph"/>
        <w:numPr>
          <w:ilvl w:val="0"/>
          <w:numId w:val="58"/>
        </w:numPr>
        <w:tabs>
          <w:tab w:val="clear" w:pos="0"/>
        </w:tabs>
        <w:overflowPunct w:val="0"/>
        <w:autoSpaceDE w:val="0"/>
        <w:autoSpaceDN w:val="0"/>
        <w:adjustRightInd w:val="0"/>
        <w:spacing w:line="276" w:lineRule="auto"/>
        <w:ind w:left="567" w:hanging="567"/>
        <w:textAlignment w:val="baseline"/>
        <w:rPr>
          <w:szCs w:val="20"/>
          <w:lang w:val="es-ES_tradnl"/>
        </w:rPr>
      </w:pPr>
      <w:r w:rsidRPr="00542774">
        <w:rPr>
          <w:lang w:val="es-ES_tradnl"/>
        </w:rPr>
        <w:t>rechaza la idea de constituir una provisión especial para asignar recursos presupuestarios nacionales a la defensa, en virtud del Pacto de Estabilidad y Crecimiento. Las finanzas públicas no deben verse desestabilizadas por los gastos en defensa.</w:t>
      </w:r>
    </w:p>
    <w:p w:rsidR="000B1EEE" w:rsidRPr="00542774" w:rsidRDefault="000B1EEE" w:rsidP="004E3CEC">
      <w:pPr>
        <w:pStyle w:val="ListParagraph"/>
        <w:numPr>
          <w:ilvl w:val="0"/>
          <w:numId w:val="58"/>
        </w:numPr>
        <w:tabs>
          <w:tab w:val="clear" w:pos="0"/>
        </w:tabs>
        <w:overflowPunct w:val="0"/>
        <w:autoSpaceDE w:val="0"/>
        <w:autoSpaceDN w:val="0"/>
        <w:adjustRightInd w:val="0"/>
        <w:spacing w:line="276" w:lineRule="auto"/>
        <w:ind w:left="567" w:hanging="567"/>
        <w:textAlignment w:val="baseline"/>
        <w:rPr>
          <w:szCs w:val="20"/>
          <w:lang w:val="es-ES_tradnl"/>
        </w:rPr>
      </w:pPr>
      <w:r w:rsidRPr="00542774">
        <w:rPr>
          <w:lang w:val="es-ES_tradnl"/>
        </w:rPr>
        <w:t>apoya la creación de un Fondo de Defensa con secciones distintas de investigación y de capacidades. No obstante, es necesario aumentar el presupuesto de la UE, ya que la sección de investigación en materia de defensa no debe financiarse en detrimento de la investigación en otros ámbitos. Está de acuerdo en que la sección de capacidades se financie únicamente con aportaciones nacionales. Las adquisiciones de material de defensa de los Estados miembros no pueden ser financiadas con cargo al presupuesto de la UE.</w:t>
      </w:r>
    </w:p>
    <w:p w:rsidR="000B1EEE" w:rsidRPr="00542774" w:rsidRDefault="000B1EEE" w:rsidP="004E3CEC">
      <w:pPr>
        <w:overflowPunct w:val="0"/>
        <w:autoSpaceDE w:val="0"/>
        <w:autoSpaceDN w:val="0"/>
        <w:adjustRightInd w:val="0"/>
        <w:spacing w:line="276" w:lineRule="auto"/>
        <w:textAlignment w:val="baseline"/>
        <w:outlineLvl w:val="1"/>
        <w:rPr>
          <w:szCs w:val="20"/>
          <w:lang w:val="es-ES_tradnl"/>
        </w:rPr>
      </w:pPr>
    </w:p>
    <w:p w:rsidR="000B1EEE" w:rsidRPr="00542774" w:rsidRDefault="000B1EEE" w:rsidP="004E3CEC">
      <w:pPr>
        <w:overflowPunct w:val="0"/>
        <w:autoSpaceDE w:val="0"/>
        <w:autoSpaceDN w:val="0"/>
        <w:adjustRightInd w:val="0"/>
        <w:spacing w:line="276" w:lineRule="auto"/>
        <w:ind w:left="1080" w:hanging="1080"/>
        <w:textAlignment w:val="baseline"/>
        <w:rPr>
          <w:i/>
          <w:szCs w:val="20"/>
          <w:lang w:val="es-ES_tradnl"/>
        </w:rPr>
      </w:pPr>
      <w:r w:rsidRPr="00542774">
        <w:rPr>
          <w:b/>
          <w:i/>
          <w:lang w:val="es-ES_tradnl"/>
        </w:rPr>
        <w:t>Contacto</w:t>
      </w:r>
      <w:r w:rsidRPr="00542774">
        <w:rPr>
          <w:lang w:val="es-ES_tradnl"/>
        </w:rPr>
        <w:t>:</w:t>
      </w:r>
      <w:r w:rsidR="00486A2A" w:rsidRPr="00542774">
        <w:rPr>
          <w:lang w:val="es-ES_tradnl"/>
        </w:rPr>
        <w:tab/>
      </w:r>
      <w:r w:rsidRPr="00542774">
        <w:rPr>
          <w:i/>
          <w:lang w:val="es-ES_tradnl"/>
        </w:rPr>
        <w:t xml:space="preserve">Adam </w:t>
      </w:r>
      <w:r w:rsidRPr="00542774">
        <w:rPr>
          <w:i/>
          <w:caps/>
          <w:lang w:val="es-ES_tradnl"/>
        </w:rPr>
        <w:t xml:space="preserve">Plezer </w:t>
      </w:r>
    </w:p>
    <w:p w:rsidR="000B1EEE" w:rsidRPr="00542774" w:rsidRDefault="000B1EEE" w:rsidP="004E3CEC">
      <w:pPr>
        <w:overflowPunct w:val="0"/>
        <w:autoSpaceDE w:val="0"/>
        <w:autoSpaceDN w:val="0"/>
        <w:adjustRightInd w:val="0"/>
        <w:spacing w:line="276" w:lineRule="auto"/>
        <w:ind w:left="1080"/>
        <w:textAlignment w:val="baseline"/>
        <w:rPr>
          <w:i/>
          <w:szCs w:val="20"/>
          <w:lang w:val="es-ES_tradnl"/>
        </w:rPr>
      </w:pPr>
      <w:r w:rsidRPr="00542774">
        <w:rPr>
          <w:i/>
          <w:lang w:val="es-ES_tradnl"/>
        </w:rPr>
        <w:t>(Tel.: 00 32 2 546 8628 – correo electrónico:</w:t>
      </w:r>
      <w:hyperlink r:id="rId22">
        <w:r w:rsidRPr="00542774">
          <w:rPr>
            <w:rStyle w:val="Hyperlink"/>
            <w:i/>
            <w:lang w:val="es-ES_tradnl"/>
          </w:rPr>
          <w:t>Adam.Plezer@eesc.europa.eu</w:t>
        </w:r>
      </w:hyperlink>
      <w:r w:rsidRPr="00542774">
        <w:rPr>
          <w:i/>
          <w:lang w:val="es-ES_tradnl"/>
        </w:rPr>
        <w:t>)</w:t>
      </w:r>
    </w:p>
    <w:p w:rsidR="003C195A" w:rsidRPr="00542774" w:rsidRDefault="000B1EEE" w:rsidP="003C195A">
      <w:pPr>
        <w:pStyle w:val="Heading1"/>
        <w:rPr>
          <w:b/>
          <w:caps/>
          <w:lang w:val="es-ES_tradnl"/>
        </w:rPr>
      </w:pPr>
      <w:r w:rsidRPr="00542774">
        <w:rPr>
          <w:lang w:val="es-ES_tradnl"/>
        </w:rPr>
        <w:br w:type="page"/>
      </w:r>
      <w:bookmarkStart w:id="3" w:name="_Toc482012644"/>
      <w:bookmarkStart w:id="4" w:name="_Toc482864439"/>
      <w:r w:rsidRPr="00542774">
        <w:rPr>
          <w:b/>
          <w:caps/>
          <w:lang w:val="es-ES_tradnl"/>
        </w:rPr>
        <w:t>Gobernanza económica e instrumentos financieros</w:t>
      </w:r>
      <w:bookmarkEnd w:id="3"/>
      <w:bookmarkEnd w:id="4"/>
    </w:p>
    <w:p w:rsidR="003C195A" w:rsidRPr="00542774" w:rsidRDefault="003C195A" w:rsidP="003C195A">
      <w:pPr>
        <w:rPr>
          <w:lang w:val="es-ES_tradnl"/>
        </w:rPr>
      </w:pPr>
    </w:p>
    <w:p w:rsidR="003C195A" w:rsidRPr="00542774" w:rsidRDefault="003C195A" w:rsidP="003C195A">
      <w:pPr>
        <w:widowControl w:val="0"/>
        <w:numPr>
          <w:ilvl w:val="0"/>
          <w:numId w:val="40"/>
        </w:numPr>
        <w:overflowPunct w:val="0"/>
        <w:autoSpaceDE w:val="0"/>
        <w:autoSpaceDN w:val="0"/>
        <w:adjustRightInd w:val="0"/>
        <w:ind w:left="567" w:hanging="567"/>
        <w:textAlignment w:val="baseline"/>
        <w:rPr>
          <w:b/>
          <w:i/>
          <w:sz w:val="28"/>
          <w:szCs w:val="28"/>
          <w:lang w:val="es-ES_tradnl"/>
        </w:rPr>
      </w:pPr>
      <w:r w:rsidRPr="00542774">
        <w:rPr>
          <w:b/>
          <w:i/>
          <w:sz w:val="28"/>
          <w:lang w:val="es-ES_tradnl"/>
        </w:rPr>
        <w:t>Financiación del terrorismo – Controles de los movimientos de dinero en efectivo</w:t>
      </w:r>
    </w:p>
    <w:p w:rsidR="003C195A" w:rsidRPr="00542774" w:rsidRDefault="003C195A" w:rsidP="003C195A">
      <w:pPr>
        <w:rPr>
          <w:lang w:val="es-ES_tradnl"/>
        </w:rPr>
      </w:pPr>
    </w:p>
    <w:p w:rsidR="003C195A" w:rsidRPr="00542774" w:rsidRDefault="003C195A" w:rsidP="003C195A">
      <w:pPr>
        <w:overflowPunct w:val="0"/>
        <w:autoSpaceDE w:val="0"/>
        <w:autoSpaceDN w:val="0"/>
        <w:adjustRightInd w:val="0"/>
        <w:ind w:left="1620" w:hanging="1620"/>
        <w:textAlignment w:val="baseline"/>
        <w:rPr>
          <w:szCs w:val="20"/>
          <w:lang w:val="es-ES_tradnl"/>
        </w:rPr>
      </w:pPr>
      <w:r w:rsidRPr="00542774">
        <w:rPr>
          <w:b/>
          <w:lang w:val="es-ES_tradnl"/>
        </w:rPr>
        <w:t>Ponente:</w:t>
      </w:r>
      <w:r w:rsidRPr="00542774">
        <w:rPr>
          <w:lang w:val="es-ES_tradnl"/>
        </w:rPr>
        <w:tab/>
        <w:t>Javier DOZ ORRIT (Trabajadores - ES)</w:t>
      </w:r>
    </w:p>
    <w:p w:rsidR="003C195A" w:rsidRPr="00542774" w:rsidRDefault="003C195A" w:rsidP="003C195A">
      <w:pPr>
        <w:tabs>
          <w:tab w:val="center" w:pos="284"/>
        </w:tabs>
        <w:overflowPunct w:val="0"/>
        <w:autoSpaceDE w:val="0"/>
        <w:autoSpaceDN w:val="0"/>
        <w:adjustRightInd w:val="0"/>
        <w:ind w:left="1620" w:hanging="1620"/>
        <w:textAlignment w:val="baseline"/>
        <w:rPr>
          <w:szCs w:val="20"/>
          <w:lang w:val="es-ES_tradnl"/>
        </w:rPr>
      </w:pPr>
      <w:r w:rsidRPr="00542774">
        <w:rPr>
          <w:b/>
          <w:lang w:val="es-ES_tradnl"/>
        </w:rPr>
        <w:t>Coponente:</w:t>
      </w:r>
      <w:r w:rsidRPr="00542774">
        <w:rPr>
          <w:lang w:val="es-ES_tradnl"/>
        </w:rPr>
        <w:tab/>
        <w:t>Ionuț SIBIAN (Actividades Diversas - RO)</w:t>
      </w:r>
    </w:p>
    <w:p w:rsidR="003C195A" w:rsidRPr="00542774" w:rsidRDefault="003C195A" w:rsidP="003C195A">
      <w:pPr>
        <w:tabs>
          <w:tab w:val="center" w:pos="284"/>
        </w:tabs>
        <w:overflowPunct w:val="0"/>
        <w:autoSpaceDE w:val="0"/>
        <w:autoSpaceDN w:val="0"/>
        <w:adjustRightInd w:val="0"/>
        <w:ind w:left="266" w:hanging="266"/>
        <w:textAlignment w:val="baseline"/>
        <w:rPr>
          <w:szCs w:val="20"/>
          <w:lang w:val="es-ES_tradnl"/>
        </w:rPr>
      </w:pPr>
    </w:p>
    <w:p w:rsidR="003C195A" w:rsidRPr="00542774" w:rsidRDefault="003C195A" w:rsidP="003C195A">
      <w:pPr>
        <w:overflowPunct w:val="0"/>
        <w:autoSpaceDE w:val="0"/>
        <w:autoSpaceDN w:val="0"/>
        <w:adjustRightInd w:val="0"/>
        <w:ind w:left="1620" w:hanging="1620"/>
        <w:textAlignment w:val="baseline"/>
        <w:rPr>
          <w:lang w:val="es-ES_tradnl"/>
        </w:rPr>
      </w:pPr>
      <w:r w:rsidRPr="00542774">
        <w:rPr>
          <w:b/>
          <w:lang w:val="es-ES_tradnl"/>
        </w:rPr>
        <w:t>Referencia:</w:t>
      </w:r>
      <w:r w:rsidRPr="00542774">
        <w:rPr>
          <w:lang w:val="es-ES_tradnl"/>
        </w:rPr>
        <w:tab/>
        <w:t>COM(2016) 825 final/2016/0413 (COD)</w:t>
      </w:r>
    </w:p>
    <w:p w:rsidR="003C195A" w:rsidRPr="00542774" w:rsidRDefault="003C195A" w:rsidP="003C195A">
      <w:pPr>
        <w:tabs>
          <w:tab w:val="center" w:pos="284"/>
        </w:tabs>
        <w:overflowPunct w:val="0"/>
        <w:autoSpaceDE w:val="0"/>
        <w:autoSpaceDN w:val="0"/>
        <w:adjustRightInd w:val="0"/>
        <w:ind w:left="266" w:hanging="266"/>
        <w:textAlignment w:val="baseline"/>
        <w:rPr>
          <w:szCs w:val="20"/>
          <w:lang w:val="es-ES_tradnl"/>
        </w:rPr>
      </w:pPr>
    </w:p>
    <w:p w:rsidR="003C195A" w:rsidRPr="00542774" w:rsidRDefault="003C195A" w:rsidP="003C195A">
      <w:pPr>
        <w:keepNext/>
        <w:keepLines/>
        <w:tabs>
          <w:tab w:val="center" w:pos="284"/>
        </w:tabs>
        <w:overflowPunct w:val="0"/>
        <w:autoSpaceDE w:val="0"/>
        <w:autoSpaceDN w:val="0"/>
        <w:adjustRightInd w:val="0"/>
        <w:ind w:left="266" w:hanging="266"/>
        <w:textAlignment w:val="baseline"/>
        <w:rPr>
          <w:b/>
          <w:lang w:val="es-ES_tradnl"/>
        </w:rPr>
      </w:pPr>
      <w:r w:rsidRPr="00542774">
        <w:rPr>
          <w:b/>
          <w:lang w:val="es-ES_tradnl"/>
        </w:rPr>
        <w:t>Puntos clave:</w:t>
      </w:r>
    </w:p>
    <w:p w:rsidR="003C195A" w:rsidRPr="00542774" w:rsidRDefault="003C195A" w:rsidP="003C195A">
      <w:pPr>
        <w:rPr>
          <w:lang w:val="es-ES_tradnl"/>
        </w:rPr>
      </w:pPr>
    </w:p>
    <w:p w:rsidR="003C195A" w:rsidRPr="00542774" w:rsidRDefault="003C195A" w:rsidP="003C195A">
      <w:pPr>
        <w:rPr>
          <w:lang w:val="es-ES_tradnl"/>
        </w:rPr>
      </w:pPr>
      <w:r w:rsidRPr="00542774">
        <w:rPr>
          <w:lang w:val="es-ES_tradnl"/>
        </w:rPr>
        <w:t>El CESE</w:t>
      </w:r>
    </w:p>
    <w:p w:rsidR="003C195A" w:rsidRPr="00542774" w:rsidRDefault="003C195A" w:rsidP="003C195A">
      <w:pPr>
        <w:rPr>
          <w:lang w:val="es-ES_tradnl"/>
        </w:rPr>
      </w:pPr>
    </w:p>
    <w:p w:rsidR="003C195A" w:rsidRPr="00542774" w:rsidRDefault="003C195A" w:rsidP="003C195A">
      <w:pPr>
        <w:pStyle w:val="ListParagraph"/>
        <w:numPr>
          <w:ilvl w:val="0"/>
          <w:numId w:val="57"/>
        </w:numPr>
        <w:tabs>
          <w:tab w:val="clear" w:pos="0"/>
        </w:tabs>
        <w:ind w:left="567" w:hanging="567"/>
        <w:rPr>
          <w:lang w:val="es-ES_tradnl"/>
        </w:rPr>
      </w:pPr>
      <w:r w:rsidRPr="00542774">
        <w:rPr>
          <w:lang w:val="es-ES_tradnl"/>
        </w:rPr>
        <w:t>apoya la propuesta de la Comisión. Considera que ampliar el ámbito de los controles y de las competencias de las autoridades para realizar controles y embargar, siempre que exista una sospecha razonable de actividades ilícitas, facilitará la detección de más casos de fraude y permitirá recabar más información.</w:t>
      </w:r>
    </w:p>
    <w:p w:rsidR="003C195A" w:rsidRPr="00542774" w:rsidRDefault="003C195A" w:rsidP="003C195A">
      <w:pPr>
        <w:pStyle w:val="ListParagraph"/>
        <w:numPr>
          <w:ilvl w:val="0"/>
          <w:numId w:val="56"/>
        </w:numPr>
        <w:tabs>
          <w:tab w:val="clear" w:pos="0"/>
        </w:tabs>
        <w:ind w:left="567" w:hanging="567"/>
        <w:rPr>
          <w:lang w:val="es-ES_tradnl"/>
        </w:rPr>
      </w:pPr>
      <w:r w:rsidRPr="00542774">
        <w:rPr>
          <w:lang w:val="es-ES_tradnl"/>
        </w:rPr>
        <w:t>considera necesario mejorar la cooperación entre las autoridades competentes y entre los Estados miembros, para lograr la máxima eficacia en la aplicación del nuevo Reglamento.</w:t>
      </w:r>
    </w:p>
    <w:p w:rsidR="003C195A" w:rsidRPr="00542774" w:rsidRDefault="003C195A" w:rsidP="003C195A">
      <w:pPr>
        <w:pStyle w:val="ListParagraph"/>
        <w:numPr>
          <w:ilvl w:val="0"/>
          <w:numId w:val="56"/>
        </w:numPr>
        <w:tabs>
          <w:tab w:val="clear" w:pos="0"/>
        </w:tabs>
        <w:ind w:left="567" w:hanging="567"/>
        <w:rPr>
          <w:lang w:val="es-ES_tradnl"/>
        </w:rPr>
      </w:pPr>
      <w:r w:rsidRPr="00542774">
        <w:rPr>
          <w:lang w:val="es-ES_tradnl"/>
        </w:rPr>
        <w:t>propone que, tras realizar amplias consultas y un estudio, la Comisión elabore un Plan para reducir el uso del dinero efectivo en la UE y que se evalúe si el umbral de 10 000 euros es el adecuado.</w:t>
      </w:r>
    </w:p>
    <w:p w:rsidR="003C195A" w:rsidRPr="00542774" w:rsidRDefault="0057764D" w:rsidP="003C195A">
      <w:pPr>
        <w:pStyle w:val="ListParagraph"/>
        <w:numPr>
          <w:ilvl w:val="0"/>
          <w:numId w:val="56"/>
        </w:numPr>
        <w:tabs>
          <w:tab w:val="clear" w:pos="0"/>
        </w:tabs>
        <w:ind w:left="567" w:hanging="567"/>
        <w:rPr>
          <w:lang w:val="es-ES_tradnl"/>
        </w:rPr>
      </w:pPr>
      <w:r w:rsidRPr="00542774">
        <w:rPr>
          <w:lang w:val="es-ES_tradnl"/>
        </w:rPr>
        <w:t>opina que la Comisión debe ir más allá en la definición de las sanciones por incumplimiento de la obligación de declarar.</w:t>
      </w:r>
    </w:p>
    <w:p w:rsidR="003C195A" w:rsidRPr="00542774" w:rsidRDefault="003C195A" w:rsidP="003C195A">
      <w:pPr>
        <w:pStyle w:val="ListParagraph"/>
        <w:numPr>
          <w:ilvl w:val="0"/>
          <w:numId w:val="56"/>
        </w:numPr>
        <w:tabs>
          <w:tab w:val="clear" w:pos="0"/>
        </w:tabs>
        <w:ind w:left="567" w:hanging="567"/>
        <w:rPr>
          <w:lang w:val="es-ES_tradnl"/>
        </w:rPr>
      </w:pPr>
      <w:r w:rsidRPr="00542774">
        <w:rPr>
          <w:lang w:val="es-ES_tradnl"/>
        </w:rPr>
        <w:t>en la lista de países y territorios considerados de alto riesgo por la Comisión.</w:t>
      </w:r>
    </w:p>
    <w:p w:rsidR="003C195A" w:rsidRPr="00542774" w:rsidRDefault="003C195A" w:rsidP="003C195A">
      <w:pPr>
        <w:pStyle w:val="ListParagraph"/>
        <w:numPr>
          <w:ilvl w:val="0"/>
          <w:numId w:val="59"/>
        </w:numPr>
        <w:tabs>
          <w:tab w:val="clear" w:pos="0"/>
        </w:tabs>
        <w:ind w:left="567" w:hanging="567"/>
        <w:rPr>
          <w:lang w:val="es-ES_tradnl"/>
        </w:rPr>
      </w:pPr>
      <w:r w:rsidRPr="00542774">
        <w:rPr>
          <w:lang w:val="es-ES_tradnl"/>
        </w:rPr>
        <w:t>sugiere que las autoridades fiscales puedan acceder también a la información recogida en el control de los flujos de efectivo para investigar si estas actividades se relacionan con delitos fiscales.</w:t>
      </w:r>
    </w:p>
    <w:p w:rsidR="003C195A" w:rsidRPr="00542774" w:rsidRDefault="003C195A" w:rsidP="003C195A">
      <w:pPr>
        <w:pStyle w:val="ListParagraph"/>
        <w:numPr>
          <w:ilvl w:val="0"/>
          <w:numId w:val="56"/>
        </w:numPr>
        <w:tabs>
          <w:tab w:val="clear" w:pos="0"/>
        </w:tabs>
        <w:ind w:left="567" w:hanging="567"/>
        <w:rPr>
          <w:lang w:val="es-ES_tradnl"/>
        </w:rPr>
      </w:pPr>
      <w:r w:rsidRPr="00542774">
        <w:rPr>
          <w:lang w:val="es-ES_tradnl"/>
        </w:rPr>
        <w:t>recomienda que, además del oro, otras «materias primas preciosas de elevada liquidez» deberían incluirse en la definición del dinero efectivo, desde el mismo momento de la aprobación del nuevo Reglamento.</w:t>
      </w:r>
    </w:p>
    <w:p w:rsidR="003C195A" w:rsidRPr="00542774" w:rsidRDefault="003C195A" w:rsidP="003C195A">
      <w:pPr>
        <w:pStyle w:val="ListParagraph"/>
        <w:numPr>
          <w:ilvl w:val="0"/>
          <w:numId w:val="56"/>
        </w:numPr>
        <w:tabs>
          <w:tab w:val="clear" w:pos="0"/>
        </w:tabs>
        <w:ind w:left="567" w:hanging="567"/>
        <w:rPr>
          <w:lang w:val="es-ES_tradnl"/>
        </w:rPr>
      </w:pPr>
      <w:r w:rsidRPr="00542774">
        <w:rPr>
          <w:lang w:val="es-ES_tradnl"/>
        </w:rPr>
        <w:t>propone que se preste más atención al peligro de que los delincuentes y los terroristas sigan usando tarjetas prepagadas para financiar de forma encubierta sus actividades.</w:t>
      </w:r>
    </w:p>
    <w:p w:rsidR="003C195A" w:rsidRPr="00542774" w:rsidRDefault="0057764D" w:rsidP="003C195A">
      <w:pPr>
        <w:pStyle w:val="ListParagraph"/>
        <w:numPr>
          <w:ilvl w:val="0"/>
          <w:numId w:val="56"/>
        </w:numPr>
        <w:tabs>
          <w:tab w:val="clear" w:pos="0"/>
        </w:tabs>
        <w:ind w:left="567" w:hanging="567"/>
        <w:rPr>
          <w:lang w:val="es-ES_tradnl"/>
        </w:rPr>
      </w:pPr>
      <w:r w:rsidRPr="00542774">
        <w:rPr>
          <w:lang w:val="es-ES_tradnl"/>
        </w:rPr>
        <w:t>sugiere que, debido al incremento de datos recolectados e intercambiados entre autoridades, debería reforzarse la protección de los mismos.</w:t>
      </w:r>
    </w:p>
    <w:p w:rsidR="003C195A" w:rsidRPr="00542774" w:rsidRDefault="003C195A" w:rsidP="003C195A">
      <w:pPr>
        <w:rPr>
          <w:lang w:val="es-ES_tradnl"/>
        </w:rPr>
      </w:pPr>
    </w:p>
    <w:p w:rsidR="003C195A" w:rsidRPr="00542774" w:rsidRDefault="003C195A" w:rsidP="003C195A">
      <w:pPr>
        <w:overflowPunct w:val="0"/>
        <w:autoSpaceDE w:val="0"/>
        <w:autoSpaceDN w:val="0"/>
        <w:adjustRightInd w:val="0"/>
        <w:ind w:left="1080" w:hanging="1080"/>
        <w:rPr>
          <w:i/>
          <w:szCs w:val="20"/>
          <w:lang w:val="es-ES_tradnl"/>
        </w:rPr>
      </w:pPr>
      <w:r w:rsidRPr="00542774">
        <w:rPr>
          <w:b/>
          <w:i/>
          <w:lang w:val="es-ES_tradnl"/>
        </w:rPr>
        <w:t>Contacto</w:t>
      </w:r>
      <w:r w:rsidRPr="00542774">
        <w:rPr>
          <w:lang w:val="es-ES_tradnl"/>
        </w:rPr>
        <w:t>:</w:t>
      </w:r>
      <w:r w:rsidR="00204DB8" w:rsidRPr="00542774">
        <w:rPr>
          <w:lang w:val="es-ES_tradnl"/>
        </w:rPr>
        <w:tab/>
      </w:r>
      <w:r w:rsidRPr="00542774">
        <w:rPr>
          <w:i/>
          <w:lang w:val="es-ES_tradnl"/>
        </w:rPr>
        <w:t>Krisztina PERLAKY-TÓTH</w:t>
      </w:r>
    </w:p>
    <w:p w:rsidR="003C195A" w:rsidRPr="00542774" w:rsidRDefault="003C195A" w:rsidP="003C195A">
      <w:pPr>
        <w:overflowPunct w:val="0"/>
        <w:autoSpaceDE w:val="0"/>
        <w:autoSpaceDN w:val="0"/>
        <w:adjustRightInd w:val="0"/>
        <w:ind w:left="1080"/>
        <w:rPr>
          <w:i/>
          <w:szCs w:val="20"/>
          <w:lang w:val="es-ES_tradnl"/>
        </w:rPr>
      </w:pPr>
      <w:r w:rsidRPr="00542774">
        <w:rPr>
          <w:i/>
          <w:lang w:val="es-ES_tradnl"/>
        </w:rPr>
        <w:t xml:space="preserve">(Tel: 00 32 2 546 9740 - correo electrónico: </w:t>
      </w:r>
      <w:hyperlink r:id="rId23">
        <w:r w:rsidRPr="00542774">
          <w:rPr>
            <w:rStyle w:val="Hyperlink"/>
            <w:i/>
            <w:lang w:val="es-ES_tradnl"/>
          </w:rPr>
          <w:t>Krisztina.PerlakyToth@eesc.europa.eu</w:t>
        </w:r>
      </w:hyperlink>
      <w:r w:rsidRPr="00542774">
        <w:rPr>
          <w:i/>
          <w:lang w:val="es-ES_tradnl"/>
        </w:rPr>
        <w:t>)</w:t>
      </w:r>
    </w:p>
    <w:p w:rsidR="00367A90" w:rsidRPr="00542774" w:rsidRDefault="003C195A" w:rsidP="007078F0">
      <w:pPr>
        <w:rPr>
          <w:highlight w:val="cyan"/>
          <w:lang w:val="es-ES_tradnl"/>
        </w:rPr>
      </w:pPr>
      <w:r w:rsidRPr="00542774">
        <w:rPr>
          <w:lang w:val="es-ES_tradnl"/>
        </w:rPr>
        <w:br w:type="page"/>
      </w:r>
    </w:p>
    <w:p w:rsidR="00802367" w:rsidRPr="00542774" w:rsidRDefault="00802367" w:rsidP="00780E20">
      <w:pPr>
        <w:pStyle w:val="Heading1"/>
        <w:rPr>
          <w:b/>
          <w:caps/>
          <w:lang w:val="es-ES_tradnl"/>
        </w:rPr>
      </w:pPr>
      <w:bookmarkStart w:id="5" w:name="_Toc482012645"/>
      <w:bookmarkStart w:id="6" w:name="_Toc482864440"/>
      <w:r w:rsidRPr="00542774">
        <w:rPr>
          <w:b/>
          <w:caps/>
          <w:lang w:val="es-ES_tradnl"/>
        </w:rPr>
        <w:t>Transporte</w:t>
      </w:r>
      <w:bookmarkEnd w:id="5"/>
      <w:bookmarkEnd w:id="6"/>
    </w:p>
    <w:p w:rsidR="00B77EB1" w:rsidRPr="00542774" w:rsidRDefault="00B77EB1" w:rsidP="007078F0">
      <w:pPr>
        <w:rPr>
          <w:lang w:val="es-ES_tradnl"/>
        </w:rPr>
      </w:pPr>
    </w:p>
    <w:p w:rsidR="00F04D10" w:rsidRPr="00542774" w:rsidRDefault="00F04D10" w:rsidP="007078F0">
      <w:pPr>
        <w:widowControl w:val="0"/>
        <w:numPr>
          <w:ilvl w:val="0"/>
          <w:numId w:val="3"/>
        </w:numPr>
        <w:overflowPunct w:val="0"/>
        <w:autoSpaceDE w:val="0"/>
        <w:autoSpaceDN w:val="0"/>
        <w:adjustRightInd w:val="0"/>
        <w:ind w:left="567" w:hanging="567"/>
        <w:textAlignment w:val="baseline"/>
        <w:rPr>
          <w:bCs/>
          <w:i/>
          <w:szCs w:val="20"/>
          <w:lang w:val="es-ES_tradnl"/>
        </w:rPr>
      </w:pPr>
      <w:r w:rsidRPr="00542774">
        <w:rPr>
          <w:b/>
          <w:i/>
          <w:sz w:val="28"/>
          <w:lang w:val="es-ES_tradnl"/>
        </w:rPr>
        <w:t>Las mujeres y el transporte - Plataforma para el cambio</w:t>
      </w:r>
    </w:p>
    <w:p w:rsidR="00F04D10" w:rsidRPr="00542774" w:rsidRDefault="00F04D10" w:rsidP="00780E20">
      <w:pPr>
        <w:widowControl w:val="0"/>
        <w:overflowPunct w:val="0"/>
        <w:autoSpaceDE w:val="0"/>
        <w:autoSpaceDN w:val="0"/>
        <w:adjustRightInd w:val="0"/>
        <w:textAlignment w:val="baseline"/>
        <w:rPr>
          <w:bCs/>
          <w:szCs w:val="20"/>
          <w:highlight w:val="green"/>
          <w:lang w:val="es-ES_tradnl"/>
        </w:rPr>
      </w:pPr>
    </w:p>
    <w:p w:rsidR="00F04D10" w:rsidRPr="00542774" w:rsidRDefault="00F04D10" w:rsidP="007078F0">
      <w:pPr>
        <w:ind w:left="1620" w:hanging="1620"/>
        <w:rPr>
          <w:lang w:val="es-ES_tradnl"/>
        </w:rPr>
      </w:pPr>
      <w:r w:rsidRPr="00542774">
        <w:rPr>
          <w:b/>
          <w:lang w:val="es-ES_tradnl"/>
        </w:rPr>
        <w:t>Ponente:</w:t>
      </w:r>
      <w:r w:rsidRPr="00542774">
        <w:rPr>
          <w:lang w:val="es-ES_tradnl"/>
        </w:rPr>
        <w:tab/>
        <w:t>Madi SHARMA (Empresarios – UK)</w:t>
      </w:r>
    </w:p>
    <w:p w:rsidR="00367A90" w:rsidRPr="00542774" w:rsidRDefault="00367A90" w:rsidP="00780E20">
      <w:pPr>
        <w:overflowPunct w:val="0"/>
        <w:autoSpaceDE w:val="0"/>
        <w:autoSpaceDN w:val="0"/>
        <w:adjustRightInd w:val="0"/>
        <w:textAlignment w:val="baseline"/>
        <w:rPr>
          <w:lang w:val="es-ES_tradnl"/>
        </w:rPr>
      </w:pPr>
    </w:p>
    <w:p w:rsidR="00B77EB1" w:rsidRPr="00542774" w:rsidRDefault="00F04D10" w:rsidP="007078F0">
      <w:pPr>
        <w:overflowPunct w:val="0"/>
        <w:autoSpaceDE w:val="0"/>
        <w:autoSpaceDN w:val="0"/>
        <w:adjustRightInd w:val="0"/>
        <w:ind w:left="1620" w:hanging="1620"/>
        <w:textAlignment w:val="baseline"/>
        <w:rPr>
          <w:szCs w:val="20"/>
          <w:lang w:val="es-ES_tradnl"/>
        </w:rPr>
      </w:pPr>
      <w:r w:rsidRPr="00542774">
        <w:rPr>
          <w:b/>
          <w:lang w:val="es-ES_tradnl"/>
        </w:rPr>
        <w:t>Referencia:</w:t>
      </w:r>
      <w:r w:rsidRPr="00542774">
        <w:rPr>
          <w:lang w:val="es-ES_tradnl"/>
        </w:rPr>
        <w:tab/>
        <w:t>Dictamen exploratorio a petición de la Comisión Europea</w:t>
      </w:r>
    </w:p>
    <w:p w:rsidR="00F04D10" w:rsidRPr="00542774" w:rsidRDefault="00F04D10" w:rsidP="007078F0">
      <w:pPr>
        <w:overflowPunct w:val="0"/>
        <w:autoSpaceDE w:val="0"/>
        <w:autoSpaceDN w:val="0"/>
        <w:adjustRightInd w:val="0"/>
        <w:ind w:left="1620"/>
        <w:textAlignment w:val="baseline"/>
        <w:rPr>
          <w:szCs w:val="20"/>
          <w:lang w:val="es-ES_tradnl"/>
        </w:rPr>
      </w:pPr>
      <w:r w:rsidRPr="00542774">
        <w:rPr>
          <w:lang w:val="es-ES_tradnl"/>
        </w:rPr>
        <w:t>EESC-2017-00048-00-00-AC</w:t>
      </w:r>
    </w:p>
    <w:p w:rsidR="00F04D10" w:rsidRPr="00542774" w:rsidRDefault="00F04D10" w:rsidP="00780E20">
      <w:pPr>
        <w:tabs>
          <w:tab w:val="num" w:pos="550"/>
        </w:tabs>
        <w:overflowPunct w:val="0"/>
        <w:autoSpaceDE w:val="0"/>
        <w:autoSpaceDN w:val="0"/>
        <w:adjustRightInd w:val="0"/>
        <w:textAlignment w:val="baseline"/>
        <w:rPr>
          <w:szCs w:val="20"/>
          <w:lang w:val="es-ES_tradnl"/>
        </w:rPr>
      </w:pPr>
    </w:p>
    <w:p w:rsidR="00F04D10" w:rsidRPr="00542774" w:rsidRDefault="00F04D10">
      <w:pPr>
        <w:overflowPunct w:val="0"/>
        <w:autoSpaceDE w:val="0"/>
        <w:autoSpaceDN w:val="0"/>
        <w:adjustRightInd w:val="0"/>
        <w:textAlignment w:val="baseline"/>
        <w:rPr>
          <w:szCs w:val="20"/>
          <w:lang w:val="es-ES_tradnl"/>
        </w:rPr>
      </w:pPr>
      <w:r w:rsidRPr="00542774">
        <w:rPr>
          <w:b/>
          <w:lang w:val="es-ES_tradnl"/>
        </w:rPr>
        <w:t>Puntos clave:</w:t>
      </w:r>
    </w:p>
    <w:p w:rsidR="00F04D10" w:rsidRPr="00542774" w:rsidRDefault="00F04D10">
      <w:pPr>
        <w:overflowPunct w:val="0"/>
        <w:autoSpaceDE w:val="0"/>
        <w:autoSpaceDN w:val="0"/>
        <w:adjustRightInd w:val="0"/>
        <w:textAlignment w:val="baseline"/>
        <w:rPr>
          <w:szCs w:val="20"/>
          <w:lang w:val="es-ES_tradnl"/>
        </w:rPr>
      </w:pPr>
    </w:p>
    <w:p w:rsidR="00F04D10" w:rsidRPr="00542774" w:rsidRDefault="00F04D10">
      <w:pPr>
        <w:overflowPunct w:val="0"/>
        <w:autoSpaceDE w:val="0"/>
        <w:autoSpaceDN w:val="0"/>
        <w:adjustRightInd w:val="0"/>
        <w:textAlignment w:val="baseline"/>
        <w:outlineLvl w:val="1"/>
        <w:rPr>
          <w:szCs w:val="20"/>
          <w:lang w:val="es-ES_tradnl"/>
        </w:rPr>
      </w:pPr>
      <w:r w:rsidRPr="00542774">
        <w:rPr>
          <w:lang w:val="es-ES_tradnl"/>
        </w:rPr>
        <w:t>El CESE propone la creación de una Plataforma Europea para el Cambio (en lo sucesivo, «la Plataforma»), con vistas a abordar la igualdad de género en los transportes, dando prioridad inicialmente al fomento de la empleabilidad de las mujeres en este sector. Este objetivo inicial podría ampliarse más adelante a «las mujeres como usuarias». Entre los miembros podrían figurar, aunque no exclusivamente, organismos representativos de responsables políticos de la UE y de los Estados miembros, las industrias del transporte, sus sindicatos, medios de comunicación, organizaciones de pasajeros y ONG que estén dispuestos a comprometerse a emprender acciones concretas para abordar la desigualdad de género en el sector del transporte.</w:t>
      </w:r>
    </w:p>
    <w:p w:rsidR="00F04D10" w:rsidRPr="00542774" w:rsidRDefault="00F04D10">
      <w:pPr>
        <w:overflowPunct w:val="0"/>
        <w:autoSpaceDE w:val="0"/>
        <w:autoSpaceDN w:val="0"/>
        <w:adjustRightInd w:val="0"/>
        <w:textAlignment w:val="baseline"/>
        <w:rPr>
          <w:szCs w:val="20"/>
          <w:lang w:val="es-ES_tradnl"/>
        </w:rPr>
      </w:pPr>
    </w:p>
    <w:p w:rsidR="00F04D10" w:rsidRPr="00542774" w:rsidRDefault="00F04D10">
      <w:pPr>
        <w:overflowPunct w:val="0"/>
        <w:autoSpaceDE w:val="0"/>
        <w:autoSpaceDN w:val="0"/>
        <w:adjustRightInd w:val="0"/>
        <w:textAlignment w:val="baseline"/>
        <w:outlineLvl w:val="1"/>
        <w:rPr>
          <w:szCs w:val="20"/>
          <w:lang w:val="es-ES_tradnl"/>
        </w:rPr>
      </w:pPr>
      <w:r w:rsidRPr="00542774">
        <w:rPr>
          <w:lang w:val="es-ES_tradnl"/>
        </w:rPr>
        <w:t>El CESE promovería los objetivos de aplicación de políticas que tengan en cuenta la dimensión de género mediante el establecimiento de objetivos claros: mandato y ámbito de aplicación definidos, incluidos indicadores, desarrollados por los miembros durante la fase de instauración de la Plataforma.</w:t>
      </w:r>
    </w:p>
    <w:p w:rsidR="00F04D10" w:rsidRPr="00542774" w:rsidRDefault="00F04D10">
      <w:pPr>
        <w:overflowPunct w:val="0"/>
        <w:autoSpaceDE w:val="0"/>
        <w:autoSpaceDN w:val="0"/>
        <w:adjustRightInd w:val="0"/>
        <w:textAlignment w:val="baseline"/>
        <w:rPr>
          <w:szCs w:val="20"/>
          <w:lang w:val="es-ES_tradnl"/>
        </w:rPr>
      </w:pPr>
    </w:p>
    <w:p w:rsidR="00F04D10" w:rsidRPr="00542774" w:rsidRDefault="00F04D10">
      <w:pPr>
        <w:overflowPunct w:val="0"/>
        <w:autoSpaceDE w:val="0"/>
        <w:autoSpaceDN w:val="0"/>
        <w:adjustRightInd w:val="0"/>
        <w:textAlignment w:val="baseline"/>
        <w:outlineLvl w:val="1"/>
        <w:rPr>
          <w:szCs w:val="20"/>
          <w:lang w:val="es-ES_tradnl"/>
        </w:rPr>
      </w:pPr>
      <w:r w:rsidRPr="00542774">
        <w:rPr>
          <w:lang w:val="es-ES_tradnl"/>
        </w:rPr>
        <w:t>El CESE recomienda que la Plataforma conserve la capacidad de ser flexible y de poder adaptarse a todas las facetas del sector y de las políticas. Debería insistirse en la transparencia y en la rendición de cuentas de sus miembros y de su funcionamiento. El seguimiento, la evaluación y los informes anuales constituyen herramientas esenciales para la credibilidad y el éxito de la Plataforma.</w:t>
      </w:r>
    </w:p>
    <w:p w:rsidR="00F04D10" w:rsidRPr="00542774" w:rsidRDefault="00F04D10">
      <w:pPr>
        <w:overflowPunct w:val="0"/>
        <w:autoSpaceDE w:val="0"/>
        <w:autoSpaceDN w:val="0"/>
        <w:adjustRightInd w:val="0"/>
        <w:textAlignment w:val="baseline"/>
        <w:rPr>
          <w:szCs w:val="20"/>
          <w:lang w:val="es-ES_tradnl"/>
        </w:rPr>
      </w:pPr>
    </w:p>
    <w:p w:rsidR="00F04D10" w:rsidRPr="00542774" w:rsidRDefault="00F04D10">
      <w:pPr>
        <w:keepNext/>
        <w:overflowPunct w:val="0"/>
        <w:autoSpaceDE w:val="0"/>
        <w:autoSpaceDN w:val="0"/>
        <w:adjustRightInd w:val="0"/>
        <w:textAlignment w:val="baseline"/>
        <w:rPr>
          <w:szCs w:val="20"/>
          <w:lang w:val="es-ES_tradnl"/>
        </w:rPr>
      </w:pPr>
      <w:r w:rsidRPr="00542774">
        <w:rPr>
          <w:lang w:val="es-ES_tradnl"/>
        </w:rPr>
        <w:t>La Plataforma solo podrá tener éxito si sus miembros se la apropian plenamente. Por ello, el CESE propone crear un sitio web que enumere a los miembros y sus actividades y que aloje una base de datos de las acciones, las recomendaciones, el seguimiento y las evaluaciones, para que otras partes interesadas puedan reproducirlos o recabar información.</w:t>
      </w:r>
    </w:p>
    <w:p w:rsidR="00F04D10" w:rsidRPr="00542774" w:rsidRDefault="00F04D10" w:rsidP="007078F0">
      <w:pPr>
        <w:rPr>
          <w:lang w:val="es-ES_tradnl"/>
        </w:rPr>
      </w:pPr>
    </w:p>
    <w:p w:rsidR="00F04D10" w:rsidRPr="00542774" w:rsidRDefault="00F04D10" w:rsidP="007078F0">
      <w:pPr>
        <w:overflowPunct w:val="0"/>
        <w:autoSpaceDE w:val="0"/>
        <w:autoSpaceDN w:val="0"/>
        <w:adjustRightInd w:val="0"/>
        <w:ind w:left="1080" w:hanging="1080"/>
        <w:textAlignment w:val="baseline"/>
        <w:rPr>
          <w:i/>
          <w:lang w:val="es-ES_tradnl"/>
        </w:rPr>
      </w:pPr>
      <w:r w:rsidRPr="00542774">
        <w:rPr>
          <w:b/>
          <w:i/>
          <w:lang w:val="es-ES_tradnl"/>
        </w:rPr>
        <w:t>Contacto</w:t>
      </w:r>
      <w:r w:rsidRPr="00542774">
        <w:rPr>
          <w:lang w:val="es-ES_tradnl"/>
        </w:rPr>
        <w:t>:</w:t>
      </w:r>
      <w:r w:rsidR="00486A2A" w:rsidRPr="00542774">
        <w:rPr>
          <w:lang w:val="es-ES_tradnl"/>
        </w:rPr>
        <w:tab/>
      </w:r>
      <w:r w:rsidRPr="00542774">
        <w:rPr>
          <w:i/>
          <w:lang w:val="es-ES_tradnl"/>
        </w:rPr>
        <w:t>Erika PAULINOVA</w:t>
      </w:r>
    </w:p>
    <w:p w:rsidR="00802367" w:rsidRPr="00542774" w:rsidRDefault="00F04D10" w:rsidP="007078F0">
      <w:pPr>
        <w:overflowPunct w:val="0"/>
        <w:autoSpaceDE w:val="0"/>
        <w:autoSpaceDN w:val="0"/>
        <w:adjustRightInd w:val="0"/>
        <w:ind w:left="1080"/>
        <w:textAlignment w:val="baseline"/>
        <w:rPr>
          <w:i/>
          <w:lang w:val="es-ES_tradnl"/>
        </w:rPr>
      </w:pPr>
      <w:r w:rsidRPr="00542774">
        <w:rPr>
          <w:i/>
          <w:lang w:val="es-ES_tradnl"/>
        </w:rPr>
        <w:t xml:space="preserve">(Tel.: 00 32 2 546 8457 - correo electrónico: </w:t>
      </w:r>
      <w:hyperlink r:id="rId24">
        <w:r w:rsidRPr="00542774">
          <w:rPr>
            <w:rStyle w:val="Hyperlink"/>
            <w:i/>
            <w:lang w:val="es-ES_tradnl"/>
          </w:rPr>
          <w:t>Erika.Paulinova@eesc.europa.eu</w:t>
        </w:r>
      </w:hyperlink>
      <w:r w:rsidRPr="00542774">
        <w:rPr>
          <w:i/>
          <w:lang w:val="es-ES_tradnl"/>
        </w:rPr>
        <w:t>)</w:t>
      </w:r>
    </w:p>
    <w:p w:rsidR="00367A90" w:rsidRPr="00542774" w:rsidRDefault="00367A90" w:rsidP="007078F0">
      <w:pPr>
        <w:rPr>
          <w:lang w:val="es-ES_tradnl"/>
        </w:rPr>
      </w:pPr>
      <w:r w:rsidRPr="00542774">
        <w:rPr>
          <w:lang w:val="es-ES_tradnl"/>
        </w:rPr>
        <w:br w:type="page"/>
      </w:r>
    </w:p>
    <w:p w:rsidR="00802367" w:rsidRPr="00542774" w:rsidRDefault="00802367" w:rsidP="00780E20">
      <w:pPr>
        <w:pStyle w:val="Heading1"/>
        <w:rPr>
          <w:b/>
          <w:caps/>
          <w:lang w:val="es-ES_tradnl"/>
        </w:rPr>
      </w:pPr>
      <w:bookmarkStart w:id="7" w:name="_Toc482012646"/>
      <w:bookmarkStart w:id="8" w:name="_Toc482864441"/>
      <w:r w:rsidRPr="00542774">
        <w:rPr>
          <w:b/>
          <w:caps/>
          <w:lang w:val="es-ES_tradnl"/>
        </w:rPr>
        <w:t>Energía</w:t>
      </w:r>
      <w:bookmarkEnd w:id="7"/>
      <w:bookmarkEnd w:id="8"/>
    </w:p>
    <w:p w:rsidR="000D007F" w:rsidRPr="00542774" w:rsidRDefault="000D007F" w:rsidP="00780E20">
      <w:pPr>
        <w:rPr>
          <w:lang w:val="es-ES_tradnl"/>
        </w:rPr>
      </w:pPr>
    </w:p>
    <w:p w:rsidR="00F04D10" w:rsidRPr="00542774" w:rsidRDefault="00F04D10" w:rsidP="007078F0">
      <w:pPr>
        <w:widowControl w:val="0"/>
        <w:numPr>
          <w:ilvl w:val="0"/>
          <w:numId w:val="3"/>
        </w:numPr>
        <w:overflowPunct w:val="0"/>
        <w:autoSpaceDE w:val="0"/>
        <w:autoSpaceDN w:val="0"/>
        <w:adjustRightInd w:val="0"/>
        <w:ind w:left="567" w:hanging="567"/>
        <w:textAlignment w:val="baseline"/>
        <w:rPr>
          <w:bCs/>
          <w:i/>
          <w:sz w:val="28"/>
          <w:szCs w:val="28"/>
          <w:lang w:val="es-ES_tradnl"/>
        </w:rPr>
      </w:pPr>
      <w:r w:rsidRPr="00542774">
        <w:rPr>
          <w:b/>
          <w:i/>
          <w:sz w:val="28"/>
          <w:lang w:val="es-ES_tradnl"/>
        </w:rPr>
        <w:t>Revisión de la Directiva relativa a la eficiencia energética</w:t>
      </w:r>
    </w:p>
    <w:p w:rsidR="00F04D10" w:rsidRPr="00542774" w:rsidRDefault="00F04D10" w:rsidP="00780E20">
      <w:pPr>
        <w:widowControl w:val="0"/>
        <w:overflowPunct w:val="0"/>
        <w:autoSpaceDE w:val="0"/>
        <w:autoSpaceDN w:val="0"/>
        <w:adjustRightInd w:val="0"/>
        <w:textAlignment w:val="baseline"/>
        <w:rPr>
          <w:bCs/>
          <w:szCs w:val="20"/>
          <w:highlight w:val="green"/>
          <w:lang w:val="es-ES_tradnl"/>
        </w:rPr>
      </w:pPr>
    </w:p>
    <w:p w:rsidR="00F04D10" w:rsidRPr="00542774" w:rsidRDefault="00F04D10" w:rsidP="007078F0">
      <w:pPr>
        <w:ind w:left="1620" w:hanging="1620"/>
        <w:rPr>
          <w:lang w:val="es-ES_tradnl"/>
        </w:rPr>
      </w:pPr>
      <w:r w:rsidRPr="00542774">
        <w:rPr>
          <w:b/>
          <w:lang w:val="es-ES_tradnl"/>
        </w:rPr>
        <w:t>Rapporteur:</w:t>
      </w:r>
      <w:r w:rsidRPr="00542774">
        <w:rPr>
          <w:lang w:val="es-ES_tradnl"/>
        </w:rPr>
        <w:tab/>
        <w:t>Mihai MANOLIU (Empresarios - RO)</w:t>
      </w:r>
    </w:p>
    <w:p w:rsidR="00664675" w:rsidRPr="00542774" w:rsidRDefault="00F04D10" w:rsidP="007078F0">
      <w:pPr>
        <w:overflowPunct w:val="0"/>
        <w:autoSpaceDE w:val="0"/>
        <w:autoSpaceDN w:val="0"/>
        <w:adjustRightInd w:val="0"/>
        <w:ind w:left="1620" w:hanging="1620"/>
        <w:textAlignment w:val="baseline"/>
        <w:rPr>
          <w:szCs w:val="20"/>
          <w:lang w:val="es-ES_tradnl"/>
        </w:rPr>
      </w:pPr>
      <w:r w:rsidRPr="00542774">
        <w:rPr>
          <w:b/>
          <w:lang w:val="es-ES_tradnl"/>
        </w:rPr>
        <w:t>Referencia:</w:t>
      </w:r>
      <w:r w:rsidRPr="00542774">
        <w:rPr>
          <w:lang w:val="es-ES_tradnl"/>
        </w:rPr>
        <w:tab/>
        <w:t>COM(2016) 761 final – 2016/0376 (COD)</w:t>
      </w:r>
    </w:p>
    <w:p w:rsidR="00F04D10" w:rsidRPr="00542774" w:rsidRDefault="00F04D10" w:rsidP="007078F0">
      <w:pPr>
        <w:overflowPunct w:val="0"/>
        <w:autoSpaceDE w:val="0"/>
        <w:autoSpaceDN w:val="0"/>
        <w:adjustRightInd w:val="0"/>
        <w:ind w:left="1620"/>
        <w:textAlignment w:val="baseline"/>
        <w:rPr>
          <w:szCs w:val="20"/>
          <w:highlight w:val="green"/>
          <w:lang w:val="es-ES_tradnl"/>
        </w:rPr>
      </w:pPr>
      <w:r w:rsidRPr="00542774">
        <w:rPr>
          <w:lang w:val="es-ES_tradnl"/>
        </w:rPr>
        <w:t>EESC-2016-06911-00-00-AS-TRA</w:t>
      </w:r>
    </w:p>
    <w:p w:rsidR="00F04D10" w:rsidRPr="00542774" w:rsidRDefault="00F04D10" w:rsidP="007078F0">
      <w:pPr>
        <w:rPr>
          <w:highlight w:val="green"/>
          <w:lang w:val="es-ES_tradnl"/>
        </w:rPr>
      </w:pPr>
    </w:p>
    <w:p w:rsidR="00F04D10" w:rsidRPr="00542774" w:rsidRDefault="00F04D10" w:rsidP="00780E20">
      <w:pPr>
        <w:overflowPunct w:val="0"/>
        <w:autoSpaceDE w:val="0"/>
        <w:autoSpaceDN w:val="0"/>
        <w:adjustRightInd w:val="0"/>
        <w:textAlignment w:val="baseline"/>
        <w:rPr>
          <w:szCs w:val="20"/>
          <w:lang w:val="es-ES_tradnl"/>
        </w:rPr>
      </w:pPr>
      <w:r w:rsidRPr="00542774">
        <w:rPr>
          <w:b/>
          <w:lang w:val="es-ES_tradnl"/>
        </w:rPr>
        <w:t>Puntos clave:</w:t>
      </w:r>
    </w:p>
    <w:p w:rsidR="00664675" w:rsidRPr="00542774" w:rsidRDefault="00664675" w:rsidP="007078F0">
      <w:pPr>
        <w:rPr>
          <w:lang w:val="es-ES_tradnl"/>
        </w:rPr>
      </w:pPr>
    </w:p>
    <w:p w:rsidR="00F04D10" w:rsidRPr="00542774" w:rsidRDefault="00D00B99" w:rsidP="007078F0">
      <w:pPr>
        <w:rPr>
          <w:lang w:val="es-ES_tradnl"/>
        </w:rPr>
      </w:pPr>
      <w:r w:rsidRPr="00542774">
        <w:rPr>
          <w:lang w:val="es-ES_tradnl"/>
        </w:rPr>
        <w:t>El Comité considera que mejorar la eficiencia energética en todos los ámbitos de utilización de la energía puede ser un medio poderoso para reducir los costes para la economía europea y el principio de «primero, eficiencia energética» puede contribuir a mejorar la accesibilidad financiera. La eficiencia energética es una de las maneras más rentables de apoyar la transición hacia una economía hipocarbónica y de generar crecimiento, empleo y oportunidades de inversión. El Comité aboga por:</w:t>
      </w:r>
    </w:p>
    <w:p w:rsidR="00F04D10" w:rsidRPr="00542774" w:rsidRDefault="00F04D10" w:rsidP="007078F0">
      <w:pPr>
        <w:rPr>
          <w:lang w:val="es-ES_tradnl"/>
        </w:rPr>
      </w:pPr>
    </w:p>
    <w:p w:rsidR="00F04D10" w:rsidRPr="00542774" w:rsidRDefault="00F04D10" w:rsidP="007078F0">
      <w:pPr>
        <w:pStyle w:val="ListParagraph"/>
        <w:numPr>
          <w:ilvl w:val="0"/>
          <w:numId w:val="54"/>
        </w:numPr>
        <w:tabs>
          <w:tab w:val="clear" w:pos="0"/>
        </w:tabs>
        <w:overflowPunct w:val="0"/>
        <w:autoSpaceDE w:val="0"/>
        <w:autoSpaceDN w:val="0"/>
        <w:adjustRightInd w:val="0"/>
        <w:ind w:left="567" w:hanging="567"/>
        <w:textAlignment w:val="baseline"/>
        <w:rPr>
          <w:lang w:val="es-ES_tradnl"/>
        </w:rPr>
      </w:pPr>
      <w:r w:rsidRPr="00542774">
        <w:rPr>
          <w:lang w:val="es-ES_tradnl"/>
        </w:rPr>
        <w:t>que los Estados miembros adopten un enfoque proactivo para promover la eficiencia energética, cooperar en proyectos conjuntos, eliminar las barreras económicas, administrativas y normativas y se comprometan firmemente a aplicar la Directiva relativa a la eficiencia energética</w:t>
      </w:r>
    </w:p>
    <w:p w:rsidR="00F04D10" w:rsidRPr="00542774" w:rsidRDefault="00F04D10" w:rsidP="007078F0">
      <w:pPr>
        <w:pStyle w:val="ListParagraph"/>
        <w:numPr>
          <w:ilvl w:val="0"/>
          <w:numId w:val="54"/>
        </w:numPr>
        <w:tabs>
          <w:tab w:val="clear" w:pos="0"/>
        </w:tabs>
        <w:overflowPunct w:val="0"/>
        <w:autoSpaceDE w:val="0"/>
        <w:autoSpaceDN w:val="0"/>
        <w:adjustRightInd w:val="0"/>
        <w:ind w:left="567" w:hanging="567"/>
        <w:textAlignment w:val="baseline"/>
        <w:rPr>
          <w:lang w:val="es-ES_tradnl"/>
        </w:rPr>
      </w:pPr>
      <w:r w:rsidRPr="00542774">
        <w:rPr>
          <w:lang w:val="es-ES_tradnl"/>
        </w:rPr>
        <w:t>un análisis detallado de las repercusiones de los objetivos de eficiencia energética en la consecución de los demás objetivos establecidos por otras propuestas legislativas en materia de energía</w:t>
      </w:r>
    </w:p>
    <w:p w:rsidR="00F04D10" w:rsidRPr="00542774" w:rsidRDefault="00F04D10" w:rsidP="007078F0">
      <w:pPr>
        <w:pStyle w:val="ListParagraph"/>
        <w:numPr>
          <w:ilvl w:val="0"/>
          <w:numId w:val="54"/>
        </w:numPr>
        <w:tabs>
          <w:tab w:val="clear" w:pos="0"/>
        </w:tabs>
        <w:overflowPunct w:val="0"/>
        <w:autoSpaceDE w:val="0"/>
        <w:autoSpaceDN w:val="0"/>
        <w:adjustRightInd w:val="0"/>
        <w:ind w:left="567" w:hanging="567"/>
        <w:textAlignment w:val="baseline"/>
        <w:rPr>
          <w:lang w:val="es-ES_tradnl"/>
        </w:rPr>
      </w:pPr>
      <w:r w:rsidRPr="00542774">
        <w:rPr>
          <w:lang w:val="es-ES_tradnl"/>
        </w:rPr>
        <w:t>fomentar la sensibilización de los consumidores finales promoviendo y facilitando información sobre programas de eficiencia energética y medidas alternativas</w:t>
      </w:r>
    </w:p>
    <w:p w:rsidR="00F04D10" w:rsidRPr="00542774" w:rsidRDefault="00F04D10" w:rsidP="007078F0">
      <w:pPr>
        <w:pStyle w:val="ListParagraph"/>
        <w:numPr>
          <w:ilvl w:val="0"/>
          <w:numId w:val="54"/>
        </w:numPr>
        <w:tabs>
          <w:tab w:val="clear" w:pos="0"/>
        </w:tabs>
        <w:overflowPunct w:val="0"/>
        <w:autoSpaceDE w:val="0"/>
        <w:autoSpaceDN w:val="0"/>
        <w:adjustRightInd w:val="0"/>
        <w:ind w:left="567" w:hanging="567"/>
        <w:textAlignment w:val="baseline"/>
        <w:rPr>
          <w:lang w:val="es-ES_tradnl"/>
        </w:rPr>
      </w:pPr>
      <w:r w:rsidRPr="00542774">
        <w:rPr>
          <w:lang w:val="es-ES_tradnl"/>
        </w:rPr>
        <w:t>que los Estados miembros presten especial atención a los hogares afectados por la pobreza energética y las viviendas sociales, a los que deberían garantizar permanentemente un suministro energético más económico;</w:t>
      </w:r>
    </w:p>
    <w:p w:rsidR="00F04D10" w:rsidRPr="00542774" w:rsidRDefault="00F04D10" w:rsidP="007078F0">
      <w:pPr>
        <w:pStyle w:val="ListParagraph"/>
        <w:numPr>
          <w:ilvl w:val="0"/>
          <w:numId w:val="54"/>
        </w:numPr>
        <w:tabs>
          <w:tab w:val="clear" w:pos="0"/>
        </w:tabs>
        <w:overflowPunct w:val="0"/>
        <w:autoSpaceDE w:val="0"/>
        <w:autoSpaceDN w:val="0"/>
        <w:adjustRightInd w:val="0"/>
        <w:ind w:left="567" w:hanging="567"/>
        <w:textAlignment w:val="baseline"/>
        <w:rPr>
          <w:lang w:val="es-ES_tradnl"/>
        </w:rPr>
      </w:pPr>
      <w:r w:rsidRPr="00542774">
        <w:rPr>
          <w:lang w:val="es-ES_tradnl"/>
        </w:rPr>
        <w:t>medidas para educar a los consumidores finales en cuanto a técnicas de producción combinada de energía eléctrica y térmica, contadores inteligentes y planes de renovación;</w:t>
      </w:r>
    </w:p>
    <w:p w:rsidR="00F04D10" w:rsidRPr="00542774" w:rsidRDefault="00F04D10" w:rsidP="007078F0">
      <w:pPr>
        <w:pStyle w:val="ListParagraph"/>
        <w:numPr>
          <w:ilvl w:val="0"/>
          <w:numId w:val="54"/>
        </w:numPr>
        <w:tabs>
          <w:tab w:val="clear" w:pos="0"/>
        </w:tabs>
        <w:overflowPunct w:val="0"/>
        <w:autoSpaceDE w:val="0"/>
        <w:autoSpaceDN w:val="0"/>
        <w:adjustRightInd w:val="0"/>
        <w:ind w:left="567" w:hanging="567"/>
        <w:textAlignment w:val="baseline"/>
        <w:rPr>
          <w:lang w:val="es-ES_tradnl"/>
        </w:rPr>
      </w:pPr>
      <w:r w:rsidRPr="00542774">
        <w:rPr>
          <w:lang w:val="es-ES_tradnl"/>
        </w:rPr>
        <w:t>atraer fondos privados para proyectos energéticos, mediante los instrumentos financieros europeos</w:t>
      </w:r>
    </w:p>
    <w:p w:rsidR="00F04D10" w:rsidRPr="00542774" w:rsidRDefault="00F04D10" w:rsidP="007078F0">
      <w:pPr>
        <w:pStyle w:val="ListParagraph"/>
        <w:numPr>
          <w:ilvl w:val="0"/>
          <w:numId w:val="54"/>
        </w:numPr>
        <w:tabs>
          <w:tab w:val="clear" w:pos="0"/>
        </w:tabs>
        <w:overflowPunct w:val="0"/>
        <w:autoSpaceDE w:val="0"/>
        <w:autoSpaceDN w:val="0"/>
        <w:adjustRightInd w:val="0"/>
        <w:ind w:left="567" w:hanging="567"/>
        <w:textAlignment w:val="baseline"/>
        <w:rPr>
          <w:lang w:val="es-ES_tradnl"/>
        </w:rPr>
      </w:pPr>
      <w:r w:rsidRPr="00542774">
        <w:rPr>
          <w:lang w:val="es-ES_tradnl"/>
        </w:rPr>
        <w:t>otorgar subvenciones a proyectos con un fuerte impacto social</w:t>
      </w:r>
    </w:p>
    <w:p w:rsidR="00F04D10" w:rsidRPr="00542774" w:rsidRDefault="00F04D10" w:rsidP="007078F0">
      <w:pPr>
        <w:pStyle w:val="ListParagraph"/>
        <w:numPr>
          <w:ilvl w:val="0"/>
          <w:numId w:val="54"/>
        </w:numPr>
        <w:tabs>
          <w:tab w:val="clear" w:pos="0"/>
        </w:tabs>
        <w:overflowPunct w:val="0"/>
        <w:autoSpaceDE w:val="0"/>
        <w:autoSpaceDN w:val="0"/>
        <w:adjustRightInd w:val="0"/>
        <w:ind w:left="567" w:hanging="567"/>
        <w:textAlignment w:val="baseline"/>
        <w:rPr>
          <w:lang w:val="es-ES_tradnl"/>
        </w:rPr>
      </w:pPr>
      <w:r w:rsidRPr="00542774">
        <w:rPr>
          <w:lang w:val="es-ES_tradnl"/>
        </w:rPr>
        <w:t>programas nacionales de formación para proveedores de servicios de eficiencia energética y un enfoque adecuado del aseguramiento de la calidad</w:t>
      </w:r>
    </w:p>
    <w:p w:rsidR="00F04D10" w:rsidRPr="00542774" w:rsidRDefault="00F04D10" w:rsidP="007078F0">
      <w:pPr>
        <w:pStyle w:val="ListParagraph"/>
        <w:numPr>
          <w:ilvl w:val="0"/>
          <w:numId w:val="54"/>
        </w:numPr>
        <w:tabs>
          <w:tab w:val="clear" w:pos="0"/>
        </w:tabs>
        <w:overflowPunct w:val="0"/>
        <w:autoSpaceDE w:val="0"/>
        <w:autoSpaceDN w:val="0"/>
        <w:adjustRightInd w:val="0"/>
        <w:ind w:left="567" w:hanging="567"/>
        <w:textAlignment w:val="baseline"/>
        <w:rPr>
          <w:lang w:val="es-ES_tradnl"/>
        </w:rPr>
      </w:pPr>
      <w:r w:rsidRPr="00542774">
        <w:rPr>
          <w:lang w:val="es-ES_tradnl"/>
        </w:rPr>
        <w:t>adoptar un enfoque global y mejorar la eficiencia energética de todo el sistema de transporte que está basado en continuos avances tecnológicos de los vehículos y los sistemas de propulsión</w:t>
      </w:r>
    </w:p>
    <w:p w:rsidR="00F04D10" w:rsidRPr="00542774" w:rsidRDefault="00F04D10" w:rsidP="007078F0">
      <w:pPr>
        <w:rPr>
          <w:lang w:val="es-ES_tradnl"/>
        </w:rPr>
      </w:pPr>
    </w:p>
    <w:p w:rsidR="00F04D10" w:rsidRPr="00542774" w:rsidRDefault="00F04D10" w:rsidP="007078F0">
      <w:pPr>
        <w:overflowPunct w:val="0"/>
        <w:autoSpaceDE w:val="0"/>
        <w:autoSpaceDN w:val="0"/>
        <w:adjustRightInd w:val="0"/>
        <w:ind w:left="1080" w:hanging="1080"/>
        <w:textAlignment w:val="baseline"/>
        <w:rPr>
          <w:i/>
          <w:lang w:val="es-ES_tradnl"/>
        </w:rPr>
      </w:pPr>
      <w:r w:rsidRPr="00542774">
        <w:rPr>
          <w:b/>
          <w:i/>
          <w:lang w:val="es-ES_tradnl"/>
        </w:rPr>
        <w:t>Contacto</w:t>
      </w:r>
      <w:r w:rsidRPr="00542774">
        <w:rPr>
          <w:lang w:val="es-ES_tradnl"/>
        </w:rPr>
        <w:t>:</w:t>
      </w:r>
      <w:r w:rsidR="00486A2A" w:rsidRPr="00542774">
        <w:rPr>
          <w:lang w:val="es-ES_tradnl"/>
        </w:rPr>
        <w:tab/>
      </w:r>
      <w:r w:rsidRPr="00542774">
        <w:rPr>
          <w:i/>
          <w:lang w:val="es-ES_tradnl"/>
        </w:rPr>
        <w:t>Andrei POPESCU</w:t>
      </w:r>
    </w:p>
    <w:p w:rsidR="000240FE" w:rsidRPr="00542774" w:rsidRDefault="00F04D10" w:rsidP="007078F0">
      <w:pPr>
        <w:overflowPunct w:val="0"/>
        <w:autoSpaceDE w:val="0"/>
        <w:autoSpaceDN w:val="0"/>
        <w:adjustRightInd w:val="0"/>
        <w:ind w:left="1080"/>
        <w:textAlignment w:val="baseline"/>
        <w:rPr>
          <w:i/>
          <w:lang w:val="es-ES_tradnl"/>
        </w:rPr>
      </w:pPr>
      <w:r w:rsidRPr="00542774">
        <w:rPr>
          <w:i/>
          <w:lang w:val="es-ES_tradnl"/>
        </w:rPr>
        <w:t xml:space="preserve">(Tel.: 00 32 2 546 9186 - correo electrónico: </w:t>
      </w:r>
      <w:hyperlink r:id="rId25">
        <w:r w:rsidRPr="00542774">
          <w:rPr>
            <w:rStyle w:val="Hyperlink"/>
            <w:i/>
            <w:lang w:val="es-ES_tradnl"/>
          </w:rPr>
          <w:t>Andrei.Popescu@eesc.europa.eu</w:t>
        </w:r>
      </w:hyperlink>
      <w:r w:rsidRPr="00542774">
        <w:rPr>
          <w:i/>
          <w:lang w:val="es-ES_tradnl"/>
        </w:rPr>
        <w:t>)</w:t>
      </w:r>
    </w:p>
    <w:p w:rsidR="00F04D10" w:rsidRPr="00542774" w:rsidRDefault="00F04D10" w:rsidP="00486A2A">
      <w:pPr>
        <w:keepNext/>
        <w:keepLines/>
        <w:numPr>
          <w:ilvl w:val="0"/>
          <w:numId w:val="3"/>
        </w:numPr>
        <w:overflowPunct w:val="0"/>
        <w:autoSpaceDE w:val="0"/>
        <w:autoSpaceDN w:val="0"/>
        <w:adjustRightInd w:val="0"/>
        <w:spacing w:line="276" w:lineRule="auto"/>
        <w:ind w:left="567" w:hanging="567"/>
        <w:textAlignment w:val="baseline"/>
        <w:rPr>
          <w:bCs/>
          <w:i/>
          <w:sz w:val="28"/>
          <w:szCs w:val="28"/>
          <w:lang w:val="es-ES_tradnl"/>
        </w:rPr>
      </w:pPr>
      <w:r w:rsidRPr="00542774">
        <w:rPr>
          <w:b/>
          <w:i/>
          <w:sz w:val="28"/>
          <w:lang w:val="es-ES_tradnl"/>
        </w:rPr>
        <w:t>Revisión de la Directiva relativa a la eficiencia energética de los edificios</w:t>
      </w:r>
    </w:p>
    <w:p w:rsidR="00F04D10" w:rsidRPr="00542774" w:rsidRDefault="00F04D10" w:rsidP="00486A2A">
      <w:pPr>
        <w:keepNext/>
        <w:keepLines/>
        <w:overflowPunct w:val="0"/>
        <w:autoSpaceDE w:val="0"/>
        <w:autoSpaceDN w:val="0"/>
        <w:adjustRightInd w:val="0"/>
        <w:spacing w:line="276" w:lineRule="auto"/>
        <w:textAlignment w:val="baseline"/>
        <w:rPr>
          <w:lang w:val="es-ES_tradnl"/>
        </w:rPr>
      </w:pPr>
    </w:p>
    <w:p w:rsidR="00045054" w:rsidRPr="00542774" w:rsidRDefault="00045054" w:rsidP="00486A2A">
      <w:pPr>
        <w:keepNext/>
        <w:keepLines/>
        <w:overflowPunct w:val="0"/>
        <w:autoSpaceDE w:val="0"/>
        <w:autoSpaceDN w:val="0"/>
        <w:adjustRightInd w:val="0"/>
        <w:spacing w:line="276" w:lineRule="auto"/>
        <w:ind w:left="1620" w:hanging="1620"/>
        <w:textAlignment w:val="baseline"/>
        <w:rPr>
          <w:lang w:val="es-ES_tradnl"/>
        </w:rPr>
      </w:pPr>
      <w:r w:rsidRPr="00542774">
        <w:rPr>
          <w:b/>
          <w:lang w:val="es-ES_tradnl"/>
        </w:rPr>
        <w:t>Ponente:</w:t>
      </w:r>
      <w:r w:rsidRPr="00542774">
        <w:rPr>
          <w:lang w:val="es-ES_tradnl"/>
        </w:rPr>
        <w:tab/>
        <w:t>Baiba MILTOVIČA (Actividades Diversas - LV)</w:t>
      </w:r>
    </w:p>
    <w:p w:rsidR="00045054" w:rsidRPr="00542774" w:rsidRDefault="00045054" w:rsidP="00486A2A">
      <w:pPr>
        <w:keepNext/>
        <w:keepLines/>
        <w:overflowPunct w:val="0"/>
        <w:autoSpaceDE w:val="0"/>
        <w:autoSpaceDN w:val="0"/>
        <w:adjustRightInd w:val="0"/>
        <w:spacing w:line="276" w:lineRule="auto"/>
        <w:ind w:left="1620" w:hanging="1620"/>
        <w:textAlignment w:val="baseline"/>
        <w:rPr>
          <w:lang w:val="es-ES_tradnl"/>
        </w:rPr>
      </w:pPr>
      <w:r w:rsidRPr="00542774">
        <w:rPr>
          <w:b/>
          <w:lang w:val="es-ES_tradnl"/>
        </w:rPr>
        <w:t>Coponente:</w:t>
      </w:r>
      <w:r w:rsidRPr="00542774">
        <w:rPr>
          <w:lang w:val="es-ES_tradnl"/>
        </w:rPr>
        <w:tab/>
        <w:t>Isabel CAÑO AGUILAR (Empresarios – II-ES)</w:t>
      </w:r>
    </w:p>
    <w:p w:rsidR="00045054" w:rsidRPr="00542774" w:rsidRDefault="00045054" w:rsidP="00486A2A">
      <w:pPr>
        <w:keepNext/>
        <w:keepLines/>
        <w:overflowPunct w:val="0"/>
        <w:autoSpaceDE w:val="0"/>
        <w:autoSpaceDN w:val="0"/>
        <w:adjustRightInd w:val="0"/>
        <w:spacing w:line="276" w:lineRule="auto"/>
        <w:textAlignment w:val="baseline"/>
        <w:rPr>
          <w:lang w:val="es-ES_tradnl"/>
        </w:rPr>
      </w:pPr>
    </w:p>
    <w:p w:rsidR="00664675" w:rsidRPr="00542774" w:rsidRDefault="00F04D10" w:rsidP="00486A2A">
      <w:pPr>
        <w:keepNext/>
        <w:keepLines/>
        <w:overflowPunct w:val="0"/>
        <w:autoSpaceDE w:val="0"/>
        <w:autoSpaceDN w:val="0"/>
        <w:adjustRightInd w:val="0"/>
        <w:spacing w:line="276" w:lineRule="auto"/>
        <w:ind w:left="1620" w:hanging="1620"/>
        <w:textAlignment w:val="baseline"/>
        <w:rPr>
          <w:szCs w:val="20"/>
          <w:lang w:val="es-ES_tradnl"/>
        </w:rPr>
      </w:pPr>
      <w:r w:rsidRPr="00542774">
        <w:rPr>
          <w:b/>
          <w:lang w:val="es-ES_tradnl"/>
        </w:rPr>
        <w:t>Referencia:</w:t>
      </w:r>
      <w:r w:rsidRPr="00542774">
        <w:rPr>
          <w:lang w:val="es-ES_tradnl"/>
        </w:rPr>
        <w:tab/>
        <w:t>COM(2016) 765 final – 2016/0381 (COD)</w:t>
      </w:r>
    </w:p>
    <w:p w:rsidR="00F04D10" w:rsidRPr="00542774" w:rsidRDefault="00F04D10" w:rsidP="00486A2A">
      <w:pPr>
        <w:keepNext/>
        <w:keepLines/>
        <w:overflowPunct w:val="0"/>
        <w:autoSpaceDE w:val="0"/>
        <w:autoSpaceDN w:val="0"/>
        <w:adjustRightInd w:val="0"/>
        <w:spacing w:line="276" w:lineRule="auto"/>
        <w:ind w:left="1620"/>
        <w:textAlignment w:val="baseline"/>
        <w:rPr>
          <w:szCs w:val="20"/>
          <w:highlight w:val="green"/>
          <w:lang w:val="es-ES_tradnl"/>
        </w:rPr>
      </w:pPr>
      <w:r w:rsidRPr="00542774">
        <w:rPr>
          <w:lang w:val="es-ES_tradnl"/>
        </w:rPr>
        <w:t>EESC-2017-00008-00-00-AC-TRA</w:t>
      </w:r>
    </w:p>
    <w:p w:rsidR="00F04D10" w:rsidRPr="00542774" w:rsidRDefault="00F04D10" w:rsidP="00486A2A">
      <w:pPr>
        <w:keepNext/>
        <w:keepLines/>
        <w:overflowPunct w:val="0"/>
        <w:autoSpaceDE w:val="0"/>
        <w:autoSpaceDN w:val="0"/>
        <w:adjustRightInd w:val="0"/>
        <w:spacing w:line="276" w:lineRule="auto"/>
        <w:textAlignment w:val="baseline"/>
        <w:rPr>
          <w:b/>
          <w:highlight w:val="green"/>
          <w:lang w:val="es-ES_tradnl"/>
        </w:rPr>
      </w:pPr>
    </w:p>
    <w:p w:rsidR="00F04D10" w:rsidRPr="00542774" w:rsidRDefault="00F04D10" w:rsidP="00486A2A">
      <w:pPr>
        <w:keepNext/>
        <w:keepLines/>
        <w:overflowPunct w:val="0"/>
        <w:autoSpaceDE w:val="0"/>
        <w:autoSpaceDN w:val="0"/>
        <w:adjustRightInd w:val="0"/>
        <w:spacing w:line="276" w:lineRule="auto"/>
        <w:textAlignment w:val="baseline"/>
        <w:rPr>
          <w:szCs w:val="20"/>
          <w:lang w:val="es-ES_tradnl"/>
        </w:rPr>
      </w:pPr>
      <w:r w:rsidRPr="00542774">
        <w:rPr>
          <w:b/>
          <w:lang w:val="es-ES_tradnl"/>
        </w:rPr>
        <w:t>Puntos clave:</w:t>
      </w:r>
    </w:p>
    <w:p w:rsidR="00F04D10" w:rsidRPr="00542774" w:rsidRDefault="00F04D10" w:rsidP="00486A2A">
      <w:pPr>
        <w:overflowPunct w:val="0"/>
        <w:autoSpaceDE w:val="0"/>
        <w:autoSpaceDN w:val="0"/>
        <w:adjustRightInd w:val="0"/>
        <w:spacing w:line="276" w:lineRule="auto"/>
        <w:textAlignment w:val="baseline"/>
        <w:rPr>
          <w:szCs w:val="20"/>
          <w:lang w:val="es-ES_tradnl"/>
        </w:rPr>
      </w:pPr>
    </w:p>
    <w:p w:rsidR="00F04D10" w:rsidRPr="00542774" w:rsidRDefault="00F04D10" w:rsidP="00486A2A">
      <w:pPr>
        <w:spacing w:line="276" w:lineRule="auto"/>
        <w:outlineLvl w:val="1"/>
        <w:rPr>
          <w:szCs w:val="20"/>
          <w:lang w:val="es-ES_tradnl"/>
        </w:rPr>
      </w:pPr>
      <w:r w:rsidRPr="00542774">
        <w:rPr>
          <w:lang w:val="es-ES_tradnl"/>
        </w:rPr>
        <w:t>El CESE destaca la necesidad de que la Directiva contenga propuestas más específicas para abordar el reto de la pobreza energética. Esto debería incluir, en particular, la prestación de asesoramiento y la coordinación de medidas a través de una «ventanilla única» o una agencia independiente, centrada en las necesidades de los consumidores.</w:t>
      </w:r>
    </w:p>
    <w:p w:rsidR="00F04D10" w:rsidRPr="00542774" w:rsidRDefault="00F04D10" w:rsidP="00486A2A">
      <w:pPr>
        <w:overflowPunct w:val="0"/>
        <w:autoSpaceDE w:val="0"/>
        <w:autoSpaceDN w:val="0"/>
        <w:adjustRightInd w:val="0"/>
        <w:spacing w:line="276" w:lineRule="auto"/>
        <w:textAlignment w:val="baseline"/>
        <w:rPr>
          <w:szCs w:val="20"/>
          <w:lang w:val="es-ES_tradnl"/>
        </w:rPr>
      </w:pPr>
    </w:p>
    <w:p w:rsidR="00F04D10" w:rsidRPr="00542774" w:rsidRDefault="00F04D10" w:rsidP="00486A2A">
      <w:pPr>
        <w:spacing w:line="276" w:lineRule="auto"/>
        <w:outlineLvl w:val="1"/>
        <w:rPr>
          <w:szCs w:val="20"/>
          <w:lang w:val="es-ES_tradnl"/>
        </w:rPr>
      </w:pPr>
      <w:r w:rsidRPr="00542774">
        <w:rPr>
          <w:lang w:val="es-ES_tradnl"/>
        </w:rPr>
        <w:t>El CESE considera que los Estados miembros deberán aspirar, en sus propios planes nacionales, a alcanzar los objetivos más ambiciosos expuestos en la opción política III alternativa, sin dejar de respetar el enfoque legislativo de la opción política II, que sienta las bases de las modificaciones propuestas en la Directiva sometida a examen. Esto será necesario para trazar una trayectoria a largo plazo, capaz de alcanzar el ambicioso objetivo del Acuerdo de París.</w:t>
      </w:r>
    </w:p>
    <w:p w:rsidR="00F04D10" w:rsidRPr="00542774" w:rsidRDefault="00F04D10" w:rsidP="00486A2A">
      <w:pPr>
        <w:overflowPunct w:val="0"/>
        <w:autoSpaceDE w:val="0"/>
        <w:autoSpaceDN w:val="0"/>
        <w:adjustRightInd w:val="0"/>
        <w:spacing w:line="276" w:lineRule="auto"/>
        <w:textAlignment w:val="baseline"/>
        <w:rPr>
          <w:szCs w:val="20"/>
          <w:lang w:val="es-ES_tradnl"/>
        </w:rPr>
      </w:pPr>
    </w:p>
    <w:p w:rsidR="00F04D10" w:rsidRPr="00542774" w:rsidRDefault="00F04D10" w:rsidP="00486A2A">
      <w:pPr>
        <w:spacing w:line="276" w:lineRule="auto"/>
        <w:outlineLvl w:val="1"/>
        <w:rPr>
          <w:szCs w:val="20"/>
          <w:lang w:val="es-ES_tradnl"/>
        </w:rPr>
      </w:pPr>
      <w:r w:rsidRPr="00542774">
        <w:rPr>
          <w:lang w:val="es-ES_tradnl"/>
        </w:rPr>
        <w:t>El CESE observa que la Directiva no ha aprovechado la oportunidad de promover hipotecas «verdes», sistemas de calefacción urbana con energías renovables, medidas para el almacenamiento de energía comercial y residencial, mejores planes de formación para instaladores y renovadores ni otras medidas técnicas, financieras y fiscales que contribuirían a mejorar la eficiencia energética de los edificios.</w:t>
      </w:r>
    </w:p>
    <w:p w:rsidR="00F04D10" w:rsidRPr="00542774" w:rsidRDefault="00F04D10" w:rsidP="00486A2A">
      <w:pPr>
        <w:spacing w:line="276" w:lineRule="auto"/>
        <w:outlineLvl w:val="1"/>
        <w:rPr>
          <w:szCs w:val="20"/>
          <w:lang w:val="es-ES_tradnl"/>
        </w:rPr>
      </w:pPr>
    </w:p>
    <w:p w:rsidR="00F04D10" w:rsidRPr="00542774" w:rsidRDefault="00F04D10" w:rsidP="00486A2A">
      <w:pPr>
        <w:spacing w:line="276" w:lineRule="auto"/>
        <w:outlineLvl w:val="1"/>
        <w:rPr>
          <w:szCs w:val="20"/>
          <w:lang w:val="es-ES_tradnl"/>
        </w:rPr>
      </w:pPr>
      <w:r w:rsidRPr="00542774">
        <w:rPr>
          <w:lang w:val="es-ES_tradnl"/>
        </w:rPr>
        <w:t>Deberían adoptarse medidas adicionales para fomentar la comparabilidad de los métodos de cálculo de los certificados de eficiencia energética (CEE) expedidos en todos los Estados miembros. Además, la propuesta no específica relativa a la introducción de un «indicador de inteligencia» deberá incluir la capacidad de los ocupantes de un edificio no solo para evaluar la eficiencia energética, sino también para controlar y facilitar su propia producción y consumo de energía renovable, y reducir sus facturas de energía.</w:t>
      </w:r>
    </w:p>
    <w:p w:rsidR="00F04D10" w:rsidRPr="00542774" w:rsidRDefault="00F04D10" w:rsidP="00486A2A">
      <w:pPr>
        <w:overflowPunct w:val="0"/>
        <w:autoSpaceDE w:val="0"/>
        <w:autoSpaceDN w:val="0"/>
        <w:adjustRightInd w:val="0"/>
        <w:spacing w:line="276" w:lineRule="auto"/>
        <w:textAlignment w:val="baseline"/>
        <w:rPr>
          <w:szCs w:val="20"/>
          <w:lang w:val="es-ES_tradnl"/>
        </w:rPr>
      </w:pPr>
    </w:p>
    <w:p w:rsidR="00F04D10" w:rsidRPr="00542774" w:rsidRDefault="00F04D10" w:rsidP="00486A2A">
      <w:pPr>
        <w:spacing w:line="276" w:lineRule="auto"/>
        <w:outlineLvl w:val="1"/>
        <w:rPr>
          <w:strike/>
          <w:szCs w:val="20"/>
          <w:lang w:val="es-ES_tradnl"/>
        </w:rPr>
      </w:pPr>
      <w:r w:rsidRPr="00542774">
        <w:rPr>
          <w:lang w:val="es-ES_tradnl"/>
        </w:rPr>
        <w:t>El CESE hace hincapié en la necesidad de fomentar la construcción y renovación de edificios y señala que, a falta de innovación, será imposible reforzar el rendimiento energético de los edificios. Debe realizarse un esfuerzo en el ámbito de la formación para adaptar las capacidades requeridas para estos sectores altamente especializados.</w:t>
      </w:r>
    </w:p>
    <w:p w:rsidR="00F04D10" w:rsidRPr="00542774" w:rsidRDefault="00F04D10" w:rsidP="00486A2A">
      <w:pPr>
        <w:spacing w:line="276" w:lineRule="auto"/>
        <w:outlineLvl w:val="1"/>
        <w:rPr>
          <w:strike/>
          <w:szCs w:val="20"/>
          <w:lang w:val="es-ES_tradnl"/>
        </w:rPr>
      </w:pPr>
    </w:p>
    <w:p w:rsidR="00F04D10" w:rsidRPr="00542774" w:rsidRDefault="00F04D10" w:rsidP="00486A2A">
      <w:pPr>
        <w:spacing w:line="276" w:lineRule="auto"/>
        <w:outlineLvl w:val="1"/>
        <w:rPr>
          <w:b/>
          <w:bCs/>
          <w:szCs w:val="20"/>
          <w:lang w:val="es-ES_tradnl"/>
        </w:rPr>
      </w:pPr>
      <w:r w:rsidRPr="00542774">
        <w:rPr>
          <w:lang w:val="es-ES_tradnl"/>
        </w:rPr>
        <w:t>El CESE pide, en particular, que se reconozca la capacidad de los entes locales para estimular y coordinar los programas de eficiencia energética y toma nota, a este respecto, del creciente potencial del Pacto de los Alcaldes. Deberían proponerse otras vías para incitar a los arrendadores sociales privados y no municipales a que invirtieran en la renovación de inmuebles más antiguos.</w:t>
      </w:r>
      <w:r w:rsidRPr="00542774">
        <w:rPr>
          <w:b/>
          <w:lang w:val="es-ES_tradnl"/>
        </w:rPr>
        <w:t xml:space="preserve"> </w:t>
      </w:r>
      <w:r w:rsidRPr="00542774">
        <w:rPr>
          <w:lang w:val="es-ES_tradnl"/>
        </w:rPr>
        <w:t>El Comité acoge favorablemente la iniciativa «Financiación inteligente para edificios inteligentes», que constituye un paso positivo.</w:t>
      </w:r>
    </w:p>
    <w:p w:rsidR="00F04D10" w:rsidRPr="00542774" w:rsidRDefault="00F04D10" w:rsidP="00486A2A">
      <w:pPr>
        <w:spacing w:line="276" w:lineRule="auto"/>
        <w:rPr>
          <w:lang w:val="es-ES_tradnl"/>
        </w:rPr>
      </w:pPr>
    </w:p>
    <w:p w:rsidR="00F04D10" w:rsidRPr="00542774" w:rsidRDefault="00F04D10" w:rsidP="00486A2A">
      <w:pPr>
        <w:overflowPunct w:val="0"/>
        <w:autoSpaceDE w:val="0"/>
        <w:autoSpaceDN w:val="0"/>
        <w:adjustRightInd w:val="0"/>
        <w:spacing w:line="276" w:lineRule="auto"/>
        <w:ind w:left="1080" w:hanging="1080"/>
        <w:textAlignment w:val="baseline"/>
        <w:rPr>
          <w:i/>
          <w:lang w:val="es-ES_tradnl"/>
        </w:rPr>
      </w:pPr>
      <w:r w:rsidRPr="00542774">
        <w:rPr>
          <w:b/>
          <w:i/>
          <w:lang w:val="es-ES_tradnl"/>
        </w:rPr>
        <w:t>Contacto</w:t>
      </w:r>
      <w:r w:rsidRPr="00542774">
        <w:rPr>
          <w:lang w:val="es-ES_tradnl"/>
        </w:rPr>
        <w:t>:</w:t>
      </w:r>
      <w:r w:rsidR="00486A2A" w:rsidRPr="00542774">
        <w:rPr>
          <w:lang w:val="es-ES_tradnl"/>
        </w:rPr>
        <w:tab/>
      </w:r>
      <w:r w:rsidRPr="00542774">
        <w:rPr>
          <w:i/>
          <w:lang w:val="es-ES_tradnl"/>
        </w:rPr>
        <w:t>Erika PAULINOVA</w:t>
      </w:r>
    </w:p>
    <w:p w:rsidR="00802367" w:rsidRPr="00542774" w:rsidRDefault="00F04D10" w:rsidP="00486A2A">
      <w:pPr>
        <w:overflowPunct w:val="0"/>
        <w:autoSpaceDE w:val="0"/>
        <w:autoSpaceDN w:val="0"/>
        <w:adjustRightInd w:val="0"/>
        <w:spacing w:line="276" w:lineRule="auto"/>
        <w:ind w:left="1080"/>
        <w:textAlignment w:val="baseline"/>
        <w:rPr>
          <w:i/>
          <w:lang w:val="es-ES_tradnl"/>
        </w:rPr>
      </w:pPr>
      <w:r w:rsidRPr="00542774">
        <w:rPr>
          <w:i/>
          <w:lang w:val="es-ES_tradnl"/>
        </w:rPr>
        <w:t xml:space="preserve">(Tel.: 00 32 2 546 8457 - correo electrónico: </w:t>
      </w:r>
      <w:hyperlink r:id="rId26">
        <w:r w:rsidRPr="00542774">
          <w:rPr>
            <w:rStyle w:val="Hyperlink"/>
            <w:i/>
            <w:lang w:val="es-ES_tradnl"/>
          </w:rPr>
          <w:t>Erika.Paulinova@eesc.europa.eu</w:t>
        </w:r>
      </w:hyperlink>
      <w:r w:rsidRPr="00542774">
        <w:rPr>
          <w:i/>
          <w:lang w:val="es-ES_tradnl"/>
        </w:rPr>
        <w:t>)</w:t>
      </w:r>
    </w:p>
    <w:p w:rsidR="0006317D" w:rsidRPr="00542774" w:rsidRDefault="0006317D" w:rsidP="0006317D">
      <w:pPr>
        <w:widowControl w:val="0"/>
        <w:overflowPunct w:val="0"/>
        <w:autoSpaceDE w:val="0"/>
        <w:autoSpaceDN w:val="0"/>
        <w:adjustRightInd w:val="0"/>
        <w:textAlignment w:val="baseline"/>
        <w:rPr>
          <w:bCs/>
          <w:i/>
          <w:sz w:val="28"/>
          <w:szCs w:val="28"/>
          <w:lang w:val="es-ES_tradnl"/>
        </w:rPr>
      </w:pPr>
    </w:p>
    <w:p w:rsidR="00F04D10" w:rsidRPr="00542774" w:rsidRDefault="00F04D10" w:rsidP="007078F0">
      <w:pPr>
        <w:widowControl w:val="0"/>
        <w:numPr>
          <w:ilvl w:val="0"/>
          <w:numId w:val="3"/>
        </w:numPr>
        <w:overflowPunct w:val="0"/>
        <w:autoSpaceDE w:val="0"/>
        <w:autoSpaceDN w:val="0"/>
        <w:adjustRightInd w:val="0"/>
        <w:ind w:left="567" w:hanging="567"/>
        <w:textAlignment w:val="baseline"/>
        <w:rPr>
          <w:bCs/>
          <w:i/>
          <w:sz w:val="28"/>
          <w:szCs w:val="28"/>
          <w:lang w:val="es-ES_tradnl"/>
        </w:rPr>
      </w:pPr>
      <w:r w:rsidRPr="00542774">
        <w:rPr>
          <w:b/>
          <w:i/>
          <w:sz w:val="28"/>
          <w:lang w:val="es-ES_tradnl"/>
        </w:rPr>
        <w:t>Revisión de la Directiva sobre fuentes de energía renovables</w:t>
      </w:r>
    </w:p>
    <w:p w:rsidR="00F04D10" w:rsidRPr="00542774" w:rsidRDefault="00F04D10">
      <w:pPr>
        <w:overflowPunct w:val="0"/>
        <w:autoSpaceDE w:val="0"/>
        <w:autoSpaceDN w:val="0"/>
        <w:adjustRightInd w:val="0"/>
        <w:textAlignment w:val="baseline"/>
        <w:rPr>
          <w:lang w:val="es-ES_tradnl"/>
        </w:rPr>
      </w:pPr>
    </w:p>
    <w:p w:rsidR="00DE6866" w:rsidRPr="00542774" w:rsidRDefault="00DE6866" w:rsidP="007078F0">
      <w:pPr>
        <w:overflowPunct w:val="0"/>
        <w:autoSpaceDE w:val="0"/>
        <w:autoSpaceDN w:val="0"/>
        <w:adjustRightInd w:val="0"/>
        <w:ind w:left="1620" w:hanging="1620"/>
        <w:textAlignment w:val="baseline"/>
        <w:rPr>
          <w:lang w:val="es-ES_tradnl"/>
        </w:rPr>
      </w:pPr>
      <w:r w:rsidRPr="00542774">
        <w:rPr>
          <w:b/>
          <w:lang w:val="es-ES_tradnl"/>
        </w:rPr>
        <w:t>Ponente:</w:t>
      </w:r>
      <w:r w:rsidRPr="00542774">
        <w:rPr>
          <w:lang w:val="es-ES_tradnl"/>
        </w:rPr>
        <w:tab/>
        <w:t>Lutz RIBBE (Actividades Diversas – DE)</w:t>
      </w:r>
    </w:p>
    <w:p w:rsidR="00DE6866" w:rsidRPr="00542774" w:rsidRDefault="00DE6866" w:rsidP="007078F0">
      <w:pPr>
        <w:overflowPunct w:val="0"/>
        <w:autoSpaceDE w:val="0"/>
        <w:autoSpaceDN w:val="0"/>
        <w:adjustRightInd w:val="0"/>
        <w:ind w:left="1620" w:hanging="1620"/>
        <w:textAlignment w:val="baseline"/>
        <w:rPr>
          <w:lang w:val="es-ES_tradnl"/>
        </w:rPr>
      </w:pPr>
      <w:r w:rsidRPr="00542774">
        <w:rPr>
          <w:b/>
          <w:lang w:val="es-ES_tradnl"/>
        </w:rPr>
        <w:t>Coponente:</w:t>
      </w:r>
      <w:r w:rsidRPr="00542774">
        <w:rPr>
          <w:lang w:val="es-ES_tradnl"/>
        </w:rPr>
        <w:tab/>
        <w:t>Stefan BACK (Empresarios – SE)</w:t>
      </w:r>
    </w:p>
    <w:p w:rsidR="00DE6866" w:rsidRPr="00542774" w:rsidRDefault="00DE6866">
      <w:pPr>
        <w:overflowPunct w:val="0"/>
        <w:autoSpaceDE w:val="0"/>
        <w:autoSpaceDN w:val="0"/>
        <w:adjustRightInd w:val="0"/>
        <w:textAlignment w:val="baseline"/>
        <w:rPr>
          <w:lang w:val="es-ES_tradnl"/>
        </w:rPr>
      </w:pPr>
    </w:p>
    <w:p w:rsidR="00F04D10" w:rsidRPr="00542774" w:rsidRDefault="00F04D10" w:rsidP="007078F0">
      <w:pPr>
        <w:tabs>
          <w:tab w:val="num" w:pos="550"/>
        </w:tabs>
        <w:overflowPunct w:val="0"/>
        <w:autoSpaceDE w:val="0"/>
        <w:autoSpaceDN w:val="0"/>
        <w:adjustRightInd w:val="0"/>
        <w:ind w:left="1620" w:hanging="1620"/>
        <w:textAlignment w:val="baseline"/>
        <w:rPr>
          <w:szCs w:val="20"/>
          <w:highlight w:val="green"/>
          <w:lang w:val="es-ES_tradnl"/>
        </w:rPr>
      </w:pPr>
      <w:r w:rsidRPr="00542774">
        <w:rPr>
          <w:b/>
          <w:lang w:val="es-ES_tradnl"/>
        </w:rPr>
        <w:t>Referencia:</w:t>
      </w:r>
      <w:r w:rsidRPr="00542774">
        <w:rPr>
          <w:lang w:val="es-ES_tradnl"/>
        </w:rPr>
        <w:tab/>
        <w:t>COM(2016) 767 final - 2016-/0382-(COD) - EESC-2016-06926-00-00-AC-TRA</w:t>
      </w:r>
    </w:p>
    <w:p w:rsidR="00F04D10" w:rsidRPr="00542774" w:rsidRDefault="00F04D10" w:rsidP="007078F0">
      <w:pPr>
        <w:rPr>
          <w:highlight w:val="green"/>
          <w:lang w:val="es-ES_tradnl"/>
        </w:rPr>
      </w:pPr>
    </w:p>
    <w:p w:rsidR="00664675" w:rsidRPr="00542774" w:rsidRDefault="00F04D10" w:rsidP="00780E20">
      <w:pPr>
        <w:overflowPunct w:val="0"/>
        <w:autoSpaceDE w:val="0"/>
        <w:autoSpaceDN w:val="0"/>
        <w:adjustRightInd w:val="0"/>
        <w:textAlignment w:val="baseline"/>
        <w:rPr>
          <w:b/>
          <w:lang w:val="es-ES_tradnl"/>
        </w:rPr>
      </w:pPr>
      <w:r w:rsidRPr="00542774">
        <w:rPr>
          <w:b/>
          <w:lang w:val="es-ES_tradnl"/>
        </w:rPr>
        <w:t>Puntos clave:</w:t>
      </w:r>
    </w:p>
    <w:p w:rsidR="00F04D10" w:rsidRPr="00542774" w:rsidRDefault="00F04D10" w:rsidP="007078F0">
      <w:pPr>
        <w:rPr>
          <w:lang w:val="es-ES_tradnl"/>
        </w:rPr>
      </w:pPr>
    </w:p>
    <w:p w:rsidR="00F04D10" w:rsidRPr="00542774" w:rsidRDefault="00F04D10" w:rsidP="007078F0">
      <w:pPr>
        <w:rPr>
          <w:lang w:val="es-ES_tradnl"/>
        </w:rPr>
      </w:pPr>
      <w:r w:rsidRPr="00542774">
        <w:rPr>
          <w:lang w:val="es-ES_tradnl"/>
        </w:rPr>
        <w:t>El Comité Económico y Social Europeo (CESE) acoge favorablemente la propuesta de la Comisión Europea de refundir la Directiva relativa al fomento de las energías renovables. El incremento de la cuota de energías renovables desempeña un papel fundamental para la consecución de los objetivos de la Unión de la Energía y el cumplimiento de los compromisos de la acción por el clima de la UE. El Comité considera que la propuesta contiene muchos elementos positivos, entre ellos, el reconocimiento de los beneficios medioambientales, económicos y sociales de las energías renovables y el reconocimiento de los productores-consumidores (prosumidores) y las comunidades de energía renovable como nuevos agentes en los mercados de la energía.</w:t>
      </w:r>
    </w:p>
    <w:p w:rsidR="00F04D10" w:rsidRPr="00542774" w:rsidRDefault="00F04D10" w:rsidP="007078F0">
      <w:pPr>
        <w:rPr>
          <w:lang w:val="es-ES_tradnl"/>
        </w:rPr>
      </w:pPr>
    </w:p>
    <w:p w:rsidR="00F04D10" w:rsidRPr="00542774" w:rsidRDefault="00F04D10" w:rsidP="007078F0">
      <w:pPr>
        <w:rPr>
          <w:lang w:val="es-ES_tradnl"/>
        </w:rPr>
      </w:pPr>
      <w:r w:rsidRPr="00542774">
        <w:rPr>
          <w:lang w:val="es-ES_tradnl"/>
        </w:rPr>
        <w:t>Sin embargo, el CESE argumenta que la propuesta podría haber sido más ambiciosa: en primer lugar, existe la preocupación de que el objetivo vinculante de la UE de alcanzar un 27 % de aquí al año 2030, combinado con la ausencia de objetivos nacionales vinculantes, podría no ser suficiente para alcanzar los objetivos de reducción de las emisiones de gases de efecto invernadero y el liderazgo mundial en el sector de las energías renovables. En segundo lugar, el CESE respalda plenamente la idea de que las energías renovables deben exponerse a la competencia del mercado, pero señala que una condición previa para ello es la existencia de unas condiciones de competencia equitativas en el mercado (incluida la internalización de los costes externos, la eliminación de las subvenciones a la energía para todos los combustibles fósiles y un diseño de mercado que no discrimine la producción a pequeña escala). En tercer lugar, el Comité considera favorablemente la inclusión en la propuesta de los productores-consumidores (prosumidores) y las comunidades de energía, aunque apunta la necesidad de adoptar nuevas medidas para consolidar y reforzar su papel en el mercado de la energía. En cuarto lugar, el CESE desea subrayar la importancia de que se implanten y desarrollen rápidamente redes inteligentes por toda Europa como medio para lograr la combinación de sectores y aumentar la flexibilidad del mercado. En quinto lugar, el CESE reconoce que los biocombustibles, en particular los biocombustibles avanzados, si se despliegan de manera sostenible, tienen un papel importante que desempeñar, en particular en el sector del transporte. No obstante, es fundamental que, al debatir sobre los biocombustibles, se tenga también en cuenta el papel futuro de la electromovilidad.</w:t>
      </w:r>
    </w:p>
    <w:p w:rsidR="00F04D10" w:rsidRPr="00542774" w:rsidRDefault="00F04D10" w:rsidP="007078F0">
      <w:pPr>
        <w:rPr>
          <w:lang w:val="es-ES_tradnl"/>
        </w:rPr>
      </w:pPr>
    </w:p>
    <w:p w:rsidR="00F04D10" w:rsidRPr="00542774" w:rsidRDefault="00F04D10" w:rsidP="007078F0">
      <w:pPr>
        <w:overflowPunct w:val="0"/>
        <w:autoSpaceDE w:val="0"/>
        <w:autoSpaceDN w:val="0"/>
        <w:adjustRightInd w:val="0"/>
        <w:ind w:left="1080" w:hanging="1080"/>
        <w:textAlignment w:val="baseline"/>
        <w:rPr>
          <w:i/>
          <w:lang w:val="es-ES_tradnl"/>
        </w:rPr>
      </w:pPr>
      <w:r w:rsidRPr="00542774">
        <w:rPr>
          <w:b/>
          <w:i/>
          <w:lang w:val="es-ES_tradnl"/>
        </w:rPr>
        <w:t>Contacto</w:t>
      </w:r>
      <w:r w:rsidRPr="00542774">
        <w:rPr>
          <w:lang w:val="es-ES_tradnl"/>
        </w:rPr>
        <w:t>:</w:t>
      </w:r>
      <w:r w:rsidR="0006317D" w:rsidRPr="00542774">
        <w:rPr>
          <w:lang w:val="es-ES_tradnl"/>
        </w:rPr>
        <w:tab/>
      </w:r>
      <w:r w:rsidRPr="00542774">
        <w:rPr>
          <w:i/>
          <w:lang w:val="es-ES_tradnl"/>
        </w:rPr>
        <w:t>Kristian KRIEGER</w:t>
      </w:r>
    </w:p>
    <w:p w:rsidR="000240FE" w:rsidRPr="00542774" w:rsidRDefault="00F04D10" w:rsidP="007078F0">
      <w:pPr>
        <w:overflowPunct w:val="0"/>
        <w:autoSpaceDE w:val="0"/>
        <w:autoSpaceDN w:val="0"/>
        <w:adjustRightInd w:val="0"/>
        <w:ind w:left="1080"/>
        <w:textAlignment w:val="baseline"/>
        <w:rPr>
          <w:i/>
          <w:lang w:val="es-ES_tradnl"/>
        </w:rPr>
      </w:pPr>
      <w:r w:rsidRPr="00542774">
        <w:rPr>
          <w:i/>
          <w:lang w:val="es-ES_tradnl"/>
        </w:rPr>
        <w:t xml:space="preserve">(Tel.: 00 32 2 546 8921 - correo electrónico: </w:t>
      </w:r>
      <w:hyperlink r:id="rId27">
        <w:r w:rsidRPr="00542774">
          <w:rPr>
            <w:rStyle w:val="Hyperlink"/>
            <w:i/>
            <w:lang w:val="es-ES_tradnl"/>
          </w:rPr>
          <w:t>Kristian.Krieger@eesc.europa.eu</w:t>
        </w:r>
      </w:hyperlink>
      <w:r w:rsidRPr="00542774">
        <w:rPr>
          <w:i/>
          <w:lang w:val="es-ES_tradnl"/>
        </w:rPr>
        <w:t>)</w:t>
      </w:r>
    </w:p>
    <w:p w:rsidR="0006317D" w:rsidRPr="00542774" w:rsidRDefault="0006317D" w:rsidP="0006317D">
      <w:pPr>
        <w:overflowPunct w:val="0"/>
        <w:autoSpaceDE w:val="0"/>
        <w:autoSpaceDN w:val="0"/>
        <w:adjustRightInd w:val="0"/>
        <w:textAlignment w:val="baseline"/>
        <w:rPr>
          <w:i/>
          <w:lang w:val="es-ES_tradnl"/>
        </w:rPr>
      </w:pPr>
    </w:p>
    <w:p w:rsidR="0006317D" w:rsidRPr="00542774" w:rsidRDefault="0006317D" w:rsidP="0006317D">
      <w:pPr>
        <w:keepNext/>
        <w:keepLines/>
        <w:widowControl w:val="0"/>
        <w:overflowPunct w:val="0"/>
        <w:autoSpaceDE w:val="0"/>
        <w:autoSpaceDN w:val="0"/>
        <w:adjustRightInd w:val="0"/>
        <w:textAlignment w:val="baseline"/>
        <w:rPr>
          <w:bCs/>
          <w:i/>
          <w:sz w:val="28"/>
          <w:szCs w:val="28"/>
          <w:lang w:val="es-ES_tradnl"/>
        </w:rPr>
      </w:pPr>
    </w:p>
    <w:p w:rsidR="00F04D10" w:rsidRPr="00542774" w:rsidRDefault="00F04D10" w:rsidP="0006317D">
      <w:pPr>
        <w:keepNext/>
        <w:keepLines/>
        <w:widowControl w:val="0"/>
        <w:numPr>
          <w:ilvl w:val="0"/>
          <w:numId w:val="3"/>
        </w:numPr>
        <w:overflowPunct w:val="0"/>
        <w:autoSpaceDE w:val="0"/>
        <w:autoSpaceDN w:val="0"/>
        <w:adjustRightInd w:val="0"/>
        <w:ind w:left="567" w:hanging="567"/>
        <w:textAlignment w:val="baseline"/>
        <w:rPr>
          <w:bCs/>
          <w:i/>
          <w:sz w:val="28"/>
          <w:szCs w:val="28"/>
          <w:lang w:val="es-ES_tradnl"/>
        </w:rPr>
      </w:pPr>
      <w:r w:rsidRPr="00542774">
        <w:rPr>
          <w:b/>
          <w:i/>
          <w:sz w:val="28"/>
          <w:lang w:val="es-ES_tradnl"/>
        </w:rPr>
        <w:t>Gobernanza de la Unión de la Energía</w:t>
      </w:r>
    </w:p>
    <w:p w:rsidR="00F04D10" w:rsidRPr="00542774" w:rsidRDefault="00F04D10" w:rsidP="0006317D">
      <w:pPr>
        <w:keepNext/>
        <w:keepLines/>
        <w:widowControl w:val="0"/>
        <w:overflowPunct w:val="0"/>
        <w:autoSpaceDE w:val="0"/>
        <w:autoSpaceDN w:val="0"/>
        <w:adjustRightInd w:val="0"/>
        <w:textAlignment w:val="baseline"/>
        <w:rPr>
          <w:bCs/>
          <w:szCs w:val="20"/>
          <w:highlight w:val="green"/>
          <w:lang w:val="es-ES_tradnl"/>
        </w:rPr>
      </w:pPr>
    </w:p>
    <w:p w:rsidR="00F04D10" w:rsidRPr="00542774" w:rsidRDefault="00F04D10" w:rsidP="0006317D">
      <w:pPr>
        <w:keepNext/>
        <w:keepLines/>
        <w:ind w:left="1620" w:hanging="1620"/>
        <w:rPr>
          <w:lang w:val="es-ES_tradnl"/>
        </w:rPr>
      </w:pPr>
      <w:r w:rsidRPr="00542774">
        <w:rPr>
          <w:b/>
          <w:lang w:val="es-ES_tradnl"/>
        </w:rPr>
        <w:t>Ponente:</w:t>
      </w:r>
      <w:r w:rsidRPr="00542774">
        <w:rPr>
          <w:lang w:val="es-ES_tradnl"/>
        </w:rPr>
        <w:tab/>
        <w:t>Brian CURTIS (Trabajadores – UK)</w:t>
      </w:r>
    </w:p>
    <w:p w:rsidR="00DE6866" w:rsidRPr="00542774" w:rsidRDefault="00DE6866" w:rsidP="0006317D">
      <w:pPr>
        <w:keepNext/>
        <w:keepLines/>
        <w:overflowPunct w:val="0"/>
        <w:autoSpaceDE w:val="0"/>
        <w:autoSpaceDN w:val="0"/>
        <w:adjustRightInd w:val="0"/>
        <w:textAlignment w:val="baseline"/>
        <w:rPr>
          <w:lang w:val="es-ES_tradnl"/>
        </w:rPr>
      </w:pPr>
    </w:p>
    <w:p w:rsidR="002327D5" w:rsidRPr="00542774" w:rsidRDefault="00F04D10" w:rsidP="0006317D">
      <w:pPr>
        <w:keepNext/>
        <w:keepLines/>
        <w:overflowPunct w:val="0"/>
        <w:autoSpaceDE w:val="0"/>
        <w:autoSpaceDN w:val="0"/>
        <w:adjustRightInd w:val="0"/>
        <w:ind w:left="1620" w:hanging="1620"/>
        <w:textAlignment w:val="baseline"/>
        <w:rPr>
          <w:szCs w:val="20"/>
          <w:lang w:val="es-ES_tradnl"/>
        </w:rPr>
      </w:pPr>
      <w:r w:rsidRPr="00542774">
        <w:rPr>
          <w:b/>
          <w:lang w:val="es-ES_tradnl"/>
        </w:rPr>
        <w:t>Referencia:</w:t>
      </w:r>
      <w:r w:rsidRPr="00542774">
        <w:rPr>
          <w:lang w:val="es-ES_tradnl"/>
        </w:rPr>
        <w:tab/>
        <w:t>COM(2016) 759 final – 2016/0375 (COD)</w:t>
      </w:r>
    </w:p>
    <w:p w:rsidR="00F04D10" w:rsidRPr="00542774" w:rsidRDefault="00F04D10" w:rsidP="0006317D">
      <w:pPr>
        <w:keepNext/>
        <w:keepLines/>
        <w:overflowPunct w:val="0"/>
        <w:autoSpaceDE w:val="0"/>
        <w:autoSpaceDN w:val="0"/>
        <w:adjustRightInd w:val="0"/>
        <w:ind w:left="1620"/>
        <w:textAlignment w:val="baseline"/>
        <w:rPr>
          <w:szCs w:val="20"/>
          <w:highlight w:val="green"/>
          <w:lang w:val="es-ES_tradnl"/>
        </w:rPr>
      </w:pPr>
      <w:r w:rsidRPr="00542774">
        <w:rPr>
          <w:lang w:val="es-ES_tradnl"/>
        </w:rPr>
        <w:t>EESC-2016-06870-00-00-AC-TRA</w:t>
      </w:r>
    </w:p>
    <w:p w:rsidR="00F04D10" w:rsidRPr="00542774" w:rsidRDefault="00F04D10" w:rsidP="0006317D">
      <w:pPr>
        <w:keepNext/>
        <w:keepLines/>
        <w:overflowPunct w:val="0"/>
        <w:autoSpaceDE w:val="0"/>
        <w:autoSpaceDN w:val="0"/>
        <w:adjustRightInd w:val="0"/>
        <w:textAlignment w:val="baseline"/>
        <w:rPr>
          <w:b/>
          <w:highlight w:val="green"/>
          <w:lang w:val="es-ES_tradnl"/>
        </w:rPr>
      </w:pPr>
    </w:p>
    <w:p w:rsidR="00F04D10" w:rsidRPr="00542774" w:rsidRDefault="00F04D10" w:rsidP="0006317D">
      <w:pPr>
        <w:keepNext/>
        <w:keepLines/>
        <w:overflowPunct w:val="0"/>
        <w:autoSpaceDE w:val="0"/>
        <w:autoSpaceDN w:val="0"/>
        <w:adjustRightInd w:val="0"/>
        <w:textAlignment w:val="baseline"/>
        <w:rPr>
          <w:szCs w:val="20"/>
          <w:lang w:val="es-ES_tradnl"/>
        </w:rPr>
      </w:pPr>
      <w:r w:rsidRPr="00542774">
        <w:rPr>
          <w:b/>
          <w:lang w:val="es-ES_tradnl"/>
        </w:rPr>
        <w:t>Puntos clave:</w:t>
      </w:r>
    </w:p>
    <w:p w:rsidR="00F04D10" w:rsidRPr="00542774" w:rsidRDefault="00F04D10" w:rsidP="0006317D">
      <w:pPr>
        <w:keepNext/>
        <w:keepLines/>
        <w:rPr>
          <w:lang w:val="es-ES_tradnl"/>
        </w:rPr>
      </w:pPr>
    </w:p>
    <w:p w:rsidR="00F04D10" w:rsidRPr="00542774" w:rsidRDefault="00F04D10" w:rsidP="007078F0">
      <w:pPr>
        <w:rPr>
          <w:lang w:val="es-ES_tradnl"/>
        </w:rPr>
      </w:pPr>
      <w:r w:rsidRPr="00542774">
        <w:rPr>
          <w:lang w:val="es-ES_tradnl"/>
        </w:rPr>
        <w:t>El CESE respalda el Reglamento de gobernanza propuesto. puesto que elabora un marco que permite a los Estados miembros elegir las opciones menos costosas para sus propios planes nacionales en materia de clima y energía y reduce los riesgos de activos de infraestructura obsoletos. Sin embargo, difícilmente podrá alcanzarse este objetivo si no se modifica el Reglamento. Deben preverse medidas de apoyo asociadas que permitan alcanzar un consenso social, a nivel nacional, regional y local, sobre la mejor forma de abordar las consecuencias socioeconómicas y técnicas de la consecución de una transición energética justa.</w:t>
      </w:r>
    </w:p>
    <w:p w:rsidR="00F04D10" w:rsidRPr="00542774" w:rsidRDefault="00F04D10" w:rsidP="007078F0">
      <w:pPr>
        <w:rPr>
          <w:lang w:val="es-ES_tradnl"/>
        </w:rPr>
      </w:pPr>
    </w:p>
    <w:p w:rsidR="00F04D10" w:rsidRPr="00542774" w:rsidRDefault="00F04D10" w:rsidP="007078F0">
      <w:pPr>
        <w:rPr>
          <w:lang w:val="es-ES_tradnl"/>
        </w:rPr>
      </w:pPr>
      <w:r w:rsidRPr="00542774">
        <w:rPr>
          <w:lang w:val="es-ES_tradnl"/>
        </w:rPr>
        <w:t>Concretamente, el CESE recomienda aportar una serie de modificaciones a las propuestas, en particular, en los siguientes ámbitos: en primer lugar, incluir una referencia explícita a los objetivos de reducción de las emisiones de GEI para 2050 y a los valores de referencia indicativos para 2030 para las contribuciones nacionales de los Estados miembros en materia de energía renovable y eficiencia energética; hacer hincapié en la responsabilidad que incumbe a los Estados miembros de contribuir a la consecución de los objetivos vinculantes de la UE de manera a la vez adecuada y proporcional y de incorporar sus contribuciones acordadas para 2030 a su legislación nacional; mejorar la adecuación de los datos comunicados a nivel nacional y de la UE; permitir la adaptación de los planes nacionales en función de la evolución de los compromisos asumidos en París; reforzar la transparencia e intensificar la contribución de la sociedad civil a escala de la UE y de los Estados miembros; incluir una definición de referencia de la pobreza energética para permitir su supervisión en toda la UE y, por último, proporcionar más información sobre las contribuciones financieras de compensación (en caso de que un Estado miembro no cumpla sus objetivos nacionales) y el papel que desempeña a este respecto la plataforma de financiación.</w:t>
      </w:r>
    </w:p>
    <w:p w:rsidR="00F04D10" w:rsidRPr="00542774" w:rsidRDefault="00F04D10" w:rsidP="007078F0">
      <w:pPr>
        <w:rPr>
          <w:lang w:val="es-ES_tradnl"/>
        </w:rPr>
      </w:pPr>
    </w:p>
    <w:p w:rsidR="00F04D10" w:rsidRPr="00542774" w:rsidRDefault="00F04D10" w:rsidP="007078F0">
      <w:pPr>
        <w:overflowPunct w:val="0"/>
        <w:autoSpaceDE w:val="0"/>
        <w:autoSpaceDN w:val="0"/>
        <w:adjustRightInd w:val="0"/>
        <w:ind w:left="1080" w:hanging="1080"/>
        <w:textAlignment w:val="baseline"/>
        <w:rPr>
          <w:i/>
          <w:lang w:val="es-ES_tradnl"/>
        </w:rPr>
      </w:pPr>
      <w:r w:rsidRPr="00542774">
        <w:rPr>
          <w:b/>
          <w:i/>
          <w:lang w:val="es-ES_tradnl"/>
        </w:rPr>
        <w:t>Contacto</w:t>
      </w:r>
      <w:r w:rsidRPr="00542774">
        <w:rPr>
          <w:lang w:val="es-ES_tradnl"/>
        </w:rPr>
        <w:t>:</w:t>
      </w:r>
      <w:r w:rsidR="0006317D" w:rsidRPr="00542774">
        <w:rPr>
          <w:lang w:val="es-ES_tradnl"/>
        </w:rPr>
        <w:tab/>
      </w:r>
      <w:r w:rsidRPr="00542774">
        <w:rPr>
          <w:i/>
          <w:lang w:val="es-ES_tradnl"/>
        </w:rPr>
        <w:t>Kristian KRIEGER</w:t>
      </w:r>
    </w:p>
    <w:p w:rsidR="000240FE" w:rsidRPr="00542774" w:rsidRDefault="00F04D10" w:rsidP="007078F0">
      <w:pPr>
        <w:overflowPunct w:val="0"/>
        <w:autoSpaceDE w:val="0"/>
        <w:autoSpaceDN w:val="0"/>
        <w:adjustRightInd w:val="0"/>
        <w:ind w:left="1080"/>
        <w:textAlignment w:val="baseline"/>
        <w:rPr>
          <w:i/>
          <w:lang w:val="es-ES_tradnl"/>
        </w:rPr>
      </w:pPr>
      <w:r w:rsidRPr="00542774">
        <w:rPr>
          <w:i/>
          <w:lang w:val="es-ES_tradnl"/>
        </w:rPr>
        <w:t xml:space="preserve">(Tel.: 00 32 2 546 8921 - correo electrónico: </w:t>
      </w:r>
      <w:hyperlink r:id="rId28">
        <w:r w:rsidRPr="00542774">
          <w:rPr>
            <w:rStyle w:val="Hyperlink"/>
            <w:i/>
            <w:lang w:val="es-ES_tradnl"/>
          </w:rPr>
          <w:t>Kristian.Krieger@eesc.europa.eu</w:t>
        </w:r>
      </w:hyperlink>
      <w:r w:rsidRPr="00542774">
        <w:rPr>
          <w:i/>
          <w:lang w:val="es-ES_tradnl"/>
        </w:rPr>
        <w:t>)</w:t>
      </w:r>
    </w:p>
    <w:p w:rsidR="002327D5" w:rsidRPr="00542774" w:rsidRDefault="002327D5" w:rsidP="00780E20">
      <w:pPr>
        <w:rPr>
          <w:highlight w:val="cyan"/>
          <w:lang w:val="es-ES_tradnl"/>
        </w:rPr>
      </w:pPr>
    </w:p>
    <w:p w:rsidR="00802367" w:rsidRPr="00542774" w:rsidRDefault="00802367" w:rsidP="0006317D">
      <w:pPr>
        <w:keepNext/>
        <w:keepLines/>
        <w:rPr>
          <w:highlight w:val="cyan"/>
          <w:lang w:val="es-ES_tradnl"/>
        </w:rPr>
      </w:pPr>
    </w:p>
    <w:p w:rsidR="00F04D10" w:rsidRPr="00542774" w:rsidRDefault="00F04D10" w:rsidP="0006317D">
      <w:pPr>
        <w:keepNext/>
        <w:keepLines/>
        <w:widowControl w:val="0"/>
        <w:numPr>
          <w:ilvl w:val="0"/>
          <w:numId w:val="3"/>
        </w:numPr>
        <w:overflowPunct w:val="0"/>
        <w:autoSpaceDE w:val="0"/>
        <w:autoSpaceDN w:val="0"/>
        <w:adjustRightInd w:val="0"/>
        <w:ind w:left="567" w:hanging="567"/>
        <w:textAlignment w:val="baseline"/>
        <w:rPr>
          <w:bCs/>
          <w:i/>
          <w:sz w:val="28"/>
          <w:szCs w:val="28"/>
          <w:lang w:val="es-ES_tradnl"/>
        </w:rPr>
      </w:pPr>
      <w:r w:rsidRPr="00542774">
        <w:rPr>
          <w:b/>
          <w:i/>
          <w:sz w:val="28"/>
          <w:lang w:val="es-ES_tradnl"/>
        </w:rPr>
        <w:t>Paquete sobre la energía limpia para todos los europeos</w:t>
      </w:r>
    </w:p>
    <w:p w:rsidR="00F04D10" w:rsidRPr="00542774" w:rsidRDefault="00F04D10" w:rsidP="0006317D">
      <w:pPr>
        <w:keepNext/>
        <w:keepLines/>
        <w:overflowPunct w:val="0"/>
        <w:autoSpaceDE w:val="0"/>
        <w:autoSpaceDN w:val="0"/>
        <w:adjustRightInd w:val="0"/>
        <w:textAlignment w:val="baseline"/>
        <w:rPr>
          <w:lang w:val="es-ES_tradnl"/>
        </w:rPr>
      </w:pPr>
    </w:p>
    <w:p w:rsidR="00DE6866" w:rsidRPr="00542774" w:rsidRDefault="00DE6866" w:rsidP="0006317D">
      <w:pPr>
        <w:keepNext/>
        <w:keepLines/>
        <w:overflowPunct w:val="0"/>
        <w:autoSpaceDE w:val="0"/>
        <w:autoSpaceDN w:val="0"/>
        <w:adjustRightInd w:val="0"/>
        <w:ind w:left="1620" w:hanging="1620"/>
        <w:textAlignment w:val="baseline"/>
        <w:rPr>
          <w:lang w:val="es-ES_tradnl"/>
        </w:rPr>
      </w:pPr>
      <w:r w:rsidRPr="00542774">
        <w:rPr>
          <w:b/>
          <w:lang w:val="es-ES_tradnl"/>
        </w:rPr>
        <w:t>Ponente:</w:t>
      </w:r>
      <w:r w:rsidRPr="00542774">
        <w:rPr>
          <w:lang w:val="es-ES_tradnl"/>
        </w:rPr>
        <w:tab/>
        <w:t>Ulrich SAMM (Empresarios – DE)</w:t>
      </w:r>
    </w:p>
    <w:p w:rsidR="00DE6866" w:rsidRPr="00542774" w:rsidRDefault="00DE6866" w:rsidP="0006317D">
      <w:pPr>
        <w:keepNext/>
        <w:keepLines/>
        <w:overflowPunct w:val="0"/>
        <w:autoSpaceDE w:val="0"/>
        <w:autoSpaceDN w:val="0"/>
        <w:adjustRightInd w:val="0"/>
        <w:ind w:left="1620" w:hanging="1620"/>
        <w:textAlignment w:val="baseline"/>
        <w:rPr>
          <w:lang w:val="es-ES_tradnl"/>
        </w:rPr>
      </w:pPr>
      <w:r w:rsidRPr="00542774">
        <w:rPr>
          <w:b/>
          <w:lang w:val="es-ES_tradnl"/>
        </w:rPr>
        <w:t>Coponente:</w:t>
      </w:r>
      <w:r w:rsidRPr="00542774">
        <w:rPr>
          <w:lang w:val="es-ES_tradnl"/>
        </w:rPr>
        <w:tab/>
        <w:t>Toni VIDAN (Actividades Diversas – HR)</w:t>
      </w:r>
    </w:p>
    <w:p w:rsidR="00DE6866" w:rsidRPr="00542774" w:rsidRDefault="00DE6866" w:rsidP="0006317D">
      <w:pPr>
        <w:keepNext/>
        <w:keepLines/>
        <w:overflowPunct w:val="0"/>
        <w:autoSpaceDE w:val="0"/>
        <w:autoSpaceDN w:val="0"/>
        <w:adjustRightInd w:val="0"/>
        <w:textAlignment w:val="baseline"/>
        <w:rPr>
          <w:lang w:val="es-ES_tradnl"/>
        </w:rPr>
      </w:pPr>
    </w:p>
    <w:p w:rsidR="002327D5" w:rsidRPr="00542774" w:rsidRDefault="00F04D10" w:rsidP="0006317D">
      <w:pPr>
        <w:keepNext/>
        <w:keepLines/>
        <w:overflowPunct w:val="0"/>
        <w:autoSpaceDE w:val="0"/>
        <w:autoSpaceDN w:val="0"/>
        <w:adjustRightInd w:val="0"/>
        <w:ind w:left="1620" w:hanging="1620"/>
        <w:textAlignment w:val="baseline"/>
        <w:rPr>
          <w:szCs w:val="20"/>
          <w:lang w:val="es-ES_tradnl"/>
        </w:rPr>
      </w:pPr>
      <w:r w:rsidRPr="00542774">
        <w:rPr>
          <w:b/>
          <w:lang w:val="es-ES_tradnl"/>
        </w:rPr>
        <w:t>Referencia:</w:t>
      </w:r>
      <w:r w:rsidRPr="00542774">
        <w:rPr>
          <w:lang w:val="es-ES_tradnl"/>
        </w:rPr>
        <w:tab/>
        <w:t>COM(2016) 860 final</w:t>
      </w:r>
    </w:p>
    <w:p w:rsidR="00F04D10" w:rsidRPr="00542774" w:rsidRDefault="00F04D10" w:rsidP="0006317D">
      <w:pPr>
        <w:keepNext/>
        <w:keepLines/>
        <w:overflowPunct w:val="0"/>
        <w:autoSpaceDE w:val="0"/>
        <w:autoSpaceDN w:val="0"/>
        <w:adjustRightInd w:val="0"/>
        <w:ind w:left="1620"/>
        <w:textAlignment w:val="baseline"/>
        <w:rPr>
          <w:szCs w:val="20"/>
          <w:highlight w:val="green"/>
          <w:lang w:val="es-ES_tradnl"/>
        </w:rPr>
      </w:pPr>
      <w:r w:rsidRPr="00542774">
        <w:rPr>
          <w:lang w:val="es-ES_tradnl"/>
        </w:rPr>
        <w:t>EESC-2016-06894-00-00-AC</w:t>
      </w:r>
    </w:p>
    <w:p w:rsidR="00F04D10" w:rsidRPr="00542774" w:rsidRDefault="00F04D10" w:rsidP="0006317D">
      <w:pPr>
        <w:keepNext/>
        <w:keepLines/>
        <w:rPr>
          <w:highlight w:val="green"/>
          <w:lang w:val="es-ES_tradnl"/>
        </w:rPr>
      </w:pPr>
    </w:p>
    <w:p w:rsidR="00F04D10" w:rsidRPr="00542774" w:rsidRDefault="00F04D10" w:rsidP="0006317D">
      <w:pPr>
        <w:keepNext/>
        <w:keepLines/>
        <w:overflowPunct w:val="0"/>
        <w:autoSpaceDE w:val="0"/>
        <w:autoSpaceDN w:val="0"/>
        <w:adjustRightInd w:val="0"/>
        <w:textAlignment w:val="baseline"/>
        <w:rPr>
          <w:szCs w:val="20"/>
          <w:lang w:val="es-ES_tradnl"/>
        </w:rPr>
      </w:pPr>
      <w:r w:rsidRPr="00542774">
        <w:rPr>
          <w:b/>
          <w:lang w:val="es-ES_tradnl"/>
        </w:rPr>
        <w:t>Puntos clave:</w:t>
      </w:r>
    </w:p>
    <w:p w:rsidR="002327D5" w:rsidRPr="00542774" w:rsidRDefault="002327D5" w:rsidP="0006317D">
      <w:pPr>
        <w:keepNext/>
        <w:keepLines/>
        <w:rPr>
          <w:lang w:val="es-ES_tradnl"/>
        </w:rPr>
      </w:pPr>
    </w:p>
    <w:p w:rsidR="00F04D10" w:rsidRPr="00542774" w:rsidRDefault="00F04D10" w:rsidP="0006317D">
      <w:pPr>
        <w:keepNext/>
        <w:keepLines/>
        <w:rPr>
          <w:lang w:val="es-ES_tradnl"/>
        </w:rPr>
      </w:pPr>
      <w:r w:rsidRPr="00542774">
        <w:rPr>
          <w:lang w:val="es-ES_tradnl"/>
        </w:rPr>
        <w:t>El CESE acoge favorablemente el paquete sobre la «energía limpia», cuyo objetivo es acelerar, transformar y consolidar la transición de la economía de la UE hacia una energía limpia, persiguiendo al mismo tiempo los importantes objetivos de crecimiento económico y creación de empleo. El paquete propuesto incluye propuestas importantes en ámbitos como las energías renovables y el diseño y la regulación del mercado de la electricidad, la eficiencia energética y el rendimiento energético de los edificios, las innovaciones energéticas, el transporte y la gobernanza. El Comité valora positivamente muchas de las iniciativas. No obstante, el dictamen –que se basa en nueve otros dictámenes relativos a propuestas específicas del paquete sobre la «energía limpia»– también hace referencia a una serie de retos que deben ponerse en conocimiento de la sociedad civil y los colegisladores.</w:t>
      </w:r>
    </w:p>
    <w:p w:rsidR="00F04D10" w:rsidRPr="00542774" w:rsidRDefault="00F04D10" w:rsidP="007078F0">
      <w:pPr>
        <w:rPr>
          <w:lang w:val="es-ES_tradnl"/>
        </w:rPr>
      </w:pPr>
    </w:p>
    <w:p w:rsidR="00F04D10" w:rsidRPr="00542774" w:rsidRDefault="00F04D10" w:rsidP="007078F0">
      <w:pPr>
        <w:rPr>
          <w:lang w:val="es-ES_tradnl"/>
        </w:rPr>
      </w:pPr>
      <w:r w:rsidRPr="00542774">
        <w:rPr>
          <w:lang w:val="es-ES_tradnl"/>
        </w:rPr>
        <w:t>Entre estos retos, cabe mencionar los siguientes: en primer lugar, si bien se reconoce y se aprecia el mensaje positivo y optimista que transmite la Comunicación de la Comisión, especialmente en lo que se refiere a la producción industrial y el empleo relacionados con las energías renovables, el Comité considera necesario destacar, asimismo, los riesgos potenciales que plantea el proceso de transición. En segundo lugar, el CESE celebra la importancia que se concede al papel fundamental que están llamados a desempeñar los ciudadanos y los consumidores en la Unión de la Energía, pero se pregunta si las propuestas de reglamentación son lo suficientemente específicas como para alcanzar este objetivo. En tercer lugar, si bien la eficiencia energética y las energías renovables son fundamentales para alcanzar los objetivos climáticos de la UE, preocupa que el mercado de la energía no ofrezca la igualdad de condiciones de competencia que requieren las energías renovables para competir con otras fuentes de energía. En cuarto lugar, la Comisión ha expresado su profunda preocupación por la posibilidad de que la propuesta de gobernanza no sea suficiente para abordar las posibles lagunas en términos de aplicación y ambición a nivel de los Estados miembros. En quinto lugar, el CESE se congratula de que la UE tenga previsto crear un Observatorio de la Pobreza Energética, pero subraya que sigue siendo necesario un enfoque coordinado para luchar contra la pobreza energética. Por último, el CESE manifiesta su preocupación por el apoyo financiero del paquete.</w:t>
      </w:r>
    </w:p>
    <w:p w:rsidR="00F04D10" w:rsidRPr="00542774" w:rsidRDefault="00F04D10" w:rsidP="007078F0">
      <w:pPr>
        <w:rPr>
          <w:lang w:val="es-ES_tradnl"/>
        </w:rPr>
      </w:pPr>
    </w:p>
    <w:p w:rsidR="00F04D10" w:rsidRPr="00542774" w:rsidRDefault="00F04D10" w:rsidP="007078F0">
      <w:pPr>
        <w:overflowPunct w:val="0"/>
        <w:autoSpaceDE w:val="0"/>
        <w:autoSpaceDN w:val="0"/>
        <w:adjustRightInd w:val="0"/>
        <w:ind w:left="1080" w:hanging="1080"/>
        <w:textAlignment w:val="baseline"/>
        <w:rPr>
          <w:i/>
          <w:lang w:val="es-ES_tradnl"/>
        </w:rPr>
      </w:pPr>
      <w:r w:rsidRPr="00542774">
        <w:rPr>
          <w:b/>
          <w:i/>
          <w:lang w:val="es-ES_tradnl"/>
        </w:rPr>
        <w:t>Contacto</w:t>
      </w:r>
      <w:r w:rsidRPr="00542774">
        <w:rPr>
          <w:lang w:val="es-ES_tradnl"/>
        </w:rPr>
        <w:t>:</w:t>
      </w:r>
      <w:r w:rsidR="0006317D" w:rsidRPr="00542774">
        <w:rPr>
          <w:lang w:val="es-ES_tradnl"/>
        </w:rPr>
        <w:tab/>
      </w:r>
      <w:r w:rsidRPr="00542774">
        <w:rPr>
          <w:i/>
          <w:lang w:val="es-ES_tradnl"/>
        </w:rPr>
        <w:t>Kristian KRIEGER</w:t>
      </w:r>
    </w:p>
    <w:p w:rsidR="00DE6866" w:rsidRPr="00542774" w:rsidRDefault="00F04D10" w:rsidP="007078F0">
      <w:pPr>
        <w:overflowPunct w:val="0"/>
        <w:autoSpaceDE w:val="0"/>
        <w:autoSpaceDN w:val="0"/>
        <w:adjustRightInd w:val="0"/>
        <w:ind w:left="1080"/>
        <w:textAlignment w:val="baseline"/>
        <w:rPr>
          <w:i/>
          <w:lang w:val="es-ES_tradnl"/>
        </w:rPr>
      </w:pPr>
      <w:r w:rsidRPr="00542774">
        <w:rPr>
          <w:i/>
          <w:lang w:val="es-ES_tradnl"/>
        </w:rPr>
        <w:t xml:space="preserve">(Tel.: 00 32 2 546 8921 - correo electrónico: </w:t>
      </w:r>
      <w:hyperlink r:id="rId29">
        <w:r w:rsidRPr="00542774">
          <w:rPr>
            <w:rStyle w:val="Hyperlink"/>
            <w:i/>
            <w:lang w:val="es-ES_tradnl"/>
          </w:rPr>
          <w:t>Kristian.Krieger@eesc.europa.eu</w:t>
        </w:r>
      </w:hyperlink>
      <w:r w:rsidRPr="00542774">
        <w:rPr>
          <w:i/>
          <w:lang w:val="es-ES_tradnl"/>
        </w:rPr>
        <w:t>)</w:t>
      </w:r>
    </w:p>
    <w:p w:rsidR="00DE6866" w:rsidRPr="00542774" w:rsidRDefault="00DE6866" w:rsidP="007078F0">
      <w:pPr>
        <w:rPr>
          <w:lang w:val="es-ES_tradnl"/>
        </w:rPr>
      </w:pPr>
      <w:r w:rsidRPr="00542774">
        <w:rPr>
          <w:lang w:val="es-ES_tradnl"/>
        </w:rPr>
        <w:br w:type="page"/>
      </w:r>
    </w:p>
    <w:p w:rsidR="00802367" w:rsidRPr="00542774" w:rsidRDefault="00802367" w:rsidP="00780E20">
      <w:pPr>
        <w:pStyle w:val="Heading1"/>
        <w:rPr>
          <w:b/>
          <w:caps/>
          <w:lang w:val="es-ES_tradnl"/>
        </w:rPr>
      </w:pPr>
      <w:bookmarkStart w:id="9" w:name="_Toc482012647"/>
      <w:bookmarkStart w:id="10" w:name="_Toc482864442"/>
      <w:r w:rsidRPr="00542774">
        <w:rPr>
          <w:b/>
          <w:caps/>
          <w:lang w:val="es-ES_tradnl"/>
        </w:rPr>
        <w:t>Digitalización</w:t>
      </w:r>
      <w:bookmarkEnd w:id="9"/>
      <w:bookmarkEnd w:id="10"/>
    </w:p>
    <w:p w:rsidR="002327D5" w:rsidRPr="00542774" w:rsidRDefault="002327D5" w:rsidP="007078F0">
      <w:pPr>
        <w:rPr>
          <w:lang w:val="es-ES_tradnl"/>
        </w:rPr>
      </w:pPr>
    </w:p>
    <w:p w:rsidR="009A495E" w:rsidRPr="00542774" w:rsidRDefault="009A495E" w:rsidP="007078F0">
      <w:pPr>
        <w:numPr>
          <w:ilvl w:val="0"/>
          <w:numId w:val="38"/>
        </w:numPr>
        <w:overflowPunct w:val="0"/>
        <w:autoSpaceDE w:val="0"/>
        <w:autoSpaceDN w:val="0"/>
        <w:adjustRightInd w:val="0"/>
        <w:ind w:left="567" w:hanging="567"/>
        <w:textAlignment w:val="baseline"/>
        <w:rPr>
          <w:b/>
          <w:i/>
          <w:sz w:val="28"/>
          <w:szCs w:val="28"/>
          <w:lang w:val="es-ES_tradnl"/>
        </w:rPr>
      </w:pPr>
      <w:r w:rsidRPr="00542774">
        <w:rPr>
          <w:b/>
          <w:i/>
          <w:sz w:val="28"/>
          <w:lang w:val="es-ES_tradnl"/>
        </w:rPr>
        <w:t>Digitalización y modelos económicos innovadores en el sector financiero europeo: consecuencias para el empleo y los clientes</w:t>
      </w:r>
    </w:p>
    <w:p w:rsidR="009A495E" w:rsidRPr="00542774" w:rsidRDefault="009A495E" w:rsidP="007078F0">
      <w:pPr>
        <w:rPr>
          <w:lang w:val="es-ES_tradnl"/>
        </w:rPr>
      </w:pPr>
    </w:p>
    <w:p w:rsidR="009A495E" w:rsidRPr="00542774" w:rsidRDefault="009A495E" w:rsidP="007078F0">
      <w:pPr>
        <w:ind w:left="1620" w:hanging="1620"/>
        <w:rPr>
          <w:lang w:val="es-ES_tradnl"/>
        </w:rPr>
      </w:pPr>
      <w:r w:rsidRPr="00542774">
        <w:rPr>
          <w:b/>
          <w:lang w:val="es-ES_tradnl"/>
        </w:rPr>
        <w:t>Ponente:</w:t>
      </w:r>
      <w:r w:rsidRPr="00542774">
        <w:rPr>
          <w:lang w:val="es-ES_tradnl"/>
        </w:rPr>
        <w:tab/>
        <w:t>Carlos TRIAS PINTÓ (Actividades Diversas – ES)</w:t>
      </w:r>
    </w:p>
    <w:p w:rsidR="009A495E" w:rsidRPr="00542774" w:rsidRDefault="009A495E" w:rsidP="007078F0">
      <w:pPr>
        <w:ind w:left="1620" w:hanging="1620"/>
        <w:rPr>
          <w:lang w:val="es-ES_tradnl"/>
        </w:rPr>
      </w:pPr>
      <w:r w:rsidRPr="00542774">
        <w:rPr>
          <w:b/>
          <w:lang w:val="es-ES_tradnl"/>
        </w:rPr>
        <w:t>Coponente:</w:t>
      </w:r>
      <w:r w:rsidRPr="00542774">
        <w:rPr>
          <w:lang w:val="es-ES_tradnl"/>
        </w:rPr>
        <w:tab/>
        <w:t>Pierre GENDRE (Cat. 2 - FR)</w:t>
      </w:r>
    </w:p>
    <w:p w:rsidR="00DE6866" w:rsidRPr="00542774" w:rsidRDefault="00DE6866" w:rsidP="007078F0">
      <w:pPr>
        <w:rPr>
          <w:lang w:val="es-ES_tradnl"/>
        </w:rPr>
      </w:pPr>
    </w:p>
    <w:p w:rsidR="009A495E" w:rsidRPr="00542774" w:rsidRDefault="009A495E" w:rsidP="007078F0">
      <w:pPr>
        <w:ind w:left="1620" w:hanging="1620"/>
        <w:rPr>
          <w:lang w:val="es-ES_tradnl"/>
        </w:rPr>
      </w:pPr>
      <w:r w:rsidRPr="00542774">
        <w:rPr>
          <w:b/>
          <w:lang w:val="es-ES_tradnl"/>
        </w:rPr>
        <w:t>Referencia:</w:t>
      </w:r>
      <w:r w:rsidRPr="00542774">
        <w:rPr>
          <w:lang w:val="es-ES_tradnl"/>
        </w:rPr>
        <w:tab/>
        <w:t>EESC-2016-05526-00-00-AS</w:t>
      </w:r>
    </w:p>
    <w:p w:rsidR="00DE6866" w:rsidRPr="00542774" w:rsidRDefault="00DE6866" w:rsidP="007078F0">
      <w:pPr>
        <w:rPr>
          <w:lang w:val="es-ES_tradnl"/>
        </w:rPr>
      </w:pPr>
    </w:p>
    <w:p w:rsidR="009A495E" w:rsidRPr="00542774" w:rsidRDefault="009A495E" w:rsidP="007078F0">
      <w:pPr>
        <w:rPr>
          <w:b/>
          <w:lang w:val="es-ES_tradnl"/>
        </w:rPr>
      </w:pPr>
      <w:r w:rsidRPr="00542774">
        <w:rPr>
          <w:b/>
          <w:lang w:val="es-ES_tradnl"/>
        </w:rPr>
        <w:t>Puntos clave:</w:t>
      </w:r>
    </w:p>
    <w:p w:rsidR="00DE6866" w:rsidRPr="00542774" w:rsidRDefault="00DE6866" w:rsidP="007078F0">
      <w:pPr>
        <w:rPr>
          <w:lang w:val="es-ES_tradnl"/>
        </w:rPr>
      </w:pPr>
    </w:p>
    <w:p w:rsidR="009A495E" w:rsidRPr="00542774" w:rsidRDefault="009A495E" w:rsidP="007078F0">
      <w:pPr>
        <w:rPr>
          <w:lang w:val="es-ES_tradnl"/>
        </w:rPr>
      </w:pPr>
      <w:r w:rsidRPr="00542774">
        <w:rPr>
          <w:lang w:val="es-ES_tradnl"/>
        </w:rPr>
        <w:t>No cabe duda de que es necesario restablecer la confianza y la estabilidad en el sector financiero, a la vez que resulta crucial gestionar la transición desde el antiguo sistema (el sistema bancario tradicional) al nuevo. A este respecto, el CESE solicita la puesta en marcha de una legislación adecuada en el marco de un proceso integrador de la Unión Bancaria y el mercado único digital en la UE que posibilite el crecimiento y la innovación velando, al mismo tiempo, por la protección de los consumidores y los trabajadores del sector financiero.</w:t>
      </w:r>
    </w:p>
    <w:p w:rsidR="009A495E" w:rsidRPr="00542774" w:rsidRDefault="009A495E" w:rsidP="007078F0">
      <w:pPr>
        <w:rPr>
          <w:lang w:val="es-ES_tradnl"/>
        </w:rPr>
      </w:pPr>
    </w:p>
    <w:p w:rsidR="009A495E" w:rsidRPr="00542774" w:rsidRDefault="009A495E" w:rsidP="007078F0">
      <w:pPr>
        <w:rPr>
          <w:lang w:val="es-ES_tradnl"/>
        </w:rPr>
      </w:pPr>
      <w:r w:rsidRPr="00542774">
        <w:rPr>
          <w:lang w:val="es-ES_tradnl"/>
        </w:rPr>
        <w:t xml:space="preserve">Para alcanzar un mercado financiero europeo verdaderamente único, la política de la Comisión Europea debería apoyar la igualdad de oportunidades en materia de innovación. Como principio general, se necesitan unas condiciones ampliamente análogas tanto en términos de reglamentación como en lo referente a los derechos de los consumidores, las condiciones de trabajo y las obligaciones de supervisión –bien para el sector financiero tradicional, bien para las empresas </w:t>
      </w:r>
      <w:r w:rsidRPr="00542774">
        <w:rPr>
          <w:i/>
          <w:lang w:val="es-ES_tradnl"/>
        </w:rPr>
        <w:t>FinTech</w:t>
      </w:r>
      <w:r w:rsidRPr="00542774">
        <w:rPr>
          <w:lang w:val="es-ES_tradnl"/>
        </w:rPr>
        <w:t>–, con arreglo a la norma de que, a igualdad de actividad, igualdad también de regulación y de supervisión.</w:t>
      </w:r>
    </w:p>
    <w:p w:rsidR="009A495E" w:rsidRPr="00542774" w:rsidRDefault="009A495E" w:rsidP="007078F0">
      <w:pPr>
        <w:rPr>
          <w:lang w:val="es-ES_tradnl"/>
        </w:rPr>
      </w:pPr>
    </w:p>
    <w:p w:rsidR="009A495E" w:rsidRPr="00542774" w:rsidRDefault="009A495E" w:rsidP="007078F0">
      <w:pPr>
        <w:rPr>
          <w:lang w:val="es-ES_tradnl"/>
        </w:rPr>
      </w:pPr>
      <w:r w:rsidRPr="00542774">
        <w:rPr>
          <w:lang w:val="es-ES_tradnl"/>
        </w:rPr>
        <w:t>Un planteamiento regulador basado en el riesgo deberá ser coherente a lo largo de todo el ciclo de innovación y ofrecer un marco normativo proporcionado y simplificado para que tanto los operadores tradicionales como los nuevos agentes experimenten con las nuevas tecnologías y modelos de negocio, en interacción con los reguladores.</w:t>
      </w:r>
    </w:p>
    <w:p w:rsidR="009A495E" w:rsidRPr="00542774" w:rsidRDefault="009A495E" w:rsidP="007078F0">
      <w:pPr>
        <w:rPr>
          <w:lang w:val="es-ES_tradnl"/>
        </w:rPr>
      </w:pPr>
    </w:p>
    <w:p w:rsidR="009A495E" w:rsidRPr="00542774" w:rsidRDefault="009A495E" w:rsidP="007078F0">
      <w:pPr>
        <w:rPr>
          <w:lang w:val="es-ES_tradnl"/>
        </w:rPr>
      </w:pPr>
      <w:r w:rsidRPr="00542774">
        <w:rPr>
          <w:lang w:val="es-ES_tradnl"/>
        </w:rPr>
        <w:t>Comprender las tecnofinanzas (</w:t>
      </w:r>
      <w:r w:rsidRPr="00542774">
        <w:rPr>
          <w:i/>
          <w:lang w:val="es-ES_tradnl"/>
        </w:rPr>
        <w:t>FinTech</w:t>
      </w:r>
      <w:r w:rsidRPr="00542774">
        <w:rPr>
          <w:lang w:val="es-ES_tradnl"/>
        </w:rPr>
        <w:t>) exige nuevas competencias a todos: reguladores, supervisores, partes interesadas del ecosistema financiero y ciudadanía en general.</w:t>
      </w:r>
    </w:p>
    <w:p w:rsidR="009A495E" w:rsidRPr="00542774" w:rsidRDefault="009A495E" w:rsidP="007078F0">
      <w:pPr>
        <w:rPr>
          <w:lang w:val="es-ES_tradnl"/>
        </w:rPr>
      </w:pPr>
    </w:p>
    <w:p w:rsidR="009A495E" w:rsidRPr="00542774" w:rsidRDefault="009A495E" w:rsidP="007078F0">
      <w:pPr>
        <w:rPr>
          <w:lang w:val="es-ES_tradnl"/>
        </w:rPr>
      </w:pPr>
      <w:r w:rsidRPr="00542774">
        <w:rPr>
          <w:lang w:val="es-ES_tradnl"/>
        </w:rPr>
        <w:t>La digitalización en el sector financiero representa una amenaza para numerosos puestos de trabajo, lo que obliga a los trabajadores a actualizar sus competencias y capacidades. El CESE aboga por garantizar que la adquisición de capacidades y el aprendizaje a lo largo de la vida se desarrolle a dos niveles. En un plano interno, se debería permitir a los trabajadores asumir nuevas tareas y proponer una solución de continuidad entre los trabajadores actuales de las «instituciones financieras tradicionales» y las empresas FinTech e InsurTech y, en un plano externo, preparar a los trabajadores que no puedan permanecer en ese sector para que se incorporen a otros ámbitos laborales.</w:t>
      </w:r>
    </w:p>
    <w:p w:rsidR="009A495E" w:rsidRPr="00542774" w:rsidRDefault="009A495E" w:rsidP="007078F0">
      <w:pPr>
        <w:rPr>
          <w:lang w:val="es-ES_tradnl"/>
        </w:rPr>
      </w:pPr>
    </w:p>
    <w:p w:rsidR="009A495E" w:rsidRPr="00542774" w:rsidRDefault="009A495E" w:rsidP="0006317D">
      <w:pPr>
        <w:keepNext/>
        <w:keepLines/>
        <w:rPr>
          <w:lang w:val="es-ES_tradnl"/>
        </w:rPr>
      </w:pPr>
      <w:r w:rsidRPr="00542774">
        <w:rPr>
          <w:lang w:val="es-ES_tradnl"/>
        </w:rPr>
        <w:t>El CESE pide al Fondo Social Europeo que ofrezca programas de formación específica en el marco de la nueva iniciativa emblemática «Coalición por las capacidades y los empleos digitales» para apoyar la mejora de las cualificaciones y el reciclaje de los trabajadores del sector financiero, a fin de prepararlos para las nuevas tecnologías digitales.</w:t>
      </w:r>
    </w:p>
    <w:p w:rsidR="009A495E" w:rsidRPr="00542774" w:rsidRDefault="009A495E" w:rsidP="007078F0">
      <w:pPr>
        <w:rPr>
          <w:lang w:val="es-ES_tradnl"/>
        </w:rPr>
      </w:pPr>
    </w:p>
    <w:p w:rsidR="009A495E" w:rsidRPr="00542774" w:rsidRDefault="009A495E" w:rsidP="007078F0">
      <w:pPr>
        <w:overflowPunct w:val="0"/>
        <w:autoSpaceDE w:val="0"/>
        <w:autoSpaceDN w:val="0"/>
        <w:adjustRightInd w:val="0"/>
        <w:ind w:left="1080" w:hanging="1080"/>
        <w:textAlignment w:val="baseline"/>
        <w:rPr>
          <w:i/>
          <w:szCs w:val="20"/>
          <w:lang w:val="es-ES_tradnl"/>
        </w:rPr>
      </w:pPr>
      <w:r w:rsidRPr="00542774">
        <w:rPr>
          <w:b/>
          <w:i/>
          <w:lang w:val="es-ES_tradnl"/>
        </w:rPr>
        <w:t>Contacto</w:t>
      </w:r>
      <w:r w:rsidRPr="00542774">
        <w:rPr>
          <w:lang w:val="es-ES_tradnl"/>
        </w:rPr>
        <w:t>:</w:t>
      </w:r>
      <w:r w:rsidR="0006317D" w:rsidRPr="00542774">
        <w:rPr>
          <w:lang w:val="es-ES_tradnl"/>
        </w:rPr>
        <w:tab/>
      </w:r>
      <w:r w:rsidRPr="00542774">
        <w:rPr>
          <w:i/>
          <w:lang w:val="es-ES_tradnl"/>
        </w:rPr>
        <w:t xml:space="preserve">Alain </w:t>
      </w:r>
      <w:r w:rsidRPr="00542774">
        <w:rPr>
          <w:i/>
          <w:caps/>
          <w:lang w:val="es-ES_tradnl"/>
        </w:rPr>
        <w:t>Colbach</w:t>
      </w:r>
    </w:p>
    <w:p w:rsidR="00393A41" w:rsidRPr="00542774" w:rsidRDefault="009A495E" w:rsidP="007078F0">
      <w:pPr>
        <w:overflowPunct w:val="0"/>
        <w:autoSpaceDE w:val="0"/>
        <w:autoSpaceDN w:val="0"/>
        <w:adjustRightInd w:val="0"/>
        <w:ind w:left="1080"/>
        <w:textAlignment w:val="baseline"/>
        <w:rPr>
          <w:i/>
          <w:szCs w:val="20"/>
          <w:lang w:val="es-ES_tradnl"/>
        </w:rPr>
      </w:pPr>
      <w:r w:rsidRPr="00542774">
        <w:rPr>
          <w:i/>
          <w:lang w:val="es-ES_tradnl"/>
        </w:rPr>
        <w:t xml:space="preserve">(Tel.: 00 32 2 546 9170 - correo electrónico: </w:t>
      </w:r>
      <w:hyperlink r:id="rId30">
        <w:r w:rsidRPr="00542774">
          <w:rPr>
            <w:rStyle w:val="Hyperlink"/>
            <w:i/>
            <w:lang w:val="es-ES_tradnl"/>
          </w:rPr>
          <w:t>Alain.colbach@eesc.europa.eu</w:t>
        </w:r>
      </w:hyperlink>
      <w:r w:rsidRPr="00542774">
        <w:rPr>
          <w:i/>
          <w:lang w:val="es-ES_tradnl"/>
        </w:rPr>
        <w:t>)</w:t>
      </w:r>
    </w:p>
    <w:p w:rsidR="00393A41" w:rsidRPr="00542774" w:rsidRDefault="00393A41" w:rsidP="007078F0">
      <w:pPr>
        <w:rPr>
          <w:lang w:val="es-ES_tradnl"/>
        </w:rPr>
      </w:pPr>
    </w:p>
    <w:p w:rsidR="0006317D" w:rsidRPr="00542774" w:rsidRDefault="0006317D" w:rsidP="007078F0">
      <w:pPr>
        <w:rPr>
          <w:lang w:val="es-ES_tradnl"/>
        </w:rPr>
      </w:pPr>
    </w:p>
    <w:p w:rsidR="00C201CA" w:rsidRPr="00542774" w:rsidRDefault="00C201CA" w:rsidP="00780E20">
      <w:pPr>
        <w:pStyle w:val="Heading1"/>
        <w:rPr>
          <w:b/>
          <w:caps/>
          <w:lang w:val="es-ES_tradnl"/>
        </w:rPr>
      </w:pPr>
      <w:bookmarkStart w:id="11" w:name="_Toc482012648"/>
      <w:bookmarkStart w:id="12" w:name="_Toc482864443"/>
      <w:r w:rsidRPr="00542774">
        <w:rPr>
          <w:b/>
          <w:caps/>
          <w:lang w:val="es-ES_tradnl"/>
        </w:rPr>
        <w:t>Industria</w:t>
      </w:r>
      <w:bookmarkEnd w:id="11"/>
      <w:bookmarkEnd w:id="12"/>
    </w:p>
    <w:p w:rsidR="002327D5" w:rsidRPr="00542774" w:rsidRDefault="002327D5">
      <w:pPr>
        <w:rPr>
          <w:lang w:val="es-ES_tradnl"/>
        </w:rPr>
      </w:pPr>
    </w:p>
    <w:p w:rsidR="00896BB6" w:rsidRPr="00542774" w:rsidRDefault="00896BB6" w:rsidP="007078F0">
      <w:pPr>
        <w:widowControl w:val="0"/>
        <w:numPr>
          <w:ilvl w:val="0"/>
          <w:numId w:val="2"/>
        </w:numPr>
        <w:overflowPunct w:val="0"/>
        <w:autoSpaceDE w:val="0"/>
        <w:autoSpaceDN w:val="0"/>
        <w:adjustRightInd w:val="0"/>
        <w:ind w:hanging="567"/>
        <w:textAlignment w:val="baseline"/>
        <w:rPr>
          <w:sz w:val="24"/>
          <w:szCs w:val="24"/>
          <w:lang w:val="es-ES_tradnl"/>
        </w:rPr>
      </w:pPr>
      <w:r w:rsidRPr="00542774">
        <w:rPr>
          <w:b/>
          <w:i/>
          <w:sz w:val="28"/>
          <w:lang w:val="es-ES_tradnl"/>
        </w:rPr>
        <w:t>Empresa Común para las Bioindustrias</w:t>
      </w:r>
    </w:p>
    <w:p w:rsidR="00896BB6" w:rsidRPr="00542774" w:rsidRDefault="00896BB6" w:rsidP="007078F0">
      <w:pPr>
        <w:rPr>
          <w:lang w:val="es-ES_tradnl"/>
        </w:rPr>
      </w:pPr>
    </w:p>
    <w:p w:rsidR="00896BB6" w:rsidRPr="00542774" w:rsidRDefault="00896BB6" w:rsidP="007078F0">
      <w:pPr>
        <w:tabs>
          <w:tab w:val="center" w:pos="284"/>
        </w:tabs>
        <w:overflowPunct w:val="0"/>
        <w:autoSpaceDE w:val="0"/>
        <w:autoSpaceDN w:val="0"/>
        <w:adjustRightInd w:val="0"/>
        <w:ind w:left="1620" w:hanging="1620"/>
        <w:textAlignment w:val="baseline"/>
        <w:rPr>
          <w:szCs w:val="20"/>
          <w:lang w:val="es-ES_tradnl"/>
        </w:rPr>
      </w:pPr>
      <w:r w:rsidRPr="00542774">
        <w:rPr>
          <w:b/>
          <w:lang w:val="es-ES_tradnl"/>
        </w:rPr>
        <w:t>Ponente:</w:t>
      </w:r>
      <w:r w:rsidRPr="00542774">
        <w:rPr>
          <w:lang w:val="es-ES_tradnl"/>
        </w:rPr>
        <w:tab/>
        <w:t>Mihai MANOLIU (Empresarios - RO)</w:t>
      </w:r>
    </w:p>
    <w:p w:rsidR="00896BB6" w:rsidRPr="00542774" w:rsidRDefault="00896BB6" w:rsidP="007078F0">
      <w:pPr>
        <w:rPr>
          <w:lang w:val="es-ES_tradnl"/>
        </w:rPr>
      </w:pPr>
    </w:p>
    <w:p w:rsidR="00896BB6" w:rsidRPr="00542774" w:rsidRDefault="00896BB6" w:rsidP="007078F0">
      <w:pPr>
        <w:ind w:left="1620" w:hanging="1620"/>
        <w:rPr>
          <w:lang w:val="es-ES_tradnl"/>
        </w:rPr>
      </w:pPr>
      <w:r w:rsidRPr="00542774">
        <w:rPr>
          <w:b/>
          <w:lang w:val="es-ES_tradnl"/>
        </w:rPr>
        <w:t>Referencia:</w:t>
      </w:r>
      <w:r w:rsidRPr="00542774">
        <w:rPr>
          <w:lang w:val="es-ES_tradnl"/>
        </w:rPr>
        <w:tab/>
        <w:t>COM(2017) 68 final – 2017/0024 (NLE) – CES</w:t>
      </w:r>
    </w:p>
    <w:p w:rsidR="00896BB6" w:rsidRPr="00542774" w:rsidRDefault="00896BB6" w:rsidP="00780E20">
      <w:pPr>
        <w:tabs>
          <w:tab w:val="center" w:pos="284"/>
        </w:tabs>
        <w:overflowPunct w:val="0"/>
        <w:autoSpaceDE w:val="0"/>
        <w:autoSpaceDN w:val="0"/>
        <w:adjustRightInd w:val="0"/>
        <w:ind w:left="266" w:hanging="266"/>
        <w:textAlignment w:val="baseline"/>
        <w:rPr>
          <w:szCs w:val="20"/>
          <w:lang w:val="es-ES_tradnl"/>
        </w:rPr>
      </w:pPr>
    </w:p>
    <w:p w:rsidR="00896BB6" w:rsidRPr="00542774" w:rsidRDefault="00896BB6">
      <w:pPr>
        <w:keepNext/>
        <w:keepLines/>
        <w:tabs>
          <w:tab w:val="center" w:pos="284"/>
        </w:tabs>
        <w:overflowPunct w:val="0"/>
        <w:autoSpaceDE w:val="0"/>
        <w:autoSpaceDN w:val="0"/>
        <w:adjustRightInd w:val="0"/>
        <w:ind w:left="266" w:hanging="266"/>
        <w:textAlignment w:val="baseline"/>
        <w:rPr>
          <w:b/>
          <w:lang w:val="es-ES_tradnl"/>
        </w:rPr>
      </w:pPr>
      <w:r w:rsidRPr="00542774">
        <w:rPr>
          <w:b/>
          <w:lang w:val="es-ES_tradnl"/>
        </w:rPr>
        <w:t>Puntos clave:</w:t>
      </w:r>
    </w:p>
    <w:p w:rsidR="00896BB6" w:rsidRPr="00542774" w:rsidRDefault="00896BB6">
      <w:pPr>
        <w:overflowPunct w:val="0"/>
        <w:autoSpaceDE w:val="0"/>
        <w:autoSpaceDN w:val="0"/>
        <w:adjustRightInd w:val="0"/>
        <w:textAlignment w:val="baseline"/>
        <w:rPr>
          <w:lang w:val="es-ES_tradnl"/>
        </w:rPr>
      </w:pPr>
    </w:p>
    <w:p w:rsidR="00896BB6" w:rsidRPr="00542774" w:rsidRDefault="00896BB6">
      <w:pPr>
        <w:overflowPunct w:val="0"/>
        <w:autoSpaceDE w:val="0"/>
        <w:autoSpaceDN w:val="0"/>
        <w:adjustRightInd w:val="0"/>
        <w:textAlignment w:val="baseline"/>
        <w:rPr>
          <w:lang w:val="es-ES_tradnl"/>
        </w:rPr>
      </w:pPr>
      <w:r w:rsidRPr="00542774">
        <w:rPr>
          <w:lang w:val="es-ES_tradnl"/>
        </w:rPr>
        <w:t>El CESE manifiesta su acuerdo en lo que se refiere a las clarificaciones esenciales que contiene el nuevo Reglamento, en particular, porque la propuesta reduce la carga administrativa sobre el Consorcio de Bioindustrias.</w:t>
      </w:r>
    </w:p>
    <w:p w:rsidR="00773CCB" w:rsidRPr="00542774" w:rsidRDefault="00773CCB" w:rsidP="00C7207A">
      <w:pPr>
        <w:rPr>
          <w:lang w:val="es-ES_tradnl"/>
        </w:rPr>
      </w:pPr>
    </w:p>
    <w:p w:rsidR="00896BB6" w:rsidRPr="00542774" w:rsidRDefault="00896BB6" w:rsidP="007078F0">
      <w:pPr>
        <w:overflowPunct w:val="0"/>
        <w:autoSpaceDE w:val="0"/>
        <w:autoSpaceDN w:val="0"/>
        <w:adjustRightInd w:val="0"/>
        <w:ind w:left="1080" w:hanging="1080"/>
        <w:rPr>
          <w:i/>
          <w:szCs w:val="20"/>
          <w:lang w:val="es-ES_tradnl"/>
        </w:rPr>
      </w:pPr>
      <w:r w:rsidRPr="00542774">
        <w:rPr>
          <w:b/>
          <w:i/>
          <w:lang w:val="es-ES_tradnl"/>
        </w:rPr>
        <w:t>Contacto</w:t>
      </w:r>
      <w:r w:rsidRPr="00542774">
        <w:rPr>
          <w:lang w:val="es-ES_tradnl"/>
        </w:rPr>
        <w:t>:</w:t>
      </w:r>
      <w:r w:rsidR="0006317D" w:rsidRPr="00542774">
        <w:rPr>
          <w:lang w:val="es-ES_tradnl"/>
        </w:rPr>
        <w:tab/>
      </w:r>
      <w:r w:rsidRPr="00542774">
        <w:rPr>
          <w:i/>
          <w:lang w:val="es-ES_tradnl"/>
        </w:rPr>
        <w:t xml:space="preserve">Jana </w:t>
      </w:r>
      <w:r w:rsidRPr="00542774">
        <w:rPr>
          <w:i/>
          <w:caps/>
          <w:lang w:val="es-ES_tradnl"/>
        </w:rPr>
        <w:t>Valant</w:t>
      </w:r>
    </w:p>
    <w:p w:rsidR="00896BB6" w:rsidRPr="00542774" w:rsidRDefault="00896BB6" w:rsidP="007078F0">
      <w:pPr>
        <w:overflowPunct w:val="0"/>
        <w:autoSpaceDE w:val="0"/>
        <w:autoSpaceDN w:val="0"/>
        <w:adjustRightInd w:val="0"/>
        <w:ind w:left="1080"/>
        <w:rPr>
          <w:lang w:val="es-ES_tradnl"/>
        </w:rPr>
      </w:pPr>
      <w:r w:rsidRPr="00542774">
        <w:rPr>
          <w:i/>
          <w:lang w:val="es-ES_tradnl"/>
        </w:rPr>
        <w:t xml:space="preserve">(Tel.: 00 32 2 546 89 24 – correo electrónico: </w:t>
      </w:r>
      <w:hyperlink r:id="rId31">
        <w:r w:rsidRPr="00542774">
          <w:rPr>
            <w:rStyle w:val="Hyperlink"/>
            <w:i/>
            <w:lang w:val="es-ES_tradnl"/>
          </w:rPr>
          <w:t>jana.valant@eesc.europa.eu</w:t>
        </w:r>
      </w:hyperlink>
      <w:r w:rsidRPr="00542774">
        <w:rPr>
          <w:lang w:val="es-ES_tradnl"/>
        </w:rPr>
        <w:t>)</w:t>
      </w:r>
    </w:p>
    <w:p w:rsidR="00393A41" w:rsidRPr="00542774" w:rsidRDefault="00393A41" w:rsidP="007078F0">
      <w:pPr>
        <w:rPr>
          <w:szCs w:val="20"/>
          <w:lang w:val="es-ES_tradnl"/>
        </w:rPr>
      </w:pPr>
    </w:p>
    <w:p w:rsidR="0006317D" w:rsidRPr="00542774" w:rsidRDefault="0006317D" w:rsidP="007078F0">
      <w:pPr>
        <w:rPr>
          <w:szCs w:val="20"/>
          <w:lang w:val="es-ES_tradnl"/>
        </w:rPr>
      </w:pPr>
    </w:p>
    <w:p w:rsidR="000B1EEE" w:rsidRPr="00542774" w:rsidRDefault="000B1EEE" w:rsidP="000B1EEE">
      <w:pPr>
        <w:pStyle w:val="Heading1"/>
        <w:rPr>
          <w:b/>
          <w:caps/>
          <w:lang w:val="es-ES_tradnl"/>
        </w:rPr>
      </w:pPr>
      <w:bookmarkStart w:id="13" w:name="_Toc482012649"/>
      <w:bookmarkStart w:id="14" w:name="_Toc482864444"/>
      <w:r w:rsidRPr="00542774">
        <w:rPr>
          <w:b/>
          <w:caps/>
          <w:lang w:val="es-ES_tradnl"/>
        </w:rPr>
        <w:t>Consumidores</w:t>
      </w:r>
      <w:bookmarkEnd w:id="13"/>
      <w:bookmarkEnd w:id="14"/>
    </w:p>
    <w:p w:rsidR="000B1EEE" w:rsidRPr="00542774" w:rsidRDefault="000B1EEE" w:rsidP="000B1EEE">
      <w:pPr>
        <w:overflowPunct w:val="0"/>
        <w:autoSpaceDE w:val="0"/>
        <w:autoSpaceDN w:val="0"/>
        <w:adjustRightInd w:val="0"/>
        <w:textAlignment w:val="baseline"/>
        <w:rPr>
          <w:lang w:val="es-ES_tradnl"/>
        </w:rPr>
      </w:pPr>
    </w:p>
    <w:p w:rsidR="000B1EEE" w:rsidRPr="00542774" w:rsidRDefault="000B1EEE" w:rsidP="000B1EEE">
      <w:pPr>
        <w:widowControl w:val="0"/>
        <w:numPr>
          <w:ilvl w:val="0"/>
          <w:numId w:val="2"/>
        </w:numPr>
        <w:overflowPunct w:val="0"/>
        <w:autoSpaceDE w:val="0"/>
        <w:autoSpaceDN w:val="0"/>
        <w:adjustRightInd w:val="0"/>
        <w:ind w:hanging="567"/>
        <w:textAlignment w:val="baseline"/>
        <w:rPr>
          <w:b/>
          <w:bCs/>
          <w:i/>
          <w:iCs/>
          <w:sz w:val="28"/>
          <w:szCs w:val="28"/>
          <w:lang w:val="es-ES_tradnl"/>
        </w:rPr>
      </w:pPr>
      <w:r w:rsidRPr="00542774">
        <w:rPr>
          <w:b/>
          <w:i/>
          <w:sz w:val="28"/>
          <w:lang w:val="es-ES_tradnl"/>
        </w:rPr>
        <w:t>Establecimiento de un Sistema Europeo de Información y Autorización de Viajes (SEIAV)</w:t>
      </w:r>
    </w:p>
    <w:p w:rsidR="000B1EEE" w:rsidRPr="00542774" w:rsidRDefault="000B1EEE" w:rsidP="000B1EEE">
      <w:pPr>
        <w:rPr>
          <w:highlight w:val="yellow"/>
          <w:lang w:val="es-ES_tradnl"/>
        </w:rPr>
      </w:pPr>
    </w:p>
    <w:p w:rsidR="000B1EEE" w:rsidRPr="00542774" w:rsidRDefault="000B1EEE" w:rsidP="000B1EEE">
      <w:pPr>
        <w:overflowPunct w:val="0"/>
        <w:autoSpaceDE w:val="0"/>
        <w:autoSpaceDN w:val="0"/>
        <w:adjustRightInd w:val="0"/>
        <w:ind w:left="1620" w:hanging="1625"/>
        <w:textAlignment w:val="baseline"/>
        <w:rPr>
          <w:szCs w:val="20"/>
          <w:lang w:val="es-ES_tradnl"/>
        </w:rPr>
      </w:pPr>
      <w:r w:rsidRPr="00542774">
        <w:rPr>
          <w:b/>
          <w:lang w:val="es-ES_tradnl"/>
        </w:rPr>
        <w:t>Ponente:</w:t>
      </w:r>
      <w:r w:rsidRPr="00542774">
        <w:rPr>
          <w:lang w:val="es-ES_tradnl"/>
        </w:rPr>
        <w:t xml:space="preserve"> </w:t>
      </w:r>
      <w:r w:rsidRPr="00542774">
        <w:rPr>
          <w:lang w:val="es-ES_tradnl"/>
        </w:rPr>
        <w:tab/>
        <w:t>Jan SIMONS (Empresarios – NL)</w:t>
      </w:r>
    </w:p>
    <w:p w:rsidR="000B1EEE" w:rsidRPr="00542774" w:rsidRDefault="000B1EEE" w:rsidP="000B1EEE">
      <w:pPr>
        <w:rPr>
          <w:lang w:val="es-ES_tradnl"/>
        </w:rPr>
      </w:pPr>
    </w:p>
    <w:p w:rsidR="000B1EEE" w:rsidRPr="00542774" w:rsidRDefault="000B1EEE" w:rsidP="000B1EEE">
      <w:pPr>
        <w:overflowPunct w:val="0"/>
        <w:autoSpaceDE w:val="0"/>
        <w:autoSpaceDN w:val="0"/>
        <w:adjustRightInd w:val="0"/>
        <w:ind w:left="1620" w:hanging="1625"/>
        <w:textAlignment w:val="baseline"/>
        <w:rPr>
          <w:szCs w:val="20"/>
          <w:lang w:val="es-ES_tradnl"/>
        </w:rPr>
      </w:pPr>
      <w:r w:rsidRPr="00542774">
        <w:rPr>
          <w:b/>
          <w:lang w:val="es-ES_tradnl"/>
        </w:rPr>
        <w:t>Referencia:</w:t>
      </w:r>
      <w:r w:rsidRPr="00542774">
        <w:rPr>
          <w:lang w:val="es-ES_tradnl"/>
        </w:rPr>
        <w:tab/>
        <w:t>EESC-2016-06889-00-00-AS-TRA</w:t>
      </w:r>
    </w:p>
    <w:p w:rsidR="000B1EEE" w:rsidRPr="00542774" w:rsidRDefault="000B1EEE" w:rsidP="000B1EEE">
      <w:pPr>
        <w:rPr>
          <w:lang w:val="es-ES_tradnl"/>
        </w:rPr>
      </w:pPr>
    </w:p>
    <w:p w:rsidR="000B1EEE" w:rsidRPr="00542774" w:rsidRDefault="000B1EEE" w:rsidP="000B1EEE">
      <w:pPr>
        <w:overflowPunct w:val="0"/>
        <w:autoSpaceDE w:val="0"/>
        <w:autoSpaceDN w:val="0"/>
        <w:adjustRightInd w:val="0"/>
        <w:ind w:left="-5"/>
        <w:textAlignment w:val="baseline"/>
        <w:rPr>
          <w:b/>
          <w:szCs w:val="20"/>
          <w:lang w:val="es-ES_tradnl"/>
        </w:rPr>
      </w:pPr>
      <w:r w:rsidRPr="00542774">
        <w:rPr>
          <w:b/>
          <w:lang w:val="es-ES_tradnl"/>
        </w:rPr>
        <w:t>Puntos clave:</w:t>
      </w:r>
    </w:p>
    <w:p w:rsidR="000B1EEE" w:rsidRPr="00542774" w:rsidRDefault="000B1EEE" w:rsidP="000B1EEE">
      <w:pPr>
        <w:rPr>
          <w:lang w:val="es-ES_tradnl"/>
        </w:rPr>
      </w:pPr>
    </w:p>
    <w:p w:rsidR="000B1EEE" w:rsidRPr="00542774" w:rsidRDefault="000B1EEE" w:rsidP="000B1EEE">
      <w:pPr>
        <w:numPr>
          <w:ilvl w:val="0"/>
          <w:numId w:val="27"/>
        </w:numPr>
        <w:tabs>
          <w:tab w:val="clear" w:pos="850"/>
        </w:tabs>
        <w:overflowPunct w:val="0"/>
        <w:autoSpaceDE w:val="0"/>
        <w:autoSpaceDN w:val="0"/>
        <w:adjustRightInd w:val="0"/>
        <w:ind w:left="567" w:hanging="567"/>
        <w:textAlignment w:val="baseline"/>
        <w:outlineLvl w:val="1"/>
        <w:rPr>
          <w:szCs w:val="20"/>
          <w:lang w:val="es-ES_tradnl"/>
        </w:rPr>
      </w:pPr>
      <w:r w:rsidRPr="00542774">
        <w:rPr>
          <w:lang w:val="es-ES_tradnl"/>
        </w:rPr>
        <w:t>El CESE considera que la intención de crear un Sistema Europeo de Información y Autorización de Viajes (SEIAV), cuyo fin es identificar los riesgos ligados a los visitantes exentos de visado que viajan al espacio Schengen, constituye un paso actualmente inevitable que corresponde a las amenazas provocadas por las circunstancias externas e internas.</w:t>
      </w:r>
    </w:p>
    <w:p w:rsidR="000B1EEE" w:rsidRPr="00542774" w:rsidRDefault="000B1EEE" w:rsidP="0006317D">
      <w:pPr>
        <w:keepNext/>
        <w:keepLines/>
        <w:overflowPunct w:val="0"/>
        <w:autoSpaceDE w:val="0"/>
        <w:autoSpaceDN w:val="0"/>
        <w:adjustRightInd w:val="0"/>
        <w:textAlignment w:val="baseline"/>
        <w:rPr>
          <w:szCs w:val="20"/>
          <w:lang w:val="es-ES_tradnl"/>
        </w:rPr>
      </w:pPr>
    </w:p>
    <w:p w:rsidR="000B1EEE" w:rsidRPr="00542774" w:rsidRDefault="000B1EEE" w:rsidP="0006317D">
      <w:pPr>
        <w:keepNext/>
        <w:keepLines/>
        <w:numPr>
          <w:ilvl w:val="0"/>
          <w:numId w:val="27"/>
        </w:numPr>
        <w:overflowPunct w:val="0"/>
        <w:autoSpaceDE w:val="0"/>
        <w:autoSpaceDN w:val="0"/>
        <w:adjustRightInd w:val="0"/>
        <w:ind w:left="567" w:hanging="567"/>
        <w:textAlignment w:val="baseline"/>
        <w:outlineLvl w:val="1"/>
        <w:rPr>
          <w:szCs w:val="20"/>
          <w:lang w:val="es-ES_tradnl"/>
        </w:rPr>
      </w:pPr>
      <w:r w:rsidRPr="00542774">
        <w:rPr>
          <w:lang w:val="es-ES_tradnl"/>
        </w:rPr>
        <w:t>El Comité acoge con satisfacción el hecho de que la información recopilada a través del sistema permita la verificación previa de los posibles riesgos de seguridad o migración irregular con miras a proteger a los ciudadanos de la UE de las personas que entren con intenciones hostiles.</w:t>
      </w:r>
    </w:p>
    <w:p w:rsidR="000B1EEE" w:rsidRPr="00542774" w:rsidRDefault="000B1EEE" w:rsidP="000B1EEE">
      <w:pPr>
        <w:overflowPunct w:val="0"/>
        <w:autoSpaceDE w:val="0"/>
        <w:autoSpaceDN w:val="0"/>
        <w:adjustRightInd w:val="0"/>
        <w:textAlignment w:val="baseline"/>
        <w:rPr>
          <w:szCs w:val="20"/>
          <w:lang w:val="es-ES_tradnl"/>
        </w:rPr>
      </w:pPr>
    </w:p>
    <w:p w:rsidR="000B1EEE" w:rsidRPr="00542774" w:rsidRDefault="000B1EEE" w:rsidP="000B1EEE">
      <w:pPr>
        <w:numPr>
          <w:ilvl w:val="0"/>
          <w:numId w:val="27"/>
        </w:numPr>
        <w:overflowPunct w:val="0"/>
        <w:autoSpaceDE w:val="0"/>
        <w:autoSpaceDN w:val="0"/>
        <w:adjustRightInd w:val="0"/>
        <w:ind w:left="567" w:hanging="567"/>
        <w:textAlignment w:val="baseline"/>
        <w:outlineLvl w:val="1"/>
        <w:rPr>
          <w:szCs w:val="20"/>
          <w:lang w:val="es-ES_tradnl"/>
        </w:rPr>
      </w:pPr>
      <w:r w:rsidRPr="00542774">
        <w:rPr>
          <w:lang w:val="es-ES_tradnl"/>
        </w:rPr>
        <w:t>El Comité hace especial hincapié en que el SEIAV debe respetar plenamente los derechos fundamentales de los solicitantes y evitar todo tipo de discriminación. Todos los datos, especialmente los relativos a información delicada sobre salud, educación, delincuencia, etc., recopilados por el sistema se han de proteger, y el acceso a ellos debe estar estrictamente limitado a las autoridades que investiguen las actividades delictivas, el terrorismo, la inmigración ilegal y otras amenazas. El SEIAV también debe respetar el derecho de los solicitantes a recurrir la decisión de denegarles la autorización de viaje o de retirársela.</w:t>
      </w:r>
    </w:p>
    <w:p w:rsidR="000B1EEE" w:rsidRPr="00542774" w:rsidRDefault="000B1EEE" w:rsidP="000B1EEE">
      <w:pPr>
        <w:overflowPunct w:val="0"/>
        <w:autoSpaceDE w:val="0"/>
        <w:autoSpaceDN w:val="0"/>
        <w:adjustRightInd w:val="0"/>
        <w:textAlignment w:val="baseline"/>
        <w:rPr>
          <w:szCs w:val="20"/>
          <w:lang w:val="es-ES_tradnl"/>
        </w:rPr>
      </w:pPr>
    </w:p>
    <w:p w:rsidR="000B1EEE" w:rsidRPr="00542774" w:rsidRDefault="000B1EEE" w:rsidP="000B1EEE">
      <w:pPr>
        <w:numPr>
          <w:ilvl w:val="0"/>
          <w:numId w:val="27"/>
        </w:numPr>
        <w:overflowPunct w:val="0"/>
        <w:autoSpaceDE w:val="0"/>
        <w:autoSpaceDN w:val="0"/>
        <w:adjustRightInd w:val="0"/>
        <w:ind w:left="567" w:hanging="567"/>
        <w:textAlignment w:val="baseline"/>
        <w:outlineLvl w:val="1"/>
        <w:rPr>
          <w:szCs w:val="20"/>
          <w:lang w:val="es-ES_tradnl"/>
        </w:rPr>
      </w:pPr>
      <w:r w:rsidRPr="00542774">
        <w:rPr>
          <w:lang w:val="es-ES_tradnl"/>
        </w:rPr>
        <w:t>El Comité es consciente de la necesidad de resolver numerosos problemas técnicos en lo que respecta al SEIAV, sobre todo en cuanto a la interoperatividad y la interconectividad con otros sistemas de recopilación de datos y la gobernanza. El SEIAV debe basarse en un equilibrio justo entre los riesgos y la seguridad, y evitar al mismo tiempo el aumento de la carga administrativa y los obstáculos para los visitantes que viajen con frecuencia a la UE.</w:t>
      </w:r>
    </w:p>
    <w:p w:rsidR="000B1EEE" w:rsidRPr="00542774" w:rsidRDefault="000B1EEE" w:rsidP="000B1EEE">
      <w:pPr>
        <w:overflowPunct w:val="0"/>
        <w:autoSpaceDE w:val="0"/>
        <w:autoSpaceDN w:val="0"/>
        <w:adjustRightInd w:val="0"/>
        <w:textAlignment w:val="baseline"/>
        <w:rPr>
          <w:szCs w:val="20"/>
          <w:lang w:val="es-ES_tradnl"/>
        </w:rPr>
      </w:pPr>
    </w:p>
    <w:p w:rsidR="000B1EEE" w:rsidRPr="00542774" w:rsidRDefault="000B1EEE" w:rsidP="000B1EEE">
      <w:pPr>
        <w:numPr>
          <w:ilvl w:val="0"/>
          <w:numId w:val="27"/>
        </w:numPr>
        <w:overflowPunct w:val="0"/>
        <w:autoSpaceDE w:val="0"/>
        <w:autoSpaceDN w:val="0"/>
        <w:adjustRightInd w:val="0"/>
        <w:ind w:left="567" w:hanging="567"/>
        <w:textAlignment w:val="baseline"/>
        <w:outlineLvl w:val="1"/>
        <w:rPr>
          <w:szCs w:val="20"/>
          <w:lang w:val="es-ES_tradnl"/>
        </w:rPr>
      </w:pPr>
      <w:r w:rsidRPr="00542774">
        <w:rPr>
          <w:lang w:val="es-ES_tradnl"/>
        </w:rPr>
        <w:t>Se ha de prestar atención a los aspectos políticos del establecimiento del SEIAV. Los países pertinentes deberían ser informados de los motivos de la obligación de obtener una autorización de viaje y de sus ventajas. Asimismo, la Comisión debería velar por que toda futura medida recíproca de los países pertinentes para los ciudadanos de la UE sea proporcional a las medidas de la UE.</w:t>
      </w:r>
    </w:p>
    <w:p w:rsidR="000B1EEE" w:rsidRPr="00542774" w:rsidRDefault="000B1EEE" w:rsidP="000B1EEE">
      <w:pPr>
        <w:overflowPunct w:val="0"/>
        <w:autoSpaceDE w:val="0"/>
        <w:autoSpaceDN w:val="0"/>
        <w:adjustRightInd w:val="0"/>
        <w:textAlignment w:val="baseline"/>
        <w:rPr>
          <w:szCs w:val="20"/>
          <w:lang w:val="es-ES_tradnl"/>
        </w:rPr>
      </w:pPr>
    </w:p>
    <w:p w:rsidR="000B1EEE" w:rsidRPr="00542774" w:rsidRDefault="000B1EEE" w:rsidP="000B1EEE">
      <w:pPr>
        <w:numPr>
          <w:ilvl w:val="0"/>
          <w:numId w:val="27"/>
        </w:numPr>
        <w:overflowPunct w:val="0"/>
        <w:autoSpaceDE w:val="0"/>
        <w:autoSpaceDN w:val="0"/>
        <w:adjustRightInd w:val="0"/>
        <w:ind w:left="567" w:hanging="567"/>
        <w:textAlignment w:val="baseline"/>
        <w:outlineLvl w:val="1"/>
        <w:rPr>
          <w:szCs w:val="20"/>
          <w:lang w:val="es-ES_tradnl"/>
        </w:rPr>
      </w:pPr>
      <w:r w:rsidRPr="00542774">
        <w:rPr>
          <w:lang w:val="es-ES_tradnl"/>
        </w:rPr>
        <w:t>El SEIAV debería tener en cuenta a las personas que no pueden realizar una solicitud en línea y ofrecer «ventanillas para solicitantes» en los principales aeropuertos y puertos de salida, así como en los principales pasos fronterizos terrestres. Todos los solicitantes deben estar autorizados a acudir a los servicios de intermediarios, como agencias de viajes. No obstante, las delegaciones de la UE en los terceros países deberían controlar y evaluar el coste de los servicios prestados por estos intermediarios.</w:t>
      </w:r>
    </w:p>
    <w:p w:rsidR="000B1EEE" w:rsidRPr="00542774" w:rsidRDefault="000B1EEE" w:rsidP="000B1EEE">
      <w:pPr>
        <w:overflowPunct w:val="0"/>
        <w:autoSpaceDE w:val="0"/>
        <w:autoSpaceDN w:val="0"/>
        <w:adjustRightInd w:val="0"/>
        <w:textAlignment w:val="baseline"/>
        <w:rPr>
          <w:szCs w:val="20"/>
          <w:lang w:val="es-ES_tradnl"/>
        </w:rPr>
      </w:pPr>
    </w:p>
    <w:p w:rsidR="000B1EEE" w:rsidRPr="00542774" w:rsidRDefault="000B1EEE" w:rsidP="000B1EEE">
      <w:pPr>
        <w:numPr>
          <w:ilvl w:val="0"/>
          <w:numId w:val="27"/>
        </w:numPr>
        <w:overflowPunct w:val="0"/>
        <w:autoSpaceDE w:val="0"/>
        <w:autoSpaceDN w:val="0"/>
        <w:adjustRightInd w:val="0"/>
        <w:ind w:left="567" w:hanging="567"/>
        <w:textAlignment w:val="baseline"/>
        <w:outlineLvl w:val="1"/>
        <w:rPr>
          <w:szCs w:val="20"/>
          <w:lang w:val="es-ES_tradnl"/>
        </w:rPr>
      </w:pPr>
      <w:r w:rsidRPr="00542774">
        <w:rPr>
          <w:lang w:val="es-ES_tradnl"/>
        </w:rPr>
        <w:t>El Comité pide que se encuentren soluciones para los Estados miembros que aún no han aplicado plenamente el acervo de Schengen (Bulgaria, Croacia, Chipre y Rumanía) y, en consecuencia, carecen de acceso al SIS, al VIS y al SES.</w:t>
      </w:r>
    </w:p>
    <w:p w:rsidR="000B1EEE" w:rsidRPr="00542774" w:rsidRDefault="000B1EEE" w:rsidP="000B1EEE">
      <w:pPr>
        <w:overflowPunct w:val="0"/>
        <w:autoSpaceDE w:val="0"/>
        <w:autoSpaceDN w:val="0"/>
        <w:adjustRightInd w:val="0"/>
        <w:textAlignment w:val="baseline"/>
        <w:rPr>
          <w:szCs w:val="20"/>
          <w:lang w:val="es-ES_tradnl"/>
        </w:rPr>
      </w:pPr>
    </w:p>
    <w:p w:rsidR="000B1EEE" w:rsidRPr="00542774" w:rsidRDefault="000B1EEE" w:rsidP="000B1EEE">
      <w:pPr>
        <w:overflowPunct w:val="0"/>
        <w:autoSpaceDE w:val="0"/>
        <w:autoSpaceDN w:val="0"/>
        <w:adjustRightInd w:val="0"/>
        <w:ind w:left="1080" w:hanging="1080"/>
        <w:textAlignment w:val="baseline"/>
        <w:rPr>
          <w:i/>
          <w:iCs/>
          <w:lang w:val="es-ES_tradnl"/>
        </w:rPr>
      </w:pPr>
      <w:r w:rsidRPr="00542774">
        <w:rPr>
          <w:b/>
          <w:i/>
          <w:lang w:val="es-ES_tradnl"/>
        </w:rPr>
        <w:t>Contacto</w:t>
      </w:r>
      <w:r w:rsidRPr="00542774">
        <w:rPr>
          <w:lang w:val="es-ES_tradnl"/>
        </w:rPr>
        <w:t>:</w:t>
      </w:r>
      <w:r w:rsidR="0006317D" w:rsidRPr="00542774">
        <w:rPr>
          <w:lang w:val="es-ES_tradnl"/>
        </w:rPr>
        <w:tab/>
      </w:r>
      <w:r w:rsidRPr="00542774">
        <w:rPr>
          <w:i/>
          <w:lang w:val="es-ES_tradnl"/>
        </w:rPr>
        <w:t xml:space="preserve">Barbara </w:t>
      </w:r>
      <w:r w:rsidRPr="00542774">
        <w:rPr>
          <w:i/>
          <w:caps/>
          <w:lang w:val="es-ES_tradnl"/>
        </w:rPr>
        <w:t>Walentynowicz</w:t>
      </w:r>
    </w:p>
    <w:p w:rsidR="000B1EEE" w:rsidRPr="00542774" w:rsidRDefault="000B1EEE" w:rsidP="000B1EEE">
      <w:pPr>
        <w:overflowPunct w:val="0"/>
        <w:autoSpaceDE w:val="0"/>
        <w:autoSpaceDN w:val="0"/>
        <w:adjustRightInd w:val="0"/>
        <w:ind w:left="1080"/>
        <w:rPr>
          <w:i/>
          <w:iCs/>
          <w:lang w:val="es-ES_tradnl"/>
        </w:rPr>
      </w:pPr>
      <w:r w:rsidRPr="00542774">
        <w:rPr>
          <w:i/>
          <w:lang w:val="es-ES_tradnl"/>
        </w:rPr>
        <w:t xml:space="preserve">(Tel.: 00 32 2 546 8219 - correo electrónico: </w:t>
      </w:r>
      <w:hyperlink r:id="rId32">
        <w:r w:rsidRPr="00542774">
          <w:rPr>
            <w:rStyle w:val="Hyperlink"/>
            <w:i/>
            <w:lang w:val="es-ES_tradnl"/>
          </w:rPr>
          <w:t>barbara.walentynowicz@eesc.europa.eu</w:t>
        </w:r>
      </w:hyperlink>
      <w:r w:rsidRPr="00542774">
        <w:rPr>
          <w:i/>
          <w:lang w:val="es-ES_tradnl"/>
        </w:rPr>
        <w:t>)</w:t>
      </w:r>
    </w:p>
    <w:p w:rsidR="0021639E" w:rsidRPr="00542774" w:rsidRDefault="0021639E" w:rsidP="0085249A">
      <w:pPr>
        <w:spacing w:line="240" w:lineRule="auto"/>
        <w:rPr>
          <w:lang w:val="es-ES_tradnl"/>
        </w:rPr>
      </w:pPr>
    </w:p>
    <w:p w:rsidR="0006317D" w:rsidRPr="00542774" w:rsidRDefault="0006317D">
      <w:pPr>
        <w:spacing w:line="240" w:lineRule="auto"/>
        <w:jc w:val="left"/>
        <w:rPr>
          <w:highlight w:val="cyan"/>
          <w:lang w:val="es-ES_tradnl"/>
        </w:rPr>
      </w:pPr>
      <w:r w:rsidRPr="00542774">
        <w:rPr>
          <w:highlight w:val="cyan"/>
          <w:lang w:val="es-ES_tradnl"/>
        </w:rPr>
        <w:br w:type="page"/>
      </w:r>
    </w:p>
    <w:p w:rsidR="0006317D" w:rsidRPr="00542774" w:rsidRDefault="0006317D" w:rsidP="0085249A">
      <w:pPr>
        <w:spacing w:line="240" w:lineRule="auto"/>
        <w:rPr>
          <w:highlight w:val="cyan"/>
          <w:lang w:val="es-ES_tradnl"/>
        </w:rPr>
      </w:pPr>
    </w:p>
    <w:p w:rsidR="0021639E" w:rsidRPr="00542774" w:rsidRDefault="0021639E" w:rsidP="0021639E">
      <w:pPr>
        <w:pStyle w:val="Heading1"/>
        <w:rPr>
          <w:b/>
          <w:caps/>
          <w:lang w:val="es-ES_tradnl"/>
        </w:rPr>
      </w:pPr>
      <w:bookmarkStart w:id="15" w:name="_Toc482012650"/>
      <w:bookmarkStart w:id="16" w:name="_Toc482864445"/>
      <w:r w:rsidRPr="00542774">
        <w:rPr>
          <w:b/>
          <w:caps/>
          <w:lang w:val="es-ES_tradnl"/>
        </w:rPr>
        <w:t>Relaciones Exteriores</w:t>
      </w:r>
      <w:bookmarkEnd w:id="15"/>
      <w:bookmarkEnd w:id="16"/>
    </w:p>
    <w:p w:rsidR="0021639E" w:rsidRPr="00542774" w:rsidRDefault="0021639E" w:rsidP="0021639E">
      <w:pPr>
        <w:overflowPunct w:val="0"/>
        <w:autoSpaceDE w:val="0"/>
        <w:autoSpaceDN w:val="0"/>
        <w:adjustRightInd w:val="0"/>
        <w:textAlignment w:val="baseline"/>
        <w:rPr>
          <w:lang w:val="es-ES_tradnl"/>
        </w:rPr>
      </w:pPr>
    </w:p>
    <w:p w:rsidR="0021639E" w:rsidRPr="00542774" w:rsidRDefault="0021639E" w:rsidP="0021639E">
      <w:pPr>
        <w:pStyle w:val="ListParagraph"/>
        <w:numPr>
          <w:ilvl w:val="0"/>
          <w:numId w:val="46"/>
        </w:numPr>
        <w:ind w:left="540" w:hanging="540"/>
        <w:rPr>
          <w:b/>
          <w:i/>
          <w:sz w:val="28"/>
          <w:szCs w:val="28"/>
          <w:lang w:val="es-ES_tradnl"/>
        </w:rPr>
      </w:pPr>
      <w:r w:rsidRPr="00542774">
        <w:rPr>
          <w:b/>
          <w:i/>
          <w:sz w:val="28"/>
          <w:lang w:val="es-ES_tradnl"/>
        </w:rPr>
        <w:t>Nuevo Consenso Europeo sobre Desarrollo</w:t>
      </w:r>
    </w:p>
    <w:p w:rsidR="0021639E" w:rsidRPr="00542774" w:rsidRDefault="0021639E" w:rsidP="0021639E">
      <w:pPr>
        <w:rPr>
          <w:lang w:val="es-ES_tradnl"/>
        </w:rPr>
      </w:pPr>
    </w:p>
    <w:p w:rsidR="0021639E" w:rsidRPr="00542774" w:rsidRDefault="0021639E" w:rsidP="0021639E">
      <w:pPr>
        <w:ind w:left="1620" w:hanging="1620"/>
        <w:rPr>
          <w:b/>
          <w:lang w:val="es-ES_tradnl"/>
        </w:rPr>
      </w:pPr>
      <w:r w:rsidRPr="00542774">
        <w:rPr>
          <w:b/>
          <w:lang w:val="es-ES_tradnl"/>
        </w:rPr>
        <w:t>Ponente:</w:t>
      </w:r>
      <w:r w:rsidRPr="00542774">
        <w:rPr>
          <w:lang w:val="es-ES_tradnl"/>
        </w:rPr>
        <w:tab/>
        <w:t>Ionuț SIBIAN (Actividades Diversas - RO)</w:t>
      </w:r>
    </w:p>
    <w:p w:rsidR="0021639E" w:rsidRPr="00542774" w:rsidRDefault="0021639E" w:rsidP="0021639E">
      <w:pPr>
        <w:ind w:left="1620" w:hanging="1620"/>
        <w:rPr>
          <w:lang w:val="es-ES_tradnl"/>
        </w:rPr>
      </w:pPr>
      <w:r w:rsidRPr="00542774">
        <w:rPr>
          <w:b/>
          <w:lang w:val="es-ES_tradnl"/>
        </w:rPr>
        <w:t>Coponente:</w:t>
      </w:r>
      <w:r w:rsidRPr="00542774">
        <w:rPr>
          <w:lang w:val="es-ES_tradnl"/>
        </w:rPr>
        <w:tab/>
        <w:t>Mihai MANOLIU (Empresarios - RO)</w:t>
      </w:r>
    </w:p>
    <w:p w:rsidR="0021639E" w:rsidRPr="00542774" w:rsidRDefault="0021639E" w:rsidP="0021639E">
      <w:pPr>
        <w:rPr>
          <w:lang w:val="es-ES_tradnl"/>
        </w:rPr>
      </w:pPr>
    </w:p>
    <w:p w:rsidR="0021639E" w:rsidRPr="00542774" w:rsidRDefault="0021639E" w:rsidP="0021639E">
      <w:pPr>
        <w:widowControl w:val="0"/>
        <w:ind w:left="1620" w:hanging="1620"/>
        <w:rPr>
          <w:lang w:val="es-ES_tradnl"/>
        </w:rPr>
      </w:pPr>
      <w:r w:rsidRPr="00542774">
        <w:rPr>
          <w:b/>
          <w:lang w:val="es-ES_tradnl"/>
        </w:rPr>
        <w:t>Referencia:</w:t>
      </w:r>
      <w:r w:rsidRPr="00542774">
        <w:rPr>
          <w:lang w:val="es-ES_tradnl"/>
        </w:rPr>
        <w:tab/>
        <w:t>EESC-2017-00564-00-00-AS-TRA</w:t>
      </w:r>
    </w:p>
    <w:p w:rsidR="0021639E" w:rsidRPr="00542774" w:rsidRDefault="0021639E" w:rsidP="0021639E">
      <w:pPr>
        <w:rPr>
          <w:lang w:val="es-ES_tradnl"/>
        </w:rPr>
      </w:pPr>
    </w:p>
    <w:p w:rsidR="0021639E" w:rsidRPr="00542774" w:rsidRDefault="0021639E" w:rsidP="0021639E">
      <w:pPr>
        <w:rPr>
          <w:lang w:val="es-ES_tradnl"/>
        </w:rPr>
      </w:pPr>
      <w:r w:rsidRPr="00542774">
        <w:rPr>
          <w:b/>
          <w:lang w:val="es-ES_tradnl"/>
        </w:rPr>
        <w:t>Puntos clave:</w:t>
      </w:r>
    </w:p>
    <w:p w:rsidR="0021639E" w:rsidRPr="00542774" w:rsidRDefault="0021639E" w:rsidP="0021639E">
      <w:pPr>
        <w:rPr>
          <w:lang w:val="es-ES_tradnl"/>
        </w:rPr>
      </w:pPr>
    </w:p>
    <w:p w:rsidR="0021639E" w:rsidRPr="00542774" w:rsidRDefault="0021639E" w:rsidP="0021639E">
      <w:pPr>
        <w:pStyle w:val="ListParagraph"/>
        <w:numPr>
          <w:ilvl w:val="0"/>
          <w:numId w:val="47"/>
        </w:numPr>
        <w:tabs>
          <w:tab w:val="clear" w:pos="0"/>
        </w:tabs>
        <w:ind w:left="567" w:hanging="567"/>
        <w:rPr>
          <w:rFonts w:eastAsiaTheme="minorHAnsi"/>
          <w:lang w:val="es-ES_tradnl"/>
        </w:rPr>
      </w:pPr>
      <w:r w:rsidRPr="00542774">
        <w:rPr>
          <w:lang w:val="es-ES_tradnl"/>
        </w:rPr>
        <w:t>El CESE acoge favorablemente la propuesta de la Comisión relativa a un «Nuevo Consenso Europeo en materia de Desarrollo», que ajusta plenamente este documento general sobre la política de desarrollo de la UE a la Agenda 2013. El CESE reconoce el papel desempeñado por el Consenso Europeo sobre Desarrollo de 2005 en la cooperación al desarrollo de la Unión Europea y de sus Estados miembros. El Comité espera que el nuevo consenso siga desempeñando un papel similar.</w:t>
      </w:r>
    </w:p>
    <w:p w:rsidR="0021639E" w:rsidRPr="00542774" w:rsidRDefault="0021639E" w:rsidP="0021639E">
      <w:pPr>
        <w:rPr>
          <w:lang w:val="es-ES_tradnl"/>
        </w:rPr>
      </w:pPr>
    </w:p>
    <w:p w:rsidR="0021639E" w:rsidRPr="00542774" w:rsidRDefault="0021639E" w:rsidP="0021639E">
      <w:pPr>
        <w:pStyle w:val="ListParagraph"/>
        <w:numPr>
          <w:ilvl w:val="0"/>
          <w:numId w:val="48"/>
        </w:numPr>
        <w:tabs>
          <w:tab w:val="clear" w:pos="0"/>
        </w:tabs>
        <w:ind w:left="567" w:hanging="567"/>
        <w:rPr>
          <w:rFonts w:eastAsiaTheme="minorHAnsi"/>
          <w:lang w:val="es-ES_tradnl"/>
        </w:rPr>
      </w:pPr>
      <w:r w:rsidRPr="00542774">
        <w:rPr>
          <w:lang w:val="es-ES_tradnl"/>
        </w:rPr>
        <w:t>El CESE celebra el compromiso explícito del Consenso al servicio del objetivo global de erradicación de la pobreza, con arreglo a un enfoque de la cooperación al desarrollo basado en los derechos y en la igualdad de género y velando al mismo t</w:t>
      </w:r>
      <w:r w:rsidR="0006317D" w:rsidRPr="00542774">
        <w:rPr>
          <w:lang w:val="es-ES_tradnl"/>
        </w:rPr>
        <w:t>iempo, en el marco de la Agenda </w:t>
      </w:r>
      <w:r w:rsidRPr="00542774">
        <w:rPr>
          <w:lang w:val="es-ES_tradnl"/>
        </w:rPr>
        <w:t>2030, por que nadie quede excluido, independientemente de su lugar de residencia, origen étnico, sexo, edad, discapacidad, religión o convicciones, orientación sexual, estatuto de migrante o cualquier otra consideración.</w:t>
      </w:r>
    </w:p>
    <w:p w:rsidR="0021639E" w:rsidRPr="00542774" w:rsidRDefault="0021639E" w:rsidP="0021639E">
      <w:pPr>
        <w:rPr>
          <w:lang w:val="es-ES_tradnl"/>
        </w:rPr>
      </w:pPr>
    </w:p>
    <w:p w:rsidR="0021639E" w:rsidRPr="00542774" w:rsidRDefault="0021639E" w:rsidP="0021639E">
      <w:pPr>
        <w:pStyle w:val="ListParagraph"/>
        <w:numPr>
          <w:ilvl w:val="0"/>
          <w:numId w:val="49"/>
        </w:numPr>
        <w:tabs>
          <w:tab w:val="clear" w:pos="0"/>
        </w:tabs>
        <w:ind w:left="567" w:hanging="567"/>
        <w:rPr>
          <w:rFonts w:eastAsiaTheme="minorHAnsi"/>
          <w:lang w:val="es-ES_tradnl"/>
        </w:rPr>
      </w:pPr>
      <w:r w:rsidRPr="00542774">
        <w:rPr>
          <w:lang w:val="es-ES_tradnl"/>
        </w:rPr>
        <w:t>El Comité considera que el Consenso debería definir los papeles respectivos de la Comisión y los Estados miembros, teniendo en cuenta sus ventajas comparativas específicas en el ámbito del desarrollo. Este imperativo es tanto más pertinente cuanto que cabe esperar que la dotación global destinada por la UE y sus Estados miembros al desarrollo estará sujeta a una mayor presión en el contexto de un clima político interior cambiante. Por tanto, la UE y sus Estados miembros no deberían utilizar la ayuda al desarrollo como argumento para imponer a sus socios una cooperación en materia de objetivos de política económica y exterior, seguridad del Estado y control de las migraciones.</w:t>
      </w:r>
    </w:p>
    <w:p w:rsidR="0021639E" w:rsidRPr="00542774" w:rsidRDefault="0021639E" w:rsidP="0021639E">
      <w:pPr>
        <w:rPr>
          <w:lang w:val="es-ES_tradnl"/>
        </w:rPr>
      </w:pPr>
    </w:p>
    <w:p w:rsidR="0021639E" w:rsidRPr="00542774" w:rsidRDefault="0021639E" w:rsidP="0021639E">
      <w:pPr>
        <w:pStyle w:val="ListParagraph"/>
        <w:numPr>
          <w:ilvl w:val="0"/>
          <w:numId w:val="50"/>
        </w:numPr>
        <w:tabs>
          <w:tab w:val="clear" w:pos="0"/>
        </w:tabs>
        <w:ind w:left="567" w:hanging="567"/>
        <w:rPr>
          <w:rFonts w:eastAsiaTheme="minorHAnsi"/>
          <w:lang w:val="es-ES_tradnl"/>
        </w:rPr>
      </w:pPr>
      <w:r w:rsidRPr="00542774">
        <w:rPr>
          <w:lang w:val="es-ES_tradnl"/>
        </w:rPr>
        <w:t>El CESE hace hincapié en el papel que desempeñan los interlocutores sociales y las organizaciones de la sociedad civil en la política de desarrollo, y anima a la Comisión a establecer mecanismos financieros más adaptados para ayudar a un abanico más amplio de organizaciones de la sociedad civil, a fin de velar por que organizaciones locales más pequeñas y numerosas tengan acceso a los programas de la UE.</w:t>
      </w:r>
    </w:p>
    <w:p w:rsidR="0021639E" w:rsidRPr="00542774" w:rsidRDefault="0021639E" w:rsidP="0021639E">
      <w:pPr>
        <w:rPr>
          <w:rFonts w:eastAsiaTheme="minorHAnsi"/>
          <w:lang w:val="es-ES_tradnl"/>
        </w:rPr>
      </w:pPr>
    </w:p>
    <w:p w:rsidR="0021639E" w:rsidRPr="00542774" w:rsidRDefault="0021639E" w:rsidP="00913E0C">
      <w:pPr>
        <w:pStyle w:val="ListParagraph"/>
        <w:keepNext/>
        <w:keepLines/>
        <w:numPr>
          <w:ilvl w:val="0"/>
          <w:numId w:val="51"/>
        </w:numPr>
        <w:tabs>
          <w:tab w:val="clear" w:pos="0"/>
        </w:tabs>
        <w:ind w:left="567" w:hanging="567"/>
        <w:rPr>
          <w:rFonts w:eastAsiaTheme="minorHAnsi"/>
          <w:lang w:val="es-ES_tradnl"/>
        </w:rPr>
      </w:pPr>
      <w:r w:rsidRPr="00542774">
        <w:rPr>
          <w:lang w:val="es-ES_tradnl"/>
        </w:rPr>
        <w:t>Los interlocutores sociales y las organizaciones de la sociedad civil deberían contar con la posibilidad de controlar el gasto público en desarrollo. Deberían participar de manera significativa en la elaboración, la aplicación, el seguimiento y la evaluación de los programas de desarrollo, para que estos respondan a las verdaderas necesidades del mayor número posible de personas.</w:t>
      </w:r>
    </w:p>
    <w:p w:rsidR="0021639E" w:rsidRPr="00542774" w:rsidRDefault="0021639E" w:rsidP="0021639E">
      <w:pPr>
        <w:rPr>
          <w:lang w:val="es-ES_tradnl"/>
        </w:rPr>
      </w:pPr>
    </w:p>
    <w:p w:rsidR="0021639E" w:rsidRPr="00542774" w:rsidRDefault="0021639E" w:rsidP="0021639E">
      <w:pPr>
        <w:pStyle w:val="ListParagraph"/>
        <w:numPr>
          <w:ilvl w:val="0"/>
          <w:numId w:val="52"/>
        </w:numPr>
        <w:tabs>
          <w:tab w:val="clear" w:pos="0"/>
        </w:tabs>
        <w:ind w:left="567" w:hanging="567"/>
        <w:rPr>
          <w:rFonts w:eastAsiaTheme="minorHAnsi"/>
          <w:lang w:val="es-ES_tradnl"/>
        </w:rPr>
      </w:pPr>
      <w:r w:rsidRPr="00542774">
        <w:rPr>
          <w:lang w:val="es-ES_tradnl"/>
        </w:rPr>
        <w:t>Por otra parte, el CESE considera que el diálogo social debe reconocerse como un instrumento para la aplicación de la Agenda de desarrollo, y anima a la UE a colaborar con organizaciones independientes de empresarios y trabajadores (los interlocutores sociales) para promover buenas prácticas en las relaciones laborales y unas administraciones del trabajo eficaces.</w:t>
      </w:r>
    </w:p>
    <w:p w:rsidR="0021639E" w:rsidRPr="00542774" w:rsidRDefault="0021639E" w:rsidP="0021639E">
      <w:pPr>
        <w:rPr>
          <w:lang w:val="es-ES_tradnl"/>
        </w:rPr>
      </w:pPr>
    </w:p>
    <w:p w:rsidR="0021639E" w:rsidRPr="00542774" w:rsidRDefault="0021639E" w:rsidP="0021639E">
      <w:pPr>
        <w:pStyle w:val="ListParagraph"/>
        <w:numPr>
          <w:ilvl w:val="0"/>
          <w:numId w:val="53"/>
        </w:numPr>
        <w:tabs>
          <w:tab w:val="clear" w:pos="0"/>
        </w:tabs>
        <w:ind w:left="567" w:hanging="567"/>
        <w:rPr>
          <w:rFonts w:eastAsiaTheme="minorHAnsi"/>
          <w:lang w:val="es-ES_tradnl"/>
        </w:rPr>
      </w:pPr>
      <w:r w:rsidRPr="00542774">
        <w:rPr>
          <w:lang w:val="es-ES_tradnl"/>
        </w:rPr>
        <w:t>El CESE considera que la integración y la sostenibilidad descansan en la existencia de empleos decentes y estables (en particular para las mujeres y los jóvenes), que generen ingresos suficientes y cadenas de valor sostenibles para los diferentes servicios públicos consolidados.</w:t>
      </w:r>
    </w:p>
    <w:p w:rsidR="0021639E" w:rsidRPr="00542774" w:rsidRDefault="0021639E" w:rsidP="0021639E">
      <w:pPr>
        <w:rPr>
          <w:lang w:val="es-ES_tradnl"/>
        </w:rPr>
      </w:pPr>
    </w:p>
    <w:p w:rsidR="0021639E" w:rsidRPr="00542774" w:rsidRDefault="0021639E" w:rsidP="0021639E">
      <w:pPr>
        <w:autoSpaceDN w:val="0"/>
        <w:adjustRightInd w:val="0"/>
        <w:ind w:left="1080" w:hanging="1080"/>
        <w:rPr>
          <w:i/>
          <w:lang w:val="es-ES_tradnl"/>
        </w:rPr>
      </w:pPr>
      <w:r w:rsidRPr="00542774">
        <w:rPr>
          <w:b/>
          <w:i/>
          <w:lang w:val="es-ES_tradnl"/>
        </w:rPr>
        <w:t>Contacto</w:t>
      </w:r>
      <w:r w:rsidRPr="00542774">
        <w:rPr>
          <w:lang w:val="es-ES_tradnl"/>
        </w:rPr>
        <w:t>:</w:t>
      </w:r>
      <w:r w:rsidR="00913E0C" w:rsidRPr="00542774">
        <w:rPr>
          <w:lang w:val="es-ES_tradnl"/>
        </w:rPr>
        <w:tab/>
      </w:r>
      <w:r w:rsidRPr="00542774">
        <w:rPr>
          <w:i/>
          <w:lang w:val="es-ES_tradnl"/>
        </w:rPr>
        <w:t>Else BOONSTRA</w:t>
      </w:r>
    </w:p>
    <w:p w:rsidR="0021639E" w:rsidRPr="00542774" w:rsidRDefault="0021639E" w:rsidP="0021639E">
      <w:pPr>
        <w:autoSpaceDN w:val="0"/>
        <w:adjustRightInd w:val="0"/>
        <w:ind w:left="1080"/>
        <w:rPr>
          <w:i/>
          <w:iCs/>
          <w:lang w:val="es-ES_tradnl"/>
        </w:rPr>
      </w:pPr>
      <w:r w:rsidRPr="00542774">
        <w:rPr>
          <w:i/>
          <w:lang w:val="es-ES_tradnl"/>
        </w:rPr>
        <w:t xml:space="preserve">(Tel.: + 32 (0)2 546 8290 - correo electrónico: </w:t>
      </w:r>
      <w:hyperlink r:id="rId33">
        <w:r w:rsidRPr="00542774">
          <w:rPr>
            <w:rStyle w:val="Hyperlink"/>
            <w:i/>
            <w:lang w:val="es-ES_tradnl"/>
          </w:rPr>
          <w:t>Else.Boonstra@eesc.europa.eu</w:t>
        </w:r>
      </w:hyperlink>
      <w:r w:rsidRPr="00542774">
        <w:rPr>
          <w:i/>
          <w:lang w:val="es-ES_tradnl"/>
        </w:rPr>
        <w:t>)</w:t>
      </w:r>
    </w:p>
    <w:p w:rsidR="0021639E" w:rsidRPr="00542774" w:rsidRDefault="0021639E">
      <w:pPr>
        <w:overflowPunct w:val="0"/>
        <w:autoSpaceDE w:val="0"/>
        <w:autoSpaceDN w:val="0"/>
        <w:adjustRightInd w:val="0"/>
        <w:textAlignment w:val="baseline"/>
        <w:rPr>
          <w:highlight w:val="cyan"/>
          <w:lang w:val="es-ES_tradnl"/>
        </w:rPr>
      </w:pPr>
    </w:p>
    <w:p w:rsidR="00802367" w:rsidRPr="00542774" w:rsidRDefault="00156950">
      <w:pPr>
        <w:overflowPunct w:val="0"/>
        <w:autoSpaceDE w:val="0"/>
        <w:autoSpaceDN w:val="0"/>
        <w:adjustRightInd w:val="0"/>
        <w:jc w:val="center"/>
        <w:textAlignment w:val="baseline"/>
        <w:rPr>
          <w:lang w:val="es-ES_tradnl"/>
        </w:rPr>
      </w:pPr>
      <w:r w:rsidRPr="00542774">
        <w:rPr>
          <w:lang w:val="es-ES_tradnl"/>
        </w:rPr>
        <w:t>_____________</w:t>
      </w:r>
    </w:p>
    <w:sectPr w:rsidR="00802367" w:rsidRPr="00542774" w:rsidSect="0085249A">
      <w:headerReference w:type="even" r:id="rId34"/>
      <w:headerReference w:type="default" r:id="rId35"/>
      <w:footerReference w:type="even" r:id="rId36"/>
      <w:footerReference w:type="default" r:id="rId37"/>
      <w:headerReference w:type="first" r:id="rId38"/>
      <w:footerReference w:type="first" r:id="rId3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49A" w:rsidRDefault="0085249A" w:rsidP="003B283B">
      <w:pPr>
        <w:spacing w:line="240" w:lineRule="auto"/>
      </w:pPr>
      <w:r>
        <w:separator/>
      </w:r>
    </w:p>
  </w:endnote>
  <w:endnote w:type="continuationSeparator" w:id="0">
    <w:p w:rsidR="0085249A" w:rsidRDefault="0085249A" w:rsidP="003B283B">
      <w:pPr>
        <w:spacing w:line="240" w:lineRule="auto"/>
      </w:pPr>
      <w:r>
        <w:continuationSeparator/>
      </w:r>
    </w:p>
  </w:endnote>
  <w:endnote w:type="continuationNotice" w:id="1">
    <w:p w:rsidR="0085249A" w:rsidRDefault="008524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r>
      <w:t xml:space="preserve">EESC-2017-01743-00-01-TCD-TRA (FR/EN) </w:t>
    </w:r>
    <w:r>
      <w:fldChar w:fldCharType="begin"/>
    </w:r>
    <w:r>
      <w:instrText xml:space="preserve"> PAGE  \* Arabic  \* MERGEFORMAT </w:instrText>
    </w:r>
    <w:r>
      <w:fldChar w:fldCharType="separate"/>
    </w:r>
    <w:r w:rsidR="00542774">
      <w:rPr>
        <w:noProof/>
      </w:rPr>
      <w:t>1</w:t>
    </w:r>
    <w:r>
      <w:fldChar w:fldCharType="end"/>
    </w:r>
    <w:r>
      <w:t>/</w:t>
    </w:r>
    <w:r>
      <w:fldChar w:fldCharType="begin"/>
    </w:r>
    <w:r>
      <w:instrText xml:space="preserve"> = </w:instrText>
    </w:r>
    <w:r w:rsidR="00542774">
      <w:fldChar w:fldCharType="begin"/>
    </w:r>
    <w:r w:rsidR="00542774">
      <w:instrText xml:space="preserve"> NUMPAGES </w:instrText>
    </w:r>
    <w:r w:rsidR="00542774">
      <w:fldChar w:fldCharType="separate"/>
    </w:r>
    <w:r w:rsidR="00542774">
      <w:rPr>
        <w:noProof/>
      </w:rPr>
      <w:instrText>1</w:instrText>
    </w:r>
    <w:r w:rsidR="00542774">
      <w:rPr>
        <w:noProof/>
      </w:rPr>
      <w:fldChar w:fldCharType="end"/>
    </w:r>
    <w:r>
      <w:instrText xml:space="preserve"> -0 </w:instrText>
    </w:r>
    <w:r>
      <w:fldChar w:fldCharType="separate"/>
    </w:r>
    <w:r w:rsidR="00542774">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r>
      <w:t xml:space="preserve">EESC-2017-01743-00-01-TCD-TRA (FR/EN) </w:t>
    </w:r>
    <w:r>
      <w:fldChar w:fldCharType="begin"/>
    </w:r>
    <w:r>
      <w:instrText xml:space="preserve"> PAGE  \* Arabic  \* MERGEFORMAT </w:instrText>
    </w:r>
    <w:r>
      <w:fldChar w:fldCharType="separate"/>
    </w:r>
    <w:r w:rsidR="00542774">
      <w:rPr>
        <w:noProof/>
      </w:rPr>
      <w:t>3</w:t>
    </w:r>
    <w:r>
      <w:fldChar w:fldCharType="end"/>
    </w:r>
    <w:r>
      <w:t>/</w:t>
    </w:r>
    <w:r>
      <w:fldChar w:fldCharType="begin"/>
    </w:r>
    <w:r>
      <w:instrText xml:space="preserve"> = </w:instrText>
    </w:r>
    <w:r w:rsidR="00542774">
      <w:fldChar w:fldCharType="begin"/>
    </w:r>
    <w:r w:rsidR="00542774">
      <w:instrText xml:space="preserve"> NUMPAGES </w:instrText>
    </w:r>
    <w:r w:rsidR="00542774">
      <w:fldChar w:fldCharType="separate"/>
    </w:r>
    <w:r w:rsidR="00542774">
      <w:rPr>
        <w:noProof/>
      </w:rPr>
      <w:instrText>3</w:instrText>
    </w:r>
    <w:r w:rsidR="00542774">
      <w:rPr>
        <w:noProof/>
      </w:rPr>
      <w:fldChar w:fldCharType="end"/>
    </w:r>
    <w:r>
      <w:instrText xml:space="preserve"> -0 </w:instrText>
    </w:r>
    <w:r>
      <w:fldChar w:fldCharType="separate"/>
    </w:r>
    <w:r w:rsidR="00542774">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49A" w:rsidRDefault="0085249A" w:rsidP="003B283B">
      <w:pPr>
        <w:spacing w:line="240" w:lineRule="auto"/>
      </w:pPr>
      <w:r>
        <w:separator/>
      </w:r>
    </w:p>
  </w:footnote>
  <w:footnote w:type="continuationSeparator" w:id="0">
    <w:p w:rsidR="0085249A" w:rsidRDefault="0085249A" w:rsidP="003B283B">
      <w:pPr>
        <w:spacing w:line="240" w:lineRule="auto"/>
      </w:pPr>
      <w:r>
        <w:continuationSeparator/>
      </w:r>
    </w:p>
  </w:footnote>
  <w:footnote w:type="continuationNotice" w:id="1">
    <w:p w:rsidR="0085249A" w:rsidRPr="00377A77" w:rsidRDefault="0085249A">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1D82A8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4370DB"/>
    <w:multiLevelType w:val="hybridMultilevel"/>
    <w:tmpl w:val="934EAB5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A05C4E"/>
    <w:multiLevelType w:val="hybridMultilevel"/>
    <w:tmpl w:val="D574440C"/>
    <w:lvl w:ilvl="0" w:tplc="4C2C9AD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52F6B35"/>
    <w:multiLevelType w:val="hybridMultilevel"/>
    <w:tmpl w:val="AE1E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A2154"/>
    <w:multiLevelType w:val="singleLevel"/>
    <w:tmpl w:val="ACD4CDB0"/>
    <w:lvl w:ilvl="0">
      <w:numFmt w:val="decimal"/>
      <w:lvlText w:val="*"/>
      <w:lvlJc w:val="left"/>
      <w:rPr>
        <w:rFonts w:cs="Times New Roman"/>
      </w:rPr>
    </w:lvl>
  </w:abstractNum>
  <w:abstractNum w:abstractNumId="10">
    <w:nsid w:val="1DBD13B0"/>
    <w:multiLevelType w:val="hybridMultilevel"/>
    <w:tmpl w:val="E9FE50F8"/>
    <w:lvl w:ilvl="0" w:tplc="A78E9F6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03E1E50"/>
    <w:multiLevelType w:val="hybridMultilevel"/>
    <w:tmpl w:val="7C68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66D580F"/>
    <w:multiLevelType w:val="hybridMultilevel"/>
    <w:tmpl w:val="E880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4D28B9"/>
    <w:multiLevelType w:val="hybridMultilevel"/>
    <w:tmpl w:val="0110032C"/>
    <w:lvl w:ilvl="0" w:tplc="911428B6">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2F2B3758"/>
    <w:multiLevelType w:val="hybridMultilevel"/>
    <w:tmpl w:val="C40CAEFE"/>
    <w:lvl w:ilvl="0" w:tplc="BB30A012">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1B641DB"/>
    <w:multiLevelType w:val="hybridMultilevel"/>
    <w:tmpl w:val="621AF498"/>
    <w:lvl w:ilvl="0" w:tplc="0C8A8AB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6772673"/>
    <w:multiLevelType w:val="hybridMultilevel"/>
    <w:tmpl w:val="9118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1805FB"/>
    <w:multiLevelType w:val="hybridMultilevel"/>
    <w:tmpl w:val="4E22F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48B87AFF"/>
    <w:multiLevelType w:val="hybridMultilevel"/>
    <w:tmpl w:val="DAE07A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0547AA7"/>
    <w:multiLevelType w:val="hybridMultilevel"/>
    <w:tmpl w:val="71D0C924"/>
    <w:lvl w:ilvl="0" w:tplc="C8085A6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51C9465D"/>
    <w:multiLevelType w:val="hybridMultilevel"/>
    <w:tmpl w:val="368634C4"/>
    <w:lvl w:ilvl="0" w:tplc="E56AC664">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9">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31">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A3F667A"/>
    <w:multiLevelType w:val="hybridMultilevel"/>
    <w:tmpl w:val="3AAADF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5B2973AF"/>
    <w:multiLevelType w:val="hybridMultilevel"/>
    <w:tmpl w:val="99862610"/>
    <w:lvl w:ilvl="0" w:tplc="46F45FE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E6F1ABA"/>
    <w:multiLevelType w:val="hybridMultilevel"/>
    <w:tmpl w:val="1EB6AAD2"/>
    <w:lvl w:ilvl="0" w:tplc="8C46BE2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7">
    <w:nsid w:val="60F0179D"/>
    <w:multiLevelType w:val="hybridMultilevel"/>
    <w:tmpl w:val="3B70ACCE"/>
    <w:lvl w:ilvl="0" w:tplc="5DF6F9D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14B4760"/>
    <w:multiLevelType w:val="hybridMultilevel"/>
    <w:tmpl w:val="FF12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2A1750"/>
    <w:multiLevelType w:val="hybridMultilevel"/>
    <w:tmpl w:val="06681D22"/>
    <w:lvl w:ilvl="0" w:tplc="5440A92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32F53D6"/>
    <w:multiLevelType w:val="hybridMultilevel"/>
    <w:tmpl w:val="5D2E3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3B609C3"/>
    <w:multiLevelType w:val="hybridMultilevel"/>
    <w:tmpl w:val="70609CD6"/>
    <w:lvl w:ilvl="0" w:tplc="19B45F3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7450588"/>
    <w:multiLevelType w:val="hybridMultilevel"/>
    <w:tmpl w:val="EACEA734"/>
    <w:lvl w:ilvl="0" w:tplc="EE92DE90">
      <w:start w:val="1"/>
      <w:numFmt w:val="bullet"/>
      <w:lvlText w:val="-"/>
      <w:lvlJc w:val="left"/>
      <w:pPr>
        <w:ind w:left="720" w:hanging="360"/>
      </w:pPr>
      <w:rPr>
        <w:rFonts w:ascii="Courier New" w:hAnsi="Courier New" w:hint="default"/>
      </w:rPr>
    </w:lvl>
    <w:lvl w:ilvl="1" w:tplc="08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865A8E"/>
    <w:multiLevelType w:val="hybridMultilevel"/>
    <w:tmpl w:val="6748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46">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FD66F1"/>
    <w:multiLevelType w:val="hybridMultilevel"/>
    <w:tmpl w:val="E6E21D28"/>
    <w:lvl w:ilvl="0" w:tplc="A7CCDF20">
      <w:start w:val="1"/>
      <w:numFmt w:val="bullet"/>
      <w:lvlText w:val=""/>
      <w:lvlJc w:val="center"/>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nsid w:val="78E83650"/>
    <w:multiLevelType w:val="hybridMultilevel"/>
    <w:tmpl w:val="A6C07F76"/>
    <w:lvl w:ilvl="0" w:tplc="3C9CA39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B413587"/>
    <w:multiLevelType w:val="hybridMultilevel"/>
    <w:tmpl w:val="7BECB25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2">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831035"/>
    <w:multiLevelType w:val="hybridMultilevel"/>
    <w:tmpl w:val="278456CC"/>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55">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6"/>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12"/>
  </w:num>
  <w:num w:numId="6">
    <w:abstractNumId w:val="26"/>
  </w:num>
  <w:num w:numId="7">
    <w:abstractNumId w:val="55"/>
  </w:num>
  <w:num w:numId="8">
    <w:abstractNumId w:val="13"/>
  </w:num>
  <w:num w:numId="9">
    <w:abstractNumId w:val="31"/>
  </w:num>
  <w:num w:numId="10">
    <w:abstractNumId w:val="45"/>
  </w:num>
  <w:num w:numId="11">
    <w:abstractNumId w:val="30"/>
  </w:num>
  <w:num w:numId="12">
    <w:abstractNumId w:val="54"/>
  </w:num>
  <w:num w:numId="13">
    <w:abstractNumId w:val="24"/>
  </w:num>
  <w:num w:numId="14">
    <w:abstractNumId w:val="2"/>
  </w:num>
  <w:num w:numId="15">
    <w:abstractNumId w:val="23"/>
  </w:num>
  <w:num w:numId="16">
    <w:abstractNumId w:val="29"/>
  </w:num>
  <w:num w:numId="17">
    <w:abstractNumId w:val="33"/>
  </w:num>
  <w:num w:numId="18">
    <w:abstractNumId w:val="16"/>
  </w:num>
  <w:num w:numId="19">
    <w:abstractNumId w:val="48"/>
  </w:num>
  <w:num w:numId="20">
    <w:abstractNumId w:val="8"/>
  </w:num>
  <w:num w:numId="21">
    <w:abstractNumId w:val="52"/>
  </w:num>
  <w:num w:numId="22">
    <w:abstractNumId w:val="6"/>
  </w:num>
  <w:num w:numId="23">
    <w:abstractNumId w:val="22"/>
  </w:num>
  <w:num w:numId="24">
    <w:abstractNumId w:val="44"/>
  </w:num>
  <w:num w:numId="25">
    <w:abstractNumId w:val="47"/>
  </w:num>
  <w:num w:numId="26">
    <w:abstractNumId w:val="46"/>
  </w:num>
  <w:num w:numId="27">
    <w:abstractNumId w:val="28"/>
  </w:num>
  <w:num w:numId="28">
    <w:abstractNumId w:val="20"/>
  </w:num>
  <w:num w:numId="29">
    <w:abstractNumId w:val="40"/>
  </w:num>
  <w:num w:numId="30">
    <w:abstractNumId w:val="53"/>
  </w:num>
  <w:num w:numId="31">
    <w:abstractNumId w:val="3"/>
  </w:num>
  <w:num w:numId="32">
    <w:abstractNumId w:val="1"/>
    <w:lvlOverride w:ilvl="0">
      <w:lvl w:ilvl="0">
        <w:start w:val="1"/>
        <w:numFmt w:val="bullet"/>
        <w:lvlText w:val=""/>
        <w:legacy w:legacy="1" w:legacySpace="0" w:legacyIndent="283"/>
        <w:lvlJc w:val="left"/>
        <w:pPr>
          <w:ind w:left="3119" w:hanging="283"/>
        </w:pPr>
        <w:rPr>
          <w:rFonts w:ascii="Symbol" w:hAnsi="Symbol" w:hint="default"/>
        </w:rPr>
      </w:lvl>
    </w:lvlOverride>
  </w:num>
  <w:num w:numId="33">
    <w:abstractNumId w:val="38"/>
  </w:num>
  <w:num w:numId="34">
    <w:abstractNumId w:val="19"/>
  </w:num>
  <w:num w:numId="35">
    <w:abstractNumId w:val="9"/>
  </w:num>
  <w:num w:numId="36">
    <w:abstractNumId w:val="21"/>
  </w:num>
  <w:num w:numId="37">
    <w:abstractNumId w:val="51"/>
  </w:num>
  <w:num w:numId="38">
    <w:abstractNumId w:val="4"/>
  </w:num>
  <w:num w:numId="39">
    <w:abstractNumId w:val="42"/>
  </w:num>
  <w:num w:numId="40">
    <w:abstractNumId w:val="1"/>
    <w:lvlOverride w:ilvl="0">
      <w:lvl w:ilvl="0">
        <w:start w:val="1"/>
        <w:numFmt w:val="bullet"/>
        <w:lvlText w:val=""/>
        <w:lvlJc w:val="left"/>
        <w:pPr>
          <w:ind w:left="720" w:hanging="360"/>
        </w:pPr>
        <w:rPr>
          <w:rFonts w:ascii="Symbol" w:hAnsi="Symbol" w:hint="default"/>
        </w:rPr>
      </w:lvl>
    </w:lvlOverride>
  </w:num>
  <w:num w:numId="41">
    <w:abstractNumId w:val="43"/>
  </w:num>
  <w:num w:numId="42">
    <w:abstractNumId w:val="7"/>
  </w:num>
  <w:num w:numId="43">
    <w:abstractNumId w:val="11"/>
  </w:num>
  <w:num w:numId="44">
    <w:abstractNumId w:val="49"/>
  </w:num>
  <w:num w:numId="45">
    <w:abstractNumId w:val="14"/>
  </w:num>
  <w:num w:numId="46">
    <w:abstractNumId w:val="32"/>
  </w:num>
  <w:num w:numId="47">
    <w:abstractNumId w:val="10"/>
  </w:num>
  <w:num w:numId="48">
    <w:abstractNumId w:val="15"/>
  </w:num>
  <w:num w:numId="49">
    <w:abstractNumId w:val="50"/>
  </w:num>
  <w:num w:numId="50">
    <w:abstractNumId w:val="18"/>
  </w:num>
  <w:num w:numId="51">
    <w:abstractNumId w:val="41"/>
  </w:num>
  <w:num w:numId="52">
    <w:abstractNumId w:val="39"/>
  </w:num>
  <w:num w:numId="53">
    <w:abstractNumId w:val="34"/>
  </w:num>
  <w:num w:numId="54">
    <w:abstractNumId w:val="25"/>
  </w:num>
  <w:num w:numId="55">
    <w:abstractNumId w:val="37"/>
  </w:num>
  <w:num w:numId="56">
    <w:abstractNumId w:val="17"/>
  </w:num>
  <w:num w:numId="57">
    <w:abstractNumId w:val="35"/>
  </w:num>
  <w:num w:numId="58">
    <w:abstractNumId w:val="27"/>
  </w:num>
  <w:num w:numId="59">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0FE"/>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C6C"/>
    <w:rsid w:val="00041EB7"/>
    <w:rsid w:val="00045054"/>
    <w:rsid w:val="00051C81"/>
    <w:rsid w:val="0005250A"/>
    <w:rsid w:val="000529F2"/>
    <w:rsid w:val="00054E26"/>
    <w:rsid w:val="00055735"/>
    <w:rsid w:val="000562AF"/>
    <w:rsid w:val="00060853"/>
    <w:rsid w:val="0006317D"/>
    <w:rsid w:val="00067189"/>
    <w:rsid w:val="00067BC4"/>
    <w:rsid w:val="000702E5"/>
    <w:rsid w:val="00070C28"/>
    <w:rsid w:val="000714D6"/>
    <w:rsid w:val="00071E53"/>
    <w:rsid w:val="0007365D"/>
    <w:rsid w:val="00073A46"/>
    <w:rsid w:val="00074A88"/>
    <w:rsid w:val="00074CD8"/>
    <w:rsid w:val="000814F6"/>
    <w:rsid w:val="00081813"/>
    <w:rsid w:val="000818D4"/>
    <w:rsid w:val="000821ED"/>
    <w:rsid w:val="000836FE"/>
    <w:rsid w:val="00086D04"/>
    <w:rsid w:val="00087AE9"/>
    <w:rsid w:val="00094645"/>
    <w:rsid w:val="000967CA"/>
    <w:rsid w:val="00096999"/>
    <w:rsid w:val="000A62E2"/>
    <w:rsid w:val="000B1EEE"/>
    <w:rsid w:val="000C07F0"/>
    <w:rsid w:val="000C0946"/>
    <w:rsid w:val="000C0AA0"/>
    <w:rsid w:val="000C2679"/>
    <w:rsid w:val="000C37E9"/>
    <w:rsid w:val="000C3DF6"/>
    <w:rsid w:val="000C469F"/>
    <w:rsid w:val="000D007F"/>
    <w:rsid w:val="000D28F0"/>
    <w:rsid w:val="000D3F88"/>
    <w:rsid w:val="000D50A8"/>
    <w:rsid w:val="000D59D3"/>
    <w:rsid w:val="000D7F5A"/>
    <w:rsid w:val="000E4C16"/>
    <w:rsid w:val="000E6466"/>
    <w:rsid w:val="000E6F41"/>
    <w:rsid w:val="000F035E"/>
    <w:rsid w:val="000F16CE"/>
    <w:rsid w:val="000F181E"/>
    <w:rsid w:val="000F42C4"/>
    <w:rsid w:val="000F77C3"/>
    <w:rsid w:val="0010339F"/>
    <w:rsid w:val="0010391E"/>
    <w:rsid w:val="00103CC0"/>
    <w:rsid w:val="00104975"/>
    <w:rsid w:val="001053BA"/>
    <w:rsid w:val="0010786D"/>
    <w:rsid w:val="00110344"/>
    <w:rsid w:val="001127C6"/>
    <w:rsid w:val="001138B0"/>
    <w:rsid w:val="001158DF"/>
    <w:rsid w:val="00116CFB"/>
    <w:rsid w:val="00126A7F"/>
    <w:rsid w:val="00127660"/>
    <w:rsid w:val="00131042"/>
    <w:rsid w:val="0013146D"/>
    <w:rsid w:val="00136F53"/>
    <w:rsid w:val="00136FA8"/>
    <w:rsid w:val="001376AC"/>
    <w:rsid w:val="0014104C"/>
    <w:rsid w:val="00142A4E"/>
    <w:rsid w:val="0014464E"/>
    <w:rsid w:val="00144DCE"/>
    <w:rsid w:val="00146F91"/>
    <w:rsid w:val="00153199"/>
    <w:rsid w:val="001540D3"/>
    <w:rsid w:val="00155138"/>
    <w:rsid w:val="00156950"/>
    <w:rsid w:val="00157649"/>
    <w:rsid w:val="00160DCC"/>
    <w:rsid w:val="001657F4"/>
    <w:rsid w:val="00166FCB"/>
    <w:rsid w:val="0017241F"/>
    <w:rsid w:val="001737B7"/>
    <w:rsid w:val="0017469D"/>
    <w:rsid w:val="001764F7"/>
    <w:rsid w:val="001768E2"/>
    <w:rsid w:val="0018061D"/>
    <w:rsid w:val="00180A82"/>
    <w:rsid w:val="00182D03"/>
    <w:rsid w:val="00184C46"/>
    <w:rsid w:val="00186D96"/>
    <w:rsid w:val="00191C0B"/>
    <w:rsid w:val="00194447"/>
    <w:rsid w:val="0019516A"/>
    <w:rsid w:val="00195479"/>
    <w:rsid w:val="001A1064"/>
    <w:rsid w:val="001A3D0C"/>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D013F"/>
    <w:rsid w:val="001D1144"/>
    <w:rsid w:val="001D4E3C"/>
    <w:rsid w:val="001D52CB"/>
    <w:rsid w:val="001D6C48"/>
    <w:rsid w:val="001D74DC"/>
    <w:rsid w:val="001E2338"/>
    <w:rsid w:val="001E717B"/>
    <w:rsid w:val="001E74A2"/>
    <w:rsid w:val="001E76FC"/>
    <w:rsid w:val="001F0BC4"/>
    <w:rsid w:val="001F1D17"/>
    <w:rsid w:val="001F1F3D"/>
    <w:rsid w:val="001F4D66"/>
    <w:rsid w:val="00200F03"/>
    <w:rsid w:val="002013C3"/>
    <w:rsid w:val="00202634"/>
    <w:rsid w:val="00203A8F"/>
    <w:rsid w:val="00204864"/>
    <w:rsid w:val="00204DB8"/>
    <w:rsid w:val="002052D8"/>
    <w:rsid w:val="00205EFC"/>
    <w:rsid w:val="00211393"/>
    <w:rsid w:val="00211FAE"/>
    <w:rsid w:val="00212787"/>
    <w:rsid w:val="002138A9"/>
    <w:rsid w:val="00214451"/>
    <w:rsid w:val="0021639E"/>
    <w:rsid w:val="00221123"/>
    <w:rsid w:val="002236A6"/>
    <w:rsid w:val="00224DE6"/>
    <w:rsid w:val="00224E75"/>
    <w:rsid w:val="00226823"/>
    <w:rsid w:val="002276DD"/>
    <w:rsid w:val="0023002B"/>
    <w:rsid w:val="002327D5"/>
    <w:rsid w:val="00233CAC"/>
    <w:rsid w:val="0023548F"/>
    <w:rsid w:val="00236FB9"/>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729"/>
    <w:rsid w:val="00266BC6"/>
    <w:rsid w:val="00267AB2"/>
    <w:rsid w:val="0027137C"/>
    <w:rsid w:val="00281365"/>
    <w:rsid w:val="0028188E"/>
    <w:rsid w:val="002843D9"/>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445D"/>
    <w:rsid w:val="002B5973"/>
    <w:rsid w:val="002C0F1F"/>
    <w:rsid w:val="002C1999"/>
    <w:rsid w:val="002C3DCC"/>
    <w:rsid w:val="002C43DB"/>
    <w:rsid w:val="002C5D72"/>
    <w:rsid w:val="002D0F32"/>
    <w:rsid w:val="002D1B76"/>
    <w:rsid w:val="002D41B7"/>
    <w:rsid w:val="002D73EF"/>
    <w:rsid w:val="002D750B"/>
    <w:rsid w:val="002E64CB"/>
    <w:rsid w:val="002E7DDB"/>
    <w:rsid w:val="002F0044"/>
    <w:rsid w:val="002F0388"/>
    <w:rsid w:val="003002D3"/>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6DB2"/>
    <w:rsid w:val="00342715"/>
    <w:rsid w:val="0034601A"/>
    <w:rsid w:val="0034657E"/>
    <w:rsid w:val="00350470"/>
    <w:rsid w:val="003542D4"/>
    <w:rsid w:val="003543F0"/>
    <w:rsid w:val="003555A1"/>
    <w:rsid w:val="0035631F"/>
    <w:rsid w:val="00357667"/>
    <w:rsid w:val="00360D02"/>
    <w:rsid w:val="00361CF3"/>
    <w:rsid w:val="00362B7F"/>
    <w:rsid w:val="00364D74"/>
    <w:rsid w:val="00367A90"/>
    <w:rsid w:val="00371671"/>
    <w:rsid w:val="0037202C"/>
    <w:rsid w:val="00372D96"/>
    <w:rsid w:val="003759AE"/>
    <w:rsid w:val="00377A77"/>
    <w:rsid w:val="003803A1"/>
    <w:rsid w:val="00380A9A"/>
    <w:rsid w:val="0038274D"/>
    <w:rsid w:val="003833E4"/>
    <w:rsid w:val="0038799C"/>
    <w:rsid w:val="00387CFB"/>
    <w:rsid w:val="00392559"/>
    <w:rsid w:val="003939EE"/>
    <w:rsid w:val="00393A41"/>
    <w:rsid w:val="00394196"/>
    <w:rsid w:val="0039485C"/>
    <w:rsid w:val="00397835"/>
    <w:rsid w:val="00397A66"/>
    <w:rsid w:val="00397C0A"/>
    <w:rsid w:val="003A63B9"/>
    <w:rsid w:val="003A667F"/>
    <w:rsid w:val="003A7683"/>
    <w:rsid w:val="003B20F1"/>
    <w:rsid w:val="003B283B"/>
    <w:rsid w:val="003B2AB5"/>
    <w:rsid w:val="003B2BA2"/>
    <w:rsid w:val="003B38AA"/>
    <w:rsid w:val="003B5313"/>
    <w:rsid w:val="003B5456"/>
    <w:rsid w:val="003C1187"/>
    <w:rsid w:val="003C195A"/>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1755"/>
    <w:rsid w:val="0041385B"/>
    <w:rsid w:val="00413EED"/>
    <w:rsid w:val="00414A4C"/>
    <w:rsid w:val="00415AAD"/>
    <w:rsid w:val="0041728F"/>
    <w:rsid w:val="00421682"/>
    <w:rsid w:val="004221CC"/>
    <w:rsid w:val="004235E7"/>
    <w:rsid w:val="00425526"/>
    <w:rsid w:val="00426306"/>
    <w:rsid w:val="00427C97"/>
    <w:rsid w:val="00430FC6"/>
    <w:rsid w:val="004331FF"/>
    <w:rsid w:val="00434AB9"/>
    <w:rsid w:val="00434C77"/>
    <w:rsid w:val="00440808"/>
    <w:rsid w:val="00443153"/>
    <w:rsid w:val="0044401F"/>
    <w:rsid w:val="00444C4C"/>
    <w:rsid w:val="00444D44"/>
    <w:rsid w:val="004452E3"/>
    <w:rsid w:val="004520DF"/>
    <w:rsid w:val="0045436B"/>
    <w:rsid w:val="00460CCB"/>
    <w:rsid w:val="00460D3F"/>
    <w:rsid w:val="00461E3E"/>
    <w:rsid w:val="00464A26"/>
    <w:rsid w:val="00464B19"/>
    <w:rsid w:val="00464C86"/>
    <w:rsid w:val="00466AC6"/>
    <w:rsid w:val="00466E21"/>
    <w:rsid w:val="0047016B"/>
    <w:rsid w:val="00470409"/>
    <w:rsid w:val="0047306F"/>
    <w:rsid w:val="0047417A"/>
    <w:rsid w:val="00477B4B"/>
    <w:rsid w:val="00477C1C"/>
    <w:rsid w:val="0048090F"/>
    <w:rsid w:val="00480C50"/>
    <w:rsid w:val="00486144"/>
    <w:rsid w:val="00486A2A"/>
    <w:rsid w:val="00486F07"/>
    <w:rsid w:val="004929C8"/>
    <w:rsid w:val="00492EDB"/>
    <w:rsid w:val="00496EBA"/>
    <w:rsid w:val="004A58D1"/>
    <w:rsid w:val="004A7356"/>
    <w:rsid w:val="004A737C"/>
    <w:rsid w:val="004A7AEE"/>
    <w:rsid w:val="004A7C3A"/>
    <w:rsid w:val="004A7E85"/>
    <w:rsid w:val="004B0633"/>
    <w:rsid w:val="004B14C0"/>
    <w:rsid w:val="004B41EE"/>
    <w:rsid w:val="004B7790"/>
    <w:rsid w:val="004C05A5"/>
    <w:rsid w:val="004C0FE5"/>
    <w:rsid w:val="004C4138"/>
    <w:rsid w:val="004C4D7B"/>
    <w:rsid w:val="004C56A4"/>
    <w:rsid w:val="004C6E55"/>
    <w:rsid w:val="004C7B95"/>
    <w:rsid w:val="004D1F3E"/>
    <w:rsid w:val="004D5272"/>
    <w:rsid w:val="004D6D5B"/>
    <w:rsid w:val="004E0268"/>
    <w:rsid w:val="004E0985"/>
    <w:rsid w:val="004E1536"/>
    <w:rsid w:val="004E16EC"/>
    <w:rsid w:val="004E21A8"/>
    <w:rsid w:val="004E2B3E"/>
    <w:rsid w:val="004E3528"/>
    <w:rsid w:val="004E3A5B"/>
    <w:rsid w:val="004E3CEC"/>
    <w:rsid w:val="004E46A8"/>
    <w:rsid w:val="004E4A42"/>
    <w:rsid w:val="004F0B26"/>
    <w:rsid w:val="004F3783"/>
    <w:rsid w:val="004F4E76"/>
    <w:rsid w:val="004F70F9"/>
    <w:rsid w:val="004F7A13"/>
    <w:rsid w:val="005021B6"/>
    <w:rsid w:val="005024F6"/>
    <w:rsid w:val="00504096"/>
    <w:rsid w:val="00504A01"/>
    <w:rsid w:val="00505516"/>
    <w:rsid w:val="00505DD7"/>
    <w:rsid w:val="00507398"/>
    <w:rsid w:val="005073C6"/>
    <w:rsid w:val="00507B8C"/>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2774"/>
    <w:rsid w:val="005434EE"/>
    <w:rsid w:val="0054508A"/>
    <w:rsid w:val="00546C60"/>
    <w:rsid w:val="00550745"/>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239E"/>
    <w:rsid w:val="005724ED"/>
    <w:rsid w:val="00575896"/>
    <w:rsid w:val="00575EED"/>
    <w:rsid w:val="0057764D"/>
    <w:rsid w:val="00577829"/>
    <w:rsid w:val="005805C8"/>
    <w:rsid w:val="0058068C"/>
    <w:rsid w:val="00581104"/>
    <w:rsid w:val="00584D4C"/>
    <w:rsid w:val="005876F8"/>
    <w:rsid w:val="00590A97"/>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0A3"/>
    <w:rsid w:val="005B5D2D"/>
    <w:rsid w:val="005B70E6"/>
    <w:rsid w:val="005B7EAD"/>
    <w:rsid w:val="005C0D2A"/>
    <w:rsid w:val="005C119A"/>
    <w:rsid w:val="005C2810"/>
    <w:rsid w:val="005C6C52"/>
    <w:rsid w:val="005C6CC7"/>
    <w:rsid w:val="005C6FD3"/>
    <w:rsid w:val="005D060D"/>
    <w:rsid w:val="005D2896"/>
    <w:rsid w:val="005D460E"/>
    <w:rsid w:val="005D4846"/>
    <w:rsid w:val="005D6008"/>
    <w:rsid w:val="005D652A"/>
    <w:rsid w:val="005D6D67"/>
    <w:rsid w:val="005E26CF"/>
    <w:rsid w:val="005E32A3"/>
    <w:rsid w:val="005E531B"/>
    <w:rsid w:val="005E7516"/>
    <w:rsid w:val="005E75FA"/>
    <w:rsid w:val="005F54A5"/>
    <w:rsid w:val="005F5722"/>
    <w:rsid w:val="005F7FD3"/>
    <w:rsid w:val="00600B60"/>
    <w:rsid w:val="006028AC"/>
    <w:rsid w:val="006043AA"/>
    <w:rsid w:val="00610CDE"/>
    <w:rsid w:val="006139AA"/>
    <w:rsid w:val="006140BB"/>
    <w:rsid w:val="00616E48"/>
    <w:rsid w:val="00622A2D"/>
    <w:rsid w:val="00623026"/>
    <w:rsid w:val="00623940"/>
    <w:rsid w:val="00630FCB"/>
    <w:rsid w:val="00632738"/>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0BE8"/>
    <w:rsid w:val="00664675"/>
    <w:rsid w:val="00664CC5"/>
    <w:rsid w:val="00666847"/>
    <w:rsid w:val="006705FA"/>
    <w:rsid w:val="00671031"/>
    <w:rsid w:val="00673A39"/>
    <w:rsid w:val="006763EC"/>
    <w:rsid w:val="0067717C"/>
    <w:rsid w:val="006808D7"/>
    <w:rsid w:val="0068174F"/>
    <w:rsid w:val="00681787"/>
    <w:rsid w:val="006819C8"/>
    <w:rsid w:val="00690AFD"/>
    <w:rsid w:val="0069185E"/>
    <w:rsid w:val="00696261"/>
    <w:rsid w:val="0069782A"/>
    <w:rsid w:val="006A2764"/>
    <w:rsid w:val="006A4EAA"/>
    <w:rsid w:val="006A5BE8"/>
    <w:rsid w:val="006A6090"/>
    <w:rsid w:val="006A645E"/>
    <w:rsid w:val="006B02D0"/>
    <w:rsid w:val="006B15C0"/>
    <w:rsid w:val="006B1950"/>
    <w:rsid w:val="006B1EE7"/>
    <w:rsid w:val="006B4FD1"/>
    <w:rsid w:val="006B5013"/>
    <w:rsid w:val="006B6362"/>
    <w:rsid w:val="006B7240"/>
    <w:rsid w:val="006B7B1B"/>
    <w:rsid w:val="006C1861"/>
    <w:rsid w:val="006C29F2"/>
    <w:rsid w:val="006D03D8"/>
    <w:rsid w:val="006D1BB9"/>
    <w:rsid w:val="006D698D"/>
    <w:rsid w:val="006D78FF"/>
    <w:rsid w:val="006D7E2A"/>
    <w:rsid w:val="006E07C3"/>
    <w:rsid w:val="006E28A4"/>
    <w:rsid w:val="006E3C3D"/>
    <w:rsid w:val="006E4A32"/>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078F0"/>
    <w:rsid w:val="007112FB"/>
    <w:rsid w:val="007149F9"/>
    <w:rsid w:val="007200A7"/>
    <w:rsid w:val="00721659"/>
    <w:rsid w:val="0072400C"/>
    <w:rsid w:val="0072636A"/>
    <w:rsid w:val="007274A7"/>
    <w:rsid w:val="00730B8E"/>
    <w:rsid w:val="00732A09"/>
    <w:rsid w:val="00736415"/>
    <w:rsid w:val="007402B1"/>
    <w:rsid w:val="00740EA8"/>
    <w:rsid w:val="00742995"/>
    <w:rsid w:val="0074514B"/>
    <w:rsid w:val="007456DC"/>
    <w:rsid w:val="007460DB"/>
    <w:rsid w:val="00746BC1"/>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6772E"/>
    <w:rsid w:val="00771B7B"/>
    <w:rsid w:val="00772D4D"/>
    <w:rsid w:val="007738AC"/>
    <w:rsid w:val="00773CCB"/>
    <w:rsid w:val="00774ED8"/>
    <w:rsid w:val="00780E20"/>
    <w:rsid w:val="007818AB"/>
    <w:rsid w:val="00782FDA"/>
    <w:rsid w:val="00785399"/>
    <w:rsid w:val="00793CC7"/>
    <w:rsid w:val="0079472F"/>
    <w:rsid w:val="007949E3"/>
    <w:rsid w:val="00794E1C"/>
    <w:rsid w:val="00795DA3"/>
    <w:rsid w:val="00796D74"/>
    <w:rsid w:val="00797F04"/>
    <w:rsid w:val="007A57F4"/>
    <w:rsid w:val="007B31B6"/>
    <w:rsid w:val="007B3529"/>
    <w:rsid w:val="007C07C5"/>
    <w:rsid w:val="007C2D6B"/>
    <w:rsid w:val="007D03DC"/>
    <w:rsid w:val="007D0DD1"/>
    <w:rsid w:val="007D135C"/>
    <w:rsid w:val="007D1D16"/>
    <w:rsid w:val="007D2AA2"/>
    <w:rsid w:val="007D31F4"/>
    <w:rsid w:val="007D4275"/>
    <w:rsid w:val="007E0816"/>
    <w:rsid w:val="007E134F"/>
    <w:rsid w:val="007E170F"/>
    <w:rsid w:val="007E2573"/>
    <w:rsid w:val="007E3E7F"/>
    <w:rsid w:val="007E6BCE"/>
    <w:rsid w:val="007E6DF2"/>
    <w:rsid w:val="007F00D3"/>
    <w:rsid w:val="007F0D28"/>
    <w:rsid w:val="007F0D84"/>
    <w:rsid w:val="007F15F7"/>
    <w:rsid w:val="007F16A2"/>
    <w:rsid w:val="007F2174"/>
    <w:rsid w:val="007F2A89"/>
    <w:rsid w:val="007F556F"/>
    <w:rsid w:val="007F76AD"/>
    <w:rsid w:val="00800AE3"/>
    <w:rsid w:val="00802367"/>
    <w:rsid w:val="0080274C"/>
    <w:rsid w:val="00802AF7"/>
    <w:rsid w:val="008031D6"/>
    <w:rsid w:val="008038C5"/>
    <w:rsid w:val="00805F7C"/>
    <w:rsid w:val="00806324"/>
    <w:rsid w:val="00810910"/>
    <w:rsid w:val="0081158D"/>
    <w:rsid w:val="00811B34"/>
    <w:rsid w:val="00811CDA"/>
    <w:rsid w:val="00814D3F"/>
    <w:rsid w:val="00820356"/>
    <w:rsid w:val="008212B0"/>
    <w:rsid w:val="00821A37"/>
    <w:rsid w:val="00821C94"/>
    <w:rsid w:val="00822E71"/>
    <w:rsid w:val="00824BEE"/>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1487"/>
    <w:rsid w:val="0085249A"/>
    <w:rsid w:val="008524D0"/>
    <w:rsid w:val="00852878"/>
    <w:rsid w:val="008535EF"/>
    <w:rsid w:val="008549CE"/>
    <w:rsid w:val="00860B63"/>
    <w:rsid w:val="008634DC"/>
    <w:rsid w:val="00863940"/>
    <w:rsid w:val="00864DC6"/>
    <w:rsid w:val="008655DD"/>
    <w:rsid w:val="00867B02"/>
    <w:rsid w:val="00870187"/>
    <w:rsid w:val="008731E1"/>
    <w:rsid w:val="008736DF"/>
    <w:rsid w:val="008741DB"/>
    <w:rsid w:val="00874B7D"/>
    <w:rsid w:val="00875E52"/>
    <w:rsid w:val="00875F60"/>
    <w:rsid w:val="008813F4"/>
    <w:rsid w:val="00881E5F"/>
    <w:rsid w:val="008829A4"/>
    <w:rsid w:val="008836DC"/>
    <w:rsid w:val="00883FCB"/>
    <w:rsid w:val="008874F5"/>
    <w:rsid w:val="00887B21"/>
    <w:rsid w:val="00891B74"/>
    <w:rsid w:val="00892DE9"/>
    <w:rsid w:val="00893E28"/>
    <w:rsid w:val="00894DA5"/>
    <w:rsid w:val="0089503E"/>
    <w:rsid w:val="00895093"/>
    <w:rsid w:val="00896BB6"/>
    <w:rsid w:val="008A0BF5"/>
    <w:rsid w:val="008A2046"/>
    <w:rsid w:val="008A2455"/>
    <w:rsid w:val="008A2A2F"/>
    <w:rsid w:val="008A6D95"/>
    <w:rsid w:val="008A6EC0"/>
    <w:rsid w:val="008B1171"/>
    <w:rsid w:val="008B48E2"/>
    <w:rsid w:val="008B5152"/>
    <w:rsid w:val="008B5EA0"/>
    <w:rsid w:val="008B6EE1"/>
    <w:rsid w:val="008B7E27"/>
    <w:rsid w:val="008C0CA5"/>
    <w:rsid w:val="008C0CB4"/>
    <w:rsid w:val="008C12A2"/>
    <w:rsid w:val="008C1CF5"/>
    <w:rsid w:val="008C3CE8"/>
    <w:rsid w:val="008C46AA"/>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663E"/>
    <w:rsid w:val="008F6AB1"/>
    <w:rsid w:val="008F7791"/>
    <w:rsid w:val="00900EA0"/>
    <w:rsid w:val="009031A2"/>
    <w:rsid w:val="0090367E"/>
    <w:rsid w:val="00903E49"/>
    <w:rsid w:val="00903EBB"/>
    <w:rsid w:val="0090578F"/>
    <w:rsid w:val="00906027"/>
    <w:rsid w:val="009110F8"/>
    <w:rsid w:val="00913E0C"/>
    <w:rsid w:val="00915485"/>
    <w:rsid w:val="00915EB8"/>
    <w:rsid w:val="009177C9"/>
    <w:rsid w:val="00917932"/>
    <w:rsid w:val="00921C9B"/>
    <w:rsid w:val="00921E9F"/>
    <w:rsid w:val="0092229A"/>
    <w:rsid w:val="00923DCD"/>
    <w:rsid w:val="009249E5"/>
    <w:rsid w:val="00925D18"/>
    <w:rsid w:val="00927AA9"/>
    <w:rsid w:val="00927B5B"/>
    <w:rsid w:val="00930D55"/>
    <w:rsid w:val="00932F5A"/>
    <w:rsid w:val="00933610"/>
    <w:rsid w:val="00933B07"/>
    <w:rsid w:val="00934561"/>
    <w:rsid w:val="00944F28"/>
    <w:rsid w:val="009523E9"/>
    <w:rsid w:val="00953BD4"/>
    <w:rsid w:val="00953DE1"/>
    <w:rsid w:val="00954C4D"/>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597A"/>
    <w:rsid w:val="009867C1"/>
    <w:rsid w:val="00987EAE"/>
    <w:rsid w:val="00992591"/>
    <w:rsid w:val="0099424C"/>
    <w:rsid w:val="0099587F"/>
    <w:rsid w:val="009967CB"/>
    <w:rsid w:val="009A0DEA"/>
    <w:rsid w:val="009A1F1D"/>
    <w:rsid w:val="009A24AD"/>
    <w:rsid w:val="009A495E"/>
    <w:rsid w:val="009A51F0"/>
    <w:rsid w:val="009A791D"/>
    <w:rsid w:val="009B0BC4"/>
    <w:rsid w:val="009B0BC8"/>
    <w:rsid w:val="009B10FF"/>
    <w:rsid w:val="009B3504"/>
    <w:rsid w:val="009B4402"/>
    <w:rsid w:val="009B5536"/>
    <w:rsid w:val="009C1289"/>
    <w:rsid w:val="009C4B4E"/>
    <w:rsid w:val="009C7881"/>
    <w:rsid w:val="009D3AE0"/>
    <w:rsid w:val="009D6AF9"/>
    <w:rsid w:val="009E1DC8"/>
    <w:rsid w:val="009E5563"/>
    <w:rsid w:val="009F02EC"/>
    <w:rsid w:val="009F05CF"/>
    <w:rsid w:val="009F09F1"/>
    <w:rsid w:val="009F40D9"/>
    <w:rsid w:val="009F475D"/>
    <w:rsid w:val="009F58A3"/>
    <w:rsid w:val="009F7736"/>
    <w:rsid w:val="00A0181D"/>
    <w:rsid w:val="00A02258"/>
    <w:rsid w:val="00A02AB3"/>
    <w:rsid w:val="00A04281"/>
    <w:rsid w:val="00A0447D"/>
    <w:rsid w:val="00A0670F"/>
    <w:rsid w:val="00A07E52"/>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4ED8"/>
    <w:rsid w:val="00A355C7"/>
    <w:rsid w:val="00A36716"/>
    <w:rsid w:val="00A36A65"/>
    <w:rsid w:val="00A372EE"/>
    <w:rsid w:val="00A4405B"/>
    <w:rsid w:val="00A45CD8"/>
    <w:rsid w:val="00A54ACB"/>
    <w:rsid w:val="00A55ABB"/>
    <w:rsid w:val="00A56055"/>
    <w:rsid w:val="00A56B6D"/>
    <w:rsid w:val="00A57F27"/>
    <w:rsid w:val="00A60027"/>
    <w:rsid w:val="00A61E8F"/>
    <w:rsid w:val="00A6266F"/>
    <w:rsid w:val="00A63F16"/>
    <w:rsid w:val="00A65DD2"/>
    <w:rsid w:val="00A70063"/>
    <w:rsid w:val="00A7009D"/>
    <w:rsid w:val="00A71A8D"/>
    <w:rsid w:val="00A71EF4"/>
    <w:rsid w:val="00A72D7A"/>
    <w:rsid w:val="00A74327"/>
    <w:rsid w:val="00A7436E"/>
    <w:rsid w:val="00A76812"/>
    <w:rsid w:val="00A76B23"/>
    <w:rsid w:val="00A81584"/>
    <w:rsid w:val="00A86D47"/>
    <w:rsid w:val="00A91E1F"/>
    <w:rsid w:val="00A9340A"/>
    <w:rsid w:val="00A944F3"/>
    <w:rsid w:val="00A96E05"/>
    <w:rsid w:val="00A97E15"/>
    <w:rsid w:val="00AA179C"/>
    <w:rsid w:val="00AA18AE"/>
    <w:rsid w:val="00AA2776"/>
    <w:rsid w:val="00AA4125"/>
    <w:rsid w:val="00AB16BF"/>
    <w:rsid w:val="00AB24C8"/>
    <w:rsid w:val="00AB4252"/>
    <w:rsid w:val="00AB508B"/>
    <w:rsid w:val="00AC16E1"/>
    <w:rsid w:val="00AC5086"/>
    <w:rsid w:val="00AD173D"/>
    <w:rsid w:val="00AD2465"/>
    <w:rsid w:val="00AD442D"/>
    <w:rsid w:val="00AD6554"/>
    <w:rsid w:val="00AE14F3"/>
    <w:rsid w:val="00AE20D3"/>
    <w:rsid w:val="00AE22F2"/>
    <w:rsid w:val="00AE2392"/>
    <w:rsid w:val="00AE24DF"/>
    <w:rsid w:val="00AE79CA"/>
    <w:rsid w:val="00AF310D"/>
    <w:rsid w:val="00AF328F"/>
    <w:rsid w:val="00AF4582"/>
    <w:rsid w:val="00AF6F3E"/>
    <w:rsid w:val="00B03922"/>
    <w:rsid w:val="00B04ACF"/>
    <w:rsid w:val="00B053C6"/>
    <w:rsid w:val="00B07386"/>
    <w:rsid w:val="00B104E7"/>
    <w:rsid w:val="00B14DAA"/>
    <w:rsid w:val="00B16E80"/>
    <w:rsid w:val="00B17D6B"/>
    <w:rsid w:val="00B234E3"/>
    <w:rsid w:val="00B274CC"/>
    <w:rsid w:val="00B33A06"/>
    <w:rsid w:val="00B34AF2"/>
    <w:rsid w:val="00B35253"/>
    <w:rsid w:val="00B419F8"/>
    <w:rsid w:val="00B43B74"/>
    <w:rsid w:val="00B44DE2"/>
    <w:rsid w:val="00B50DEE"/>
    <w:rsid w:val="00B52FBD"/>
    <w:rsid w:val="00B54D58"/>
    <w:rsid w:val="00B55D48"/>
    <w:rsid w:val="00B57DB2"/>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75A7B"/>
    <w:rsid w:val="00B77EB1"/>
    <w:rsid w:val="00B811EC"/>
    <w:rsid w:val="00B82F3D"/>
    <w:rsid w:val="00B85972"/>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3FB2"/>
    <w:rsid w:val="00BB5370"/>
    <w:rsid w:val="00BB65C4"/>
    <w:rsid w:val="00BB7B9D"/>
    <w:rsid w:val="00BC4431"/>
    <w:rsid w:val="00BC4B7F"/>
    <w:rsid w:val="00BC5473"/>
    <w:rsid w:val="00BC6E2E"/>
    <w:rsid w:val="00BC7DE7"/>
    <w:rsid w:val="00BD097C"/>
    <w:rsid w:val="00BD2639"/>
    <w:rsid w:val="00BD4CC9"/>
    <w:rsid w:val="00BD4EB5"/>
    <w:rsid w:val="00BD5B6F"/>
    <w:rsid w:val="00BD620F"/>
    <w:rsid w:val="00BE2594"/>
    <w:rsid w:val="00BE364C"/>
    <w:rsid w:val="00BE37BA"/>
    <w:rsid w:val="00BF1785"/>
    <w:rsid w:val="00BF2010"/>
    <w:rsid w:val="00BF2365"/>
    <w:rsid w:val="00BF2E5D"/>
    <w:rsid w:val="00BF4BCD"/>
    <w:rsid w:val="00BF688B"/>
    <w:rsid w:val="00C01120"/>
    <w:rsid w:val="00C01A8A"/>
    <w:rsid w:val="00C04273"/>
    <w:rsid w:val="00C044F5"/>
    <w:rsid w:val="00C04732"/>
    <w:rsid w:val="00C07936"/>
    <w:rsid w:val="00C07E13"/>
    <w:rsid w:val="00C1115F"/>
    <w:rsid w:val="00C1160A"/>
    <w:rsid w:val="00C11D42"/>
    <w:rsid w:val="00C12328"/>
    <w:rsid w:val="00C12A12"/>
    <w:rsid w:val="00C12B67"/>
    <w:rsid w:val="00C13825"/>
    <w:rsid w:val="00C152A6"/>
    <w:rsid w:val="00C15982"/>
    <w:rsid w:val="00C201CA"/>
    <w:rsid w:val="00C203E7"/>
    <w:rsid w:val="00C21EFF"/>
    <w:rsid w:val="00C23DF7"/>
    <w:rsid w:val="00C253D7"/>
    <w:rsid w:val="00C25B4D"/>
    <w:rsid w:val="00C274F6"/>
    <w:rsid w:val="00C27BFD"/>
    <w:rsid w:val="00C3053E"/>
    <w:rsid w:val="00C4067A"/>
    <w:rsid w:val="00C41BC5"/>
    <w:rsid w:val="00C46454"/>
    <w:rsid w:val="00C47D9F"/>
    <w:rsid w:val="00C5183B"/>
    <w:rsid w:val="00C522C9"/>
    <w:rsid w:val="00C57333"/>
    <w:rsid w:val="00C57A19"/>
    <w:rsid w:val="00C62955"/>
    <w:rsid w:val="00C64256"/>
    <w:rsid w:val="00C64A18"/>
    <w:rsid w:val="00C66947"/>
    <w:rsid w:val="00C70A83"/>
    <w:rsid w:val="00C7207A"/>
    <w:rsid w:val="00C726AA"/>
    <w:rsid w:val="00C72F05"/>
    <w:rsid w:val="00C73BEF"/>
    <w:rsid w:val="00C74BBA"/>
    <w:rsid w:val="00C7512A"/>
    <w:rsid w:val="00C761B3"/>
    <w:rsid w:val="00C835B2"/>
    <w:rsid w:val="00C85AC8"/>
    <w:rsid w:val="00C87EFC"/>
    <w:rsid w:val="00C90593"/>
    <w:rsid w:val="00C90C12"/>
    <w:rsid w:val="00C92ED9"/>
    <w:rsid w:val="00C937E3"/>
    <w:rsid w:val="00C97992"/>
    <w:rsid w:val="00C97B34"/>
    <w:rsid w:val="00CA1941"/>
    <w:rsid w:val="00CB10E5"/>
    <w:rsid w:val="00CB225C"/>
    <w:rsid w:val="00CB40EE"/>
    <w:rsid w:val="00CB5CC4"/>
    <w:rsid w:val="00CC0E6A"/>
    <w:rsid w:val="00CC3E39"/>
    <w:rsid w:val="00CC4171"/>
    <w:rsid w:val="00CC4385"/>
    <w:rsid w:val="00CC49A2"/>
    <w:rsid w:val="00CC57DC"/>
    <w:rsid w:val="00CC6AD3"/>
    <w:rsid w:val="00CC734B"/>
    <w:rsid w:val="00CD1811"/>
    <w:rsid w:val="00CD4639"/>
    <w:rsid w:val="00CD5F76"/>
    <w:rsid w:val="00CD6411"/>
    <w:rsid w:val="00CE27BF"/>
    <w:rsid w:val="00CE5779"/>
    <w:rsid w:val="00CE653A"/>
    <w:rsid w:val="00CF35FC"/>
    <w:rsid w:val="00CF53C8"/>
    <w:rsid w:val="00CF5F66"/>
    <w:rsid w:val="00CF63CB"/>
    <w:rsid w:val="00CF7A15"/>
    <w:rsid w:val="00D00275"/>
    <w:rsid w:val="00D00B99"/>
    <w:rsid w:val="00D033AB"/>
    <w:rsid w:val="00D0410B"/>
    <w:rsid w:val="00D0422F"/>
    <w:rsid w:val="00D05BB8"/>
    <w:rsid w:val="00D06776"/>
    <w:rsid w:val="00D06A85"/>
    <w:rsid w:val="00D13369"/>
    <w:rsid w:val="00D13F17"/>
    <w:rsid w:val="00D14053"/>
    <w:rsid w:val="00D14D46"/>
    <w:rsid w:val="00D155F5"/>
    <w:rsid w:val="00D15664"/>
    <w:rsid w:val="00D160F1"/>
    <w:rsid w:val="00D16179"/>
    <w:rsid w:val="00D16D76"/>
    <w:rsid w:val="00D17D8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1474"/>
    <w:rsid w:val="00D538D3"/>
    <w:rsid w:val="00D56136"/>
    <w:rsid w:val="00D56D1A"/>
    <w:rsid w:val="00D606E2"/>
    <w:rsid w:val="00D62387"/>
    <w:rsid w:val="00D62A5F"/>
    <w:rsid w:val="00D64CA3"/>
    <w:rsid w:val="00D67A5D"/>
    <w:rsid w:val="00D67C7B"/>
    <w:rsid w:val="00D71342"/>
    <w:rsid w:val="00D7472A"/>
    <w:rsid w:val="00D74A5E"/>
    <w:rsid w:val="00D81307"/>
    <w:rsid w:val="00D83969"/>
    <w:rsid w:val="00D84D1C"/>
    <w:rsid w:val="00D86311"/>
    <w:rsid w:val="00D90188"/>
    <w:rsid w:val="00D92D5B"/>
    <w:rsid w:val="00D93206"/>
    <w:rsid w:val="00D95007"/>
    <w:rsid w:val="00D97EA9"/>
    <w:rsid w:val="00DA0BA0"/>
    <w:rsid w:val="00DA21B4"/>
    <w:rsid w:val="00DA6571"/>
    <w:rsid w:val="00DA7745"/>
    <w:rsid w:val="00DB4472"/>
    <w:rsid w:val="00DB4A7C"/>
    <w:rsid w:val="00DB564E"/>
    <w:rsid w:val="00DB69D2"/>
    <w:rsid w:val="00DC21B2"/>
    <w:rsid w:val="00DC543D"/>
    <w:rsid w:val="00DC7A11"/>
    <w:rsid w:val="00DC7ED7"/>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E6866"/>
    <w:rsid w:val="00DF2441"/>
    <w:rsid w:val="00DF29AB"/>
    <w:rsid w:val="00DF2ED9"/>
    <w:rsid w:val="00DF4971"/>
    <w:rsid w:val="00DF76D7"/>
    <w:rsid w:val="00DF776E"/>
    <w:rsid w:val="00E01B2D"/>
    <w:rsid w:val="00E03C2F"/>
    <w:rsid w:val="00E06D7D"/>
    <w:rsid w:val="00E07AE2"/>
    <w:rsid w:val="00E1002C"/>
    <w:rsid w:val="00E112B9"/>
    <w:rsid w:val="00E12B0C"/>
    <w:rsid w:val="00E12CA4"/>
    <w:rsid w:val="00E165E5"/>
    <w:rsid w:val="00E17510"/>
    <w:rsid w:val="00E17B8F"/>
    <w:rsid w:val="00E2126D"/>
    <w:rsid w:val="00E21B91"/>
    <w:rsid w:val="00E2261E"/>
    <w:rsid w:val="00E226E9"/>
    <w:rsid w:val="00E24E8C"/>
    <w:rsid w:val="00E30A3C"/>
    <w:rsid w:val="00E30C86"/>
    <w:rsid w:val="00E32722"/>
    <w:rsid w:val="00E33B33"/>
    <w:rsid w:val="00E34658"/>
    <w:rsid w:val="00E3526B"/>
    <w:rsid w:val="00E37047"/>
    <w:rsid w:val="00E41633"/>
    <w:rsid w:val="00E4347A"/>
    <w:rsid w:val="00E435F2"/>
    <w:rsid w:val="00E44AB4"/>
    <w:rsid w:val="00E44B09"/>
    <w:rsid w:val="00E45BEF"/>
    <w:rsid w:val="00E46012"/>
    <w:rsid w:val="00E53230"/>
    <w:rsid w:val="00E5375C"/>
    <w:rsid w:val="00E53AE5"/>
    <w:rsid w:val="00E54FA7"/>
    <w:rsid w:val="00E55EF4"/>
    <w:rsid w:val="00E568E7"/>
    <w:rsid w:val="00E57F1B"/>
    <w:rsid w:val="00E602DF"/>
    <w:rsid w:val="00E62608"/>
    <w:rsid w:val="00E63E28"/>
    <w:rsid w:val="00E6466A"/>
    <w:rsid w:val="00E65473"/>
    <w:rsid w:val="00E655A4"/>
    <w:rsid w:val="00E6566F"/>
    <w:rsid w:val="00E66299"/>
    <w:rsid w:val="00E70827"/>
    <w:rsid w:val="00E70DF7"/>
    <w:rsid w:val="00E71C7E"/>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44EE"/>
    <w:rsid w:val="00EB6E7A"/>
    <w:rsid w:val="00EC1BD8"/>
    <w:rsid w:val="00EC2AB1"/>
    <w:rsid w:val="00EC423F"/>
    <w:rsid w:val="00EC63E2"/>
    <w:rsid w:val="00EC69E1"/>
    <w:rsid w:val="00EC6D2D"/>
    <w:rsid w:val="00EC713A"/>
    <w:rsid w:val="00ED2941"/>
    <w:rsid w:val="00ED65ED"/>
    <w:rsid w:val="00EE25F5"/>
    <w:rsid w:val="00EE278E"/>
    <w:rsid w:val="00EE3AEB"/>
    <w:rsid w:val="00EE4363"/>
    <w:rsid w:val="00EE5CC0"/>
    <w:rsid w:val="00EF0FE0"/>
    <w:rsid w:val="00EF1FF3"/>
    <w:rsid w:val="00EF2BED"/>
    <w:rsid w:val="00EF5987"/>
    <w:rsid w:val="00EF64A8"/>
    <w:rsid w:val="00F01448"/>
    <w:rsid w:val="00F01EBA"/>
    <w:rsid w:val="00F024B3"/>
    <w:rsid w:val="00F046C3"/>
    <w:rsid w:val="00F04B25"/>
    <w:rsid w:val="00F04D10"/>
    <w:rsid w:val="00F051B3"/>
    <w:rsid w:val="00F06136"/>
    <w:rsid w:val="00F215A9"/>
    <w:rsid w:val="00F21A6E"/>
    <w:rsid w:val="00F226CE"/>
    <w:rsid w:val="00F23BB1"/>
    <w:rsid w:val="00F24CCC"/>
    <w:rsid w:val="00F27DB8"/>
    <w:rsid w:val="00F3080D"/>
    <w:rsid w:val="00F31ACB"/>
    <w:rsid w:val="00F327DB"/>
    <w:rsid w:val="00F32D1A"/>
    <w:rsid w:val="00F32EE8"/>
    <w:rsid w:val="00F33BFD"/>
    <w:rsid w:val="00F36F50"/>
    <w:rsid w:val="00F410EA"/>
    <w:rsid w:val="00F413C3"/>
    <w:rsid w:val="00F44F7C"/>
    <w:rsid w:val="00F4567B"/>
    <w:rsid w:val="00F47577"/>
    <w:rsid w:val="00F513F7"/>
    <w:rsid w:val="00F5294A"/>
    <w:rsid w:val="00F533AD"/>
    <w:rsid w:val="00F534B9"/>
    <w:rsid w:val="00F5728B"/>
    <w:rsid w:val="00F61B63"/>
    <w:rsid w:val="00F61E0A"/>
    <w:rsid w:val="00F671B2"/>
    <w:rsid w:val="00F672FE"/>
    <w:rsid w:val="00F673C4"/>
    <w:rsid w:val="00F701B2"/>
    <w:rsid w:val="00F7022D"/>
    <w:rsid w:val="00F70FF1"/>
    <w:rsid w:val="00F70FFA"/>
    <w:rsid w:val="00F73B1E"/>
    <w:rsid w:val="00F74BB3"/>
    <w:rsid w:val="00F76EFE"/>
    <w:rsid w:val="00F77554"/>
    <w:rsid w:val="00F8102D"/>
    <w:rsid w:val="00F81B41"/>
    <w:rsid w:val="00F82F52"/>
    <w:rsid w:val="00F83F52"/>
    <w:rsid w:val="00F84C0F"/>
    <w:rsid w:val="00F86641"/>
    <w:rsid w:val="00F87901"/>
    <w:rsid w:val="00F91945"/>
    <w:rsid w:val="00F91FCF"/>
    <w:rsid w:val="00F955CF"/>
    <w:rsid w:val="00F9673A"/>
    <w:rsid w:val="00FA0840"/>
    <w:rsid w:val="00FA08A4"/>
    <w:rsid w:val="00FA0AD4"/>
    <w:rsid w:val="00FA27F5"/>
    <w:rsid w:val="00FA65B3"/>
    <w:rsid w:val="00FA681F"/>
    <w:rsid w:val="00FA773F"/>
    <w:rsid w:val="00FA7B89"/>
    <w:rsid w:val="00FB19F4"/>
    <w:rsid w:val="00FB1F36"/>
    <w:rsid w:val="00FB4732"/>
    <w:rsid w:val="00FB5355"/>
    <w:rsid w:val="00FB5CC0"/>
    <w:rsid w:val="00FB6FED"/>
    <w:rsid w:val="00FB72FC"/>
    <w:rsid w:val="00FB7F26"/>
    <w:rsid w:val="00FC3325"/>
    <w:rsid w:val="00FC4239"/>
    <w:rsid w:val="00FC45F0"/>
    <w:rsid w:val="00FC5610"/>
    <w:rsid w:val="00FD1A59"/>
    <w:rsid w:val="00FD1EF9"/>
    <w:rsid w:val="00FD7DA4"/>
    <w:rsid w:val="00FD7E01"/>
    <w:rsid w:val="00FE16FC"/>
    <w:rsid w:val="00FE21A5"/>
    <w:rsid w:val="00FE33DE"/>
    <w:rsid w:val="00FE57C9"/>
    <w:rsid w:val="00FE7485"/>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es-ES"/>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49A"/>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85249A"/>
    <w:pPr>
      <w:numPr>
        <w:numId w:val="1"/>
      </w:numPr>
      <w:ind w:left="567" w:hanging="567"/>
      <w:outlineLvl w:val="0"/>
    </w:pPr>
    <w:rPr>
      <w:kern w:val="28"/>
    </w:rPr>
  </w:style>
  <w:style w:type="paragraph" w:styleId="Heading2">
    <w:name w:val="heading 2"/>
    <w:aliases w:val="Char, Char"/>
    <w:basedOn w:val="Normal"/>
    <w:next w:val="Normal"/>
    <w:link w:val="Heading2Char"/>
    <w:qFormat/>
    <w:rsid w:val="0085249A"/>
    <w:pPr>
      <w:numPr>
        <w:ilvl w:val="1"/>
        <w:numId w:val="1"/>
      </w:numPr>
      <w:ind w:left="567" w:hanging="567"/>
      <w:outlineLvl w:val="1"/>
    </w:pPr>
  </w:style>
  <w:style w:type="paragraph" w:styleId="Heading3">
    <w:name w:val="heading 3"/>
    <w:basedOn w:val="Normal"/>
    <w:next w:val="Normal"/>
    <w:link w:val="Heading3Char"/>
    <w:qFormat/>
    <w:rsid w:val="0085249A"/>
    <w:pPr>
      <w:numPr>
        <w:ilvl w:val="2"/>
        <w:numId w:val="1"/>
      </w:numPr>
      <w:ind w:left="567" w:hanging="567"/>
      <w:outlineLvl w:val="2"/>
    </w:pPr>
  </w:style>
  <w:style w:type="paragraph" w:styleId="Heading4">
    <w:name w:val="heading 4"/>
    <w:basedOn w:val="Normal"/>
    <w:next w:val="Normal"/>
    <w:link w:val="Heading4Char"/>
    <w:qFormat/>
    <w:rsid w:val="0085249A"/>
    <w:pPr>
      <w:numPr>
        <w:ilvl w:val="3"/>
        <w:numId w:val="1"/>
      </w:numPr>
      <w:ind w:left="567" w:hanging="567"/>
      <w:outlineLvl w:val="3"/>
    </w:pPr>
  </w:style>
  <w:style w:type="paragraph" w:styleId="Heading5">
    <w:name w:val="heading 5"/>
    <w:basedOn w:val="Normal"/>
    <w:next w:val="Normal"/>
    <w:link w:val="Heading5Char"/>
    <w:qFormat/>
    <w:rsid w:val="0085249A"/>
    <w:pPr>
      <w:numPr>
        <w:ilvl w:val="4"/>
        <w:numId w:val="1"/>
      </w:numPr>
      <w:ind w:left="567" w:hanging="567"/>
      <w:outlineLvl w:val="4"/>
    </w:pPr>
  </w:style>
  <w:style w:type="paragraph" w:styleId="Heading6">
    <w:name w:val="heading 6"/>
    <w:basedOn w:val="Normal"/>
    <w:next w:val="Normal"/>
    <w:link w:val="Heading6Char"/>
    <w:qFormat/>
    <w:rsid w:val="0085249A"/>
    <w:pPr>
      <w:numPr>
        <w:ilvl w:val="5"/>
        <w:numId w:val="1"/>
      </w:numPr>
      <w:ind w:left="567" w:hanging="567"/>
      <w:outlineLvl w:val="5"/>
    </w:pPr>
  </w:style>
  <w:style w:type="paragraph" w:styleId="Heading7">
    <w:name w:val="heading 7"/>
    <w:basedOn w:val="Normal"/>
    <w:next w:val="Normal"/>
    <w:link w:val="Heading7Char"/>
    <w:qFormat/>
    <w:rsid w:val="0085249A"/>
    <w:pPr>
      <w:numPr>
        <w:ilvl w:val="6"/>
        <w:numId w:val="1"/>
      </w:numPr>
      <w:ind w:left="567" w:hanging="567"/>
      <w:outlineLvl w:val="6"/>
    </w:pPr>
  </w:style>
  <w:style w:type="paragraph" w:styleId="Heading8">
    <w:name w:val="heading 8"/>
    <w:basedOn w:val="Normal"/>
    <w:next w:val="Normal"/>
    <w:link w:val="Heading8Char"/>
    <w:qFormat/>
    <w:rsid w:val="0085249A"/>
    <w:pPr>
      <w:numPr>
        <w:ilvl w:val="7"/>
        <w:numId w:val="1"/>
      </w:numPr>
      <w:ind w:left="567" w:hanging="567"/>
      <w:outlineLvl w:val="7"/>
    </w:pPr>
  </w:style>
  <w:style w:type="paragraph" w:styleId="Heading9">
    <w:name w:val="heading 9"/>
    <w:basedOn w:val="Normal"/>
    <w:next w:val="Normal"/>
    <w:link w:val="Heading9Char"/>
    <w:qFormat/>
    <w:rsid w:val="0085249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s-ES" w:eastAsia="es-ES" w:bidi="es-ES"/>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es-ES" w:eastAsia="es-ES" w:bidi="es-ES"/>
    </w:rPr>
  </w:style>
  <w:style w:type="character" w:customStyle="1" w:styleId="Heading3Char">
    <w:name w:val="Heading 3 Char"/>
    <w:basedOn w:val="DefaultParagraphFont"/>
    <w:link w:val="Heading3"/>
    <w:locked/>
    <w:rsid w:val="003B283B"/>
    <w:rPr>
      <w:rFonts w:ascii="Times New Roman" w:hAnsi="Times New Roman"/>
      <w:sz w:val="22"/>
      <w:szCs w:val="22"/>
      <w:lang w:val="es-ES" w:eastAsia="es-ES" w:bidi="es-ES"/>
    </w:rPr>
  </w:style>
  <w:style w:type="character" w:customStyle="1" w:styleId="Heading4Char">
    <w:name w:val="Heading 4 Char"/>
    <w:basedOn w:val="DefaultParagraphFont"/>
    <w:link w:val="Heading4"/>
    <w:locked/>
    <w:rsid w:val="003B283B"/>
    <w:rPr>
      <w:rFonts w:ascii="Times New Roman" w:hAnsi="Times New Roman"/>
      <w:sz w:val="22"/>
      <w:szCs w:val="22"/>
      <w:lang w:val="es-ES" w:eastAsia="es-ES" w:bidi="es-ES"/>
    </w:rPr>
  </w:style>
  <w:style w:type="character" w:customStyle="1" w:styleId="Heading5Char">
    <w:name w:val="Heading 5 Char"/>
    <w:basedOn w:val="DefaultParagraphFont"/>
    <w:link w:val="Heading5"/>
    <w:locked/>
    <w:rsid w:val="003B283B"/>
    <w:rPr>
      <w:rFonts w:ascii="Times New Roman" w:hAnsi="Times New Roman"/>
      <w:sz w:val="22"/>
      <w:szCs w:val="22"/>
      <w:lang w:val="es-ES" w:eastAsia="es-ES" w:bidi="es-ES"/>
    </w:rPr>
  </w:style>
  <w:style w:type="character" w:customStyle="1" w:styleId="Heading6Char">
    <w:name w:val="Heading 6 Char"/>
    <w:basedOn w:val="DefaultParagraphFont"/>
    <w:link w:val="Heading6"/>
    <w:locked/>
    <w:rsid w:val="003B283B"/>
    <w:rPr>
      <w:rFonts w:ascii="Times New Roman" w:hAnsi="Times New Roman"/>
      <w:sz w:val="22"/>
      <w:szCs w:val="22"/>
      <w:lang w:val="es-ES" w:eastAsia="es-ES" w:bidi="es-ES"/>
    </w:rPr>
  </w:style>
  <w:style w:type="character" w:customStyle="1" w:styleId="Heading7Char">
    <w:name w:val="Heading 7 Char"/>
    <w:basedOn w:val="DefaultParagraphFont"/>
    <w:link w:val="Heading7"/>
    <w:locked/>
    <w:rsid w:val="003B283B"/>
    <w:rPr>
      <w:rFonts w:ascii="Times New Roman" w:hAnsi="Times New Roman"/>
      <w:sz w:val="22"/>
      <w:szCs w:val="22"/>
      <w:lang w:val="es-ES" w:eastAsia="es-ES" w:bidi="es-ES"/>
    </w:rPr>
  </w:style>
  <w:style w:type="character" w:customStyle="1" w:styleId="Heading8Char">
    <w:name w:val="Heading 8 Char"/>
    <w:basedOn w:val="DefaultParagraphFont"/>
    <w:link w:val="Heading8"/>
    <w:locked/>
    <w:rsid w:val="003B283B"/>
    <w:rPr>
      <w:rFonts w:ascii="Times New Roman" w:hAnsi="Times New Roman"/>
      <w:sz w:val="22"/>
      <w:szCs w:val="22"/>
      <w:lang w:val="es-ES" w:eastAsia="es-ES" w:bidi="es-ES"/>
    </w:rPr>
  </w:style>
  <w:style w:type="character" w:customStyle="1" w:styleId="Heading9Char">
    <w:name w:val="Heading 9 Char"/>
    <w:basedOn w:val="DefaultParagraphFont"/>
    <w:link w:val="Heading9"/>
    <w:locked/>
    <w:rsid w:val="003B283B"/>
    <w:rPr>
      <w:rFonts w:ascii="Times New Roman" w:hAnsi="Times New Roman"/>
      <w:sz w:val="22"/>
      <w:szCs w:val="22"/>
      <w:lang w:val="es-ES" w:eastAsia="es-ES" w:bidi="es-ES"/>
    </w:rPr>
  </w:style>
  <w:style w:type="paragraph" w:styleId="Footer">
    <w:name w:val="footer"/>
    <w:aliases w:val="Footer-odd"/>
    <w:basedOn w:val="Normal"/>
    <w:link w:val="FooterChar"/>
    <w:qFormat/>
    <w:rsid w:val="0085249A"/>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es-ES" w:eastAsia="es-ES" w:bidi="es-ES"/>
    </w:rPr>
  </w:style>
  <w:style w:type="paragraph" w:styleId="FootnoteText">
    <w:name w:val="footnote text"/>
    <w:basedOn w:val="Normal"/>
    <w:link w:val="FootnoteTextChar"/>
    <w:qFormat/>
    <w:rsid w:val="0085249A"/>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s-ES" w:eastAsia="es-ES" w:bidi="es-ES"/>
    </w:rPr>
  </w:style>
  <w:style w:type="paragraph" w:styleId="Header">
    <w:name w:val="header"/>
    <w:basedOn w:val="Normal"/>
    <w:link w:val="HeaderChar"/>
    <w:qFormat/>
    <w:rsid w:val="0085249A"/>
  </w:style>
  <w:style w:type="character" w:customStyle="1" w:styleId="HeaderChar">
    <w:name w:val="Header Char"/>
    <w:basedOn w:val="DefaultParagraphFont"/>
    <w:link w:val="Header"/>
    <w:locked/>
    <w:rsid w:val="003B283B"/>
    <w:rPr>
      <w:rFonts w:ascii="Times New Roman" w:hAnsi="Times New Roman"/>
      <w:sz w:val="22"/>
      <w:szCs w:val="22"/>
      <w:lang w:val="es-ES" w:eastAsia="es-ES" w:bidi="es-ES"/>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85249A"/>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85249A"/>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8524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249A"/>
    <w:rPr>
      <w:rFonts w:ascii="Tahoma" w:hAnsi="Tahoma" w:cs="Tahoma"/>
      <w:sz w:val="16"/>
      <w:szCs w:val="16"/>
      <w:lang w:val="es-ES" w:eastAsia="es-ES" w:bidi="es-ES"/>
    </w:r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es-ES"/>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49A"/>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85249A"/>
    <w:pPr>
      <w:numPr>
        <w:numId w:val="1"/>
      </w:numPr>
      <w:ind w:left="567" w:hanging="567"/>
      <w:outlineLvl w:val="0"/>
    </w:pPr>
    <w:rPr>
      <w:kern w:val="28"/>
    </w:rPr>
  </w:style>
  <w:style w:type="paragraph" w:styleId="Heading2">
    <w:name w:val="heading 2"/>
    <w:aliases w:val="Char, Char"/>
    <w:basedOn w:val="Normal"/>
    <w:next w:val="Normal"/>
    <w:link w:val="Heading2Char"/>
    <w:qFormat/>
    <w:rsid w:val="0085249A"/>
    <w:pPr>
      <w:numPr>
        <w:ilvl w:val="1"/>
        <w:numId w:val="1"/>
      </w:numPr>
      <w:ind w:left="567" w:hanging="567"/>
      <w:outlineLvl w:val="1"/>
    </w:pPr>
  </w:style>
  <w:style w:type="paragraph" w:styleId="Heading3">
    <w:name w:val="heading 3"/>
    <w:basedOn w:val="Normal"/>
    <w:next w:val="Normal"/>
    <w:link w:val="Heading3Char"/>
    <w:qFormat/>
    <w:rsid w:val="0085249A"/>
    <w:pPr>
      <w:numPr>
        <w:ilvl w:val="2"/>
        <w:numId w:val="1"/>
      </w:numPr>
      <w:ind w:left="567" w:hanging="567"/>
      <w:outlineLvl w:val="2"/>
    </w:pPr>
  </w:style>
  <w:style w:type="paragraph" w:styleId="Heading4">
    <w:name w:val="heading 4"/>
    <w:basedOn w:val="Normal"/>
    <w:next w:val="Normal"/>
    <w:link w:val="Heading4Char"/>
    <w:qFormat/>
    <w:rsid w:val="0085249A"/>
    <w:pPr>
      <w:numPr>
        <w:ilvl w:val="3"/>
        <w:numId w:val="1"/>
      </w:numPr>
      <w:ind w:left="567" w:hanging="567"/>
      <w:outlineLvl w:val="3"/>
    </w:pPr>
  </w:style>
  <w:style w:type="paragraph" w:styleId="Heading5">
    <w:name w:val="heading 5"/>
    <w:basedOn w:val="Normal"/>
    <w:next w:val="Normal"/>
    <w:link w:val="Heading5Char"/>
    <w:qFormat/>
    <w:rsid w:val="0085249A"/>
    <w:pPr>
      <w:numPr>
        <w:ilvl w:val="4"/>
        <w:numId w:val="1"/>
      </w:numPr>
      <w:ind w:left="567" w:hanging="567"/>
      <w:outlineLvl w:val="4"/>
    </w:pPr>
  </w:style>
  <w:style w:type="paragraph" w:styleId="Heading6">
    <w:name w:val="heading 6"/>
    <w:basedOn w:val="Normal"/>
    <w:next w:val="Normal"/>
    <w:link w:val="Heading6Char"/>
    <w:qFormat/>
    <w:rsid w:val="0085249A"/>
    <w:pPr>
      <w:numPr>
        <w:ilvl w:val="5"/>
        <w:numId w:val="1"/>
      </w:numPr>
      <w:ind w:left="567" w:hanging="567"/>
      <w:outlineLvl w:val="5"/>
    </w:pPr>
  </w:style>
  <w:style w:type="paragraph" w:styleId="Heading7">
    <w:name w:val="heading 7"/>
    <w:basedOn w:val="Normal"/>
    <w:next w:val="Normal"/>
    <w:link w:val="Heading7Char"/>
    <w:qFormat/>
    <w:rsid w:val="0085249A"/>
    <w:pPr>
      <w:numPr>
        <w:ilvl w:val="6"/>
        <w:numId w:val="1"/>
      </w:numPr>
      <w:ind w:left="567" w:hanging="567"/>
      <w:outlineLvl w:val="6"/>
    </w:pPr>
  </w:style>
  <w:style w:type="paragraph" w:styleId="Heading8">
    <w:name w:val="heading 8"/>
    <w:basedOn w:val="Normal"/>
    <w:next w:val="Normal"/>
    <w:link w:val="Heading8Char"/>
    <w:qFormat/>
    <w:rsid w:val="0085249A"/>
    <w:pPr>
      <w:numPr>
        <w:ilvl w:val="7"/>
        <w:numId w:val="1"/>
      </w:numPr>
      <w:ind w:left="567" w:hanging="567"/>
      <w:outlineLvl w:val="7"/>
    </w:pPr>
  </w:style>
  <w:style w:type="paragraph" w:styleId="Heading9">
    <w:name w:val="heading 9"/>
    <w:basedOn w:val="Normal"/>
    <w:next w:val="Normal"/>
    <w:link w:val="Heading9Char"/>
    <w:qFormat/>
    <w:rsid w:val="0085249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s-ES" w:eastAsia="es-ES" w:bidi="es-ES"/>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es-ES" w:eastAsia="es-ES" w:bidi="es-ES"/>
    </w:rPr>
  </w:style>
  <w:style w:type="character" w:customStyle="1" w:styleId="Heading3Char">
    <w:name w:val="Heading 3 Char"/>
    <w:basedOn w:val="DefaultParagraphFont"/>
    <w:link w:val="Heading3"/>
    <w:locked/>
    <w:rsid w:val="003B283B"/>
    <w:rPr>
      <w:rFonts w:ascii="Times New Roman" w:hAnsi="Times New Roman"/>
      <w:sz w:val="22"/>
      <w:szCs w:val="22"/>
      <w:lang w:val="es-ES" w:eastAsia="es-ES" w:bidi="es-ES"/>
    </w:rPr>
  </w:style>
  <w:style w:type="character" w:customStyle="1" w:styleId="Heading4Char">
    <w:name w:val="Heading 4 Char"/>
    <w:basedOn w:val="DefaultParagraphFont"/>
    <w:link w:val="Heading4"/>
    <w:locked/>
    <w:rsid w:val="003B283B"/>
    <w:rPr>
      <w:rFonts w:ascii="Times New Roman" w:hAnsi="Times New Roman"/>
      <w:sz w:val="22"/>
      <w:szCs w:val="22"/>
      <w:lang w:val="es-ES" w:eastAsia="es-ES" w:bidi="es-ES"/>
    </w:rPr>
  </w:style>
  <w:style w:type="character" w:customStyle="1" w:styleId="Heading5Char">
    <w:name w:val="Heading 5 Char"/>
    <w:basedOn w:val="DefaultParagraphFont"/>
    <w:link w:val="Heading5"/>
    <w:locked/>
    <w:rsid w:val="003B283B"/>
    <w:rPr>
      <w:rFonts w:ascii="Times New Roman" w:hAnsi="Times New Roman"/>
      <w:sz w:val="22"/>
      <w:szCs w:val="22"/>
      <w:lang w:val="es-ES" w:eastAsia="es-ES" w:bidi="es-ES"/>
    </w:rPr>
  </w:style>
  <w:style w:type="character" w:customStyle="1" w:styleId="Heading6Char">
    <w:name w:val="Heading 6 Char"/>
    <w:basedOn w:val="DefaultParagraphFont"/>
    <w:link w:val="Heading6"/>
    <w:locked/>
    <w:rsid w:val="003B283B"/>
    <w:rPr>
      <w:rFonts w:ascii="Times New Roman" w:hAnsi="Times New Roman"/>
      <w:sz w:val="22"/>
      <w:szCs w:val="22"/>
      <w:lang w:val="es-ES" w:eastAsia="es-ES" w:bidi="es-ES"/>
    </w:rPr>
  </w:style>
  <w:style w:type="character" w:customStyle="1" w:styleId="Heading7Char">
    <w:name w:val="Heading 7 Char"/>
    <w:basedOn w:val="DefaultParagraphFont"/>
    <w:link w:val="Heading7"/>
    <w:locked/>
    <w:rsid w:val="003B283B"/>
    <w:rPr>
      <w:rFonts w:ascii="Times New Roman" w:hAnsi="Times New Roman"/>
      <w:sz w:val="22"/>
      <w:szCs w:val="22"/>
      <w:lang w:val="es-ES" w:eastAsia="es-ES" w:bidi="es-ES"/>
    </w:rPr>
  </w:style>
  <w:style w:type="character" w:customStyle="1" w:styleId="Heading8Char">
    <w:name w:val="Heading 8 Char"/>
    <w:basedOn w:val="DefaultParagraphFont"/>
    <w:link w:val="Heading8"/>
    <w:locked/>
    <w:rsid w:val="003B283B"/>
    <w:rPr>
      <w:rFonts w:ascii="Times New Roman" w:hAnsi="Times New Roman"/>
      <w:sz w:val="22"/>
      <w:szCs w:val="22"/>
      <w:lang w:val="es-ES" w:eastAsia="es-ES" w:bidi="es-ES"/>
    </w:rPr>
  </w:style>
  <w:style w:type="character" w:customStyle="1" w:styleId="Heading9Char">
    <w:name w:val="Heading 9 Char"/>
    <w:basedOn w:val="DefaultParagraphFont"/>
    <w:link w:val="Heading9"/>
    <w:locked/>
    <w:rsid w:val="003B283B"/>
    <w:rPr>
      <w:rFonts w:ascii="Times New Roman" w:hAnsi="Times New Roman"/>
      <w:sz w:val="22"/>
      <w:szCs w:val="22"/>
      <w:lang w:val="es-ES" w:eastAsia="es-ES" w:bidi="es-ES"/>
    </w:rPr>
  </w:style>
  <w:style w:type="paragraph" w:styleId="Footer">
    <w:name w:val="footer"/>
    <w:aliases w:val="Footer-odd"/>
    <w:basedOn w:val="Normal"/>
    <w:link w:val="FooterChar"/>
    <w:qFormat/>
    <w:rsid w:val="0085249A"/>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es-ES" w:eastAsia="es-ES" w:bidi="es-ES"/>
    </w:rPr>
  </w:style>
  <w:style w:type="paragraph" w:styleId="FootnoteText">
    <w:name w:val="footnote text"/>
    <w:basedOn w:val="Normal"/>
    <w:link w:val="FootnoteTextChar"/>
    <w:qFormat/>
    <w:rsid w:val="0085249A"/>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s-ES" w:eastAsia="es-ES" w:bidi="es-ES"/>
    </w:rPr>
  </w:style>
  <w:style w:type="paragraph" w:styleId="Header">
    <w:name w:val="header"/>
    <w:basedOn w:val="Normal"/>
    <w:link w:val="HeaderChar"/>
    <w:qFormat/>
    <w:rsid w:val="0085249A"/>
  </w:style>
  <w:style w:type="character" w:customStyle="1" w:styleId="HeaderChar">
    <w:name w:val="Header Char"/>
    <w:basedOn w:val="DefaultParagraphFont"/>
    <w:link w:val="Header"/>
    <w:locked/>
    <w:rsid w:val="003B283B"/>
    <w:rPr>
      <w:rFonts w:ascii="Times New Roman" w:hAnsi="Times New Roman"/>
      <w:sz w:val="22"/>
      <w:szCs w:val="22"/>
      <w:lang w:val="es-ES" w:eastAsia="es-ES" w:bidi="es-ES"/>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85249A"/>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85249A"/>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8524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249A"/>
    <w:rPr>
      <w:rFonts w:ascii="Tahoma" w:hAnsi="Tahoma" w:cs="Tahoma"/>
      <w:sz w:val="16"/>
      <w:szCs w:val="16"/>
      <w:lang w:val="es-ES" w:eastAsia="es-ES" w:bidi="es-ES"/>
    </w:r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Erika.Paulinova@eesc.europa.eu"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Andrei.Popescu@eesc.europa.eu" TargetMode="External"/><Relationship Id="rId33" Type="http://schemas.openxmlformats.org/officeDocument/2006/relationships/hyperlink" Target="mailto:Else.Boonstra@eesc.europa.eu" TargetMode="Externa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Kristian.Krieger@eesc.europa.e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Erika.Paulinova@eesc.europa.eu" TargetMode="External"/><Relationship Id="rId32" Type="http://schemas.openxmlformats.org/officeDocument/2006/relationships/hyperlink" Target="mailto:barbara.walentynowicz@eesc.europa.eu"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esc.europa.eu/?i=portal.fr.opinions-search" TargetMode="External"/><Relationship Id="rId23" Type="http://schemas.openxmlformats.org/officeDocument/2006/relationships/hyperlink" Target="mailto:Krisztina.PerlakyToth@eesc.europa.eu" TargetMode="External"/><Relationship Id="rId28" Type="http://schemas.openxmlformats.org/officeDocument/2006/relationships/hyperlink" Target="mailto:Kristian.Krieger@eesc.europa.eu" TargetMode="External"/><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jana.valant@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fr.documents" TargetMode="External"/><Relationship Id="rId22" Type="http://schemas.openxmlformats.org/officeDocument/2006/relationships/hyperlink" Target="mailto:Adam.Plezer@eesc.europa.eu" TargetMode="External"/><Relationship Id="rId27" Type="http://schemas.openxmlformats.org/officeDocument/2006/relationships/hyperlink" Target="mailto:Kristian.Krieger@eesc.europa.eu" TargetMode="External"/><Relationship Id="rId30" Type="http://schemas.openxmlformats.org/officeDocument/2006/relationships/hyperlink" Target="mailto:Alain.colbach@eesc.europa.eu" TargetMode="External"/><Relationship Id="rId35"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51D1BDF1B59D8489738113A248D32C4" ma:contentTypeVersion="4" ma:contentTypeDescription="Defines the documents for Document Manager V2" ma:contentTypeScope="" ma:versionID="86ab1ef105b56de5c4a005982a7f640f">
  <xsd:schema xmlns:xsd="http://www.w3.org/2001/XMLSchema" xmlns:xs="http://www.w3.org/2001/XMLSchema" xmlns:p="http://schemas.microsoft.com/office/2006/metadata/properties" xmlns:ns2="8a3471f6-0f36-4ccf-b5ee-1ca67ea797ef" xmlns:ns3="http://schemas.microsoft.com/sharepoint/v3/fields" xmlns:ns4="d001fc02-2481-471c-a01d-134a91e40015" targetNamespace="http://schemas.microsoft.com/office/2006/metadata/properties" ma:root="true" ma:fieldsID="e138bbe202f2962cc1b3042f2fa18c5f" ns2:_="" ns3:_="" ns4:_="">
    <xsd:import namespace="8a3471f6-0f36-4ccf-b5ee-1ca67ea797ef"/>
    <xsd:import namespace="http://schemas.microsoft.com/sharepoint/v3/fields"/>
    <xsd:import namespace="d001fc02-2481-471c-a01d-134a91e4001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01fc02-2481-471c-a01d-134a91e4001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WTPCSN73YJ26-4-6415</_dlc_DocId>
    <_dlc_DocIdUrl xmlns="8a3471f6-0f36-4ccf-b5ee-1ca67ea797ef">
      <Url>http://dm/EESC/2017/_layouts/DocIdRedir.aspx?ID=WTPCSN73YJ26-4-6415</Url>
      <Description>WTPCSN73YJ26-4-6415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001fc02-2481-471c-a01d-134a91e40015"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2017-05-18T12:00:00+00:00</ProductionDate>
    <DocumentNumber xmlns="d001fc02-2481-471c-a01d-134a91e40015">1743</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2017-04-26T12:00:00+00:00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TaxCatchAll xmlns="8a3471f6-0f36-4ccf-b5ee-1ca67ea797ef">
      <Value>33</Value>
      <Value>38</Value>
      <Value>37</Value>
      <Value>36</Value>
      <Value>35</Value>
      <Value>34</Value>
      <Value>27</Value>
      <Value>32</Value>
      <Value>31</Value>
      <Value>30</Value>
      <Value>29</Value>
      <Value>28</Value>
      <Value>25</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5488</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C6F1ABC1-E485-4A09-AAD1-B34D2C8DC63B}"/>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A10DC476-3CBB-4320-8D63-1C3F3452E6AB}"/>
</file>

<file path=docProps/app.xml><?xml version="1.0" encoding="utf-8"?>
<Properties xmlns="http://schemas.openxmlformats.org/officeDocument/2006/extended-properties" xmlns:vt="http://schemas.openxmlformats.org/officeDocument/2006/docPropsVTypes">
  <Template>Styles</Template>
  <TotalTime>10</TotalTime>
  <Pages>3</Pages>
  <Words>4610</Words>
  <Characters>26157</Characters>
  <Application>Microsoft Office Word</Application>
  <DocSecurity>0</DocSecurity>
  <Lines>554</Lines>
  <Paragraphs>175</Paragraphs>
  <ScaleCrop>false</ScaleCrop>
  <HeadingPairs>
    <vt:vector size="2" baseType="variant">
      <vt:variant>
        <vt:lpstr>Title</vt:lpstr>
      </vt:variant>
      <vt:variant>
        <vt:i4>1</vt:i4>
      </vt:variant>
    </vt:vector>
  </HeadingPairs>
  <TitlesOfParts>
    <vt:vector size="1" baseType="lpstr">
      <vt:lpstr>Note synthèse décembre 2016</vt:lpstr>
    </vt:vector>
  </TitlesOfParts>
  <Company>CESE-CdR</Company>
  <LinksUpToDate>false</LinksUpToDate>
  <CharactersWithSpaces>30666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Síntesis de los dictámenes del Pleno de abril de 2017</dc:title>
  <dc:subject>Trabajos consultivos/varios</dc:subject>
  <dc:creator/>
  <cp:keywords>EESC-2017-01743-00-01-TCD-TRA-ES</cp:keywords>
  <dc:description>Ponente: -_x000d_
Lengua original: FR, EN_x000d_
Fecha del documento: 18/05/2017_x000d_
Fecha de la reunión: 26/04/2017_x000d_
Documentos externos: -_x000d_
Funcionario responsable: Cosmai Domenico, teléfono: +32 (0)2 546 9041_x000d_
_x000d_
Resumen:</dc:description>
  <cp:lastModifiedBy>Maria Gabriela Fernandez Riego</cp:lastModifiedBy>
  <cp:revision>13</cp:revision>
  <cp:lastPrinted>2017-05-11T06:53:00Z</cp:lastPrinted>
  <dcterms:created xsi:type="dcterms:W3CDTF">2017-05-11T08:23:00Z</dcterms:created>
  <dcterms:modified xsi:type="dcterms:W3CDTF">2017-05-18T08:02:00Z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11/05/2017, 24/04/2017, 23/03/2017, 13/12/2016, 15/09/2016, 14/09/2016, 14/09/2016, 12/07/2016, 30/06/2016, 29/06/2016, 23/05/2016, 23/05/2016, 25/04/2016, 25/04/2016, 14/03/2016, 11/03/2016, 11/03/2016, 15/02/2016, 15/02/2016, 15/02/2016, 03/02/2016, 03/</vt:lpwstr>
  </property>
  <property fmtid="{D5CDD505-2E9C-101B-9397-08002B2CF9AE}" pid="4" name="Pref_Time">
    <vt:lpwstr>10:04:29, 12:22:33, 12:08:44, 12:23:59, 18:12:41, 09:48:43, 08:36:59, 11:43:50, 09:30:52, 17:35:55, 17:02:49, 16:30:20, 11:28:20, 09:54:52, 08:31:22, 17:08:54, 15:59:23, 12:27:50, 12:09:16, 09:49:23, 17:26:57, 16:09:02, 17:58:07, 17:32:44, 15:05:42, 11:13</vt:lpwstr>
  </property>
  <property fmtid="{D5CDD505-2E9C-101B-9397-08002B2CF9AE}" pid="5" name="Pref_User">
    <vt:lpwstr>mreg, mreg, enied,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EESC-2017-01743-00-01-TCD-ORI.docx, EESC-2017-01743-00-00-TCD-ORI.docx, EESC-2017-01003-00-00-TCD-ORI.docx, EESC-2016-05775-00-00-TCD-ORI.docx, EESC-2016-03275-00-01-TCD-ORI.docx, EESC-2016-03275-00-00-TCD-TRA-EN-CRR.docx, EESC-2016-03275-00-00-TCD-CRR-FR</vt:lpwstr>
  </property>
  <property fmtid="{D5CDD505-2E9C-101B-9397-08002B2CF9AE}" pid="7" name="ContentTypeId">
    <vt:lpwstr>0x010100EA97B91038054C99906057A708A1480A00F51D1BDF1B59D8489738113A248D32C4</vt:lpwstr>
  </property>
  <property fmtid="{D5CDD505-2E9C-101B-9397-08002B2CF9AE}" pid="8" name="_dlc_DocIdItemGuid">
    <vt:lpwstr>8aa4ad6d-aee9-40fe-ba2e-6e3012fdd071</vt:lpwstr>
  </property>
  <property fmtid="{D5CDD505-2E9C-101B-9397-08002B2CF9AE}" pid="9" name="AvailableTranslations">
    <vt:lpwstr>34;#SK|46d9fce0-ef79-4f71-b89b-cd6aa82426b8;#36;#BG|1a1b3951-7821-4e6a-85f5-5673fc08bd2c;#31;#LT|a7ff5ce7-6123-4f68-865a-a57c31810414;#15;#PT|50ccc04a-eadd-42ae-a0cb-acaf45f812ba;#24;#EL|6d4f4d51-af9b-4650-94b4-4276bee85c91;#14;#ES|e7a6b05b-ae16-40c8-add9-68b64b03aeba;#4;#EN|f2175f21-25d7-44a3-96da-d6a61b075e1b;#12;#NL|55c6556c-b4f4-441d-9acf-c498d4f838bd;#26;#SV|c2ed69e7-a339-43d7-8f22-d93680a92aa0;#28;#ET|ff6c3f4c-b02c-4c3c-ab07-2c37995a7a0a;#22;#IT|0774613c-01ed-4e5d-a25d-11d2388de825;#29;#HU|6b229040-c589-4408-b4c1-4285663d20a8;#23;#DA|5d49c027-8956-412b-aa16-e85a0f96ad0e;#8;#FR|d2afafd3-4c81-4f60-8f52-ee33f2f54ff3;#30;#LV|46f7e311-5d9f-4663-b433-18aeccb7ace7;#25;#FI|87606a43-d45f-42d6-b8c9-e1a3457db5b7;#32;#MT|7df99101-6854-4a26-b53a-b88c0da02c26;#27;#CS|72f9705b-0217-4fd3-bea2-cbc7ed80e26e;#18;#DE|f6b31e5a-26fa-4935-b661-318e46daf27e;#33;#PL|1e03da61-4678-4e07-b136-b5024ca9197b;#38;#HR|2f555653-ed1a-4fe6-8362-9082d95989e5;#35;#SL|98a412ae-eb01-49e9-ae3d-585a81724cfc;#37;#RO|feb747a2-64cd-4299-af12-4833ddc30497</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14;#ES|e7a6b05b-ae16-40c8-add9-68b64b03aeba</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1743</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2017-04-26T12:00:00Z</vt:filetime>
  </property>
  <property fmtid="{D5CDD505-2E9C-101B-9397-08002B2CF9AE}" pid="30" name="DocumentLanguage_0">
    <vt:lpwstr>FR|d2afafd3-4c81-4f60-8f52-ee33f2f54ff3</vt:lpwstr>
  </property>
  <property fmtid="{D5CDD505-2E9C-101B-9397-08002B2CF9AE}" pid="31" name="TaxCatchAll">
    <vt:lpwstr>17;#TCD|cd9d6eb6-3f4f-424a-b2d1-57c9d450eaaf;#33;#PL|1e03da61-4678-4e07-b136-b5024ca9197b;#34;#SK|46d9fce0-ef79-4f71-b89b-cd6aa82426b8;#25;#FI|87606a43-d45f-42d6-b8c9-e1a3457db5b7;#8;#FR|d2afafd3-4c81-4f60-8f52-ee33f2f54ff3;#6;#Final|ea5e6674-7b27-4bac-b091-73adbb394efe;#5;#Unrestricted|826e22d7-d029-4ec0-a450-0c28ff673572;#4;#EN|f2175f21-25d7-44a3-96da-d6a61b075e1b;#72;#SPL-CES|32d8cb1f-c9ec-4365-95c7-8385a18618ac;#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5488</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SK|46d9fce0-ef79-4f71-b89b-cd6aa82426b8;FI|87606a43-d45f-42d6-b8c9-e1a3457db5b7;PL|1e03da61-4678-4e07-b136-b5024ca9197b</vt:lpwstr>
  </property>
</Properties>
</file>