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A16F10" w:rsidRDefault="000D2F9C" w:rsidP="00377A77">
      <w:pPr>
        <w:snapToGrid w:val="0"/>
        <w:jc w:val="center"/>
      </w:pPr>
      <w:r w:rsidRPr="00A16F10">
        <w:rPr>
          <w:sz w:val="20"/>
          <w:lang w:eastAsia="fi-FI"/>
        </w:rPr>
        <mc:AlternateContent>
          <mc:Choice Requires="wps">
            <w:drawing>
              <wp:anchor distT="0" distB="0" distL="114300" distR="114300" simplePos="0" relativeHeight="251659264" behindDoc="1" locked="0" layoutInCell="0" allowOverlap="1" wp14:anchorId="1DB61735" wp14:editId="6DA51621">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F9C" w:rsidRPr="000D2F9C" w:rsidRDefault="000D2F9C" w:rsidP="000D2F9C">
                            <w:pPr>
                              <w:jc w:val="center"/>
                              <w:rPr>
                                <w:rFonts w:ascii="Arial" w:hAnsi="Arial" w:cs="Arial"/>
                                <w:b/>
                                <w:bCs/>
                                <w:sz w:val="48"/>
                              </w:rPr>
                            </w:pPr>
                            <w:r w:rsidRPr="000D2F9C">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0D2F9C" w:rsidRPr="000D2F9C" w:rsidRDefault="000D2F9C" w:rsidP="000D2F9C">
                      <w:pPr>
                        <w:jc w:val="center"/>
                        <w:rPr>
                          <w:rFonts w:ascii="Arial" w:hAnsi="Arial" w:cs="Arial"/>
                          <w:b/>
                          <w:bCs/>
                          <w:sz w:val="48"/>
                        </w:rPr>
                      </w:pPr>
                      <w:r w:rsidRPr="000D2F9C">
                        <w:rPr>
                          <w:rFonts w:ascii="Arial" w:hAnsi="Arial"/>
                          <w:b/>
                          <w:sz w:val="48"/>
                        </w:rPr>
                        <w:t>FI</w:t>
                      </w:r>
                    </w:p>
                  </w:txbxContent>
                </v:textbox>
                <w10:wrap anchorx="page" anchory="page"/>
              </v:shape>
            </w:pict>
          </mc:Fallback>
        </mc:AlternateContent>
      </w:r>
      <w:r w:rsidR="00AF6F3E" w:rsidRPr="00A16F10">
        <w:rPr>
          <w:lang w:eastAsia="fi-FI"/>
        </w:rPr>
        <w:drawing>
          <wp:inline distT="0" distB="0" distL="0" distR="0" wp14:anchorId="714EF3EF" wp14:editId="7CF11314">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A16F10" w:rsidRDefault="008405A0" w:rsidP="00377A77">
      <w:pPr>
        <w:snapToGrid w:val="0"/>
        <w:jc w:val="center"/>
        <w:rPr>
          <w:rFonts w:ascii="Arial" w:eastAsia="MS Mincho" w:hAnsi="Arial" w:cs="Arial"/>
          <w:b/>
          <w:i/>
          <w:sz w:val="20"/>
        </w:rPr>
      </w:pPr>
      <w:r w:rsidRPr="00A16F10">
        <w:rPr>
          <w:rFonts w:ascii="Arial" w:hAnsi="Arial"/>
          <w:b/>
          <w:i/>
          <w:sz w:val="20"/>
        </w:rPr>
        <w:t>Euroopan talous- ja sosiaalikomitea</w:t>
      </w:r>
    </w:p>
    <w:p w:rsidR="008405A0" w:rsidRPr="00A16F10" w:rsidRDefault="008405A0" w:rsidP="000D2F9C">
      <w:pPr>
        <w:snapToGrid w:val="0"/>
      </w:pPr>
    </w:p>
    <w:p w:rsidR="008405A0" w:rsidRPr="00A16F10" w:rsidRDefault="008405A0" w:rsidP="000D2F9C">
      <w:pPr>
        <w:snapToGrid w:val="0"/>
      </w:pPr>
    </w:p>
    <w:p w:rsidR="008405A0" w:rsidRPr="00A16F10" w:rsidRDefault="008405A0" w:rsidP="000D2F9C">
      <w:pPr>
        <w:snapToGrid w:val="0"/>
        <w:jc w:val="right"/>
        <w:rPr>
          <w:rFonts w:eastAsia="MS Mincho"/>
        </w:rPr>
      </w:pPr>
      <w:r w:rsidRPr="00A16F10">
        <w:t>Bryssel 20. huhtikuuta 2017</w:t>
      </w:r>
    </w:p>
    <w:p w:rsidR="008405A0" w:rsidRPr="00A16F10" w:rsidRDefault="008405A0" w:rsidP="000D2F9C">
      <w:pPr>
        <w:snapToGrid w:val="0"/>
      </w:pPr>
    </w:p>
    <w:p w:rsidR="008405A0" w:rsidRPr="00A16F10" w:rsidRDefault="008405A0" w:rsidP="000D2F9C">
      <w:pPr>
        <w:snapToGrid w:val="0"/>
      </w:pPr>
    </w:p>
    <w:p w:rsidR="00AF6F3E" w:rsidRPr="00A16F10" w:rsidRDefault="00AF6F3E" w:rsidP="000D2F9C">
      <w:pPr>
        <w:snapToGrid w:val="0"/>
      </w:pPr>
    </w:p>
    <w:tbl>
      <w:tblPr>
        <w:tblW w:w="0" w:type="auto"/>
        <w:tblLayout w:type="fixed"/>
        <w:tblLook w:val="0000" w:firstRow="0" w:lastRow="0" w:firstColumn="0" w:lastColumn="0" w:noHBand="0" w:noVBand="0"/>
      </w:tblPr>
      <w:tblGrid>
        <w:gridCol w:w="9289"/>
      </w:tblGrid>
      <w:tr w:rsidR="008405A0" w:rsidRPr="00A16F10" w:rsidTr="00A72D7A">
        <w:tc>
          <w:tcPr>
            <w:tcW w:w="9289" w:type="dxa"/>
            <w:tcBorders>
              <w:top w:val="nil"/>
              <w:left w:val="nil"/>
              <w:bottom w:val="double" w:sz="4" w:space="0" w:color="auto"/>
              <w:right w:val="nil"/>
            </w:tcBorders>
          </w:tcPr>
          <w:p w:rsidR="008405A0" w:rsidRPr="00A16F10" w:rsidRDefault="0072400C" w:rsidP="000D2F9C">
            <w:pPr>
              <w:snapToGrid w:val="0"/>
              <w:jc w:val="center"/>
              <w:rPr>
                <w:rFonts w:eastAsia="MS Mincho"/>
                <w:b/>
                <w:sz w:val="32"/>
              </w:rPr>
            </w:pPr>
            <w:r w:rsidRPr="00A16F10">
              <w:rPr>
                <w:b/>
                <w:sz w:val="32"/>
              </w:rPr>
              <w:t xml:space="preserve">TÄYSISTUNNOSSA </w:t>
            </w:r>
            <w:r w:rsidRPr="00A16F10">
              <w:rPr>
                <w:b/>
                <w:sz w:val="32"/>
              </w:rPr>
              <w:br/>
              <w:t xml:space="preserve"> </w:t>
            </w:r>
            <w:r w:rsidRPr="00A16F10">
              <w:rPr>
                <w:b/>
                <w:sz w:val="32"/>
              </w:rPr>
              <w:br/>
              <w:t xml:space="preserve">29. JA 30. MAALISKUUTA 2017 </w:t>
            </w:r>
            <w:r w:rsidRPr="00A16F10">
              <w:rPr>
                <w:b/>
                <w:sz w:val="32"/>
              </w:rPr>
              <w:br/>
              <w:t xml:space="preserve"> </w:t>
            </w:r>
            <w:r w:rsidRPr="00A16F10">
              <w:rPr>
                <w:b/>
                <w:sz w:val="32"/>
              </w:rPr>
              <w:br/>
              <w:t>ANNETUT LAUSUNNOT</w:t>
            </w:r>
          </w:p>
          <w:p w:rsidR="008405A0" w:rsidRPr="00A16F10" w:rsidRDefault="008405A0" w:rsidP="000D2F9C"/>
          <w:p w:rsidR="008405A0" w:rsidRPr="00A16F10" w:rsidRDefault="008405A0" w:rsidP="000D2F9C"/>
        </w:tc>
      </w:tr>
      <w:tr w:rsidR="008405A0" w:rsidRPr="00A16F10" w:rsidTr="00A72D7A">
        <w:tc>
          <w:tcPr>
            <w:tcW w:w="9289" w:type="dxa"/>
            <w:tcBorders>
              <w:top w:val="double" w:sz="4" w:space="0" w:color="auto"/>
              <w:left w:val="double" w:sz="4" w:space="0" w:color="auto"/>
              <w:bottom w:val="double" w:sz="4" w:space="0" w:color="auto"/>
              <w:right w:val="double" w:sz="4" w:space="0" w:color="auto"/>
            </w:tcBorders>
          </w:tcPr>
          <w:p w:rsidR="008405A0" w:rsidRPr="00A16F10" w:rsidRDefault="00A31921" w:rsidP="000D2F9C">
            <w:pPr>
              <w:snapToGrid w:val="0"/>
              <w:jc w:val="center"/>
              <w:rPr>
                <w:rFonts w:eastAsia="MS Mincho"/>
                <w:b/>
              </w:rPr>
            </w:pPr>
            <w:r w:rsidRPr="00A16F10">
              <w:rPr>
                <w:b/>
              </w:rPr>
              <w:t>Tämä asiakirja on saatavana unionin virallisilla kielillä komitean internetsivuilla osoitteessa</w:t>
            </w:r>
          </w:p>
          <w:p w:rsidR="008405A0" w:rsidRPr="00A16F10" w:rsidRDefault="008405A0" w:rsidP="000D2F9C">
            <w:pPr>
              <w:snapToGrid w:val="0"/>
              <w:jc w:val="center"/>
              <w:rPr>
                <w:b/>
              </w:rPr>
            </w:pPr>
          </w:p>
          <w:p w:rsidR="008405A0" w:rsidRPr="00A16F10" w:rsidRDefault="00A16F10" w:rsidP="000D2F9C">
            <w:pPr>
              <w:jc w:val="center"/>
              <w:rPr>
                <w:rFonts w:eastAsia="MS Mincho"/>
                <w:b/>
              </w:rPr>
            </w:pPr>
            <w:hyperlink r:id="rId14" w:anchor="/boxTab1-2">
              <w:r w:rsidR="00BD394F" w:rsidRPr="00A16F10">
                <w:rPr>
                  <w:rStyle w:val="Hyperlink"/>
                  <w:b/>
                </w:rPr>
                <w:t>http://www.eesc.europa.eu/?i=portal.en.documents#/boxTab1-2</w:t>
              </w:r>
            </w:hyperlink>
          </w:p>
          <w:p w:rsidR="008405A0" w:rsidRPr="00A16F10" w:rsidRDefault="008405A0" w:rsidP="000D2F9C">
            <w:pPr>
              <w:snapToGrid w:val="0"/>
              <w:jc w:val="center"/>
            </w:pPr>
          </w:p>
          <w:p w:rsidR="008405A0" w:rsidRPr="00A16F10" w:rsidRDefault="008405A0" w:rsidP="000D2F9C">
            <w:pPr>
              <w:snapToGrid w:val="0"/>
              <w:jc w:val="center"/>
              <w:rPr>
                <w:rFonts w:eastAsia="SimSun"/>
                <w:b/>
              </w:rPr>
            </w:pPr>
          </w:p>
          <w:p w:rsidR="008405A0" w:rsidRPr="00A16F10" w:rsidRDefault="008405A0" w:rsidP="000D2F9C">
            <w:pPr>
              <w:snapToGrid w:val="0"/>
              <w:jc w:val="center"/>
              <w:rPr>
                <w:rFonts w:eastAsia="MS Mincho"/>
                <w:b/>
              </w:rPr>
            </w:pPr>
            <w:r w:rsidRPr="00A16F10">
              <w:rPr>
                <w:b/>
              </w:rPr>
              <w:t>Mainitut lausunnot ovat haettavissa sähköisessä muodossa komitean hakukoneella</w:t>
            </w:r>
          </w:p>
          <w:p w:rsidR="008405A0" w:rsidRPr="00A16F10" w:rsidRDefault="008405A0" w:rsidP="000D2F9C">
            <w:pPr>
              <w:snapToGrid w:val="0"/>
              <w:jc w:val="center"/>
              <w:rPr>
                <w:b/>
              </w:rPr>
            </w:pPr>
          </w:p>
          <w:p w:rsidR="008405A0" w:rsidRPr="00A16F10" w:rsidRDefault="00A16F10" w:rsidP="000D2F9C">
            <w:pPr>
              <w:jc w:val="center"/>
              <w:rPr>
                <w:rFonts w:eastAsia="MS Mincho"/>
                <w:b/>
              </w:rPr>
            </w:pPr>
            <w:hyperlink r:id="rId15">
              <w:r w:rsidR="00BD394F" w:rsidRPr="00A16F10">
                <w:rPr>
                  <w:rStyle w:val="Hyperlink"/>
                  <w:b/>
                </w:rPr>
                <w:t>http://www.eesc.europa.eu/?i=portal.en.opinions-search</w:t>
              </w:r>
            </w:hyperlink>
          </w:p>
          <w:p w:rsidR="008405A0" w:rsidRPr="00A16F10" w:rsidRDefault="008405A0" w:rsidP="000D2F9C">
            <w:pPr>
              <w:snapToGrid w:val="0"/>
              <w:jc w:val="center"/>
              <w:rPr>
                <w:b/>
                <w:bCs/>
              </w:rPr>
            </w:pPr>
          </w:p>
        </w:tc>
      </w:tr>
    </w:tbl>
    <w:p w:rsidR="008405A0" w:rsidRPr="00A16F10" w:rsidRDefault="008405A0" w:rsidP="000D2F9C">
      <w:pPr>
        <w:snapToGrid w:val="0"/>
      </w:pPr>
    </w:p>
    <w:p w:rsidR="008F7791" w:rsidRPr="00A16F10" w:rsidRDefault="008F7791" w:rsidP="000D2F9C">
      <w:pPr>
        <w:rPr>
          <w:rFonts w:eastAsia="SimSun"/>
          <w:sz w:val="28"/>
        </w:rPr>
      </w:pPr>
    </w:p>
    <w:p w:rsidR="008F7791" w:rsidRPr="00A16F10" w:rsidRDefault="008F7791" w:rsidP="000D2F9C">
      <w:pPr>
        <w:rPr>
          <w:rFonts w:eastAsia="SimSun"/>
          <w:sz w:val="28"/>
        </w:rPr>
      </w:pPr>
    </w:p>
    <w:p w:rsidR="00A9340A" w:rsidRPr="00A16F10" w:rsidRDefault="00A9340A" w:rsidP="000D2F9C">
      <w:pPr>
        <w:rPr>
          <w:rFonts w:eastAsia="SimSun"/>
          <w:sz w:val="28"/>
        </w:rPr>
        <w:sectPr w:rsidR="00A9340A" w:rsidRPr="00A16F10" w:rsidSect="000D2F9C">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A16F10" w:rsidRDefault="008405A0" w:rsidP="000D2F9C">
      <w:pPr>
        <w:snapToGrid w:val="0"/>
        <w:rPr>
          <w:b/>
        </w:rPr>
      </w:pPr>
      <w:bookmarkStart w:id="0" w:name="_GoBack"/>
      <w:bookmarkEnd w:id="0"/>
      <w:r w:rsidRPr="00A16F10">
        <w:rPr>
          <w:b/>
        </w:rPr>
        <w:lastRenderedPageBreak/>
        <w:t>Sisällys:</w:t>
      </w:r>
    </w:p>
    <w:p w:rsidR="000D2F9C" w:rsidRPr="00A16F10" w:rsidRDefault="000D2F9C" w:rsidP="000D2F9C">
      <w:pPr>
        <w:snapToGrid w:val="0"/>
        <w:rPr>
          <w:rFonts w:eastAsia="MS Mincho"/>
          <w:b/>
          <w:sz w:val="28"/>
          <w:u w:val="single"/>
        </w:rPr>
      </w:pPr>
    </w:p>
    <w:p w:rsidR="00F3118F" w:rsidRPr="00A16F10" w:rsidRDefault="00F3118F">
      <w:pPr>
        <w:pStyle w:val="TOC1"/>
        <w:rPr>
          <w:rFonts w:asciiTheme="minorHAnsi" w:eastAsiaTheme="minorEastAsia" w:hAnsiTheme="minorHAnsi" w:cstheme="minorBidi"/>
          <w:lang w:eastAsia="fi-FI"/>
        </w:rPr>
      </w:pPr>
      <w:r w:rsidRPr="00A16F10">
        <w:fldChar w:fldCharType="begin"/>
      </w:r>
      <w:r w:rsidRPr="00A16F10">
        <w:instrText xml:space="preserve"> TOC \o "1-1" \h \z \u </w:instrText>
      </w:r>
      <w:r w:rsidRPr="00A16F10">
        <w:fldChar w:fldCharType="separate"/>
      </w:r>
      <w:hyperlink w:anchor="_Toc480381002" w:history="1">
        <w:r w:rsidRPr="00A16F10">
          <w:rPr>
            <w:rStyle w:val="Hyperlink"/>
            <w:b/>
          </w:rPr>
          <w:t>1.</w:t>
        </w:r>
        <w:r w:rsidRPr="00A16F10">
          <w:rPr>
            <w:rFonts w:asciiTheme="minorHAnsi" w:eastAsiaTheme="minorEastAsia" w:hAnsiTheme="minorHAnsi" w:cstheme="minorBidi"/>
            <w:lang w:eastAsia="fi-FI"/>
          </w:rPr>
          <w:tab/>
        </w:r>
        <w:r w:rsidRPr="00A16F10">
          <w:rPr>
            <w:rStyle w:val="Hyperlink"/>
            <w:b/>
          </w:rPr>
          <w:t>SOSIAALIASIAT</w:t>
        </w:r>
        <w:r w:rsidRPr="00A16F10">
          <w:rPr>
            <w:webHidden/>
          </w:rPr>
          <w:tab/>
        </w:r>
        <w:r w:rsidRPr="00A16F10">
          <w:rPr>
            <w:webHidden/>
          </w:rPr>
          <w:fldChar w:fldCharType="begin"/>
        </w:r>
        <w:r w:rsidRPr="00A16F10">
          <w:rPr>
            <w:webHidden/>
          </w:rPr>
          <w:instrText xml:space="preserve"> PAGEREF _Toc480381002 \h </w:instrText>
        </w:r>
        <w:r w:rsidRPr="00A16F10">
          <w:rPr>
            <w:webHidden/>
          </w:rPr>
        </w:r>
        <w:r w:rsidRPr="00A16F10">
          <w:rPr>
            <w:webHidden/>
          </w:rPr>
          <w:fldChar w:fldCharType="separate"/>
        </w:r>
        <w:r w:rsidRPr="00A16F10">
          <w:rPr>
            <w:webHidden/>
          </w:rPr>
          <w:t>3</w:t>
        </w:r>
        <w:r w:rsidRPr="00A16F10">
          <w:rPr>
            <w:webHidden/>
          </w:rPr>
          <w:fldChar w:fldCharType="end"/>
        </w:r>
      </w:hyperlink>
    </w:p>
    <w:p w:rsidR="00F3118F" w:rsidRPr="00A16F10" w:rsidRDefault="00A16F10">
      <w:pPr>
        <w:pStyle w:val="TOC1"/>
        <w:rPr>
          <w:rFonts w:asciiTheme="minorHAnsi" w:eastAsiaTheme="minorEastAsia" w:hAnsiTheme="minorHAnsi" w:cstheme="minorBidi"/>
          <w:lang w:eastAsia="fi-FI"/>
        </w:rPr>
      </w:pPr>
      <w:hyperlink w:anchor="_Toc480381003" w:history="1">
        <w:r w:rsidR="00F3118F" w:rsidRPr="00A16F10">
          <w:rPr>
            <w:rStyle w:val="Hyperlink"/>
            <w:b/>
          </w:rPr>
          <w:t>2.</w:t>
        </w:r>
        <w:r w:rsidR="00F3118F" w:rsidRPr="00A16F10">
          <w:rPr>
            <w:rFonts w:asciiTheme="minorHAnsi" w:eastAsiaTheme="minorEastAsia" w:hAnsiTheme="minorHAnsi" w:cstheme="minorBidi"/>
            <w:lang w:eastAsia="fi-FI"/>
          </w:rPr>
          <w:tab/>
        </w:r>
        <w:r w:rsidR="00F3118F" w:rsidRPr="00A16F10">
          <w:rPr>
            <w:rStyle w:val="Hyperlink"/>
            <w:b/>
          </w:rPr>
          <w:t>KULUTTAJA-ASIAT / SOSIAALIASIAT</w:t>
        </w:r>
        <w:r w:rsidR="00F3118F" w:rsidRPr="00A16F10">
          <w:rPr>
            <w:webHidden/>
          </w:rPr>
          <w:tab/>
        </w:r>
        <w:r w:rsidR="00F3118F" w:rsidRPr="00A16F10">
          <w:rPr>
            <w:webHidden/>
          </w:rPr>
          <w:fldChar w:fldCharType="begin"/>
        </w:r>
        <w:r w:rsidR="00F3118F" w:rsidRPr="00A16F10">
          <w:rPr>
            <w:webHidden/>
          </w:rPr>
          <w:instrText xml:space="preserve"> PAGEREF _Toc480381003 \h </w:instrText>
        </w:r>
        <w:r w:rsidR="00F3118F" w:rsidRPr="00A16F10">
          <w:rPr>
            <w:webHidden/>
          </w:rPr>
        </w:r>
        <w:r w:rsidR="00F3118F" w:rsidRPr="00A16F10">
          <w:rPr>
            <w:webHidden/>
          </w:rPr>
          <w:fldChar w:fldCharType="separate"/>
        </w:r>
        <w:r w:rsidR="00F3118F" w:rsidRPr="00A16F10">
          <w:rPr>
            <w:webHidden/>
          </w:rPr>
          <w:t>4</w:t>
        </w:r>
        <w:r w:rsidR="00F3118F" w:rsidRPr="00A16F10">
          <w:rPr>
            <w:webHidden/>
          </w:rPr>
          <w:fldChar w:fldCharType="end"/>
        </w:r>
      </w:hyperlink>
    </w:p>
    <w:p w:rsidR="00F3118F" w:rsidRPr="00A16F10" w:rsidRDefault="00A16F10">
      <w:pPr>
        <w:pStyle w:val="TOC1"/>
        <w:rPr>
          <w:rFonts w:asciiTheme="minorHAnsi" w:eastAsiaTheme="minorEastAsia" w:hAnsiTheme="minorHAnsi" w:cstheme="minorBidi"/>
          <w:lang w:eastAsia="fi-FI"/>
        </w:rPr>
      </w:pPr>
      <w:hyperlink w:anchor="_Toc480381004" w:history="1">
        <w:r w:rsidR="00F3118F" w:rsidRPr="00A16F10">
          <w:rPr>
            <w:rStyle w:val="Hyperlink"/>
            <w:b/>
          </w:rPr>
          <w:t>3.</w:t>
        </w:r>
        <w:r w:rsidR="00F3118F" w:rsidRPr="00A16F10">
          <w:rPr>
            <w:rFonts w:asciiTheme="minorHAnsi" w:eastAsiaTheme="minorEastAsia" w:hAnsiTheme="minorHAnsi" w:cstheme="minorBidi"/>
            <w:lang w:eastAsia="fi-FI"/>
          </w:rPr>
          <w:tab/>
        </w:r>
        <w:r w:rsidR="00F3118F" w:rsidRPr="00A16F10">
          <w:rPr>
            <w:rStyle w:val="Hyperlink"/>
            <w:b/>
          </w:rPr>
          <w:t>KASVU JA INNOVOINTI</w:t>
        </w:r>
        <w:r w:rsidR="00F3118F" w:rsidRPr="00A16F10">
          <w:rPr>
            <w:webHidden/>
          </w:rPr>
          <w:tab/>
        </w:r>
        <w:r w:rsidR="00F3118F" w:rsidRPr="00A16F10">
          <w:rPr>
            <w:webHidden/>
          </w:rPr>
          <w:fldChar w:fldCharType="begin"/>
        </w:r>
        <w:r w:rsidR="00F3118F" w:rsidRPr="00A16F10">
          <w:rPr>
            <w:webHidden/>
          </w:rPr>
          <w:instrText xml:space="preserve"> PAGEREF _Toc480381004 \h </w:instrText>
        </w:r>
        <w:r w:rsidR="00F3118F" w:rsidRPr="00A16F10">
          <w:rPr>
            <w:webHidden/>
          </w:rPr>
        </w:r>
        <w:r w:rsidR="00F3118F" w:rsidRPr="00A16F10">
          <w:rPr>
            <w:webHidden/>
          </w:rPr>
          <w:fldChar w:fldCharType="separate"/>
        </w:r>
        <w:r w:rsidR="00F3118F" w:rsidRPr="00A16F10">
          <w:rPr>
            <w:webHidden/>
          </w:rPr>
          <w:t>5</w:t>
        </w:r>
        <w:r w:rsidR="00F3118F" w:rsidRPr="00A16F10">
          <w:rPr>
            <w:webHidden/>
          </w:rPr>
          <w:fldChar w:fldCharType="end"/>
        </w:r>
      </w:hyperlink>
    </w:p>
    <w:p w:rsidR="00F3118F" w:rsidRPr="00A16F10" w:rsidRDefault="00A16F10">
      <w:pPr>
        <w:pStyle w:val="TOC1"/>
        <w:rPr>
          <w:rFonts w:asciiTheme="minorHAnsi" w:eastAsiaTheme="minorEastAsia" w:hAnsiTheme="minorHAnsi" w:cstheme="minorBidi"/>
          <w:lang w:eastAsia="fi-FI"/>
        </w:rPr>
      </w:pPr>
      <w:hyperlink w:anchor="_Toc480381005" w:history="1">
        <w:r w:rsidR="00F3118F" w:rsidRPr="00A16F10">
          <w:rPr>
            <w:rStyle w:val="Hyperlink"/>
            <w:b/>
          </w:rPr>
          <w:t>4.</w:t>
        </w:r>
        <w:r w:rsidR="00F3118F" w:rsidRPr="00A16F10">
          <w:rPr>
            <w:rFonts w:asciiTheme="minorHAnsi" w:eastAsiaTheme="minorEastAsia" w:hAnsiTheme="minorHAnsi" w:cstheme="minorBidi"/>
            <w:lang w:eastAsia="fi-FI"/>
          </w:rPr>
          <w:tab/>
        </w:r>
        <w:r w:rsidR="00F3118F" w:rsidRPr="00A16F10">
          <w:rPr>
            <w:rStyle w:val="Hyperlink"/>
            <w:b/>
          </w:rPr>
          <w:t>TALOUDEN OHJAUS JA HALLINTA / RAHOITUSVÄLINEET / VEROTUS</w:t>
        </w:r>
        <w:r w:rsidR="00F3118F" w:rsidRPr="00A16F10">
          <w:rPr>
            <w:webHidden/>
          </w:rPr>
          <w:tab/>
        </w:r>
        <w:r w:rsidR="00F3118F" w:rsidRPr="00A16F10">
          <w:rPr>
            <w:webHidden/>
          </w:rPr>
          <w:fldChar w:fldCharType="begin"/>
        </w:r>
        <w:r w:rsidR="00F3118F" w:rsidRPr="00A16F10">
          <w:rPr>
            <w:webHidden/>
          </w:rPr>
          <w:instrText xml:space="preserve"> PAGEREF _Toc480381005 \h </w:instrText>
        </w:r>
        <w:r w:rsidR="00F3118F" w:rsidRPr="00A16F10">
          <w:rPr>
            <w:webHidden/>
          </w:rPr>
        </w:r>
        <w:r w:rsidR="00F3118F" w:rsidRPr="00A16F10">
          <w:rPr>
            <w:webHidden/>
          </w:rPr>
          <w:fldChar w:fldCharType="separate"/>
        </w:r>
        <w:r w:rsidR="00F3118F" w:rsidRPr="00A16F10">
          <w:rPr>
            <w:webHidden/>
          </w:rPr>
          <w:t>6</w:t>
        </w:r>
        <w:r w:rsidR="00F3118F" w:rsidRPr="00A16F10">
          <w:rPr>
            <w:webHidden/>
          </w:rPr>
          <w:fldChar w:fldCharType="end"/>
        </w:r>
      </w:hyperlink>
    </w:p>
    <w:p w:rsidR="00F3118F" w:rsidRPr="00A16F10" w:rsidRDefault="00A16F10">
      <w:pPr>
        <w:pStyle w:val="TOC1"/>
        <w:rPr>
          <w:rFonts w:asciiTheme="minorHAnsi" w:eastAsiaTheme="minorEastAsia" w:hAnsiTheme="minorHAnsi" w:cstheme="minorBidi"/>
          <w:lang w:eastAsia="fi-FI"/>
        </w:rPr>
      </w:pPr>
      <w:hyperlink w:anchor="_Toc480381006" w:history="1">
        <w:r w:rsidR="00F3118F" w:rsidRPr="00A16F10">
          <w:rPr>
            <w:rStyle w:val="Hyperlink"/>
            <w:b/>
          </w:rPr>
          <w:t>5.</w:t>
        </w:r>
        <w:r w:rsidR="00F3118F" w:rsidRPr="00A16F10">
          <w:rPr>
            <w:rFonts w:asciiTheme="minorHAnsi" w:eastAsiaTheme="minorEastAsia" w:hAnsiTheme="minorHAnsi" w:cstheme="minorBidi"/>
            <w:lang w:eastAsia="fi-FI"/>
          </w:rPr>
          <w:tab/>
        </w:r>
        <w:r w:rsidR="00F3118F" w:rsidRPr="00A16F10">
          <w:rPr>
            <w:rStyle w:val="Hyperlink"/>
            <w:b/>
          </w:rPr>
          <w:t>TEOLLISUUS / INNOVOINTI</w:t>
        </w:r>
        <w:r w:rsidR="00F3118F" w:rsidRPr="00A16F10">
          <w:rPr>
            <w:webHidden/>
          </w:rPr>
          <w:tab/>
        </w:r>
        <w:r w:rsidR="00F3118F" w:rsidRPr="00A16F10">
          <w:rPr>
            <w:webHidden/>
          </w:rPr>
          <w:fldChar w:fldCharType="begin"/>
        </w:r>
        <w:r w:rsidR="00F3118F" w:rsidRPr="00A16F10">
          <w:rPr>
            <w:webHidden/>
          </w:rPr>
          <w:instrText xml:space="preserve"> PAGEREF _Toc480381006 \h </w:instrText>
        </w:r>
        <w:r w:rsidR="00F3118F" w:rsidRPr="00A16F10">
          <w:rPr>
            <w:webHidden/>
          </w:rPr>
        </w:r>
        <w:r w:rsidR="00F3118F" w:rsidRPr="00A16F10">
          <w:rPr>
            <w:webHidden/>
          </w:rPr>
          <w:fldChar w:fldCharType="separate"/>
        </w:r>
        <w:r w:rsidR="00F3118F" w:rsidRPr="00A16F10">
          <w:rPr>
            <w:webHidden/>
          </w:rPr>
          <w:t>9</w:t>
        </w:r>
        <w:r w:rsidR="00F3118F" w:rsidRPr="00A16F10">
          <w:rPr>
            <w:webHidden/>
          </w:rPr>
          <w:fldChar w:fldCharType="end"/>
        </w:r>
      </w:hyperlink>
    </w:p>
    <w:p w:rsidR="00F3118F" w:rsidRPr="00A16F10" w:rsidRDefault="00A16F10">
      <w:pPr>
        <w:pStyle w:val="TOC1"/>
        <w:rPr>
          <w:rFonts w:asciiTheme="minorHAnsi" w:eastAsiaTheme="minorEastAsia" w:hAnsiTheme="minorHAnsi" w:cstheme="minorBidi"/>
          <w:lang w:eastAsia="fi-FI"/>
        </w:rPr>
      </w:pPr>
      <w:hyperlink w:anchor="_Toc480381007" w:history="1">
        <w:r w:rsidR="00F3118F" w:rsidRPr="00A16F10">
          <w:rPr>
            <w:rStyle w:val="Hyperlink"/>
            <w:b/>
            <w:iCs/>
          </w:rPr>
          <w:t>6.</w:t>
        </w:r>
        <w:r w:rsidR="00F3118F" w:rsidRPr="00A16F10">
          <w:rPr>
            <w:rFonts w:asciiTheme="minorHAnsi" w:eastAsiaTheme="minorEastAsia" w:hAnsiTheme="minorHAnsi" w:cstheme="minorBidi"/>
            <w:lang w:eastAsia="fi-FI"/>
          </w:rPr>
          <w:tab/>
        </w:r>
        <w:r w:rsidR="00F3118F" w:rsidRPr="00A16F10">
          <w:rPr>
            <w:rStyle w:val="Hyperlink"/>
            <w:b/>
          </w:rPr>
          <w:t>SISÄMARKKINAT</w:t>
        </w:r>
        <w:r w:rsidR="00F3118F" w:rsidRPr="00A16F10">
          <w:rPr>
            <w:webHidden/>
          </w:rPr>
          <w:tab/>
        </w:r>
        <w:r w:rsidR="00F3118F" w:rsidRPr="00A16F10">
          <w:rPr>
            <w:webHidden/>
          </w:rPr>
          <w:fldChar w:fldCharType="begin"/>
        </w:r>
        <w:r w:rsidR="00F3118F" w:rsidRPr="00A16F10">
          <w:rPr>
            <w:webHidden/>
          </w:rPr>
          <w:instrText xml:space="preserve"> PAGEREF _Toc480381007 \h </w:instrText>
        </w:r>
        <w:r w:rsidR="00F3118F" w:rsidRPr="00A16F10">
          <w:rPr>
            <w:webHidden/>
          </w:rPr>
        </w:r>
        <w:r w:rsidR="00F3118F" w:rsidRPr="00A16F10">
          <w:rPr>
            <w:webHidden/>
          </w:rPr>
          <w:fldChar w:fldCharType="separate"/>
        </w:r>
        <w:r w:rsidR="00F3118F" w:rsidRPr="00A16F10">
          <w:rPr>
            <w:webHidden/>
          </w:rPr>
          <w:t>11</w:t>
        </w:r>
        <w:r w:rsidR="00F3118F" w:rsidRPr="00A16F10">
          <w:rPr>
            <w:webHidden/>
          </w:rPr>
          <w:fldChar w:fldCharType="end"/>
        </w:r>
      </w:hyperlink>
    </w:p>
    <w:p w:rsidR="00F3118F" w:rsidRPr="00A16F10" w:rsidRDefault="00A16F10">
      <w:pPr>
        <w:pStyle w:val="TOC1"/>
        <w:rPr>
          <w:rFonts w:asciiTheme="minorHAnsi" w:eastAsiaTheme="minorEastAsia" w:hAnsiTheme="minorHAnsi" w:cstheme="minorBidi"/>
          <w:lang w:eastAsia="fi-FI"/>
        </w:rPr>
      </w:pPr>
      <w:hyperlink w:anchor="_Toc480381008" w:history="1">
        <w:r w:rsidR="00F3118F" w:rsidRPr="00A16F10">
          <w:rPr>
            <w:rStyle w:val="Hyperlink"/>
            <w:b/>
            <w:iCs/>
          </w:rPr>
          <w:t>7.</w:t>
        </w:r>
        <w:r w:rsidR="00F3118F" w:rsidRPr="00A16F10">
          <w:rPr>
            <w:rFonts w:asciiTheme="minorHAnsi" w:eastAsiaTheme="minorEastAsia" w:hAnsiTheme="minorHAnsi" w:cstheme="minorBidi"/>
            <w:lang w:eastAsia="fi-FI"/>
          </w:rPr>
          <w:tab/>
        </w:r>
        <w:r w:rsidR="00F3118F" w:rsidRPr="00A16F10">
          <w:rPr>
            <w:rStyle w:val="Hyperlink"/>
            <w:b/>
          </w:rPr>
          <w:t>ULKOSUHTEET</w:t>
        </w:r>
        <w:r w:rsidR="00F3118F" w:rsidRPr="00A16F10">
          <w:rPr>
            <w:webHidden/>
          </w:rPr>
          <w:tab/>
        </w:r>
        <w:r w:rsidR="00F3118F" w:rsidRPr="00A16F10">
          <w:rPr>
            <w:webHidden/>
          </w:rPr>
          <w:fldChar w:fldCharType="begin"/>
        </w:r>
        <w:r w:rsidR="00F3118F" w:rsidRPr="00A16F10">
          <w:rPr>
            <w:webHidden/>
          </w:rPr>
          <w:instrText xml:space="preserve"> PAGEREF _Toc480381008 \h </w:instrText>
        </w:r>
        <w:r w:rsidR="00F3118F" w:rsidRPr="00A16F10">
          <w:rPr>
            <w:webHidden/>
          </w:rPr>
        </w:r>
        <w:r w:rsidR="00F3118F" w:rsidRPr="00A16F10">
          <w:rPr>
            <w:webHidden/>
          </w:rPr>
          <w:fldChar w:fldCharType="separate"/>
        </w:r>
        <w:r w:rsidR="00F3118F" w:rsidRPr="00A16F10">
          <w:rPr>
            <w:webHidden/>
          </w:rPr>
          <w:t>11</w:t>
        </w:r>
        <w:r w:rsidR="00F3118F" w:rsidRPr="00A16F10">
          <w:rPr>
            <w:webHidden/>
          </w:rPr>
          <w:fldChar w:fldCharType="end"/>
        </w:r>
      </w:hyperlink>
    </w:p>
    <w:p w:rsidR="00F3118F" w:rsidRPr="00A16F10" w:rsidRDefault="00A16F10">
      <w:pPr>
        <w:pStyle w:val="TOC1"/>
        <w:rPr>
          <w:rFonts w:asciiTheme="minorHAnsi" w:eastAsiaTheme="minorEastAsia" w:hAnsiTheme="minorHAnsi" w:cstheme="minorBidi"/>
          <w:lang w:eastAsia="fi-FI"/>
        </w:rPr>
      </w:pPr>
      <w:hyperlink w:anchor="_Toc480381009" w:history="1">
        <w:r w:rsidR="00F3118F" w:rsidRPr="00A16F10">
          <w:rPr>
            <w:rStyle w:val="Hyperlink"/>
            <w:b/>
          </w:rPr>
          <w:t>8.</w:t>
        </w:r>
        <w:r w:rsidR="00F3118F" w:rsidRPr="00A16F10">
          <w:rPr>
            <w:rFonts w:asciiTheme="minorHAnsi" w:eastAsiaTheme="minorEastAsia" w:hAnsiTheme="minorHAnsi" w:cstheme="minorBidi"/>
            <w:lang w:eastAsia="fi-FI"/>
          </w:rPr>
          <w:tab/>
        </w:r>
        <w:r w:rsidR="00F3118F" w:rsidRPr="00A16F10">
          <w:rPr>
            <w:rStyle w:val="Hyperlink"/>
            <w:b/>
          </w:rPr>
          <w:t>LIIKENNE</w:t>
        </w:r>
        <w:r w:rsidR="00F3118F" w:rsidRPr="00A16F10">
          <w:rPr>
            <w:webHidden/>
          </w:rPr>
          <w:tab/>
        </w:r>
        <w:r w:rsidR="00F3118F" w:rsidRPr="00A16F10">
          <w:rPr>
            <w:webHidden/>
          </w:rPr>
          <w:fldChar w:fldCharType="begin"/>
        </w:r>
        <w:r w:rsidR="00F3118F" w:rsidRPr="00A16F10">
          <w:rPr>
            <w:webHidden/>
          </w:rPr>
          <w:instrText xml:space="preserve"> PAGEREF _Toc480381009 \h </w:instrText>
        </w:r>
        <w:r w:rsidR="00F3118F" w:rsidRPr="00A16F10">
          <w:rPr>
            <w:webHidden/>
          </w:rPr>
        </w:r>
        <w:r w:rsidR="00F3118F" w:rsidRPr="00A16F10">
          <w:rPr>
            <w:webHidden/>
          </w:rPr>
          <w:fldChar w:fldCharType="separate"/>
        </w:r>
        <w:r w:rsidR="00F3118F" w:rsidRPr="00A16F10">
          <w:rPr>
            <w:webHidden/>
          </w:rPr>
          <w:t>14</w:t>
        </w:r>
        <w:r w:rsidR="00F3118F" w:rsidRPr="00A16F10">
          <w:rPr>
            <w:webHidden/>
          </w:rPr>
          <w:fldChar w:fldCharType="end"/>
        </w:r>
      </w:hyperlink>
    </w:p>
    <w:p w:rsidR="00AC59A5" w:rsidRPr="00A16F10" w:rsidRDefault="00F3118F" w:rsidP="000D2F9C">
      <w:pPr>
        <w:pStyle w:val="TOC1"/>
        <w:rPr>
          <w:rFonts w:eastAsiaTheme="minorEastAsia"/>
        </w:rPr>
      </w:pPr>
      <w:r w:rsidRPr="00A16F10">
        <w:rPr>
          <w:rFonts w:eastAsiaTheme="minorEastAsia"/>
        </w:rPr>
        <w:fldChar w:fldCharType="end"/>
      </w:r>
    </w:p>
    <w:p w:rsidR="008405A0" w:rsidRPr="00A16F10" w:rsidRDefault="008405A0" w:rsidP="000D2F9C">
      <w:r w:rsidRPr="00A16F10">
        <w:br w:type="page"/>
      </w:r>
    </w:p>
    <w:p w:rsidR="00421682" w:rsidRPr="00A16F10" w:rsidRDefault="00421682" w:rsidP="000D2F9C">
      <w:bookmarkStart w:id="1" w:name="_Toc477938708"/>
      <w:r w:rsidRPr="00A16F10">
        <w:lastRenderedPageBreak/>
        <w:t>Maaliskuun 29. ja 30. päivänä 2017 pidettyyn täysistuntoon osallistuivat kauppapolitiikasta vastaava komission jäsen Cecilia Malmström ja aluepolitiikasta vastaava komission jäsen Corina Crețu.</w:t>
      </w:r>
    </w:p>
    <w:p w:rsidR="00421682" w:rsidRPr="00A16F10" w:rsidRDefault="00421682" w:rsidP="000D2F9C"/>
    <w:p w:rsidR="00421682" w:rsidRPr="00A16F10" w:rsidRDefault="00421682" w:rsidP="000D2F9C">
      <w:r w:rsidRPr="00A16F10">
        <w:t>Täysistunnossa hyväksyttiin seuraavat lausunnot:</w:t>
      </w:r>
    </w:p>
    <w:p w:rsidR="00421682" w:rsidRPr="00A16F10" w:rsidRDefault="00421682" w:rsidP="000D2F9C"/>
    <w:p w:rsidR="000D2F9C" w:rsidRPr="00A16F10" w:rsidRDefault="000D2F9C" w:rsidP="000D2F9C"/>
    <w:p w:rsidR="003075E1" w:rsidRPr="00A16F10" w:rsidRDefault="004C07BF" w:rsidP="000D2F9C">
      <w:pPr>
        <w:pStyle w:val="Heading1"/>
        <w:ind w:left="0" w:firstLine="0"/>
        <w:rPr>
          <w:b/>
        </w:rPr>
      </w:pPr>
      <w:r w:rsidRPr="00A16F10">
        <w:tab/>
      </w:r>
      <w:bookmarkStart w:id="2" w:name="_Toc480374750"/>
      <w:bookmarkStart w:id="3" w:name="_Toc480381002"/>
      <w:r w:rsidRPr="00A16F10">
        <w:rPr>
          <w:b/>
        </w:rPr>
        <w:t>SOSIAALIASIAT</w:t>
      </w:r>
      <w:bookmarkEnd w:id="1"/>
      <w:bookmarkEnd w:id="2"/>
      <w:bookmarkEnd w:id="3"/>
    </w:p>
    <w:p w:rsidR="004C07BF" w:rsidRPr="00A16F10" w:rsidRDefault="004C07BF" w:rsidP="000D2F9C">
      <w:pPr>
        <w:rPr>
          <w:highlight w:val="yellow"/>
        </w:rPr>
      </w:pPr>
    </w:p>
    <w:p w:rsidR="00632738" w:rsidRPr="00A16F10" w:rsidRDefault="00632738" w:rsidP="000D2F9C">
      <w:pPr>
        <w:widowControl w:val="0"/>
        <w:numPr>
          <w:ilvl w:val="0"/>
          <w:numId w:val="2"/>
        </w:numPr>
        <w:overflowPunct w:val="0"/>
        <w:autoSpaceDE w:val="0"/>
        <w:autoSpaceDN w:val="0"/>
        <w:adjustRightInd w:val="0"/>
        <w:textAlignment w:val="baseline"/>
        <w:rPr>
          <w:b/>
          <w:bCs/>
          <w:i/>
          <w:iCs/>
          <w:sz w:val="28"/>
          <w:szCs w:val="28"/>
        </w:rPr>
      </w:pPr>
      <w:r w:rsidRPr="00A16F10">
        <w:rPr>
          <w:b/>
          <w:i/>
          <w:sz w:val="28"/>
        </w:rPr>
        <w:t>Eurofound-, Cedefop- &amp; EU-OSHA-asetukset</w:t>
      </w:r>
    </w:p>
    <w:p w:rsidR="00632738" w:rsidRPr="00A16F10" w:rsidRDefault="00632738" w:rsidP="000D2F9C">
      <w:pPr>
        <w:overflowPunct w:val="0"/>
        <w:autoSpaceDE w:val="0"/>
        <w:autoSpaceDN w:val="0"/>
        <w:adjustRightInd w:val="0"/>
        <w:ind w:left="-567" w:firstLine="17"/>
        <w:textAlignment w:val="baseline"/>
        <w:rPr>
          <w:szCs w:val="20"/>
          <w:highlight w:val="yellow"/>
        </w:rPr>
      </w:pPr>
    </w:p>
    <w:p w:rsidR="00632738" w:rsidRPr="00A16F10" w:rsidRDefault="00632738" w:rsidP="000D2F9C">
      <w:pPr>
        <w:overflowPunct w:val="0"/>
        <w:autoSpaceDE w:val="0"/>
        <w:autoSpaceDN w:val="0"/>
        <w:adjustRightInd w:val="0"/>
        <w:textAlignment w:val="baseline"/>
      </w:pPr>
      <w:r w:rsidRPr="00A16F10">
        <w:rPr>
          <w:b/>
        </w:rPr>
        <w:t>Esittelijä:</w:t>
      </w:r>
      <w:r w:rsidRPr="00A16F10">
        <w:t xml:space="preserve"> </w:t>
      </w:r>
      <w:r w:rsidRPr="00A16F10">
        <w:tab/>
      </w:r>
      <w:r w:rsidR="00743670" w:rsidRPr="00A16F10">
        <w:tab/>
      </w:r>
      <w:r w:rsidRPr="00A16F10">
        <w:t>Christa SCHWENG (työnantajat – AT)</w:t>
      </w:r>
    </w:p>
    <w:p w:rsidR="00632738" w:rsidRPr="00A16F10" w:rsidRDefault="00632738" w:rsidP="000D2F9C">
      <w:pPr>
        <w:overflowPunct w:val="0"/>
        <w:autoSpaceDE w:val="0"/>
        <w:autoSpaceDN w:val="0"/>
        <w:adjustRightInd w:val="0"/>
        <w:ind w:left="-5"/>
        <w:textAlignment w:val="baseline"/>
        <w:rPr>
          <w:b/>
          <w:bCs/>
          <w:szCs w:val="20"/>
        </w:rPr>
      </w:pPr>
      <w:r w:rsidRPr="00A16F10">
        <w:rPr>
          <w:b/>
        </w:rPr>
        <w:t>Toinen esittelijä:</w:t>
      </w:r>
      <w:r w:rsidRPr="00A16F10">
        <w:tab/>
        <w:t>Giulia BARBUCCI (IT–II)</w:t>
      </w:r>
    </w:p>
    <w:p w:rsidR="00632738" w:rsidRPr="00A16F10" w:rsidRDefault="00632738" w:rsidP="000D2F9C">
      <w:pPr>
        <w:overflowPunct w:val="0"/>
        <w:autoSpaceDE w:val="0"/>
        <w:autoSpaceDN w:val="0"/>
        <w:adjustRightInd w:val="0"/>
        <w:ind w:left="-5"/>
        <w:textAlignment w:val="baseline"/>
        <w:rPr>
          <w:szCs w:val="20"/>
        </w:rPr>
      </w:pPr>
    </w:p>
    <w:p w:rsidR="00632738" w:rsidRPr="00A16F10" w:rsidRDefault="007E6D4A" w:rsidP="000D2F9C">
      <w:pPr>
        <w:tabs>
          <w:tab w:val="left" w:pos="1701"/>
        </w:tabs>
        <w:overflowPunct w:val="0"/>
        <w:autoSpaceDE w:val="0"/>
        <w:autoSpaceDN w:val="0"/>
        <w:adjustRightInd w:val="0"/>
        <w:ind w:left="-5"/>
        <w:textAlignment w:val="baseline"/>
        <w:rPr>
          <w:szCs w:val="20"/>
        </w:rPr>
      </w:pPr>
      <w:r w:rsidRPr="00A16F10">
        <w:rPr>
          <w:b/>
        </w:rPr>
        <w:t>Viiteasiakirja:</w:t>
      </w:r>
      <w:r w:rsidRPr="00A16F10">
        <w:tab/>
        <w:t>EESC-2016-05685-00-00-AS-TRA</w:t>
      </w:r>
    </w:p>
    <w:p w:rsidR="00632738" w:rsidRPr="00A16F10" w:rsidRDefault="00632738" w:rsidP="000D2F9C">
      <w:pPr>
        <w:tabs>
          <w:tab w:val="left" w:pos="0"/>
        </w:tabs>
        <w:overflowPunct w:val="0"/>
        <w:autoSpaceDE w:val="0"/>
        <w:autoSpaceDN w:val="0"/>
        <w:adjustRightInd w:val="0"/>
        <w:ind w:left="364" w:hanging="369"/>
        <w:textAlignment w:val="baseline"/>
        <w:rPr>
          <w:szCs w:val="20"/>
        </w:rPr>
      </w:pPr>
    </w:p>
    <w:p w:rsidR="00632738" w:rsidRPr="00A16F10" w:rsidRDefault="00632738" w:rsidP="000D2F9C">
      <w:pPr>
        <w:overflowPunct w:val="0"/>
        <w:autoSpaceDE w:val="0"/>
        <w:autoSpaceDN w:val="0"/>
        <w:adjustRightInd w:val="0"/>
        <w:ind w:left="-5"/>
        <w:textAlignment w:val="baseline"/>
        <w:rPr>
          <w:b/>
          <w:szCs w:val="20"/>
        </w:rPr>
      </w:pPr>
      <w:r w:rsidRPr="00A16F10">
        <w:rPr>
          <w:b/>
        </w:rPr>
        <w:t>Keskeiset kohdat:</w:t>
      </w:r>
    </w:p>
    <w:p w:rsidR="00632738" w:rsidRPr="00A16F10" w:rsidRDefault="00632738" w:rsidP="000D2F9C">
      <w:pPr>
        <w:overflowPunct w:val="0"/>
        <w:autoSpaceDE w:val="0"/>
        <w:autoSpaceDN w:val="0"/>
        <w:adjustRightInd w:val="0"/>
        <w:ind w:left="-5"/>
        <w:textAlignment w:val="baseline"/>
        <w:rPr>
          <w:b/>
          <w:szCs w:val="20"/>
        </w:rPr>
      </w:pPr>
    </w:p>
    <w:p w:rsidR="00C66947" w:rsidRPr="00A16F10" w:rsidRDefault="00C66947" w:rsidP="000D2F9C">
      <w:pPr>
        <w:overflowPunct w:val="0"/>
        <w:autoSpaceDE w:val="0"/>
        <w:autoSpaceDN w:val="0"/>
        <w:adjustRightInd w:val="0"/>
        <w:ind w:left="-5"/>
        <w:textAlignment w:val="baseline"/>
      </w:pPr>
      <w:r w:rsidRPr="00A16F10">
        <w:t>ETSK esittää Eurofound-, Cedefop- ja EU-OSHA-virastojen perustamisasetusten tarkistamisen yhteydessä kantansa kyseisten elinten hallinnoinnin yleisperiaatteista sekä tuo esiin kutakin virastoa koskevia erityishuomioita.</w:t>
      </w:r>
    </w:p>
    <w:p w:rsidR="0089563A" w:rsidRPr="00A16F10" w:rsidRDefault="0089563A" w:rsidP="000D2F9C">
      <w:pPr>
        <w:overflowPunct w:val="0"/>
        <w:autoSpaceDE w:val="0"/>
        <w:autoSpaceDN w:val="0"/>
        <w:adjustRightInd w:val="0"/>
        <w:textAlignment w:val="baseline"/>
        <w:rPr>
          <w:b/>
          <w:szCs w:val="20"/>
        </w:rPr>
      </w:pPr>
    </w:p>
    <w:p w:rsidR="00632738" w:rsidRPr="00A16F10" w:rsidRDefault="00632738" w:rsidP="000D2F9C">
      <w:pPr>
        <w:numPr>
          <w:ilvl w:val="0"/>
          <w:numId w:val="27"/>
        </w:numPr>
        <w:tabs>
          <w:tab w:val="clear" w:pos="850"/>
        </w:tabs>
        <w:overflowPunct w:val="0"/>
        <w:autoSpaceDE w:val="0"/>
        <w:autoSpaceDN w:val="0"/>
        <w:adjustRightInd w:val="0"/>
        <w:ind w:left="567" w:hanging="567"/>
        <w:textAlignment w:val="baseline"/>
        <w:outlineLvl w:val="1"/>
        <w:rPr>
          <w:szCs w:val="20"/>
        </w:rPr>
      </w:pPr>
      <w:r w:rsidRPr="00A16F10">
        <w:t>Komitea suhtautuu erittäin myönteisesti siihen, että hallintoneuvoston tasapainoinen, kolmikantainen rakenne aiotaan säilyttää. Komitean mielestä kolmikantaisuus on osoitus osallistavasta lähestymistavasta, jossa kunnioitetaan työmarkkinaosapuolten tärkeää roolia yhteisten ratkaisujen hakemisessa.</w:t>
      </w:r>
    </w:p>
    <w:p w:rsidR="004C07BF" w:rsidRPr="00A16F10" w:rsidRDefault="004C07BF" w:rsidP="000D2F9C">
      <w:pPr>
        <w:overflowPunct w:val="0"/>
        <w:autoSpaceDE w:val="0"/>
        <w:autoSpaceDN w:val="0"/>
        <w:adjustRightInd w:val="0"/>
        <w:textAlignment w:val="baseline"/>
        <w:rPr>
          <w:b/>
          <w:szCs w:val="20"/>
        </w:rPr>
      </w:pPr>
    </w:p>
    <w:p w:rsidR="00632738" w:rsidRPr="00A16F10" w:rsidRDefault="00632738" w:rsidP="000D2F9C">
      <w:pPr>
        <w:numPr>
          <w:ilvl w:val="0"/>
          <w:numId w:val="27"/>
        </w:numPr>
        <w:tabs>
          <w:tab w:val="clear" w:pos="850"/>
        </w:tabs>
        <w:overflowPunct w:val="0"/>
        <w:autoSpaceDE w:val="0"/>
        <w:autoSpaceDN w:val="0"/>
        <w:adjustRightInd w:val="0"/>
        <w:ind w:left="567" w:hanging="567"/>
        <w:textAlignment w:val="baseline"/>
        <w:outlineLvl w:val="1"/>
        <w:rPr>
          <w:szCs w:val="20"/>
        </w:rPr>
      </w:pPr>
      <w:r w:rsidRPr="00A16F10">
        <w:t>ETSK katsoo, että tarkastelun kohteena olevien kolmen viraston yleiset tavoitteet olisi määriteltävä yhdenmukaisesti ja kattavammin seuraavasti: ”Tavoitteena on tukea kaikkien EU:n toimielinten ja elinten, jäsenvaltioiden ja työmarkkinaosapuolten tarpeita”.</w:t>
      </w:r>
    </w:p>
    <w:p w:rsidR="004C07BF" w:rsidRPr="00A16F10" w:rsidRDefault="004C07BF" w:rsidP="000D2F9C">
      <w:pPr>
        <w:overflowPunct w:val="0"/>
        <w:autoSpaceDE w:val="0"/>
        <w:autoSpaceDN w:val="0"/>
        <w:adjustRightInd w:val="0"/>
        <w:ind w:left="-567" w:firstLine="567"/>
        <w:textAlignment w:val="baseline"/>
        <w:rPr>
          <w:b/>
          <w:szCs w:val="20"/>
        </w:rPr>
      </w:pPr>
    </w:p>
    <w:p w:rsidR="00632738" w:rsidRPr="00A16F10" w:rsidRDefault="00632738" w:rsidP="000D2F9C">
      <w:pPr>
        <w:numPr>
          <w:ilvl w:val="0"/>
          <w:numId w:val="27"/>
        </w:numPr>
        <w:tabs>
          <w:tab w:val="clear" w:pos="850"/>
        </w:tabs>
        <w:overflowPunct w:val="0"/>
        <w:autoSpaceDE w:val="0"/>
        <w:autoSpaceDN w:val="0"/>
        <w:adjustRightInd w:val="0"/>
        <w:ind w:left="567" w:hanging="567"/>
        <w:textAlignment w:val="baseline"/>
        <w:outlineLvl w:val="1"/>
        <w:rPr>
          <w:szCs w:val="20"/>
        </w:rPr>
      </w:pPr>
      <w:r w:rsidRPr="00A16F10">
        <w:t>ETSK kannattaa sitä, että henkilöstön nimittämiseen ja kunkin viraston sisäisten rakenteiden muuttamiseen liittyvät valtuudet ovat jatkossakin kunkin viraston johtajalla.</w:t>
      </w:r>
    </w:p>
    <w:p w:rsidR="004C07BF" w:rsidRPr="00A16F10" w:rsidRDefault="004C07BF" w:rsidP="000D2F9C">
      <w:pPr>
        <w:overflowPunct w:val="0"/>
        <w:autoSpaceDE w:val="0"/>
        <w:autoSpaceDN w:val="0"/>
        <w:adjustRightInd w:val="0"/>
        <w:textAlignment w:val="baseline"/>
        <w:rPr>
          <w:b/>
          <w:szCs w:val="20"/>
        </w:rPr>
      </w:pPr>
    </w:p>
    <w:p w:rsidR="00632738" w:rsidRPr="00A16F10" w:rsidRDefault="00632738" w:rsidP="000D2F9C">
      <w:pPr>
        <w:numPr>
          <w:ilvl w:val="0"/>
          <w:numId w:val="27"/>
        </w:numPr>
        <w:tabs>
          <w:tab w:val="clear" w:pos="850"/>
        </w:tabs>
        <w:overflowPunct w:val="0"/>
        <w:autoSpaceDE w:val="0"/>
        <w:autoSpaceDN w:val="0"/>
        <w:adjustRightInd w:val="0"/>
        <w:ind w:left="567" w:hanging="567"/>
        <w:textAlignment w:val="baseline"/>
        <w:outlineLvl w:val="1"/>
        <w:rPr>
          <w:szCs w:val="20"/>
        </w:rPr>
      </w:pPr>
      <w:r w:rsidRPr="00A16F10">
        <w:t>Komitea vastustaa johtokunnan jäsenmäärän pienentämistä, sillä siitä on haittaa puheenjohtajan tointa kulloinkin hoitavalle eturyhmälle, koska sillä ei ole muuta edustajaa johtokunnassa.</w:t>
      </w:r>
    </w:p>
    <w:p w:rsidR="004C07BF" w:rsidRPr="00A16F10" w:rsidRDefault="004C07BF" w:rsidP="000D2F9C">
      <w:pPr>
        <w:overflowPunct w:val="0"/>
        <w:autoSpaceDE w:val="0"/>
        <w:autoSpaceDN w:val="0"/>
        <w:adjustRightInd w:val="0"/>
        <w:textAlignment w:val="baseline"/>
        <w:rPr>
          <w:b/>
          <w:szCs w:val="20"/>
        </w:rPr>
      </w:pPr>
    </w:p>
    <w:p w:rsidR="00632738" w:rsidRPr="00A16F10" w:rsidRDefault="00632738" w:rsidP="000D2F9C">
      <w:pPr>
        <w:numPr>
          <w:ilvl w:val="0"/>
          <w:numId w:val="27"/>
        </w:numPr>
        <w:tabs>
          <w:tab w:val="clear" w:pos="850"/>
        </w:tabs>
        <w:overflowPunct w:val="0"/>
        <w:autoSpaceDE w:val="0"/>
        <w:autoSpaceDN w:val="0"/>
        <w:adjustRightInd w:val="0"/>
        <w:ind w:left="567" w:hanging="567"/>
        <w:textAlignment w:val="baseline"/>
        <w:outlineLvl w:val="1"/>
        <w:rPr>
          <w:szCs w:val="20"/>
        </w:rPr>
      </w:pPr>
      <w:r w:rsidRPr="00A16F10">
        <w:t>ETSK suhtautuu myönteisesti pääjohtajan nimittämistä koskevaan yhdenmukaistettuun lähestymistapaan, joka myötäilee EU-OSHAn kohdalla noudatettavaa lähestymistapaa.</w:t>
      </w:r>
    </w:p>
    <w:p w:rsidR="004C07BF" w:rsidRPr="00A16F10" w:rsidRDefault="004C07BF" w:rsidP="000D2F9C">
      <w:pPr>
        <w:overflowPunct w:val="0"/>
        <w:autoSpaceDE w:val="0"/>
        <w:autoSpaceDN w:val="0"/>
        <w:adjustRightInd w:val="0"/>
        <w:ind w:left="-567"/>
        <w:textAlignment w:val="baseline"/>
        <w:outlineLvl w:val="1"/>
        <w:rPr>
          <w:szCs w:val="20"/>
        </w:rPr>
      </w:pPr>
    </w:p>
    <w:p w:rsidR="00632738" w:rsidRPr="00A16F10" w:rsidRDefault="00632738" w:rsidP="000D2F9C">
      <w:pPr>
        <w:overflowPunct w:val="0"/>
        <w:autoSpaceDE w:val="0"/>
        <w:autoSpaceDN w:val="0"/>
        <w:adjustRightInd w:val="0"/>
        <w:ind w:left="-5"/>
        <w:textAlignment w:val="baseline"/>
        <w:rPr>
          <w:b/>
          <w:szCs w:val="20"/>
        </w:rPr>
      </w:pPr>
      <w:r w:rsidRPr="00A16F10">
        <w:t>ETSK on vakuuttunut siitä, että apulaisjohtajan toimi on osoittautunut hyödylliseksi ja että se tulisi säilyttää siellä, missä sellainen on. Koska nykyiset erilaiset käytännöt toimivat hyvin, komitea vaatii tiettyä joustoa näiden kolmen viraston kohdalla.</w:t>
      </w:r>
    </w:p>
    <w:p w:rsidR="00632738" w:rsidRPr="00A16F10" w:rsidRDefault="00632738" w:rsidP="000D2F9C">
      <w:pPr>
        <w:overflowPunct w:val="0"/>
        <w:autoSpaceDE w:val="0"/>
        <w:autoSpaceDN w:val="0"/>
        <w:adjustRightInd w:val="0"/>
        <w:ind w:left="-5"/>
        <w:textAlignment w:val="baseline"/>
        <w:rPr>
          <w:b/>
          <w:szCs w:val="20"/>
        </w:rPr>
      </w:pPr>
    </w:p>
    <w:p w:rsidR="00632738" w:rsidRPr="00A16F10" w:rsidRDefault="00632738" w:rsidP="000D2F9C">
      <w:pPr>
        <w:tabs>
          <w:tab w:val="left" w:pos="770"/>
        </w:tabs>
        <w:overflowPunct w:val="0"/>
        <w:autoSpaceDE w:val="0"/>
        <w:autoSpaceDN w:val="0"/>
        <w:adjustRightInd w:val="0"/>
        <w:textAlignment w:val="baseline"/>
        <w:rPr>
          <w:i/>
          <w:iCs/>
        </w:rPr>
      </w:pPr>
      <w:r w:rsidRPr="00A16F10">
        <w:rPr>
          <w:b/>
          <w:i/>
        </w:rPr>
        <w:t>Yhteyshenkilö</w:t>
      </w:r>
      <w:r w:rsidRPr="00A16F10">
        <w:t>:</w:t>
      </w:r>
      <w:r w:rsidR="00743670" w:rsidRPr="00A16F10">
        <w:tab/>
      </w:r>
      <w:r w:rsidRPr="00A16F10">
        <w:rPr>
          <w:i/>
        </w:rPr>
        <w:t>Ana Dumitrache</w:t>
      </w:r>
    </w:p>
    <w:p w:rsidR="00C1115F" w:rsidRPr="00A16F10" w:rsidRDefault="00743670" w:rsidP="000D2F9C">
      <w:pPr>
        <w:tabs>
          <w:tab w:val="left" w:pos="1134"/>
        </w:tabs>
        <w:overflowPunct w:val="0"/>
        <w:autoSpaceDE w:val="0"/>
        <w:autoSpaceDN w:val="0"/>
        <w:adjustRightInd w:val="0"/>
        <w:ind w:left="1134"/>
        <w:rPr>
          <w:iCs/>
        </w:rPr>
      </w:pPr>
      <w:r w:rsidRPr="00A16F10">
        <w:rPr>
          <w:i/>
        </w:rPr>
        <w:tab/>
      </w:r>
      <w:r w:rsidR="00632738" w:rsidRPr="00A16F10">
        <w:rPr>
          <w:i/>
        </w:rPr>
        <w:t xml:space="preserve">(P. +32 25468131 – sähköposti: </w:t>
      </w:r>
      <w:hyperlink r:id="rId22" w:history="1">
        <w:r w:rsidR="00632738" w:rsidRPr="00A16F10">
          <w:rPr>
            <w:rStyle w:val="Hyperlink"/>
            <w:i/>
          </w:rPr>
          <w:t>ana.dumitrache@eesc.europa.eu</w:t>
        </w:r>
      </w:hyperlink>
      <w:r w:rsidR="00632738" w:rsidRPr="00A16F10">
        <w:rPr>
          <w:i/>
        </w:rPr>
        <w:t>)</w:t>
      </w:r>
    </w:p>
    <w:p w:rsidR="003A4AB8" w:rsidRPr="00A16F10" w:rsidRDefault="003A4AB8" w:rsidP="000D2F9C">
      <w:pPr>
        <w:overflowPunct w:val="0"/>
        <w:autoSpaceDE w:val="0"/>
        <w:autoSpaceDN w:val="0"/>
        <w:adjustRightInd w:val="0"/>
        <w:rPr>
          <w:iCs/>
        </w:rPr>
      </w:pPr>
    </w:p>
    <w:p w:rsidR="00C1115F" w:rsidRPr="00A16F10" w:rsidRDefault="00C1115F" w:rsidP="000D2F9C">
      <w:pPr>
        <w:rPr>
          <w:iCs/>
        </w:rPr>
      </w:pPr>
    </w:p>
    <w:p w:rsidR="00E6566F" w:rsidRPr="00A16F10" w:rsidRDefault="00E6566F" w:rsidP="000D2F9C">
      <w:pPr>
        <w:pStyle w:val="Heading1"/>
        <w:rPr>
          <w:b/>
        </w:rPr>
      </w:pPr>
      <w:bookmarkStart w:id="4" w:name="_Toc477938709"/>
      <w:bookmarkStart w:id="5" w:name="_Toc480374751"/>
      <w:bookmarkStart w:id="6" w:name="_Toc480381003"/>
      <w:r w:rsidRPr="00A16F10">
        <w:rPr>
          <w:b/>
        </w:rPr>
        <w:t>KULUTTAJA-ASIAT / SOSIAALIASIAT</w:t>
      </w:r>
      <w:bookmarkEnd w:id="4"/>
      <w:bookmarkEnd w:id="5"/>
      <w:bookmarkEnd w:id="6"/>
    </w:p>
    <w:p w:rsidR="004C07BF" w:rsidRPr="00A16F10" w:rsidRDefault="004C07BF" w:rsidP="000D2F9C">
      <w:pPr>
        <w:ind w:left="-567"/>
        <w:rPr>
          <w:i/>
          <w:iCs/>
        </w:rPr>
      </w:pPr>
    </w:p>
    <w:p w:rsidR="00632738" w:rsidRPr="00A16F10" w:rsidRDefault="00632738" w:rsidP="000D2F9C">
      <w:pPr>
        <w:numPr>
          <w:ilvl w:val="0"/>
          <w:numId w:val="2"/>
        </w:numPr>
        <w:contextualSpacing/>
        <w:rPr>
          <w:b/>
          <w:bCs/>
          <w:i/>
          <w:iCs/>
          <w:sz w:val="28"/>
          <w:szCs w:val="28"/>
        </w:rPr>
      </w:pPr>
      <w:r w:rsidRPr="00A16F10">
        <w:rPr>
          <w:b/>
          <w:i/>
          <w:sz w:val="28"/>
        </w:rPr>
        <w:t>Tislatut alkoholijuomat</w:t>
      </w:r>
    </w:p>
    <w:p w:rsidR="00632738" w:rsidRPr="00A16F10" w:rsidRDefault="00632738" w:rsidP="000D2F9C">
      <w:pPr>
        <w:rPr>
          <w:b/>
          <w:bCs/>
          <w:i/>
          <w:iCs/>
        </w:rPr>
      </w:pPr>
    </w:p>
    <w:p w:rsidR="00632738" w:rsidRPr="00A16F10" w:rsidRDefault="00632738" w:rsidP="000D2F9C">
      <w:r w:rsidRPr="00A16F10">
        <w:rPr>
          <w:b/>
        </w:rPr>
        <w:t>Esittelijä:</w:t>
      </w:r>
      <w:r w:rsidRPr="00A16F10">
        <w:tab/>
      </w:r>
      <w:r w:rsidR="00743670" w:rsidRPr="00A16F10">
        <w:tab/>
      </w:r>
      <w:r w:rsidRPr="00A16F10">
        <w:t>Peter Schmidt (työntekijät – DE)</w:t>
      </w:r>
    </w:p>
    <w:p w:rsidR="00632738" w:rsidRPr="00A16F10" w:rsidRDefault="00632738" w:rsidP="000D2F9C"/>
    <w:p w:rsidR="00632738" w:rsidRPr="00A16F10" w:rsidRDefault="007E6D4A" w:rsidP="000D2F9C">
      <w:pPr>
        <w:tabs>
          <w:tab w:val="left" w:pos="1701"/>
        </w:tabs>
        <w:ind w:left="-5"/>
        <w:rPr>
          <w:bCs/>
        </w:rPr>
      </w:pPr>
      <w:r w:rsidRPr="00A16F10">
        <w:rPr>
          <w:b/>
        </w:rPr>
        <w:t>Viiteasiakirjat:</w:t>
      </w:r>
      <w:r w:rsidRPr="00A16F10">
        <w:tab/>
        <w:t>COM(2016) 750 final – 2016-392-COD</w:t>
      </w:r>
    </w:p>
    <w:p w:rsidR="00632738" w:rsidRPr="00A16F10" w:rsidRDefault="00632738" w:rsidP="000D2F9C">
      <w:pPr>
        <w:ind w:left="1701"/>
      </w:pPr>
      <w:r w:rsidRPr="00A16F10">
        <w:t>EESC-2017-00058-00-00-AS-TRA</w:t>
      </w:r>
    </w:p>
    <w:p w:rsidR="00632738" w:rsidRPr="00A16F10" w:rsidRDefault="00632738" w:rsidP="000D2F9C">
      <w:pPr>
        <w:ind w:left="-5"/>
      </w:pPr>
    </w:p>
    <w:p w:rsidR="00632738" w:rsidRPr="00A16F10" w:rsidRDefault="00632738" w:rsidP="000D2F9C">
      <w:pPr>
        <w:rPr>
          <w:b/>
          <w:iCs/>
          <w:highlight w:val="yellow"/>
          <w:u w:val="single"/>
        </w:rPr>
      </w:pPr>
      <w:r w:rsidRPr="00A16F10">
        <w:rPr>
          <w:b/>
        </w:rPr>
        <w:t>Keskeiset kohdat:</w:t>
      </w:r>
    </w:p>
    <w:p w:rsidR="004C07BF" w:rsidRPr="00A16F10" w:rsidRDefault="004C07BF" w:rsidP="000D2F9C">
      <w:pPr>
        <w:ind w:left="-567"/>
        <w:rPr>
          <w:b/>
          <w:iCs/>
          <w:highlight w:val="yellow"/>
        </w:rPr>
      </w:pPr>
    </w:p>
    <w:p w:rsidR="00632738" w:rsidRPr="00A16F10" w:rsidRDefault="00632738" w:rsidP="000D2F9C">
      <w:pPr>
        <w:outlineLvl w:val="1"/>
      </w:pPr>
      <w:r w:rsidRPr="00A16F10">
        <w:t>ETSK pitää tervetulleena komission aloitetta yhdenmukaistaa voimassa oleva tislattuja alkoholijuomia koskeva oikeudellinen kehys EU:n toiminnasta tehdyn sopimuksen (SEUT) kanssa ja saattaa lainsäädäntö EU:n uusien oikeudellisten välineiden mukaiseksi. Tämä koskee esimerkiksi elintarviketietojen antamista kuluttajille ja maataloustuotteiden ja elintarvikkeiden laatujärjestelmiä. ETSK kannattaa erityisesti kytkösten vahvistamista maataloussektorin kanssa. Tämä side on ratkaisevan tärkeä EU:ssa tuotettujen tislattujen alkoholijuomien laadun ja maineen kannalta.</w:t>
      </w:r>
    </w:p>
    <w:p w:rsidR="00632738" w:rsidRPr="00A16F10" w:rsidRDefault="00632738" w:rsidP="000D2F9C">
      <w:pPr>
        <w:outlineLvl w:val="1"/>
      </w:pPr>
    </w:p>
    <w:p w:rsidR="00632738" w:rsidRPr="00A16F10" w:rsidRDefault="00632738" w:rsidP="000D2F9C">
      <w:pPr>
        <w:outlineLvl w:val="1"/>
      </w:pPr>
      <w:r w:rsidRPr="00A16F10">
        <w:t>ETSK tiedostaa yhdenmukaistamistoimen mutkikkuuden ja pitää tervetulleena selvennyksiä ja parannuksia, jotka on toteutettu sellaisilla aloilla kuin yhdistettyjä ilmaisuja, viittauksia ja tislattujen alkoholijuomien sekoituksia koskevat merkintäsäännöt ja raaka-aineiden alkuperän vapaaehtoinen merkintä. Maantieteellisten merkintöjen osalta ETSK pitää tervetulleena järjestelmän sääntöjen ja menettelyiden selkeyttämistä sekä perinteille ja paikalliselle/alueelliselle tuotannolle annettua arvoa.</w:t>
      </w:r>
    </w:p>
    <w:p w:rsidR="00632738" w:rsidRPr="00A16F10" w:rsidRDefault="00632738" w:rsidP="000D2F9C">
      <w:pPr>
        <w:outlineLvl w:val="1"/>
      </w:pPr>
    </w:p>
    <w:p w:rsidR="00632738" w:rsidRPr="00A16F10" w:rsidRDefault="00632738" w:rsidP="000D2F9C">
      <w:pPr>
        <w:outlineLvl w:val="1"/>
      </w:pPr>
      <w:r w:rsidRPr="00A16F10">
        <w:t>ETSK pitää tärkeänä säilyttää tislattujen alkoholijuomien alan nykyinen suojelutaso, jotta voidaan taata, että lisäarvo ja työpaikat pysyvät Euroopassa. Ratkaiseva tekijä on paikka, jossa tuote on tislattu ja valmistettu. Terminologiaan tehdyt muutokset eivät saa tarkoittaa merkittäviä muutoksia alalle. Esittelyyn ja merkintöihin viitaten komitea ehdottaa tarkasteltavana olevaan ehdotukseen tiettyjä parannuksia, esimerkiksi mitä tulee "jäljitteleviin aromeihin" liittyvien mahdollisten väärien tietojen antamisen ja väärinkäsitysten välttämiseen, sillä kuluttaja voi joutua tässä harhaanjohdetuksi.</w:t>
      </w:r>
    </w:p>
    <w:p w:rsidR="00632738" w:rsidRPr="00A16F10" w:rsidRDefault="00632738" w:rsidP="000D2F9C">
      <w:pPr>
        <w:outlineLvl w:val="1"/>
      </w:pPr>
    </w:p>
    <w:p w:rsidR="00632738" w:rsidRPr="00A16F10" w:rsidRDefault="00632738" w:rsidP="000D2F9C">
      <w:pPr>
        <w:outlineLvl w:val="1"/>
      </w:pPr>
      <w:r w:rsidRPr="00A16F10">
        <w:t>Vaikka asia ei kuulu välittömästi komission ehdottaman asetuksen soveltamisalaan, ETSK toistaa aikaisemmat suosituksensa laatia johdonmukainen ja kattava toimintalinjaus, jonka perustana on haitallisen alkoholinkäytön välttäminen sekä sellaisen vastuullisen kuluttamisen edistäminen, jolla vältetään terveysriskejä ja alaikäisten alkoholinkulutusta – ei pelkästään tislattujen alkoholijuomien osalta vaan yleisemminkin. Tiedottaminen, koulutus ja tietoisuuden lisääminen ovat tässä suhteessa ratkaisevan tärkeitä asioita, ja ETSK pitää lukuisia asiaan liittyviä julkisen vallan ja yksityisen sektorin aloitteita tervetulleina.</w:t>
      </w:r>
    </w:p>
    <w:p w:rsidR="00632738" w:rsidRPr="00A16F10" w:rsidRDefault="00632738" w:rsidP="000D2F9C">
      <w:pPr>
        <w:rPr>
          <w:highlight w:val="yellow"/>
        </w:rPr>
      </w:pPr>
    </w:p>
    <w:p w:rsidR="00632738" w:rsidRPr="00A16F10" w:rsidRDefault="00632738" w:rsidP="000D2F9C">
      <w:pPr>
        <w:rPr>
          <w:i/>
          <w:iCs/>
        </w:rPr>
      </w:pPr>
      <w:r w:rsidRPr="00A16F10">
        <w:rPr>
          <w:b/>
          <w:i/>
        </w:rPr>
        <w:t>Yhteyshenkilö</w:t>
      </w:r>
      <w:r w:rsidRPr="00A16F10">
        <w:t>:</w:t>
      </w:r>
      <w:r w:rsidR="00743670" w:rsidRPr="00A16F10">
        <w:tab/>
      </w:r>
      <w:r w:rsidRPr="00A16F10">
        <w:rPr>
          <w:i/>
        </w:rPr>
        <w:t>Monica Guarinoni</w:t>
      </w:r>
    </w:p>
    <w:p w:rsidR="00610CDE" w:rsidRPr="00A16F10" w:rsidRDefault="00743670" w:rsidP="000D2F9C">
      <w:pPr>
        <w:ind w:left="1134"/>
        <w:rPr>
          <w:i/>
          <w:iCs/>
        </w:rPr>
      </w:pPr>
      <w:r w:rsidRPr="00A16F10">
        <w:rPr>
          <w:i/>
        </w:rPr>
        <w:tab/>
      </w:r>
      <w:r w:rsidR="00632738" w:rsidRPr="00A16F10">
        <w:rPr>
          <w:i/>
        </w:rPr>
        <w:t>(P. +32 25468127– sähköposti:</w:t>
      </w:r>
      <w:r w:rsidR="00632738" w:rsidRPr="00A16F10">
        <w:t xml:space="preserve"> </w:t>
      </w:r>
      <w:hyperlink r:id="rId23" w:history="1">
        <w:r w:rsidR="00632738" w:rsidRPr="00A16F10">
          <w:rPr>
            <w:rStyle w:val="Hyperlink"/>
            <w:i/>
          </w:rPr>
          <w:t>Monica.Guarinoni@eesc.europa.eu</w:t>
        </w:r>
      </w:hyperlink>
      <w:r w:rsidR="00632738" w:rsidRPr="00A16F10">
        <w:rPr>
          <w:i/>
        </w:rPr>
        <w:t>)</w:t>
      </w:r>
    </w:p>
    <w:p w:rsidR="004C07BF" w:rsidRPr="00A16F10" w:rsidRDefault="004C07BF" w:rsidP="000D2F9C"/>
    <w:p w:rsidR="003A4AB8" w:rsidRPr="00A16F10" w:rsidRDefault="003A4AB8" w:rsidP="000D2F9C"/>
    <w:p w:rsidR="003A4AB8" w:rsidRPr="00A16F10" w:rsidRDefault="003A4AB8" w:rsidP="000D2F9C">
      <w:pPr>
        <w:pStyle w:val="Heading1"/>
        <w:keepNext/>
        <w:rPr>
          <w:b/>
        </w:rPr>
      </w:pPr>
      <w:bookmarkStart w:id="7" w:name="_Toc480374752"/>
      <w:bookmarkStart w:id="8" w:name="_Toc480381004"/>
      <w:r w:rsidRPr="00A16F10">
        <w:rPr>
          <w:b/>
        </w:rPr>
        <w:t>KASVU JA INNOVOINTI</w:t>
      </w:r>
      <w:bookmarkEnd w:id="7"/>
      <w:bookmarkEnd w:id="8"/>
    </w:p>
    <w:p w:rsidR="00BC5473" w:rsidRPr="00A16F10" w:rsidRDefault="00BC5473" w:rsidP="000D2F9C">
      <w:pPr>
        <w:keepNext/>
        <w:rPr>
          <w:rFonts w:eastAsia="Calibri"/>
          <w:b/>
          <w:iCs/>
          <w:highlight w:val="yellow"/>
          <w:u w:val="single"/>
        </w:rPr>
      </w:pPr>
      <w:bookmarkStart w:id="9" w:name="_Toc480374753"/>
      <w:bookmarkEnd w:id="9"/>
    </w:p>
    <w:p w:rsidR="006D7E2A" w:rsidRPr="00A16F10" w:rsidRDefault="006D7E2A" w:rsidP="000D2F9C">
      <w:pPr>
        <w:keepNext/>
        <w:widowControl w:val="0"/>
        <w:numPr>
          <w:ilvl w:val="0"/>
          <w:numId w:val="4"/>
        </w:numPr>
        <w:overflowPunct w:val="0"/>
        <w:autoSpaceDE w:val="0"/>
        <w:autoSpaceDN w:val="0"/>
        <w:adjustRightInd w:val="0"/>
        <w:ind w:left="567" w:hanging="283"/>
        <w:textAlignment w:val="baseline"/>
        <w:rPr>
          <w:rFonts w:eastAsia="Calibri"/>
          <w:b/>
          <w:i/>
          <w:sz w:val="28"/>
          <w:szCs w:val="28"/>
        </w:rPr>
      </w:pPr>
      <w:r w:rsidRPr="00A16F10">
        <w:rPr>
          <w:b/>
          <w:i/>
          <w:sz w:val="28"/>
        </w:rPr>
        <w:t>Osallistavat saaret</w:t>
      </w:r>
    </w:p>
    <w:p w:rsidR="006D7E2A" w:rsidRPr="00A16F10" w:rsidRDefault="006D7E2A" w:rsidP="000D2F9C">
      <w:pPr>
        <w:keepNext/>
        <w:tabs>
          <w:tab w:val="center" w:pos="284"/>
        </w:tabs>
        <w:ind w:left="266" w:hanging="266"/>
        <w:rPr>
          <w:rFonts w:eastAsia="Calibri"/>
          <w:b/>
        </w:rPr>
      </w:pPr>
    </w:p>
    <w:p w:rsidR="006D7E2A" w:rsidRPr="00A16F10" w:rsidRDefault="006D7E2A" w:rsidP="000D2F9C">
      <w:pPr>
        <w:keepNext/>
        <w:tabs>
          <w:tab w:val="center" w:pos="284"/>
        </w:tabs>
        <w:ind w:left="266" w:hanging="266"/>
        <w:rPr>
          <w:rFonts w:eastAsia="Calibri"/>
        </w:rPr>
      </w:pPr>
      <w:r w:rsidRPr="00A16F10">
        <w:rPr>
          <w:b/>
        </w:rPr>
        <w:t>Esittelijä:</w:t>
      </w:r>
      <w:r w:rsidRPr="00A16F10">
        <w:tab/>
      </w:r>
      <w:r w:rsidR="00743670" w:rsidRPr="00A16F10">
        <w:tab/>
      </w:r>
      <w:r w:rsidRPr="00A16F10">
        <w:t>Stefano MALLIA (työnantajat – MT)</w:t>
      </w:r>
    </w:p>
    <w:p w:rsidR="006D7E2A" w:rsidRPr="00A16F10" w:rsidRDefault="006D7E2A" w:rsidP="000D2F9C">
      <w:pPr>
        <w:keepNext/>
        <w:tabs>
          <w:tab w:val="center" w:pos="284"/>
        </w:tabs>
        <w:ind w:left="266" w:hanging="266"/>
        <w:rPr>
          <w:rFonts w:eastAsia="Calibri"/>
          <w:b/>
        </w:rPr>
      </w:pPr>
    </w:p>
    <w:p w:rsidR="00BC7DE7" w:rsidRPr="00A16F10" w:rsidRDefault="006D7E2A" w:rsidP="000D2F9C">
      <w:pPr>
        <w:keepNext/>
        <w:tabs>
          <w:tab w:val="center" w:pos="284"/>
          <w:tab w:val="left" w:pos="1701"/>
        </w:tabs>
        <w:ind w:left="266" w:hanging="266"/>
        <w:rPr>
          <w:rFonts w:eastAsia="Calibri"/>
        </w:rPr>
      </w:pPr>
      <w:r w:rsidRPr="00A16F10">
        <w:rPr>
          <w:b/>
        </w:rPr>
        <w:t>Viiteasiakirja:</w:t>
      </w:r>
      <w:r w:rsidRPr="00A16F10">
        <w:tab/>
        <w:t>puheenjohtajavaltio Maltan pyynnöstä laadittu valmisteleva lausunto</w:t>
      </w:r>
    </w:p>
    <w:p w:rsidR="006D7E2A" w:rsidRPr="00A16F10" w:rsidRDefault="006D7E2A" w:rsidP="000D2F9C">
      <w:pPr>
        <w:keepNext/>
        <w:ind w:left="1701"/>
        <w:rPr>
          <w:rFonts w:eastAsia="Calibri"/>
        </w:rPr>
      </w:pPr>
      <w:r w:rsidRPr="00A16F10">
        <w:t>EESC-2016-05508-00-00-AC-TRA</w:t>
      </w:r>
    </w:p>
    <w:p w:rsidR="006D7E2A" w:rsidRPr="00A16F10" w:rsidRDefault="006D7E2A" w:rsidP="000D2F9C">
      <w:pPr>
        <w:keepNext/>
        <w:keepLines/>
        <w:tabs>
          <w:tab w:val="center" w:pos="284"/>
        </w:tabs>
        <w:ind w:left="266" w:hanging="266"/>
        <w:rPr>
          <w:rFonts w:eastAsia="Calibri"/>
          <w:b/>
        </w:rPr>
      </w:pPr>
    </w:p>
    <w:p w:rsidR="006D7E2A" w:rsidRPr="00A16F10" w:rsidRDefault="006D7E2A" w:rsidP="000D2F9C">
      <w:pPr>
        <w:keepNext/>
        <w:ind w:left="-5"/>
        <w:rPr>
          <w:rFonts w:eastAsia="Calibri"/>
          <w:b/>
        </w:rPr>
      </w:pPr>
      <w:r w:rsidRPr="00A16F10">
        <w:rPr>
          <w:b/>
        </w:rPr>
        <w:t>Keskeiset kohdat:</w:t>
      </w:r>
    </w:p>
    <w:p w:rsidR="00E84F95" w:rsidRPr="00A16F10" w:rsidRDefault="00E84F95" w:rsidP="000D2F9C">
      <w:pPr>
        <w:keepNext/>
        <w:tabs>
          <w:tab w:val="left" w:pos="770"/>
        </w:tabs>
        <w:ind w:left="1430" w:hanging="1430"/>
        <w:rPr>
          <w:rFonts w:eastAsia="Calibri"/>
          <w:bCs/>
          <w:iCs/>
        </w:rPr>
      </w:pPr>
    </w:p>
    <w:p w:rsidR="006D7E2A" w:rsidRPr="00A16F10" w:rsidRDefault="006D7E2A" w:rsidP="000D2F9C">
      <w:pPr>
        <w:rPr>
          <w:rFonts w:eastAsia="Calibri"/>
        </w:rPr>
      </w:pPr>
      <w:r w:rsidRPr="00A16F10">
        <w:t>ETSK katsoo, että</w:t>
      </w:r>
    </w:p>
    <w:p w:rsidR="006D7E2A" w:rsidRPr="00A16F10" w:rsidRDefault="006D7E2A" w:rsidP="000D2F9C">
      <w:pPr>
        <w:rPr>
          <w:rFonts w:eastAsia="Calibri"/>
        </w:rPr>
      </w:pPr>
    </w:p>
    <w:p w:rsidR="006D7E2A" w:rsidRPr="00A16F10" w:rsidRDefault="006D7E2A" w:rsidP="000D2F9C">
      <w:pPr>
        <w:numPr>
          <w:ilvl w:val="0"/>
          <w:numId w:val="29"/>
        </w:numPr>
        <w:ind w:left="360"/>
        <w:contextualSpacing/>
      </w:pPr>
      <w:r w:rsidRPr="00A16F10">
        <w:t>EU:n täytyy ryhtyä tehokkaampiin toimenpiteisiin saarten haasteiden ainutlaatuisuuden tunnustamiseksi.</w:t>
      </w:r>
    </w:p>
    <w:p w:rsidR="006D7E2A" w:rsidRPr="00A16F10" w:rsidRDefault="006D7E2A" w:rsidP="000D2F9C">
      <w:pPr>
        <w:numPr>
          <w:ilvl w:val="0"/>
          <w:numId w:val="29"/>
        </w:numPr>
        <w:ind w:left="360"/>
        <w:contextualSpacing/>
      </w:pPr>
      <w:r w:rsidRPr="00A16F10">
        <w:t>keskeisiä toimintapolitiikkoja eli muun muassa sisämarkkinapolitiikkaa, kilpailupolitiikkaa, liikennepolitiikkaa, maaseudun kehittämispolitiikkaa ja kalastuspolitiikkaa sekä EU:n aloitteita ja ohjelmia koulutus-, nuoriso- ja urheilupolitiikan tukemiseksi tulee soveltaa joustavammin saarten taloudellisissa olosuhteissa.</w:t>
      </w:r>
    </w:p>
    <w:p w:rsidR="006D7E2A" w:rsidRPr="00A16F10" w:rsidRDefault="006D7E2A" w:rsidP="000D2F9C">
      <w:pPr>
        <w:numPr>
          <w:ilvl w:val="0"/>
          <w:numId w:val="29"/>
        </w:numPr>
        <w:ind w:left="360"/>
        <w:contextualSpacing/>
      </w:pPr>
      <w:r w:rsidRPr="00A16F10">
        <w:t>Eurostatin käyttämiä saarialueen määrittämisen perusteita olisi arvioitava uudelleen.</w:t>
      </w:r>
    </w:p>
    <w:p w:rsidR="006D7E2A" w:rsidRPr="00A16F10" w:rsidRDefault="006D7E2A" w:rsidP="000D2F9C">
      <w:pPr>
        <w:numPr>
          <w:ilvl w:val="0"/>
          <w:numId w:val="29"/>
        </w:numPr>
        <w:ind w:left="360"/>
        <w:contextualSpacing/>
      </w:pPr>
      <w:r w:rsidRPr="00A16F10">
        <w:t>vammaisiin ja yleisesti kaikkiin muita heikommassa asemassa oleviin tulee kiinnittää erityishuomiota.</w:t>
      </w:r>
    </w:p>
    <w:p w:rsidR="006D7E2A" w:rsidRPr="00A16F10" w:rsidRDefault="006D7E2A" w:rsidP="000D2F9C">
      <w:pPr>
        <w:numPr>
          <w:ilvl w:val="0"/>
          <w:numId w:val="29"/>
        </w:numPr>
        <w:ind w:left="360"/>
        <w:contextualSpacing/>
      </w:pPr>
      <w:r w:rsidRPr="00A16F10">
        <w:t>etusijalle olisi asetettava julkisten palvelujen saatavuus, kestävän kasvun edistäminen sekä täystyöllisyyden, kilpailukyvyn ja yhteenkuuluvuuden tukeminen Euroopan saarilla.</w:t>
      </w:r>
    </w:p>
    <w:p w:rsidR="006D7E2A" w:rsidRPr="00A16F10" w:rsidRDefault="006D7E2A" w:rsidP="000D2F9C">
      <w:pPr>
        <w:numPr>
          <w:ilvl w:val="0"/>
          <w:numId w:val="29"/>
        </w:numPr>
        <w:ind w:left="360"/>
        <w:contextualSpacing/>
      </w:pPr>
      <w:r w:rsidRPr="00A16F10">
        <w:t>saaret ja saarialueet tarjoavat usein ainutlaatuisia mahdollisuuksia puhtaaseen energiaan perustuville ratkaisuille – on tuettava kaikkia tämänsuuntaisia Euroopan komission ponnisteluja ja erityisesti saarten siirtymistä käyttämään 100-prosenttisesti puhtaaseen energiaan perustuvia ratkaisuja.</w:t>
      </w:r>
    </w:p>
    <w:p w:rsidR="00B85972" w:rsidRPr="00A16F10" w:rsidRDefault="00B85972" w:rsidP="000D2F9C">
      <w:pPr>
        <w:numPr>
          <w:ilvl w:val="0"/>
          <w:numId w:val="29"/>
        </w:numPr>
        <w:ind w:left="360"/>
        <w:contextualSpacing/>
      </w:pPr>
      <w:r w:rsidRPr="00A16F10">
        <w:t>olisi toteutettava perusteellinen tutkimus Euroopan saarille aiheutuvista ylimääräisistä kustannuksista.</w:t>
      </w:r>
    </w:p>
    <w:p w:rsidR="006D7E2A" w:rsidRPr="00A16F10" w:rsidRDefault="006D7E2A" w:rsidP="000D2F9C">
      <w:pPr>
        <w:numPr>
          <w:ilvl w:val="0"/>
          <w:numId w:val="29"/>
        </w:numPr>
        <w:ind w:left="360"/>
        <w:contextualSpacing/>
      </w:pPr>
      <w:r w:rsidRPr="00A16F10">
        <w:t>kaikkia saarialueita ja EU:n saarivaltioita tulisi pitää oikeutettuina infrastruktuurirahoitukseen vuoden 2020 jälkeisessä koheesiopolitiikassa.</w:t>
      </w:r>
    </w:p>
    <w:p w:rsidR="006D7E2A" w:rsidRPr="00A16F10" w:rsidRDefault="006D7E2A" w:rsidP="000D2F9C">
      <w:pPr>
        <w:numPr>
          <w:ilvl w:val="0"/>
          <w:numId w:val="29"/>
        </w:numPr>
        <w:ind w:left="360"/>
        <w:contextualSpacing/>
      </w:pPr>
      <w:r w:rsidRPr="00A16F10">
        <w:t>komission tulisi määritellä tarkoituksenmukaisempi lainsäädäntökehys, joka koskee valtiontuen soveltamista saarilla ja saarialueilla.</w:t>
      </w:r>
    </w:p>
    <w:p w:rsidR="006D7E2A" w:rsidRPr="00A16F10" w:rsidRDefault="006D7E2A" w:rsidP="000D2F9C">
      <w:pPr>
        <w:numPr>
          <w:ilvl w:val="0"/>
          <w:numId w:val="29"/>
        </w:numPr>
        <w:ind w:left="360"/>
        <w:contextualSpacing/>
      </w:pPr>
      <w:r w:rsidRPr="00A16F10">
        <w:t>on tiivistettävä koordinointia komission alue- ja kaupunkikehityksestä vastaavan yksiköiden välisen ryhmän kautta.</w:t>
      </w:r>
    </w:p>
    <w:p w:rsidR="006D7E2A" w:rsidRPr="00A16F10" w:rsidRDefault="006D7E2A" w:rsidP="000D2F9C">
      <w:pPr>
        <w:rPr>
          <w:rFonts w:eastAsia="Calibri"/>
          <w:b/>
          <w:i/>
        </w:rPr>
      </w:pPr>
    </w:p>
    <w:p w:rsidR="006D7E2A" w:rsidRPr="00A16F10" w:rsidRDefault="006D7E2A" w:rsidP="000D2F9C">
      <w:pPr>
        <w:tabs>
          <w:tab w:val="left" w:pos="770"/>
        </w:tabs>
        <w:rPr>
          <w:rFonts w:eastAsia="Calibri"/>
          <w:i/>
          <w:iCs/>
        </w:rPr>
      </w:pPr>
      <w:r w:rsidRPr="00A16F10">
        <w:rPr>
          <w:b/>
          <w:i/>
        </w:rPr>
        <w:t>Yhteyshenkilö</w:t>
      </w:r>
      <w:r w:rsidRPr="00A16F10">
        <w:t>:</w:t>
      </w:r>
      <w:r w:rsidRPr="00A16F10">
        <w:tab/>
      </w:r>
      <w:r w:rsidRPr="00A16F10">
        <w:rPr>
          <w:i/>
        </w:rPr>
        <w:t>Helena Polomik</w:t>
      </w:r>
    </w:p>
    <w:p w:rsidR="00C1115F" w:rsidRPr="00A16F10" w:rsidRDefault="00743670" w:rsidP="000D2F9C">
      <w:pPr>
        <w:ind w:left="1134"/>
        <w:rPr>
          <w:rFonts w:eastAsia="Calibri"/>
          <w:iCs/>
        </w:rPr>
      </w:pPr>
      <w:r w:rsidRPr="00A16F10">
        <w:rPr>
          <w:i/>
        </w:rPr>
        <w:tab/>
      </w:r>
      <w:r w:rsidR="006D7E2A" w:rsidRPr="00A16F10">
        <w:rPr>
          <w:i/>
        </w:rPr>
        <w:t xml:space="preserve">(P. +32 25469063 – sähköposti: </w:t>
      </w:r>
      <w:hyperlink r:id="rId24" w:history="1">
        <w:r w:rsidR="006D7E2A" w:rsidRPr="00A16F10">
          <w:rPr>
            <w:rStyle w:val="Hyperlink"/>
            <w:i/>
          </w:rPr>
          <w:t>Helena.Polomik@eesc.europa.eu</w:t>
        </w:r>
      </w:hyperlink>
      <w:r w:rsidR="006D7E2A" w:rsidRPr="00A16F10">
        <w:rPr>
          <w:i/>
        </w:rPr>
        <w:t>)</w:t>
      </w:r>
    </w:p>
    <w:p w:rsidR="003A4AB8" w:rsidRPr="00A16F10" w:rsidRDefault="003A4AB8" w:rsidP="000D2F9C">
      <w:pPr>
        <w:rPr>
          <w:rFonts w:eastAsia="Calibri"/>
          <w:iCs/>
        </w:rPr>
      </w:pPr>
    </w:p>
    <w:p w:rsidR="00C1115F" w:rsidRPr="00A16F10" w:rsidRDefault="00C1115F" w:rsidP="000D2F9C">
      <w:pPr>
        <w:rPr>
          <w:rFonts w:eastAsia="Calibri"/>
          <w:iCs/>
        </w:rPr>
      </w:pPr>
    </w:p>
    <w:p w:rsidR="00E6566F" w:rsidRPr="00A16F10" w:rsidRDefault="00E6566F" w:rsidP="000D2F9C">
      <w:pPr>
        <w:pStyle w:val="Heading1"/>
        <w:keepNext/>
        <w:rPr>
          <w:b/>
        </w:rPr>
      </w:pPr>
      <w:bookmarkStart w:id="10" w:name="_Toc477938711"/>
      <w:bookmarkStart w:id="11" w:name="_Toc480374754"/>
      <w:bookmarkStart w:id="12" w:name="_Toc480381005"/>
      <w:r w:rsidRPr="00A16F10">
        <w:rPr>
          <w:b/>
        </w:rPr>
        <w:t>TALOUDEN OHJAUS JA HALLINTA / RAHOITUSVÄLINEET / VEROTUS</w:t>
      </w:r>
      <w:bookmarkEnd w:id="10"/>
      <w:bookmarkEnd w:id="11"/>
      <w:bookmarkEnd w:id="12"/>
    </w:p>
    <w:p w:rsidR="00BC5473" w:rsidRPr="00A16F10" w:rsidRDefault="00BC5473" w:rsidP="000D2F9C">
      <w:pPr>
        <w:keepNext/>
      </w:pPr>
    </w:p>
    <w:p w:rsidR="006D7E2A" w:rsidRPr="00A16F10" w:rsidRDefault="006D7E2A" w:rsidP="000D2F9C">
      <w:pPr>
        <w:keepNext/>
        <w:widowControl w:val="0"/>
        <w:numPr>
          <w:ilvl w:val="0"/>
          <w:numId w:val="4"/>
        </w:numPr>
        <w:overflowPunct w:val="0"/>
        <w:autoSpaceDE w:val="0"/>
        <w:autoSpaceDN w:val="0"/>
        <w:adjustRightInd w:val="0"/>
        <w:ind w:left="567" w:hanging="283"/>
        <w:textAlignment w:val="baseline"/>
        <w:rPr>
          <w:rFonts w:eastAsia="Calibri"/>
          <w:b/>
          <w:i/>
          <w:sz w:val="28"/>
          <w:szCs w:val="28"/>
        </w:rPr>
      </w:pPr>
      <w:r w:rsidRPr="00A16F10">
        <w:rPr>
          <w:b/>
          <w:i/>
          <w:sz w:val="28"/>
        </w:rPr>
        <w:t>Keskusvastapuolten elvytys ja kriisinratkaisu</w:t>
      </w:r>
    </w:p>
    <w:p w:rsidR="006D7E2A" w:rsidRPr="00A16F10" w:rsidRDefault="006D7E2A" w:rsidP="000D2F9C">
      <w:pPr>
        <w:keepNext/>
        <w:tabs>
          <w:tab w:val="center" w:pos="284"/>
        </w:tabs>
        <w:ind w:left="266" w:hanging="266"/>
        <w:rPr>
          <w:rFonts w:eastAsia="Calibri"/>
          <w:b/>
        </w:rPr>
      </w:pPr>
    </w:p>
    <w:p w:rsidR="006D7E2A" w:rsidRPr="00A16F10" w:rsidRDefault="006D7E2A" w:rsidP="000D2F9C">
      <w:pPr>
        <w:tabs>
          <w:tab w:val="center" w:pos="284"/>
        </w:tabs>
        <w:ind w:left="266" w:hanging="266"/>
        <w:rPr>
          <w:rFonts w:eastAsia="Calibri"/>
        </w:rPr>
      </w:pPr>
      <w:r w:rsidRPr="00A16F10">
        <w:rPr>
          <w:b/>
        </w:rPr>
        <w:t>Esittelijä:</w:t>
      </w:r>
      <w:r w:rsidRPr="00A16F10">
        <w:tab/>
      </w:r>
      <w:r w:rsidR="00743670" w:rsidRPr="00A16F10">
        <w:tab/>
      </w:r>
      <w:r w:rsidRPr="00A16F10">
        <w:t>Antonio GARCÌA DEL RIEGO (työnantajat – ES)</w:t>
      </w:r>
    </w:p>
    <w:p w:rsidR="006D7E2A" w:rsidRPr="00A16F10" w:rsidRDefault="006D7E2A" w:rsidP="000D2F9C">
      <w:pPr>
        <w:tabs>
          <w:tab w:val="center" w:pos="284"/>
        </w:tabs>
        <w:ind w:left="266" w:hanging="266"/>
        <w:rPr>
          <w:rFonts w:eastAsia="Calibri"/>
        </w:rPr>
      </w:pPr>
    </w:p>
    <w:p w:rsidR="00D81307" w:rsidRPr="00A16F10" w:rsidRDefault="006D7E2A" w:rsidP="000D2F9C">
      <w:pPr>
        <w:tabs>
          <w:tab w:val="center" w:pos="284"/>
          <w:tab w:val="left" w:pos="1701"/>
        </w:tabs>
        <w:ind w:left="266" w:hanging="266"/>
        <w:rPr>
          <w:rFonts w:eastAsia="Calibri"/>
        </w:rPr>
      </w:pPr>
      <w:r w:rsidRPr="00A16F10">
        <w:rPr>
          <w:b/>
        </w:rPr>
        <w:t>Viiteasiakirjat:</w:t>
      </w:r>
      <w:r w:rsidRPr="00A16F10">
        <w:tab/>
        <w:t>COM(2016) 856 final – 2016/0365 (COD)</w:t>
      </w:r>
    </w:p>
    <w:p w:rsidR="006D7E2A" w:rsidRPr="00A16F10" w:rsidRDefault="006D7E2A" w:rsidP="000D2F9C">
      <w:pPr>
        <w:ind w:left="1701"/>
        <w:rPr>
          <w:rFonts w:eastAsia="Calibri"/>
        </w:rPr>
      </w:pPr>
      <w:r w:rsidRPr="00A16F10">
        <w:t>EESC-2016-06466-00-00-AC-TRA</w:t>
      </w:r>
    </w:p>
    <w:p w:rsidR="006D7E2A" w:rsidRPr="00A16F10" w:rsidRDefault="006D7E2A" w:rsidP="000D2F9C">
      <w:pPr>
        <w:tabs>
          <w:tab w:val="center" w:pos="284"/>
        </w:tabs>
        <w:ind w:left="266" w:hanging="266"/>
        <w:rPr>
          <w:rFonts w:eastAsia="Calibri"/>
        </w:rPr>
      </w:pPr>
    </w:p>
    <w:p w:rsidR="006D7E2A" w:rsidRPr="00A16F10" w:rsidRDefault="006D7E2A" w:rsidP="000D2F9C">
      <w:pPr>
        <w:keepNext/>
        <w:keepLines/>
        <w:tabs>
          <w:tab w:val="center" w:pos="284"/>
        </w:tabs>
        <w:ind w:left="266" w:hanging="266"/>
        <w:rPr>
          <w:rFonts w:eastAsia="Calibri"/>
          <w:b/>
        </w:rPr>
      </w:pPr>
      <w:r w:rsidRPr="00A16F10">
        <w:rPr>
          <w:b/>
        </w:rPr>
        <w:t>Keskeiset kohdat:</w:t>
      </w:r>
    </w:p>
    <w:p w:rsidR="00B75A7B" w:rsidRPr="00A16F10" w:rsidRDefault="00B75A7B" w:rsidP="000D2F9C">
      <w:pPr>
        <w:rPr>
          <w:rFonts w:eastAsia="Calibri"/>
        </w:rPr>
      </w:pPr>
    </w:p>
    <w:p w:rsidR="006D7E2A" w:rsidRPr="00A16F10" w:rsidRDefault="006D7E2A" w:rsidP="000D2F9C">
      <w:pPr>
        <w:rPr>
          <w:rFonts w:eastAsia="Calibri"/>
        </w:rPr>
      </w:pPr>
      <w:r w:rsidRPr="00A16F10">
        <w:t>ETSK</w:t>
      </w:r>
    </w:p>
    <w:p w:rsidR="006D7E2A" w:rsidRPr="00A16F10" w:rsidRDefault="006D7E2A" w:rsidP="000D2F9C">
      <w:pPr>
        <w:rPr>
          <w:rFonts w:eastAsia="Calibri"/>
        </w:rPr>
      </w:pPr>
    </w:p>
    <w:p w:rsidR="006D7E2A" w:rsidRPr="00A16F10" w:rsidRDefault="006D7E2A" w:rsidP="000D2F9C">
      <w:pPr>
        <w:numPr>
          <w:ilvl w:val="0"/>
          <w:numId w:val="28"/>
        </w:numPr>
        <w:ind w:left="360"/>
        <w:rPr>
          <w:rFonts w:eastAsia="Calibri"/>
        </w:rPr>
      </w:pPr>
      <w:r w:rsidRPr="00A16F10">
        <w:t>suhtautuu myönteisesti keskusvastapuolten elvytys- ja kriisinratkaisukehystä koskevaan ehdotukseen ja korostaa, että on ensiarvoisen tärkeää panna täytäntöön G20-maiden tekemä päätös keskusvastapuolten maailmanlaajuisesta hallinnosta sekä finanssimarkkinoiden vakauden valvontaryhmän antamat erityissuositukset yhdenmukaisen ja sitovan säädöksen muodossa vakaiden ja turvallisten globaalien toimintaedellytysten varmistamiseksi.</w:t>
      </w:r>
    </w:p>
    <w:p w:rsidR="0089563A" w:rsidRPr="00A16F10" w:rsidRDefault="0089563A" w:rsidP="000D2F9C">
      <w:pPr>
        <w:ind w:left="720"/>
        <w:rPr>
          <w:rFonts w:eastAsia="Calibri"/>
        </w:rPr>
      </w:pPr>
    </w:p>
    <w:p w:rsidR="006D7E2A" w:rsidRPr="00A16F10" w:rsidRDefault="006D7E2A" w:rsidP="000D2F9C">
      <w:pPr>
        <w:numPr>
          <w:ilvl w:val="0"/>
          <w:numId w:val="28"/>
        </w:numPr>
        <w:ind w:left="360"/>
        <w:rPr>
          <w:rFonts w:eastAsia="Calibri"/>
        </w:rPr>
      </w:pPr>
      <w:r w:rsidRPr="00A16F10">
        <w:t>pitäisi tervetulleena joustavuutta ehdotetun asetuksen mukauttamiseksi keskusvastapuolten sääntelyä koskevan kansainvälisen yhteisymmärryksen eli finanssimarkkinoiden vakauden valvontaryhmän (FSB) suositusten tulevaan kehitykseen.</w:t>
      </w:r>
    </w:p>
    <w:p w:rsidR="00E84F95" w:rsidRPr="00A16F10" w:rsidRDefault="00E84F95" w:rsidP="000D2F9C">
      <w:pPr>
        <w:ind w:left="720"/>
        <w:rPr>
          <w:rFonts w:eastAsia="Calibri"/>
        </w:rPr>
      </w:pPr>
    </w:p>
    <w:p w:rsidR="006D7E2A" w:rsidRPr="00A16F10" w:rsidRDefault="006D7E2A" w:rsidP="000D2F9C">
      <w:pPr>
        <w:numPr>
          <w:ilvl w:val="0"/>
          <w:numId w:val="28"/>
        </w:numPr>
        <w:ind w:left="360"/>
        <w:rPr>
          <w:rFonts w:eastAsia="Calibri"/>
        </w:rPr>
      </w:pPr>
      <w:r w:rsidRPr="00A16F10">
        <w:t>katsoo, että jos keskusvastapuolten valvontaviranomaisia ja eurooppalaisia kriisinratkaisuviranomaisia olisi vain yksi, nämä tahot voisivat varmistaa, että uusi lainsäädäntö pannaan täytäntöön mahdollisimman tehokkaasti ja yhtenäisellä tavalla.</w:t>
      </w:r>
    </w:p>
    <w:p w:rsidR="0089563A" w:rsidRPr="00A16F10" w:rsidRDefault="0089563A" w:rsidP="000D2F9C">
      <w:pPr>
        <w:ind w:left="720"/>
        <w:rPr>
          <w:rFonts w:eastAsia="Calibri"/>
        </w:rPr>
      </w:pPr>
    </w:p>
    <w:p w:rsidR="006D7E2A" w:rsidRPr="00A16F10" w:rsidRDefault="006D7E2A" w:rsidP="000D2F9C">
      <w:pPr>
        <w:numPr>
          <w:ilvl w:val="0"/>
          <w:numId w:val="28"/>
        </w:numPr>
        <w:ind w:left="360"/>
        <w:rPr>
          <w:rFonts w:eastAsia="Calibri"/>
        </w:rPr>
      </w:pPr>
      <w:r w:rsidRPr="00A16F10">
        <w:t>suosittaa ponnekkaasti, että harkitaan EKP:n vastuualueen hyödyntämistä tai laajentamista siten, että siitä tehdään keskusvastapuolten eurooppalainen keskusvalvontaviranomainen yhteisen valvontamekanismin puitteissa ja myös keskustason kriisinratkaisuviranomainen EKP:n/eurojärjestelmän puitteissa.</w:t>
      </w:r>
    </w:p>
    <w:p w:rsidR="0089563A" w:rsidRPr="00A16F10" w:rsidRDefault="0089563A" w:rsidP="000D2F9C">
      <w:pPr>
        <w:ind w:left="720"/>
        <w:rPr>
          <w:rFonts w:eastAsia="Calibri"/>
        </w:rPr>
      </w:pPr>
    </w:p>
    <w:p w:rsidR="006D7E2A" w:rsidRPr="00A16F10" w:rsidRDefault="006D7E2A" w:rsidP="000D2F9C">
      <w:pPr>
        <w:numPr>
          <w:ilvl w:val="0"/>
          <w:numId w:val="28"/>
        </w:numPr>
        <w:ind w:left="360"/>
        <w:rPr>
          <w:rFonts w:eastAsia="Calibri"/>
        </w:rPr>
      </w:pPr>
      <w:r w:rsidRPr="00A16F10">
        <w:t>katsoo, että keskusvastapuolia, etenkään kolmannen maan keskusvastapuolia, ei tule voida pelastaa veronmaksajien rahoilla. Ehdotukseen sisältyvä mahdollisuus antaa poikkeuksellista julkista tukea tietyin edellytyksin saattaa johtaa moraalikatoon.</w:t>
      </w:r>
    </w:p>
    <w:p w:rsidR="0089563A" w:rsidRPr="00A16F10" w:rsidRDefault="0089563A" w:rsidP="000D2F9C">
      <w:pPr>
        <w:ind w:left="720"/>
        <w:rPr>
          <w:rFonts w:eastAsia="Calibri"/>
        </w:rPr>
      </w:pPr>
    </w:p>
    <w:p w:rsidR="006D7E2A" w:rsidRPr="00A16F10" w:rsidRDefault="006D7E2A" w:rsidP="000D2F9C">
      <w:pPr>
        <w:numPr>
          <w:ilvl w:val="0"/>
          <w:numId w:val="28"/>
        </w:numPr>
        <w:ind w:left="360"/>
      </w:pPr>
      <w:r w:rsidRPr="00A16F10">
        <w:t>on sitä mieltä, että olisi tutkittava tarkasti, millaisia seurauksia finanssialan ulkopuolisille vastapuolille ja välillisten määritysosallistujien erotelluille asiakasomaisuuserille voi aiheutua.</w:t>
      </w:r>
    </w:p>
    <w:p w:rsidR="006D7E2A" w:rsidRPr="00A16F10" w:rsidRDefault="006D7E2A" w:rsidP="000D2F9C">
      <w:pPr>
        <w:rPr>
          <w:rFonts w:eastAsia="Calibri"/>
        </w:rPr>
      </w:pPr>
    </w:p>
    <w:p w:rsidR="006D7E2A" w:rsidRPr="00A16F10" w:rsidRDefault="006D7E2A" w:rsidP="000D2F9C">
      <w:pPr>
        <w:rPr>
          <w:rFonts w:eastAsia="Calibri"/>
          <w:i/>
        </w:rPr>
      </w:pPr>
      <w:r w:rsidRPr="00A16F10">
        <w:rPr>
          <w:b/>
          <w:i/>
        </w:rPr>
        <w:t>Yhteyshenkilö</w:t>
      </w:r>
      <w:r w:rsidRPr="00A16F10">
        <w:t>:</w:t>
      </w:r>
      <w:r w:rsidRPr="00A16F10">
        <w:rPr>
          <w:i/>
        </w:rPr>
        <w:t xml:space="preserve"> </w:t>
      </w:r>
      <w:r w:rsidRPr="00A16F10">
        <w:tab/>
      </w:r>
      <w:r w:rsidRPr="00A16F10">
        <w:rPr>
          <w:i/>
        </w:rPr>
        <w:t>Gerald Klec</w:t>
      </w:r>
    </w:p>
    <w:p w:rsidR="006D7E2A" w:rsidRPr="00A16F10" w:rsidRDefault="00743670" w:rsidP="000D2F9C">
      <w:pPr>
        <w:ind w:left="1134"/>
        <w:rPr>
          <w:rFonts w:eastAsia="Calibri"/>
          <w:i/>
        </w:rPr>
      </w:pPr>
      <w:r w:rsidRPr="00A16F10">
        <w:rPr>
          <w:i/>
        </w:rPr>
        <w:tab/>
      </w:r>
      <w:r w:rsidR="006D7E2A" w:rsidRPr="00A16F10">
        <w:rPr>
          <w:i/>
        </w:rPr>
        <w:t xml:space="preserve">(P. +32 25469909 – sähköposti: </w:t>
      </w:r>
      <w:hyperlink r:id="rId25" w:history="1">
        <w:r w:rsidR="006D7E2A" w:rsidRPr="00A16F10">
          <w:rPr>
            <w:rStyle w:val="Hyperlink"/>
            <w:i/>
          </w:rPr>
          <w:t>gerald.klec@eesc.europa.eu</w:t>
        </w:r>
      </w:hyperlink>
      <w:r w:rsidR="006D7E2A" w:rsidRPr="00A16F10">
        <w:rPr>
          <w:i/>
        </w:rPr>
        <w:t>)</w:t>
      </w:r>
    </w:p>
    <w:p w:rsidR="006D7E2A" w:rsidRPr="00A16F10" w:rsidRDefault="006D7E2A" w:rsidP="000D2F9C">
      <w:pPr>
        <w:rPr>
          <w:rFonts w:eastAsia="Calibri"/>
          <w:b/>
          <w:iCs/>
          <w:highlight w:val="yellow"/>
          <w:u w:val="single"/>
        </w:rPr>
      </w:pPr>
    </w:p>
    <w:p w:rsidR="006D7E2A" w:rsidRPr="00A16F10" w:rsidRDefault="006D7E2A" w:rsidP="000D2F9C">
      <w:pPr>
        <w:keepNext/>
        <w:keepLines/>
        <w:widowControl w:val="0"/>
        <w:numPr>
          <w:ilvl w:val="0"/>
          <w:numId w:val="32"/>
        </w:numPr>
        <w:overflowPunct w:val="0"/>
        <w:autoSpaceDE w:val="0"/>
        <w:autoSpaceDN w:val="0"/>
        <w:adjustRightInd w:val="0"/>
        <w:ind w:left="567"/>
        <w:textAlignment w:val="baseline"/>
        <w:rPr>
          <w:rFonts w:eastAsia="Calibri"/>
          <w:b/>
          <w:bCs/>
          <w:i/>
          <w:iCs/>
          <w:sz w:val="28"/>
          <w:szCs w:val="28"/>
        </w:rPr>
      </w:pPr>
      <w:r w:rsidRPr="00A16F10">
        <w:rPr>
          <w:b/>
          <w:i/>
          <w:sz w:val="28"/>
        </w:rPr>
        <w:t>Finanssipalveluja koskeva EU:n sääntelyjärjestelmä</w:t>
      </w:r>
    </w:p>
    <w:p w:rsidR="006D7E2A" w:rsidRPr="00A16F10" w:rsidRDefault="006D7E2A" w:rsidP="000D2F9C">
      <w:pPr>
        <w:keepNext/>
        <w:keepLines/>
        <w:ind w:firstLine="17"/>
        <w:rPr>
          <w:rFonts w:eastAsia="Calibri"/>
        </w:rPr>
      </w:pPr>
    </w:p>
    <w:p w:rsidR="006D7E2A" w:rsidRPr="00A16F10" w:rsidRDefault="006D7E2A" w:rsidP="000D2F9C">
      <w:pPr>
        <w:keepNext/>
        <w:keepLines/>
        <w:rPr>
          <w:rFonts w:eastAsia="Calibri"/>
        </w:rPr>
      </w:pPr>
      <w:r w:rsidRPr="00A16F10">
        <w:rPr>
          <w:b/>
        </w:rPr>
        <w:t>Esittelijä:</w:t>
      </w:r>
      <w:r w:rsidRPr="00A16F10">
        <w:tab/>
      </w:r>
      <w:r w:rsidR="00743670" w:rsidRPr="00A16F10">
        <w:tab/>
      </w:r>
      <w:r w:rsidRPr="00A16F10">
        <w:t>Milena ANGELOVA (työnantajat – BG)</w:t>
      </w:r>
    </w:p>
    <w:p w:rsidR="006D7E2A" w:rsidRPr="00A16F10" w:rsidRDefault="006D7E2A" w:rsidP="000D2F9C">
      <w:pPr>
        <w:keepNext/>
        <w:keepLines/>
        <w:rPr>
          <w:rFonts w:eastAsia="Calibri"/>
        </w:rPr>
      </w:pPr>
    </w:p>
    <w:p w:rsidR="004C07BF" w:rsidRPr="00A16F10" w:rsidRDefault="006D7E2A" w:rsidP="000D2F9C">
      <w:pPr>
        <w:keepNext/>
        <w:keepLines/>
        <w:tabs>
          <w:tab w:val="left" w:pos="1701"/>
        </w:tabs>
        <w:ind w:left="-5"/>
        <w:rPr>
          <w:rFonts w:eastAsia="Calibri"/>
        </w:rPr>
      </w:pPr>
      <w:r w:rsidRPr="00A16F10">
        <w:rPr>
          <w:b/>
        </w:rPr>
        <w:t>Viiteasiakirjat:</w:t>
      </w:r>
      <w:r w:rsidRPr="00A16F10">
        <w:tab/>
        <w:t>COM(2016) 855 final</w:t>
      </w:r>
    </w:p>
    <w:p w:rsidR="006D7E2A" w:rsidRPr="00A16F10" w:rsidRDefault="006D7E2A" w:rsidP="000D2F9C">
      <w:pPr>
        <w:keepNext/>
        <w:keepLines/>
        <w:ind w:left="1701"/>
        <w:rPr>
          <w:rFonts w:eastAsia="Calibri"/>
          <w:b/>
        </w:rPr>
      </w:pPr>
      <w:r w:rsidRPr="00A16F10">
        <w:t>ESC-2016-06465-00-00-AC-TRA</w:t>
      </w:r>
    </w:p>
    <w:p w:rsidR="006D7E2A" w:rsidRPr="00A16F10" w:rsidRDefault="006D7E2A" w:rsidP="000D2F9C">
      <w:pPr>
        <w:ind w:left="-5"/>
        <w:rPr>
          <w:rFonts w:eastAsia="Calibri"/>
          <w:b/>
        </w:rPr>
      </w:pPr>
    </w:p>
    <w:p w:rsidR="006D7E2A" w:rsidRPr="00A16F10" w:rsidRDefault="006D7E2A" w:rsidP="000D2F9C">
      <w:pPr>
        <w:ind w:left="-5"/>
        <w:rPr>
          <w:rFonts w:eastAsia="Calibri"/>
          <w:b/>
        </w:rPr>
      </w:pPr>
      <w:r w:rsidRPr="00A16F10">
        <w:rPr>
          <w:b/>
        </w:rPr>
        <w:t>Keskeiset kohdat:</w:t>
      </w:r>
    </w:p>
    <w:p w:rsidR="006D7E2A" w:rsidRPr="00A16F10" w:rsidRDefault="006D7E2A" w:rsidP="000D2F9C"/>
    <w:p w:rsidR="006D7E2A" w:rsidRPr="00A16F10" w:rsidRDefault="006D7E2A" w:rsidP="000D2F9C">
      <w:pPr>
        <w:rPr>
          <w:rFonts w:eastAsia="Calibri"/>
        </w:rPr>
      </w:pPr>
      <w:r w:rsidRPr="00A16F10">
        <w:t>ETSK</w:t>
      </w:r>
    </w:p>
    <w:p w:rsidR="006D7E2A" w:rsidRPr="00A16F10" w:rsidRDefault="006D7E2A" w:rsidP="000D2F9C">
      <w:pPr>
        <w:rPr>
          <w:rFonts w:eastAsia="Calibri"/>
        </w:rPr>
      </w:pPr>
    </w:p>
    <w:p w:rsidR="006D7E2A" w:rsidRPr="00A16F10" w:rsidRDefault="006D7E2A" w:rsidP="000D2F9C">
      <w:pPr>
        <w:numPr>
          <w:ilvl w:val="0"/>
          <w:numId w:val="28"/>
        </w:numPr>
        <w:overflowPunct w:val="0"/>
        <w:autoSpaceDE w:val="0"/>
        <w:autoSpaceDN w:val="0"/>
        <w:adjustRightInd w:val="0"/>
        <w:ind w:left="360"/>
        <w:textAlignment w:val="baseline"/>
        <w:rPr>
          <w:rFonts w:eastAsia="Calibri"/>
        </w:rPr>
      </w:pPr>
      <w:r w:rsidRPr="00A16F10">
        <w:t>suhtautuu myönteisesti kannanottopyyntöön, sillä se on innovatiivinen, informatiivinen ja hyödyllinen keino arvioida lainsäädäntöaloitteita EU:n tasolla, ja toivoo, että kannanottopyyntö on jatkossa yleinen käytäntö.</w:t>
      </w:r>
    </w:p>
    <w:p w:rsidR="006D7E2A" w:rsidRPr="00A16F10" w:rsidRDefault="006D7E2A" w:rsidP="000D2F9C">
      <w:pPr>
        <w:ind w:left="720"/>
        <w:rPr>
          <w:rFonts w:eastAsia="Calibri"/>
        </w:rPr>
      </w:pPr>
    </w:p>
    <w:p w:rsidR="006D7E2A" w:rsidRPr="00A16F10" w:rsidRDefault="006D7E2A" w:rsidP="000D2F9C">
      <w:pPr>
        <w:numPr>
          <w:ilvl w:val="0"/>
          <w:numId w:val="28"/>
        </w:numPr>
        <w:overflowPunct w:val="0"/>
        <w:autoSpaceDE w:val="0"/>
        <w:autoSpaceDN w:val="0"/>
        <w:adjustRightInd w:val="0"/>
        <w:ind w:left="360"/>
        <w:textAlignment w:val="baseline"/>
        <w:rPr>
          <w:rFonts w:eastAsia="Calibri"/>
        </w:rPr>
      </w:pPr>
      <w:r w:rsidRPr="00A16F10">
        <w:t>katsoo, että viimeaikaisten finanssialan uudistusten perusperiaatteet ovat kiistattomia ja että uusilla säännöksillä on lisätty finanssijärjestelmän vakautta ja häiriönsietokykyä.</w:t>
      </w:r>
    </w:p>
    <w:p w:rsidR="006D7E2A" w:rsidRPr="00A16F10" w:rsidRDefault="006D7E2A" w:rsidP="000D2F9C">
      <w:pPr>
        <w:ind w:left="720"/>
        <w:rPr>
          <w:rFonts w:eastAsia="Calibri"/>
        </w:rPr>
      </w:pPr>
    </w:p>
    <w:p w:rsidR="006D7E2A" w:rsidRPr="00A16F10" w:rsidRDefault="006D7E2A" w:rsidP="000D2F9C">
      <w:pPr>
        <w:numPr>
          <w:ilvl w:val="0"/>
          <w:numId w:val="28"/>
        </w:numPr>
        <w:overflowPunct w:val="0"/>
        <w:autoSpaceDE w:val="0"/>
        <w:autoSpaceDN w:val="0"/>
        <w:adjustRightInd w:val="0"/>
        <w:ind w:left="360"/>
        <w:textAlignment w:val="baseline"/>
        <w:rPr>
          <w:rFonts w:eastAsia="Calibri"/>
        </w:rPr>
      </w:pPr>
      <w:r w:rsidRPr="00A16F10">
        <w:t>korostaa finanssipalveluja koskevan EU:n sääntelyjärjestelmän tärkeyttä pääomamarkkinaunionin toteuttamisen vauhdittamisessa.</w:t>
      </w:r>
    </w:p>
    <w:p w:rsidR="006D7E2A" w:rsidRPr="00A16F10" w:rsidRDefault="006D7E2A" w:rsidP="000D2F9C">
      <w:pPr>
        <w:ind w:left="720"/>
        <w:rPr>
          <w:rFonts w:eastAsia="Calibri"/>
        </w:rPr>
      </w:pPr>
    </w:p>
    <w:p w:rsidR="006D7E2A" w:rsidRPr="00A16F10" w:rsidRDefault="006D7E2A" w:rsidP="000D2F9C">
      <w:pPr>
        <w:numPr>
          <w:ilvl w:val="0"/>
          <w:numId w:val="28"/>
        </w:numPr>
        <w:overflowPunct w:val="0"/>
        <w:autoSpaceDE w:val="0"/>
        <w:autoSpaceDN w:val="0"/>
        <w:adjustRightInd w:val="0"/>
        <w:ind w:left="360"/>
        <w:textAlignment w:val="baseline"/>
        <w:rPr>
          <w:rFonts w:eastAsia="Calibri"/>
        </w:rPr>
      </w:pPr>
      <w:r w:rsidRPr="00A16F10">
        <w:t>pitää tervetulleena lähestymistapaa, jossa uudistusta käsitellään osana laajempaa pyrkimystä parempaan tasapainoon rahoitusvakautta ja kasvua koskevien tavoitteiden välillä.</w:t>
      </w:r>
    </w:p>
    <w:p w:rsidR="006D7E2A" w:rsidRPr="00A16F10" w:rsidRDefault="006D7E2A" w:rsidP="000D2F9C">
      <w:pPr>
        <w:ind w:left="720"/>
        <w:rPr>
          <w:rFonts w:eastAsia="Calibri"/>
        </w:rPr>
      </w:pPr>
    </w:p>
    <w:p w:rsidR="006D7E2A" w:rsidRPr="00A16F10" w:rsidRDefault="006D7E2A" w:rsidP="000D2F9C">
      <w:pPr>
        <w:numPr>
          <w:ilvl w:val="0"/>
          <w:numId w:val="28"/>
        </w:numPr>
        <w:overflowPunct w:val="0"/>
        <w:autoSpaceDE w:val="0"/>
        <w:autoSpaceDN w:val="0"/>
        <w:adjustRightInd w:val="0"/>
        <w:ind w:left="360"/>
        <w:textAlignment w:val="baseline"/>
        <w:rPr>
          <w:rFonts w:eastAsia="Calibri"/>
        </w:rPr>
      </w:pPr>
      <w:r w:rsidRPr="00A16F10">
        <w:t>kehottaa jäsenvaltioita olemaan asettamatta tarpeettomia rasitteita tai rajoituksia, kun EU:n säännöksiä saatetaan osaksi kansallista lainsäädäntöä.</w:t>
      </w:r>
    </w:p>
    <w:p w:rsidR="006D7E2A" w:rsidRPr="00A16F10" w:rsidRDefault="006D7E2A" w:rsidP="000D2F9C">
      <w:pPr>
        <w:ind w:left="720"/>
        <w:rPr>
          <w:rFonts w:eastAsia="Calibri"/>
        </w:rPr>
      </w:pPr>
    </w:p>
    <w:p w:rsidR="006D7E2A" w:rsidRPr="00A16F10" w:rsidRDefault="006D7E2A" w:rsidP="000D2F9C">
      <w:pPr>
        <w:numPr>
          <w:ilvl w:val="0"/>
          <w:numId w:val="28"/>
        </w:numPr>
        <w:overflowPunct w:val="0"/>
        <w:autoSpaceDE w:val="0"/>
        <w:autoSpaceDN w:val="0"/>
        <w:adjustRightInd w:val="0"/>
        <w:ind w:left="360"/>
        <w:textAlignment w:val="baseline"/>
        <w:rPr>
          <w:rFonts w:eastAsia="Calibri"/>
        </w:rPr>
      </w:pPr>
      <w:r w:rsidRPr="00A16F10">
        <w:t>on yhtä mieltä siitä, että pankkeihin on kiinnitettävä erityistä huomiota, sillä ne tarjoavat tärkeitä yleishyödyllisiä palveluja suurelle yleisölle ja ovat pk-yritysten tärkein rahoituslähde.</w:t>
      </w:r>
    </w:p>
    <w:p w:rsidR="006D7E2A" w:rsidRPr="00A16F10" w:rsidRDefault="006D7E2A" w:rsidP="000D2F9C">
      <w:pPr>
        <w:ind w:left="720"/>
        <w:rPr>
          <w:rFonts w:eastAsia="Calibri"/>
        </w:rPr>
      </w:pPr>
    </w:p>
    <w:p w:rsidR="006D7E2A" w:rsidRPr="00A16F10" w:rsidRDefault="006D7E2A" w:rsidP="000D2F9C">
      <w:pPr>
        <w:numPr>
          <w:ilvl w:val="0"/>
          <w:numId w:val="28"/>
        </w:numPr>
        <w:overflowPunct w:val="0"/>
        <w:autoSpaceDE w:val="0"/>
        <w:autoSpaceDN w:val="0"/>
        <w:adjustRightInd w:val="0"/>
        <w:ind w:left="360"/>
        <w:textAlignment w:val="baseline"/>
        <w:rPr>
          <w:rFonts w:eastAsia="Calibri"/>
        </w:rPr>
      </w:pPr>
      <w:r w:rsidRPr="00A16F10">
        <w:t>kehottaa eurooppalaisia päätöksentekijöitä nopeuttamaan EU:n pankkialan rakenneuudistusta muun muassa ratkaisemalla tämän pattitilanteen EU:n luottolaitosten häiriönsietokykyä parantavia rakennetoimenpiteitä koskevan komission lainsäädäntöehdotuksen käsittelyssä.</w:t>
      </w:r>
    </w:p>
    <w:p w:rsidR="006D7E2A" w:rsidRPr="00A16F10" w:rsidRDefault="006D7E2A" w:rsidP="000D2F9C">
      <w:pPr>
        <w:keepLines/>
        <w:ind w:left="720"/>
        <w:rPr>
          <w:rFonts w:eastAsia="Calibri"/>
        </w:rPr>
      </w:pPr>
    </w:p>
    <w:p w:rsidR="006D7E2A" w:rsidRPr="00A16F10" w:rsidRDefault="004C07BF" w:rsidP="000D2F9C">
      <w:pPr>
        <w:numPr>
          <w:ilvl w:val="0"/>
          <w:numId w:val="28"/>
        </w:numPr>
        <w:overflowPunct w:val="0"/>
        <w:autoSpaceDE w:val="0"/>
        <w:autoSpaceDN w:val="0"/>
        <w:adjustRightInd w:val="0"/>
        <w:ind w:left="360"/>
        <w:textAlignment w:val="baseline"/>
      </w:pPr>
      <w:r w:rsidRPr="00A16F10">
        <w:t>katsoo, että lainsäädäntö ei ole aina soveltuvin toimintatapa, ja kehottaa komissiota valitsemaan muita kuin lainsäädäntöön perustuvia ja markkinapohjaisia ratkaisuja aina kun se on mahdollista.</w:t>
      </w:r>
    </w:p>
    <w:p w:rsidR="006D7E2A" w:rsidRPr="00A16F10" w:rsidRDefault="006D7E2A" w:rsidP="000D2F9C">
      <w:pPr>
        <w:rPr>
          <w:rFonts w:eastAsia="Calibri"/>
        </w:rPr>
      </w:pPr>
    </w:p>
    <w:p w:rsidR="006D7E2A" w:rsidRPr="00A16F10" w:rsidRDefault="006D7E2A" w:rsidP="000D2F9C">
      <w:pPr>
        <w:rPr>
          <w:rFonts w:eastAsia="Calibri"/>
          <w:i/>
        </w:rPr>
      </w:pPr>
      <w:r w:rsidRPr="00A16F10">
        <w:rPr>
          <w:b/>
          <w:i/>
        </w:rPr>
        <w:t>Yhteyshenkilö</w:t>
      </w:r>
      <w:r w:rsidRPr="00A16F10">
        <w:t>:</w:t>
      </w:r>
      <w:r w:rsidRPr="00A16F10">
        <w:rPr>
          <w:i/>
        </w:rPr>
        <w:t xml:space="preserve"> </w:t>
      </w:r>
      <w:r w:rsidRPr="00A16F10">
        <w:tab/>
      </w:r>
      <w:r w:rsidRPr="00A16F10">
        <w:rPr>
          <w:i/>
        </w:rPr>
        <w:t>Gerald Klec</w:t>
      </w:r>
    </w:p>
    <w:p w:rsidR="006D7E2A" w:rsidRPr="00A16F10" w:rsidRDefault="00743670" w:rsidP="000D2F9C">
      <w:pPr>
        <w:ind w:left="1134"/>
        <w:rPr>
          <w:rFonts w:eastAsia="Calibri"/>
          <w:i/>
        </w:rPr>
      </w:pPr>
      <w:r w:rsidRPr="00A16F10">
        <w:rPr>
          <w:i/>
        </w:rPr>
        <w:tab/>
      </w:r>
      <w:r w:rsidR="006D7E2A" w:rsidRPr="00A16F10">
        <w:rPr>
          <w:i/>
        </w:rPr>
        <w:t xml:space="preserve">(P. +32 25469909 – sähköposti: </w:t>
      </w:r>
      <w:hyperlink r:id="rId26" w:history="1">
        <w:r w:rsidR="006D7E2A" w:rsidRPr="00A16F10">
          <w:rPr>
            <w:rStyle w:val="Hyperlink"/>
            <w:i/>
          </w:rPr>
          <w:t>gerald.klec@eesc.europa.eu</w:t>
        </w:r>
      </w:hyperlink>
      <w:r w:rsidR="006D7E2A" w:rsidRPr="00A16F10">
        <w:rPr>
          <w:i/>
        </w:rPr>
        <w:t>)</w:t>
      </w:r>
    </w:p>
    <w:p w:rsidR="0088087B" w:rsidRPr="00A16F10" w:rsidRDefault="0088087B" w:rsidP="000D2F9C">
      <w:pPr>
        <w:rPr>
          <w:rFonts w:eastAsia="Calibri"/>
          <w:i/>
          <w:iCs/>
          <w:u w:val="single"/>
        </w:rPr>
      </w:pPr>
    </w:p>
    <w:p w:rsidR="004B41EE" w:rsidRPr="00A16F10" w:rsidRDefault="004B41EE" w:rsidP="000D2F9C">
      <w:pPr>
        <w:keepNext/>
        <w:keepLines/>
        <w:widowControl w:val="0"/>
        <w:numPr>
          <w:ilvl w:val="0"/>
          <w:numId w:val="37"/>
        </w:numPr>
        <w:overflowPunct w:val="0"/>
        <w:autoSpaceDE w:val="0"/>
        <w:autoSpaceDN w:val="0"/>
        <w:adjustRightInd w:val="0"/>
        <w:ind w:left="567" w:hanging="283"/>
        <w:textAlignment w:val="baseline"/>
        <w:rPr>
          <w:b/>
          <w:i/>
          <w:sz w:val="28"/>
          <w:szCs w:val="28"/>
        </w:rPr>
      </w:pPr>
      <w:r w:rsidRPr="00A16F10">
        <w:rPr>
          <w:b/>
          <w:i/>
          <w:sz w:val="28"/>
        </w:rPr>
        <w:t>Alueelliset typologiat</w:t>
      </w:r>
    </w:p>
    <w:p w:rsidR="004B41EE" w:rsidRPr="00A16F10" w:rsidRDefault="004B41EE" w:rsidP="000D2F9C">
      <w:pPr>
        <w:keepNext/>
        <w:keepLines/>
        <w:tabs>
          <w:tab w:val="center" w:pos="284"/>
        </w:tabs>
        <w:ind w:left="266" w:hanging="266"/>
        <w:rPr>
          <w:rFonts w:eastAsia="Calibri"/>
          <w:b/>
        </w:rPr>
      </w:pPr>
    </w:p>
    <w:p w:rsidR="004B41EE" w:rsidRPr="00A16F10" w:rsidRDefault="004B41EE" w:rsidP="000D2F9C">
      <w:pPr>
        <w:keepNext/>
        <w:keepLines/>
        <w:tabs>
          <w:tab w:val="center" w:pos="284"/>
        </w:tabs>
        <w:ind w:left="266" w:hanging="266"/>
        <w:rPr>
          <w:rFonts w:eastAsia="Calibri"/>
        </w:rPr>
      </w:pPr>
      <w:r w:rsidRPr="00A16F10">
        <w:rPr>
          <w:b/>
        </w:rPr>
        <w:t>Ryhmä C</w:t>
      </w:r>
    </w:p>
    <w:p w:rsidR="004B41EE" w:rsidRPr="00A16F10" w:rsidRDefault="004B41EE" w:rsidP="000D2F9C">
      <w:pPr>
        <w:keepNext/>
        <w:keepLines/>
        <w:tabs>
          <w:tab w:val="center" w:pos="284"/>
        </w:tabs>
        <w:ind w:left="266" w:hanging="266"/>
        <w:rPr>
          <w:rFonts w:eastAsia="Calibri"/>
        </w:rPr>
      </w:pPr>
    </w:p>
    <w:p w:rsidR="004C07BF" w:rsidRPr="00A16F10" w:rsidRDefault="004B41EE" w:rsidP="000D2F9C">
      <w:pPr>
        <w:keepNext/>
        <w:keepLines/>
        <w:tabs>
          <w:tab w:val="center" w:pos="284"/>
          <w:tab w:val="left" w:pos="1701"/>
        </w:tabs>
        <w:ind w:left="266" w:hanging="266"/>
        <w:rPr>
          <w:rFonts w:eastAsia="Calibri"/>
        </w:rPr>
      </w:pPr>
      <w:r w:rsidRPr="00A16F10">
        <w:rPr>
          <w:b/>
        </w:rPr>
        <w:t>Viiteasiakirjat:</w:t>
      </w:r>
      <w:r w:rsidRPr="00A16F10">
        <w:tab/>
        <w:t>COM(2016) 788 final – 2016/0393 (COD)</w:t>
      </w:r>
    </w:p>
    <w:p w:rsidR="004B41EE" w:rsidRPr="00A16F10" w:rsidRDefault="004B41EE" w:rsidP="000D2F9C">
      <w:pPr>
        <w:keepNext/>
        <w:keepLines/>
        <w:tabs>
          <w:tab w:val="center" w:pos="-2268"/>
        </w:tabs>
        <w:ind w:left="1701"/>
        <w:rPr>
          <w:rFonts w:eastAsia="Calibri"/>
        </w:rPr>
      </w:pPr>
      <w:r w:rsidRPr="00A16F10">
        <w:t>EESC-2017-01107-00-00-AC-TRA</w:t>
      </w:r>
    </w:p>
    <w:p w:rsidR="004B41EE" w:rsidRPr="00A16F10" w:rsidRDefault="004B41EE" w:rsidP="000D2F9C">
      <w:pPr>
        <w:tabs>
          <w:tab w:val="center" w:pos="284"/>
        </w:tabs>
        <w:ind w:left="266" w:hanging="266"/>
        <w:rPr>
          <w:rFonts w:eastAsia="Calibri"/>
        </w:rPr>
      </w:pPr>
    </w:p>
    <w:p w:rsidR="004B41EE" w:rsidRPr="00A16F10" w:rsidRDefault="004B41EE" w:rsidP="000D2F9C">
      <w:pPr>
        <w:keepNext/>
        <w:keepLines/>
        <w:tabs>
          <w:tab w:val="center" w:pos="284"/>
        </w:tabs>
        <w:ind w:left="266" w:hanging="266"/>
        <w:rPr>
          <w:rFonts w:eastAsia="Calibri"/>
          <w:b/>
        </w:rPr>
      </w:pPr>
      <w:r w:rsidRPr="00A16F10">
        <w:rPr>
          <w:b/>
        </w:rPr>
        <w:t>Keskeiset kohdat:</w:t>
      </w:r>
    </w:p>
    <w:p w:rsidR="004B41EE" w:rsidRPr="00A16F10" w:rsidRDefault="004B41EE" w:rsidP="000D2F9C">
      <w:pPr>
        <w:rPr>
          <w:rFonts w:eastAsia="Calibri"/>
        </w:rPr>
      </w:pPr>
    </w:p>
    <w:p w:rsidR="004B41EE" w:rsidRPr="00A16F10" w:rsidRDefault="004B41EE" w:rsidP="000D2F9C">
      <w:pPr>
        <w:rPr>
          <w:rFonts w:eastAsia="Calibri"/>
        </w:rPr>
      </w:pPr>
      <w:r w:rsidRPr="00A16F10">
        <w:t>Koska komitea katsoo, että komission ehdotuksen sisältö on hyväksyttävä, eikä komitealla ole siihen kommentoitavaa, se päätti antaa esitetystä asiakirjasta myönteisen lausunnon.</w:t>
      </w:r>
    </w:p>
    <w:p w:rsidR="004B41EE" w:rsidRPr="00A16F10" w:rsidRDefault="004B41EE" w:rsidP="000D2F9C">
      <w:pPr>
        <w:tabs>
          <w:tab w:val="left" w:pos="770"/>
        </w:tabs>
        <w:ind w:left="1430" w:hanging="1430"/>
        <w:rPr>
          <w:rFonts w:eastAsia="Calibri"/>
          <w:b/>
          <w:i/>
        </w:rPr>
      </w:pPr>
    </w:p>
    <w:p w:rsidR="004B41EE" w:rsidRPr="00A16F10" w:rsidRDefault="004B41EE" w:rsidP="000D2F9C">
      <w:pPr>
        <w:tabs>
          <w:tab w:val="left" w:pos="770"/>
        </w:tabs>
        <w:ind w:left="1430" w:hanging="1430"/>
        <w:rPr>
          <w:rFonts w:eastAsia="Calibri"/>
          <w:i/>
          <w:iCs/>
        </w:rPr>
      </w:pPr>
      <w:r w:rsidRPr="00A16F10">
        <w:rPr>
          <w:b/>
          <w:i/>
        </w:rPr>
        <w:t>Yhteyshenkilö</w:t>
      </w:r>
      <w:r w:rsidRPr="00A16F10">
        <w:t>:</w:t>
      </w:r>
      <w:r w:rsidRPr="00A16F10">
        <w:tab/>
      </w:r>
      <w:r w:rsidR="00743670" w:rsidRPr="00A16F10">
        <w:tab/>
      </w:r>
      <w:r w:rsidRPr="00A16F10">
        <w:rPr>
          <w:i/>
        </w:rPr>
        <w:t>Helena Polomik</w:t>
      </w:r>
    </w:p>
    <w:p w:rsidR="007818AB" w:rsidRPr="00A16F10" w:rsidRDefault="00743670" w:rsidP="000D2F9C">
      <w:pPr>
        <w:ind w:left="1418"/>
        <w:rPr>
          <w:rFonts w:eastAsia="Calibri"/>
          <w:i/>
          <w:iCs/>
        </w:rPr>
      </w:pPr>
      <w:r w:rsidRPr="00A16F10">
        <w:rPr>
          <w:i/>
        </w:rPr>
        <w:tab/>
      </w:r>
      <w:r w:rsidR="004B41EE" w:rsidRPr="00A16F10">
        <w:rPr>
          <w:i/>
        </w:rPr>
        <w:t xml:space="preserve">(P. +32 25469063 – sähköposti: </w:t>
      </w:r>
      <w:hyperlink r:id="rId27" w:history="1">
        <w:r w:rsidR="004B41EE" w:rsidRPr="00A16F10">
          <w:rPr>
            <w:rStyle w:val="Hyperlink"/>
            <w:i/>
          </w:rPr>
          <w:t>Helena.Polomik@eesc.europa.eu</w:t>
        </w:r>
      </w:hyperlink>
      <w:r w:rsidR="004B41EE" w:rsidRPr="00A16F10">
        <w:rPr>
          <w:i/>
        </w:rPr>
        <w:t>)</w:t>
      </w:r>
    </w:p>
    <w:p w:rsidR="004B41EE" w:rsidRPr="00A16F10" w:rsidRDefault="004B41EE" w:rsidP="000D2F9C">
      <w:pPr>
        <w:rPr>
          <w:rFonts w:eastAsia="Calibri"/>
          <w:i/>
          <w:iCs/>
        </w:rPr>
      </w:pPr>
    </w:p>
    <w:p w:rsidR="006D7E2A" w:rsidRPr="00A16F10" w:rsidRDefault="006D7E2A" w:rsidP="000D2F9C">
      <w:pPr>
        <w:keepNext/>
        <w:widowControl w:val="0"/>
        <w:numPr>
          <w:ilvl w:val="0"/>
          <w:numId w:val="4"/>
        </w:numPr>
        <w:overflowPunct w:val="0"/>
        <w:autoSpaceDE w:val="0"/>
        <w:autoSpaceDN w:val="0"/>
        <w:adjustRightInd w:val="0"/>
        <w:ind w:left="567" w:hanging="283"/>
        <w:textAlignment w:val="baseline"/>
        <w:rPr>
          <w:rFonts w:eastAsia="Calibri"/>
          <w:b/>
          <w:i/>
          <w:sz w:val="28"/>
          <w:szCs w:val="28"/>
        </w:rPr>
      </w:pPr>
      <w:r w:rsidRPr="00A16F10">
        <w:rPr>
          <w:b/>
          <w:i/>
          <w:sz w:val="28"/>
        </w:rPr>
        <w:t>Pankkiuudistus – pääomavaatimuksiin ja kriisinratkaisukehykseen kohdistuvat muutokset</w:t>
      </w:r>
    </w:p>
    <w:p w:rsidR="006D7E2A" w:rsidRPr="00A16F10" w:rsidRDefault="006D7E2A" w:rsidP="000D2F9C">
      <w:pPr>
        <w:keepNext/>
        <w:tabs>
          <w:tab w:val="left" w:pos="1520"/>
        </w:tabs>
        <w:ind w:left="266" w:hanging="266"/>
        <w:rPr>
          <w:rFonts w:eastAsia="Calibri"/>
          <w:b/>
        </w:rPr>
      </w:pPr>
    </w:p>
    <w:p w:rsidR="006D7E2A" w:rsidRPr="00A16F10" w:rsidRDefault="006D7E2A" w:rsidP="000D2F9C">
      <w:pPr>
        <w:keepNext/>
        <w:tabs>
          <w:tab w:val="center" w:pos="284"/>
        </w:tabs>
        <w:ind w:left="266" w:hanging="266"/>
        <w:rPr>
          <w:rFonts w:eastAsia="Calibri"/>
        </w:rPr>
      </w:pPr>
      <w:r w:rsidRPr="00A16F10">
        <w:rPr>
          <w:b/>
        </w:rPr>
        <w:t>Esittelijä:</w:t>
      </w:r>
      <w:r w:rsidRPr="00A16F10">
        <w:tab/>
      </w:r>
      <w:r w:rsidR="00743670" w:rsidRPr="00A16F10">
        <w:tab/>
      </w:r>
      <w:r w:rsidRPr="00A16F10">
        <w:t>Daniel MAREELS (työnantajat – BE)</w:t>
      </w:r>
    </w:p>
    <w:p w:rsidR="006D7E2A" w:rsidRPr="00A16F10" w:rsidRDefault="006D7E2A" w:rsidP="000D2F9C">
      <w:pPr>
        <w:keepNext/>
        <w:tabs>
          <w:tab w:val="center" w:pos="284"/>
        </w:tabs>
        <w:ind w:left="266" w:hanging="266"/>
        <w:rPr>
          <w:rFonts w:eastAsia="Calibri"/>
          <w:b/>
        </w:rPr>
      </w:pPr>
    </w:p>
    <w:p w:rsidR="006D7E2A" w:rsidRPr="00A16F10" w:rsidRDefault="006D7E2A" w:rsidP="000D2F9C">
      <w:pPr>
        <w:keepNext/>
        <w:tabs>
          <w:tab w:val="center" w:pos="284"/>
          <w:tab w:val="left" w:pos="1701"/>
        </w:tabs>
        <w:ind w:left="266" w:hanging="266"/>
        <w:rPr>
          <w:rFonts w:eastAsia="Calibri"/>
        </w:rPr>
      </w:pPr>
      <w:r w:rsidRPr="00A16F10">
        <w:rPr>
          <w:b/>
        </w:rPr>
        <w:t>Viiteasiakirjat:</w:t>
      </w:r>
      <w:r w:rsidRPr="00A16F10">
        <w:tab/>
        <w:t>COM(2016) 850 final – 2016/0360 (COD)</w:t>
      </w:r>
    </w:p>
    <w:p w:rsidR="006D7E2A" w:rsidRPr="00A16F10" w:rsidRDefault="006D7E2A" w:rsidP="000D2F9C">
      <w:pPr>
        <w:keepNext/>
        <w:tabs>
          <w:tab w:val="center" w:pos="284"/>
        </w:tabs>
        <w:ind w:left="1701"/>
        <w:rPr>
          <w:rFonts w:eastAsia="Calibri"/>
        </w:rPr>
      </w:pPr>
      <w:r w:rsidRPr="00A16F10">
        <w:t>COM(2016) 851 final – 2016/0361 (COD)</w:t>
      </w:r>
    </w:p>
    <w:p w:rsidR="006D7E2A" w:rsidRPr="00A16F10" w:rsidRDefault="006D7E2A" w:rsidP="000D2F9C">
      <w:pPr>
        <w:keepNext/>
        <w:tabs>
          <w:tab w:val="center" w:pos="284"/>
        </w:tabs>
        <w:ind w:left="1701"/>
        <w:rPr>
          <w:rFonts w:eastAsia="Calibri"/>
        </w:rPr>
      </w:pPr>
      <w:r w:rsidRPr="00A16F10">
        <w:t>COM(2016) 852 final – 2016/0362 (COD)</w:t>
      </w:r>
    </w:p>
    <w:p w:rsidR="006D7E2A" w:rsidRPr="00A16F10" w:rsidRDefault="006D7E2A" w:rsidP="000D2F9C">
      <w:pPr>
        <w:keepNext/>
        <w:tabs>
          <w:tab w:val="center" w:pos="284"/>
        </w:tabs>
        <w:ind w:left="1701"/>
        <w:rPr>
          <w:rFonts w:eastAsia="Calibri"/>
        </w:rPr>
      </w:pPr>
      <w:r w:rsidRPr="00A16F10">
        <w:t>COM(2016) 854 final – 2016/0364 (COD)</w:t>
      </w:r>
    </w:p>
    <w:p w:rsidR="006D7E2A" w:rsidRPr="00A16F10" w:rsidRDefault="006D7E2A" w:rsidP="000D2F9C">
      <w:pPr>
        <w:keepNext/>
        <w:tabs>
          <w:tab w:val="center" w:pos="284"/>
        </w:tabs>
        <w:ind w:left="1701"/>
        <w:rPr>
          <w:rFonts w:eastAsia="Calibri"/>
        </w:rPr>
      </w:pPr>
      <w:r w:rsidRPr="00A16F10">
        <w:t>EESC-2016-06799-00-00-AC-TRA</w:t>
      </w:r>
    </w:p>
    <w:p w:rsidR="006D7E2A" w:rsidRPr="00A16F10" w:rsidRDefault="006D7E2A" w:rsidP="000D2F9C">
      <w:pPr>
        <w:keepNext/>
        <w:tabs>
          <w:tab w:val="center" w:pos="284"/>
        </w:tabs>
        <w:ind w:left="266" w:hanging="266"/>
        <w:rPr>
          <w:rFonts w:eastAsia="Calibri"/>
        </w:rPr>
      </w:pPr>
    </w:p>
    <w:p w:rsidR="006D7E2A" w:rsidRPr="00A16F10" w:rsidRDefault="006D7E2A" w:rsidP="000D2F9C">
      <w:pPr>
        <w:keepNext/>
        <w:keepLines/>
        <w:tabs>
          <w:tab w:val="center" w:pos="284"/>
        </w:tabs>
        <w:ind w:left="266" w:hanging="266"/>
        <w:rPr>
          <w:rFonts w:eastAsia="Calibri"/>
          <w:b/>
        </w:rPr>
      </w:pPr>
      <w:r w:rsidRPr="00A16F10">
        <w:rPr>
          <w:b/>
        </w:rPr>
        <w:t>Keskeiset kohdat:</w:t>
      </w:r>
    </w:p>
    <w:p w:rsidR="00BC5473" w:rsidRPr="00A16F10" w:rsidRDefault="00BC5473" w:rsidP="000D2F9C">
      <w:pPr>
        <w:keepNext/>
        <w:ind w:left="-567"/>
        <w:rPr>
          <w:rFonts w:eastAsia="Calibri"/>
        </w:rPr>
      </w:pPr>
    </w:p>
    <w:p w:rsidR="006D7E2A" w:rsidRPr="00A16F10" w:rsidRDefault="006D7E2A" w:rsidP="000D2F9C">
      <w:pPr>
        <w:rPr>
          <w:rFonts w:eastAsia="Calibri"/>
        </w:rPr>
      </w:pPr>
      <w:r w:rsidRPr="00A16F10">
        <w:t>ETSK</w:t>
      </w:r>
    </w:p>
    <w:p w:rsidR="006D7E2A" w:rsidRPr="00A16F10" w:rsidRDefault="006D7E2A" w:rsidP="000D2F9C">
      <w:pPr>
        <w:rPr>
          <w:rFonts w:eastAsia="Calibri"/>
        </w:rPr>
      </w:pPr>
    </w:p>
    <w:p w:rsidR="006D7E2A" w:rsidRPr="00A16F10" w:rsidRDefault="006D7E2A" w:rsidP="000D2F9C">
      <w:pPr>
        <w:numPr>
          <w:ilvl w:val="0"/>
          <w:numId w:val="30"/>
        </w:numPr>
        <w:ind w:left="360"/>
        <w:contextualSpacing/>
      </w:pPr>
      <w:r w:rsidRPr="00A16F10">
        <w:t>on erittäin tyytyväinen komission säädösehdotuspakettiin, jonka se toivoo edistävän konkreettisella panoksella kriisin jälkeen tehtyä työtä finanssialan uudistamiseksi.</w:t>
      </w:r>
    </w:p>
    <w:p w:rsidR="006D7E2A" w:rsidRPr="00A16F10" w:rsidRDefault="006D7E2A" w:rsidP="000D2F9C"/>
    <w:p w:rsidR="006D7E2A" w:rsidRPr="00A16F10" w:rsidRDefault="009928D1" w:rsidP="000D2F9C">
      <w:pPr>
        <w:numPr>
          <w:ilvl w:val="0"/>
          <w:numId w:val="30"/>
        </w:numPr>
        <w:ind w:left="360"/>
        <w:contextualSpacing/>
      </w:pPr>
      <w:r w:rsidRPr="00A16F10">
        <w:t>on erittäin hyvillään tunnusomaisesta kokonaisvaltaisesta ja yhdennetystä näkemyksestä, jonka ansiosta ehdotuksissa on pystytty harmonisoimaan ja yhdistämään useita tärkeitä tavoitteita periaatteista tinkimättä.</w:t>
      </w:r>
    </w:p>
    <w:p w:rsidR="006D7E2A" w:rsidRPr="00A16F10" w:rsidRDefault="006D7E2A" w:rsidP="000D2F9C"/>
    <w:p w:rsidR="006D7E2A" w:rsidRPr="00A16F10" w:rsidRDefault="006D7E2A" w:rsidP="000D2F9C">
      <w:pPr>
        <w:numPr>
          <w:ilvl w:val="0"/>
          <w:numId w:val="30"/>
        </w:numPr>
        <w:ind w:left="360"/>
        <w:contextualSpacing/>
      </w:pPr>
      <w:r w:rsidRPr="00A16F10">
        <w:t>katsoo, että ehdotetut eri toimenpiteet lujittavat eittämättä eurooppalaista vakavaraisuus- ja kriisinratkaisukehystä pankkisektorilla. Tämä on elintärkeää pyrittäessä vähentämään finanssialan riskejä ja lisäämään finanssilaitosten häiriönsietokykyä.</w:t>
      </w:r>
    </w:p>
    <w:p w:rsidR="006D7E2A" w:rsidRPr="00A16F10" w:rsidRDefault="006D7E2A" w:rsidP="000D2F9C"/>
    <w:p w:rsidR="006D7E2A" w:rsidRPr="00A16F10" w:rsidRDefault="006D7E2A" w:rsidP="000D2F9C">
      <w:pPr>
        <w:numPr>
          <w:ilvl w:val="0"/>
          <w:numId w:val="30"/>
        </w:numPr>
        <w:ind w:left="360"/>
        <w:contextualSpacing/>
      </w:pPr>
      <w:r w:rsidRPr="00A16F10">
        <w:t>on vakuuttunut siitä, että ehdotusten olennainen tarkoitus eli riskien supistaminen mahdollistaa jatkuvan edistymisen pankkiunionin ja sen kolmannen pilarin, eurooppalaisen talletussuojajärjestelmän, toteuttamisessa. Tällä tavoin annetaan myönteinen panos jatkettaessa asiakkaiden ja kuluttajien finanssialaa kohtaan tunteman luottamuksen kohentamista.</w:t>
      </w:r>
    </w:p>
    <w:p w:rsidR="006D7E2A" w:rsidRPr="00A16F10" w:rsidRDefault="006D7E2A" w:rsidP="000D2F9C"/>
    <w:p w:rsidR="006D7E2A" w:rsidRPr="00A16F10" w:rsidRDefault="006D7E2A" w:rsidP="000D2F9C">
      <w:pPr>
        <w:numPr>
          <w:ilvl w:val="0"/>
          <w:numId w:val="30"/>
        </w:numPr>
        <w:ind w:left="360"/>
        <w:contextualSpacing/>
      </w:pPr>
      <w:r w:rsidRPr="00A16F10">
        <w:t>on erittäin hyvillään myös siitä, että talouden rahoittamiseen kiinnitetään huomiota. Koska investointien taso pysyttelee nykyisin liian matalana, on otettava vaari kaikista tilaisuuksista luoda uusia ja ylimääräisiä mahdollisuuksia talouden elpymiseen. Pankeilla on tärkeä tehtävä pääomamarkkinoiden välittäjätahona, ja pankkiluotot säilyvät eittämättä myös tulevaisuudessa kotitalouksien ja pk-yritysten merkittävimpänä rahoituslähteenä. Tällä alalla olisi tehtävä enemmän työtä pk-yritysten hyväksi, sillä ne ovat Euroopan talouden perusta. Komitea perää ”pk-yritysten tukikertoimen” vakiinnuttamista ja jatkuvaa laajentamista.</w:t>
      </w:r>
    </w:p>
    <w:p w:rsidR="006D7E2A" w:rsidRPr="00A16F10" w:rsidRDefault="006D7E2A" w:rsidP="000D2F9C"/>
    <w:p w:rsidR="006D7E2A" w:rsidRPr="00A16F10" w:rsidRDefault="006D7E2A" w:rsidP="000D2F9C">
      <w:pPr>
        <w:numPr>
          <w:ilvl w:val="0"/>
          <w:numId w:val="30"/>
        </w:numPr>
        <w:ind w:left="360"/>
        <w:contextualSpacing/>
      </w:pPr>
      <w:r w:rsidRPr="00A16F10">
        <w:t>katsoo, ettei pienten ja rakenteeltaan yksinkertaisten pankkilaitosten erityisluonnetta ja mahdollisuuksia ole vielä otettu riittävässä määrin huomioon. Tämä koskee varsinkin suhteellisuusperiaatetta. Järjestelmällisempi ja kauaskantoisempi lähestymistapa on tässä yhteydessä erittäin tärkeä, jotta entistä useammille laitoksille kertyisi etua yhä useammilla aloilla. Tämän tyyppisille laitoksille ei pidä sälyttää suhteettoman raskaita velvoitteita tai rasitteita.</w:t>
      </w:r>
    </w:p>
    <w:p w:rsidR="006D7E2A" w:rsidRPr="00A16F10" w:rsidRDefault="006D7E2A" w:rsidP="000D2F9C"/>
    <w:p w:rsidR="006D7E2A" w:rsidRPr="00A16F10" w:rsidRDefault="006D7E2A" w:rsidP="000D2F9C">
      <w:pPr>
        <w:numPr>
          <w:ilvl w:val="0"/>
          <w:numId w:val="30"/>
        </w:numPr>
        <w:ind w:left="360"/>
        <w:contextualSpacing/>
      </w:pPr>
      <w:r w:rsidRPr="00A16F10">
        <w:t>suhtautuu myönteisesti siihen, että tässä yhteydessä on otettu huomioon joukko EU:lle tyypillisiä seikkoja. Tämä koskee esimerkiksi kansainvälisiin sopimuksiin tehtäviä muutoksia eurooppalaisten erityispiirteiden huomioon ottamiseksi.</w:t>
      </w:r>
    </w:p>
    <w:p w:rsidR="006D7E2A" w:rsidRPr="00A16F10" w:rsidRDefault="006D7E2A" w:rsidP="000D2F9C"/>
    <w:p w:rsidR="006D7E2A" w:rsidRPr="00A16F10" w:rsidRDefault="006D7E2A" w:rsidP="000D2F9C">
      <w:pPr>
        <w:numPr>
          <w:ilvl w:val="0"/>
          <w:numId w:val="30"/>
        </w:numPr>
        <w:ind w:left="360"/>
        <w:contextualSpacing/>
      </w:pPr>
      <w:r w:rsidRPr="00A16F10">
        <w:t>katsoo olevan edelleen tärkeää, että EU:lla on johtava rooli finanssialan uudistukseen liittyvissä meneillään olevissa ja tulevissa kansainvälisissä toimissa.</w:t>
      </w:r>
    </w:p>
    <w:p w:rsidR="006D7E2A" w:rsidRPr="00A16F10" w:rsidRDefault="006D7E2A" w:rsidP="000D2F9C"/>
    <w:p w:rsidR="006D7E2A" w:rsidRPr="00A16F10" w:rsidRDefault="00A57F27" w:rsidP="000D2F9C">
      <w:pPr>
        <w:numPr>
          <w:ilvl w:val="0"/>
          <w:numId w:val="30"/>
        </w:numPr>
        <w:ind w:left="360"/>
        <w:contextualSpacing/>
      </w:pPr>
      <w:r w:rsidRPr="00A16F10">
        <w:t>toteaa, että on kaikkien asianosaisten ja sidosryhmien intressissä, että uusia sääntöjä toteutettaessa pyritään selkeyteen ja oikeusvarmuuteen, mikä edellyttää myös, että täytäntöönpanolle varataan riittävästi aikaa.</w:t>
      </w:r>
    </w:p>
    <w:p w:rsidR="004B41EE" w:rsidRPr="00A16F10" w:rsidRDefault="004B41EE" w:rsidP="000D2F9C"/>
    <w:p w:rsidR="004B41EE" w:rsidRPr="00A16F10" w:rsidRDefault="004B41EE" w:rsidP="000D2F9C">
      <w:pPr>
        <w:numPr>
          <w:ilvl w:val="0"/>
          <w:numId w:val="30"/>
        </w:numPr>
        <w:ind w:left="360"/>
        <w:contextualSpacing/>
      </w:pPr>
      <w:r w:rsidRPr="00A16F10">
        <w:t>pitää toivottavana, että lakisääteiset siirtymätoimet uuteen kansainväliseen tilinpäätösstandardiin (IFRS 9) liittyen hoidetaan ripeästi, jotta vältytään mahdollisilta talouden rahoittamisen kannalta kielteisiltä vaikutuksilta.</w:t>
      </w:r>
    </w:p>
    <w:p w:rsidR="006D7E2A" w:rsidRPr="00A16F10" w:rsidRDefault="006D7E2A" w:rsidP="000D2F9C">
      <w:pPr>
        <w:rPr>
          <w:rFonts w:eastAsia="Calibri"/>
          <w:highlight w:val="yellow"/>
        </w:rPr>
      </w:pPr>
    </w:p>
    <w:p w:rsidR="006D7E2A" w:rsidRPr="00A16F10" w:rsidRDefault="006D7E2A" w:rsidP="000D2F9C">
      <w:pPr>
        <w:tabs>
          <w:tab w:val="left" w:pos="1134"/>
        </w:tabs>
        <w:ind w:left="1134" w:hanging="1134"/>
        <w:rPr>
          <w:rFonts w:eastAsia="Calibri"/>
          <w:i/>
        </w:rPr>
      </w:pPr>
      <w:r w:rsidRPr="00A16F10">
        <w:rPr>
          <w:b/>
          <w:i/>
        </w:rPr>
        <w:t>Yhteyshenkilö</w:t>
      </w:r>
      <w:r w:rsidRPr="00A16F10">
        <w:t>:</w:t>
      </w:r>
      <w:r w:rsidRPr="00A16F10">
        <w:rPr>
          <w:i/>
        </w:rPr>
        <w:t xml:space="preserve"> </w:t>
      </w:r>
      <w:r w:rsidRPr="00A16F10">
        <w:tab/>
      </w:r>
      <w:r w:rsidRPr="00A16F10">
        <w:rPr>
          <w:i/>
        </w:rPr>
        <w:t>Gerald Klec</w:t>
      </w:r>
    </w:p>
    <w:p w:rsidR="007D03DC" w:rsidRPr="00A16F10" w:rsidRDefault="00743670" w:rsidP="000D2F9C">
      <w:pPr>
        <w:ind w:left="1134"/>
        <w:rPr>
          <w:rFonts w:eastAsia="Calibri"/>
        </w:rPr>
      </w:pPr>
      <w:r w:rsidRPr="00A16F10">
        <w:rPr>
          <w:i/>
        </w:rPr>
        <w:tab/>
      </w:r>
      <w:r w:rsidR="006D7E2A" w:rsidRPr="00A16F10">
        <w:rPr>
          <w:i/>
        </w:rPr>
        <w:t xml:space="preserve">(P. +32 25469909 – sähköposti: </w:t>
      </w:r>
      <w:hyperlink r:id="rId28" w:history="1">
        <w:r w:rsidR="006D7E2A" w:rsidRPr="00A16F10">
          <w:rPr>
            <w:rStyle w:val="Hyperlink"/>
            <w:i/>
          </w:rPr>
          <w:t>gerald.klec@eesc.europa.eu</w:t>
        </w:r>
      </w:hyperlink>
      <w:r w:rsidR="006D7E2A" w:rsidRPr="00A16F10">
        <w:rPr>
          <w:i/>
        </w:rPr>
        <w:t>)</w:t>
      </w:r>
    </w:p>
    <w:p w:rsidR="00505DD7" w:rsidRPr="00A16F10" w:rsidRDefault="00505DD7" w:rsidP="000D2F9C">
      <w:pPr>
        <w:rPr>
          <w:b/>
        </w:rPr>
      </w:pPr>
    </w:p>
    <w:p w:rsidR="000D2F9C" w:rsidRPr="00A16F10" w:rsidRDefault="000D2F9C" w:rsidP="000D2F9C">
      <w:pPr>
        <w:rPr>
          <w:b/>
        </w:rPr>
      </w:pPr>
    </w:p>
    <w:p w:rsidR="00E6566F" w:rsidRPr="00A16F10" w:rsidRDefault="00E6566F" w:rsidP="000D2F9C">
      <w:pPr>
        <w:pStyle w:val="Heading1"/>
        <w:keepNext/>
        <w:rPr>
          <w:b/>
        </w:rPr>
      </w:pPr>
      <w:bookmarkStart w:id="13" w:name="_Toc477938712"/>
      <w:bookmarkStart w:id="14" w:name="_Toc480374755"/>
      <w:bookmarkStart w:id="15" w:name="_Toc480381006"/>
      <w:r w:rsidRPr="00A16F10">
        <w:rPr>
          <w:b/>
        </w:rPr>
        <w:t>TEOLLISUUS / INNOVOINTI</w:t>
      </w:r>
      <w:bookmarkEnd w:id="13"/>
      <w:bookmarkEnd w:id="14"/>
      <w:bookmarkEnd w:id="15"/>
    </w:p>
    <w:p w:rsidR="00BC5473" w:rsidRPr="00A16F10" w:rsidRDefault="00BC5473" w:rsidP="000D2F9C">
      <w:pPr>
        <w:keepNext/>
      </w:pPr>
    </w:p>
    <w:p w:rsidR="00C1115F" w:rsidRPr="00A16F10" w:rsidRDefault="00C1115F" w:rsidP="000D2F9C">
      <w:pPr>
        <w:keepNext/>
        <w:widowControl w:val="0"/>
        <w:numPr>
          <w:ilvl w:val="0"/>
          <w:numId w:val="36"/>
        </w:numPr>
        <w:overflowPunct w:val="0"/>
        <w:autoSpaceDE w:val="0"/>
        <w:autoSpaceDN w:val="0"/>
        <w:adjustRightInd w:val="0"/>
        <w:ind w:left="567" w:hanging="283"/>
        <w:textAlignment w:val="baseline"/>
        <w:rPr>
          <w:i/>
          <w:sz w:val="28"/>
          <w:szCs w:val="28"/>
        </w:rPr>
      </w:pPr>
      <w:r w:rsidRPr="00A16F10">
        <w:rPr>
          <w:b/>
          <w:i/>
          <w:sz w:val="28"/>
        </w:rPr>
        <w:t>Vene- ja merimatkailu</w:t>
      </w:r>
    </w:p>
    <w:p w:rsidR="00C1115F" w:rsidRPr="00A16F10" w:rsidRDefault="00C1115F" w:rsidP="000D2F9C">
      <w:pPr>
        <w:tabs>
          <w:tab w:val="center" w:pos="284"/>
        </w:tabs>
        <w:overflowPunct w:val="0"/>
        <w:autoSpaceDE w:val="0"/>
        <w:autoSpaceDN w:val="0"/>
        <w:adjustRightInd w:val="0"/>
        <w:ind w:left="266" w:hanging="266"/>
        <w:textAlignment w:val="baseline"/>
        <w:rPr>
          <w:b/>
          <w:szCs w:val="20"/>
        </w:rPr>
      </w:pPr>
    </w:p>
    <w:p w:rsidR="00C1115F" w:rsidRPr="00A16F10" w:rsidRDefault="00C1115F" w:rsidP="000D2F9C">
      <w:pPr>
        <w:tabs>
          <w:tab w:val="center" w:pos="284"/>
        </w:tabs>
        <w:overflowPunct w:val="0"/>
        <w:autoSpaceDE w:val="0"/>
        <w:autoSpaceDN w:val="0"/>
        <w:adjustRightInd w:val="0"/>
        <w:ind w:left="266" w:hanging="266"/>
        <w:textAlignment w:val="baseline"/>
        <w:rPr>
          <w:szCs w:val="20"/>
        </w:rPr>
      </w:pPr>
      <w:r w:rsidRPr="00A16F10">
        <w:rPr>
          <w:b/>
        </w:rPr>
        <w:t>Esittelijä:</w:t>
      </w:r>
      <w:r w:rsidRPr="00A16F10">
        <w:tab/>
      </w:r>
      <w:r w:rsidR="00743670" w:rsidRPr="00A16F10">
        <w:tab/>
      </w:r>
      <w:r w:rsidRPr="00A16F10">
        <w:t>Tony ZAHRA (työnantajat – MT)</w:t>
      </w:r>
    </w:p>
    <w:p w:rsidR="00C1115F" w:rsidRPr="00A16F10" w:rsidRDefault="00C1115F" w:rsidP="000D2F9C">
      <w:pPr>
        <w:tabs>
          <w:tab w:val="center" w:pos="284"/>
        </w:tabs>
        <w:overflowPunct w:val="0"/>
        <w:autoSpaceDE w:val="0"/>
        <w:autoSpaceDN w:val="0"/>
        <w:adjustRightInd w:val="0"/>
        <w:ind w:left="266" w:hanging="266"/>
        <w:textAlignment w:val="baseline"/>
        <w:rPr>
          <w:b/>
          <w:szCs w:val="20"/>
        </w:rPr>
      </w:pPr>
    </w:p>
    <w:p w:rsidR="00ED4925" w:rsidRPr="00A16F10" w:rsidRDefault="00C1115F" w:rsidP="000D2F9C">
      <w:pPr>
        <w:tabs>
          <w:tab w:val="center" w:pos="284"/>
          <w:tab w:val="left" w:pos="1701"/>
        </w:tabs>
        <w:overflowPunct w:val="0"/>
        <w:autoSpaceDE w:val="0"/>
        <w:autoSpaceDN w:val="0"/>
        <w:adjustRightInd w:val="0"/>
        <w:ind w:left="266" w:hanging="266"/>
        <w:textAlignment w:val="baseline"/>
        <w:rPr>
          <w:szCs w:val="20"/>
        </w:rPr>
      </w:pPr>
      <w:r w:rsidRPr="00A16F10">
        <w:rPr>
          <w:b/>
        </w:rPr>
        <w:t>Viiteasiakirja:</w:t>
      </w:r>
      <w:r w:rsidRPr="00A16F10">
        <w:tab/>
        <w:t>valmisteleva lausunto</w:t>
      </w:r>
    </w:p>
    <w:p w:rsidR="00C1115F" w:rsidRPr="00A16F10" w:rsidRDefault="00C1115F" w:rsidP="000D2F9C">
      <w:pPr>
        <w:tabs>
          <w:tab w:val="center" w:pos="-2268"/>
        </w:tabs>
        <w:overflowPunct w:val="0"/>
        <w:autoSpaceDE w:val="0"/>
        <w:autoSpaceDN w:val="0"/>
        <w:adjustRightInd w:val="0"/>
        <w:ind w:left="1701"/>
        <w:textAlignment w:val="baseline"/>
      </w:pPr>
      <w:r w:rsidRPr="00A16F10">
        <w:t>EESC-2016-05923-00-00-PA-TRA</w:t>
      </w:r>
    </w:p>
    <w:p w:rsidR="00C1115F" w:rsidRPr="00A16F10" w:rsidRDefault="00C1115F" w:rsidP="000D2F9C">
      <w:pPr>
        <w:tabs>
          <w:tab w:val="center" w:pos="284"/>
        </w:tabs>
        <w:overflowPunct w:val="0"/>
        <w:autoSpaceDE w:val="0"/>
        <w:autoSpaceDN w:val="0"/>
        <w:adjustRightInd w:val="0"/>
        <w:spacing w:line="240" w:lineRule="auto"/>
        <w:ind w:left="266" w:hanging="266"/>
        <w:textAlignment w:val="baseline"/>
        <w:rPr>
          <w:szCs w:val="20"/>
        </w:rPr>
      </w:pPr>
    </w:p>
    <w:p w:rsidR="00C1115F" w:rsidRPr="00A16F10" w:rsidRDefault="00C1115F" w:rsidP="000D2F9C">
      <w:pPr>
        <w:keepNext/>
        <w:keepLines/>
        <w:overflowPunct w:val="0"/>
        <w:autoSpaceDE w:val="0"/>
        <w:autoSpaceDN w:val="0"/>
        <w:adjustRightInd w:val="0"/>
        <w:spacing w:line="240" w:lineRule="auto"/>
        <w:textAlignment w:val="baseline"/>
        <w:rPr>
          <w:b/>
        </w:rPr>
      </w:pPr>
      <w:r w:rsidRPr="00A16F10">
        <w:rPr>
          <w:b/>
        </w:rPr>
        <w:t>Keskeiset kohdat:</w:t>
      </w:r>
    </w:p>
    <w:p w:rsidR="00C1115F" w:rsidRPr="00A16F10" w:rsidRDefault="00C1115F" w:rsidP="000D2F9C">
      <w:pPr>
        <w:keepNext/>
        <w:keepLines/>
        <w:overflowPunct w:val="0"/>
        <w:autoSpaceDE w:val="0"/>
        <w:autoSpaceDN w:val="0"/>
        <w:adjustRightInd w:val="0"/>
        <w:spacing w:line="240" w:lineRule="auto"/>
        <w:textAlignment w:val="baseline"/>
        <w:rPr>
          <w:szCs w:val="20"/>
        </w:rPr>
      </w:pPr>
    </w:p>
    <w:p w:rsidR="00C1115F" w:rsidRPr="00A16F10" w:rsidRDefault="00C1115F" w:rsidP="000D2F9C">
      <w:pPr>
        <w:keepNext/>
        <w:keepLines/>
        <w:overflowPunct w:val="0"/>
        <w:autoSpaceDE w:val="0"/>
        <w:autoSpaceDN w:val="0"/>
        <w:adjustRightInd w:val="0"/>
        <w:textAlignment w:val="baseline"/>
        <w:rPr>
          <w:szCs w:val="20"/>
        </w:rPr>
      </w:pPr>
      <w:r w:rsidRPr="00A16F10">
        <w:t>Vaikka matkailualalle on tyypillistä vahva mukautumiskyky ja nopea elpyminen kriisiaikoina, ETSK:n mielestä on tärkeää analysoida ja käsitellä vene- ja merimatkailun ennakoitavissa olevia haasteita ja mahdollisuuksia erityisesti Välimeren alueella, koska sen merkitys EU:n taloudelle on suuri ja osuus taloudesta huomattava.</w:t>
      </w:r>
    </w:p>
    <w:p w:rsidR="00C1115F" w:rsidRPr="00A16F10" w:rsidRDefault="00C1115F" w:rsidP="000D2F9C">
      <w:pPr>
        <w:overflowPunct w:val="0"/>
        <w:autoSpaceDE w:val="0"/>
        <w:autoSpaceDN w:val="0"/>
        <w:adjustRightInd w:val="0"/>
        <w:textAlignment w:val="baseline"/>
        <w:rPr>
          <w:szCs w:val="20"/>
        </w:rPr>
      </w:pPr>
    </w:p>
    <w:p w:rsidR="00C1115F" w:rsidRPr="00A16F10" w:rsidRDefault="00C1115F" w:rsidP="000D2F9C">
      <w:pPr>
        <w:overflowPunct w:val="0"/>
        <w:autoSpaceDE w:val="0"/>
        <w:autoSpaceDN w:val="0"/>
        <w:adjustRightInd w:val="0"/>
        <w:textAlignment w:val="baseline"/>
        <w:rPr>
          <w:szCs w:val="20"/>
        </w:rPr>
      </w:pPr>
      <w:r w:rsidRPr="00A16F10">
        <w:t>Komitea kannustaa perustamaan läntisen Välimeren jäsenvaltioiden ja kolmansien maiden ryhmän käsittelemään yhteisesti sinistä kasvua ja sinisiä ja vihreitä infrastruktuureita, jotta heikentyneet ekosysteemit voidaan elvyttää. Koska matkailu itsessään tuottaa merkittäviä määriä jätettä, tämä edellyttää määräysten koordinoidun ja tehokkaan täytäntöönpanon lisäksi innovatiivisia toimenpiteitä, joilla voidaan lieventää jätteeseen liittyviä ongelmia.</w:t>
      </w:r>
    </w:p>
    <w:p w:rsidR="00C1115F" w:rsidRPr="00A16F10" w:rsidRDefault="00C1115F" w:rsidP="000D2F9C">
      <w:pPr>
        <w:overflowPunct w:val="0"/>
        <w:autoSpaceDE w:val="0"/>
        <w:autoSpaceDN w:val="0"/>
        <w:adjustRightInd w:val="0"/>
        <w:textAlignment w:val="baseline"/>
      </w:pPr>
    </w:p>
    <w:p w:rsidR="00C1115F" w:rsidRPr="00A16F10" w:rsidRDefault="00C1115F" w:rsidP="000D2F9C">
      <w:pPr>
        <w:overflowPunct w:val="0"/>
        <w:autoSpaceDE w:val="0"/>
        <w:autoSpaceDN w:val="0"/>
        <w:adjustRightInd w:val="0"/>
        <w:rPr>
          <w:i/>
          <w:szCs w:val="20"/>
        </w:rPr>
      </w:pPr>
      <w:r w:rsidRPr="00A16F10">
        <w:rPr>
          <w:b/>
          <w:i/>
        </w:rPr>
        <w:t>Yhteyshenkilö</w:t>
      </w:r>
      <w:r w:rsidRPr="00A16F10">
        <w:t>:</w:t>
      </w:r>
      <w:r w:rsidR="00743670" w:rsidRPr="00A16F10">
        <w:tab/>
      </w:r>
      <w:r w:rsidRPr="00A16F10">
        <w:rPr>
          <w:i/>
        </w:rPr>
        <w:t>Jean-Pierre Faure</w:t>
      </w:r>
    </w:p>
    <w:p w:rsidR="00C1115F" w:rsidRPr="00A16F10" w:rsidRDefault="00743670" w:rsidP="000D2F9C">
      <w:pPr>
        <w:overflowPunct w:val="0"/>
        <w:autoSpaceDE w:val="0"/>
        <w:autoSpaceDN w:val="0"/>
        <w:adjustRightInd w:val="0"/>
        <w:ind w:left="1134"/>
        <w:rPr>
          <w:i/>
          <w:szCs w:val="20"/>
        </w:rPr>
      </w:pPr>
      <w:r w:rsidRPr="00A16F10">
        <w:rPr>
          <w:i/>
        </w:rPr>
        <w:tab/>
      </w:r>
      <w:r w:rsidR="00C1115F" w:rsidRPr="00A16F10">
        <w:rPr>
          <w:i/>
        </w:rPr>
        <w:t xml:space="preserve">(P. +32 25469615 – sähköposti: </w:t>
      </w:r>
      <w:hyperlink r:id="rId29" w:history="1">
        <w:r w:rsidR="00C1115F" w:rsidRPr="00A16F10">
          <w:rPr>
            <w:rStyle w:val="Hyperlink"/>
            <w:i/>
          </w:rPr>
          <w:t>jean-pierre.faure@eesc.europa.eu</w:t>
        </w:r>
      </w:hyperlink>
      <w:r w:rsidR="00C1115F" w:rsidRPr="00A16F10">
        <w:rPr>
          <w:i/>
        </w:rPr>
        <w:t>)</w:t>
      </w:r>
    </w:p>
    <w:p w:rsidR="00C1115F" w:rsidRPr="00A16F10" w:rsidRDefault="00C1115F" w:rsidP="000D2F9C">
      <w:pPr>
        <w:overflowPunct w:val="0"/>
        <w:autoSpaceDE w:val="0"/>
        <w:autoSpaceDN w:val="0"/>
        <w:adjustRightInd w:val="0"/>
        <w:rPr>
          <w:i/>
          <w:iCs/>
          <w:u w:val="single"/>
        </w:rPr>
      </w:pPr>
    </w:p>
    <w:p w:rsidR="00C1115F" w:rsidRPr="00A16F10" w:rsidRDefault="00C1115F" w:rsidP="000D2F9C">
      <w:pPr>
        <w:keepNext/>
        <w:widowControl w:val="0"/>
        <w:numPr>
          <w:ilvl w:val="0"/>
          <w:numId w:val="2"/>
        </w:numPr>
        <w:overflowPunct w:val="0"/>
        <w:autoSpaceDE w:val="0"/>
        <w:autoSpaceDN w:val="0"/>
        <w:adjustRightInd w:val="0"/>
        <w:textAlignment w:val="baseline"/>
        <w:rPr>
          <w:i/>
          <w:sz w:val="28"/>
          <w:szCs w:val="28"/>
        </w:rPr>
      </w:pPr>
      <w:r w:rsidRPr="00A16F10">
        <w:rPr>
          <w:b/>
          <w:i/>
          <w:sz w:val="28"/>
        </w:rPr>
        <w:t>Avaruusstrategia Euroopalle</w:t>
      </w:r>
    </w:p>
    <w:p w:rsidR="00C1115F" w:rsidRPr="00A16F10" w:rsidRDefault="00C1115F" w:rsidP="000D2F9C">
      <w:pPr>
        <w:keepNext/>
        <w:tabs>
          <w:tab w:val="center" w:pos="284"/>
        </w:tabs>
        <w:overflowPunct w:val="0"/>
        <w:autoSpaceDE w:val="0"/>
        <w:autoSpaceDN w:val="0"/>
        <w:adjustRightInd w:val="0"/>
        <w:ind w:left="266" w:hanging="266"/>
        <w:textAlignment w:val="baseline"/>
        <w:rPr>
          <w:b/>
          <w:szCs w:val="20"/>
        </w:rPr>
      </w:pPr>
    </w:p>
    <w:p w:rsidR="00C1115F" w:rsidRPr="00A16F10" w:rsidRDefault="00C1115F" w:rsidP="000D2F9C">
      <w:pPr>
        <w:keepNext/>
        <w:tabs>
          <w:tab w:val="center" w:pos="284"/>
        </w:tabs>
        <w:overflowPunct w:val="0"/>
        <w:autoSpaceDE w:val="0"/>
        <w:autoSpaceDN w:val="0"/>
        <w:adjustRightInd w:val="0"/>
        <w:ind w:left="266" w:hanging="266"/>
        <w:textAlignment w:val="baseline"/>
        <w:rPr>
          <w:szCs w:val="20"/>
        </w:rPr>
      </w:pPr>
      <w:r w:rsidRPr="00A16F10">
        <w:rPr>
          <w:b/>
        </w:rPr>
        <w:t>Esittelijä:</w:t>
      </w:r>
      <w:r w:rsidRPr="00A16F10">
        <w:tab/>
      </w:r>
      <w:r w:rsidR="00743670" w:rsidRPr="00A16F10">
        <w:tab/>
      </w:r>
      <w:r w:rsidRPr="00A16F10">
        <w:t>Mindaugas MACIULEVIČIUS (muut eturyhmät – LT)</w:t>
      </w:r>
    </w:p>
    <w:p w:rsidR="00C1115F" w:rsidRPr="00A16F10" w:rsidRDefault="00C1115F" w:rsidP="000D2F9C">
      <w:pPr>
        <w:keepNext/>
        <w:tabs>
          <w:tab w:val="center" w:pos="284"/>
        </w:tabs>
        <w:overflowPunct w:val="0"/>
        <w:autoSpaceDE w:val="0"/>
        <w:autoSpaceDN w:val="0"/>
        <w:adjustRightInd w:val="0"/>
        <w:ind w:left="266" w:hanging="266"/>
        <w:textAlignment w:val="baseline"/>
        <w:rPr>
          <w:b/>
          <w:szCs w:val="20"/>
        </w:rPr>
      </w:pPr>
    </w:p>
    <w:p w:rsidR="00C1115F" w:rsidRPr="00A16F10" w:rsidRDefault="00C1115F" w:rsidP="000D2F9C">
      <w:pPr>
        <w:keepNext/>
        <w:tabs>
          <w:tab w:val="center" w:pos="284"/>
          <w:tab w:val="left" w:pos="1701"/>
        </w:tabs>
        <w:overflowPunct w:val="0"/>
        <w:autoSpaceDE w:val="0"/>
        <w:autoSpaceDN w:val="0"/>
        <w:adjustRightInd w:val="0"/>
        <w:ind w:left="266" w:hanging="266"/>
        <w:textAlignment w:val="baseline"/>
        <w:rPr>
          <w:szCs w:val="20"/>
        </w:rPr>
      </w:pPr>
      <w:r w:rsidRPr="00A16F10">
        <w:rPr>
          <w:b/>
        </w:rPr>
        <w:t>Viiteasiakirjat:</w:t>
      </w:r>
      <w:r w:rsidRPr="00A16F10">
        <w:tab/>
        <w:t>COM(2016) 705 final</w:t>
      </w:r>
    </w:p>
    <w:p w:rsidR="00C1115F" w:rsidRPr="00A16F10" w:rsidRDefault="00C1115F" w:rsidP="000D2F9C">
      <w:pPr>
        <w:keepNext/>
        <w:tabs>
          <w:tab w:val="center" w:pos="-2977"/>
        </w:tabs>
        <w:overflowPunct w:val="0"/>
        <w:autoSpaceDE w:val="0"/>
        <w:autoSpaceDN w:val="0"/>
        <w:adjustRightInd w:val="0"/>
        <w:ind w:left="1701"/>
        <w:textAlignment w:val="baseline"/>
      </w:pPr>
      <w:r w:rsidRPr="00A16F10">
        <w:t>INT/809 – EESC-2016-05992-00-00-PA-TRA</w:t>
      </w:r>
    </w:p>
    <w:p w:rsidR="00C1115F" w:rsidRPr="00A16F10" w:rsidRDefault="00C1115F" w:rsidP="000D2F9C">
      <w:pPr>
        <w:keepNext/>
        <w:tabs>
          <w:tab w:val="center" w:pos="284"/>
        </w:tabs>
        <w:overflowPunct w:val="0"/>
        <w:autoSpaceDE w:val="0"/>
        <w:autoSpaceDN w:val="0"/>
        <w:adjustRightInd w:val="0"/>
        <w:ind w:left="266" w:hanging="266"/>
        <w:textAlignment w:val="baseline"/>
        <w:rPr>
          <w:szCs w:val="20"/>
        </w:rPr>
      </w:pPr>
    </w:p>
    <w:p w:rsidR="00C1115F" w:rsidRPr="00A16F10" w:rsidRDefault="00C1115F" w:rsidP="000D2F9C">
      <w:pPr>
        <w:keepNext/>
        <w:overflowPunct w:val="0"/>
        <w:autoSpaceDE w:val="0"/>
        <w:autoSpaceDN w:val="0"/>
        <w:adjustRightInd w:val="0"/>
        <w:textAlignment w:val="baseline"/>
        <w:rPr>
          <w:b/>
        </w:rPr>
      </w:pPr>
      <w:r w:rsidRPr="00A16F10">
        <w:rPr>
          <w:b/>
        </w:rPr>
        <w:t>Keskeiset kohdat:</w:t>
      </w:r>
    </w:p>
    <w:p w:rsidR="00E84F95" w:rsidRPr="00A16F10" w:rsidRDefault="00E84F95" w:rsidP="000D2F9C">
      <w:pPr>
        <w:keepNext/>
        <w:overflowPunct w:val="0"/>
        <w:autoSpaceDE w:val="0"/>
        <w:autoSpaceDN w:val="0"/>
        <w:adjustRightInd w:val="0"/>
        <w:textAlignment w:val="baseline"/>
        <w:rPr>
          <w:szCs w:val="20"/>
        </w:rPr>
      </w:pPr>
    </w:p>
    <w:p w:rsidR="00C1115F" w:rsidRPr="00A16F10" w:rsidRDefault="00C1115F" w:rsidP="000D2F9C">
      <w:pPr>
        <w:overflowPunct w:val="0"/>
        <w:autoSpaceDE w:val="0"/>
        <w:autoSpaceDN w:val="0"/>
        <w:adjustRightInd w:val="0"/>
        <w:textAlignment w:val="baseline"/>
        <w:rPr>
          <w:szCs w:val="20"/>
        </w:rPr>
      </w:pPr>
      <w:r w:rsidRPr="00A16F10">
        <w:t>ETSK</w:t>
      </w:r>
    </w:p>
    <w:p w:rsidR="009928D1" w:rsidRPr="00A16F10" w:rsidRDefault="009928D1" w:rsidP="000D2F9C">
      <w:pPr>
        <w:overflowPunct w:val="0"/>
        <w:autoSpaceDE w:val="0"/>
        <w:autoSpaceDN w:val="0"/>
        <w:adjustRightInd w:val="0"/>
        <w:textAlignment w:val="baseline"/>
        <w:rPr>
          <w:szCs w:val="20"/>
        </w:rPr>
      </w:pPr>
    </w:p>
    <w:p w:rsidR="00C1115F" w:rsidRPr="00A16F10" w:rsidRDefault="00C1115F" w:rsidP="000D2F9C">
      <w:pPr>
        <w:numPr>
          <w:ilvl w:val="0"/>
          <w:numId w:val="5"/>
        </w:numPr>
        <w:overflowPunct w:val="0"/>
        <w:autoSpaceDE w:val="0"/>
        <w:autoSpaceDN w:val="0"/>
        <w:adjustRightInd w:val="0"/>
        <w:contextualSpacing/>
        <w:textAlignment w:val="baseline"/>
        <w:rPr>
          <w:szCs w:val="20"/>
        </w:rPr>
      </w:pPr>
      <w:r w:rsidRPr="00A16F10">
        <w:t>pitää tervetulleena Euroopan komission tiedonantoa ”Avaruusstrategia Euroopalle”.</w:t>
      </w:r>
    </w:p>
    <w:p w:rsidR="00C1115F" w:rsidRPr="00A16F10" w:rsidRDefault="00C1115F" w:rsidP="000D2F9C">
      <w:pPr>
        <w:numPr>
          <w:ilvl w:val="0"/>
          <w:numId w:val="5"/>
        </w:numPr>
        <w:overflowPunct w:val="0"/>
        <w:autoSpaceDE w:val="0"/>
        <w:autoSpaceDN w:val="0"/>
        <w:adjustRightInd w:val="0"/>
        <w:contextualSpacing/>
        <w:textAlignment w:val="baseline"/>
        <w:rPr>
          <w:szCs w:val="20"/>
        </w:rPr>
      </w:pPr>
      <w:r w:rsidRPr="00A16F10">
        <w:t>toistaa voimakkaan tukensa avaruuspolitiikalle, joka on suuntautunut siviilitarkoituksiin.</w:t>
      </w:r>
    </w:p>
    <w:p w:rsidR="00C1115F" w:rsidRPr="00A16F10" w:rsidRDefault="00C1115F" w:rsidP="000D2F9C">
      <w:pPr>
        <w:numPr>
          <w:ilvl w:val="0"/>
          <w:numId w:val="5"/>
        </w:numPr>
        <w:overflowPunct w:val="0"/>
        <w:autoSpaceDE w:val="0"/>
        <w:autoSpaceDN w:val="0"/>
        <w:adjustRightInd w:val="0"/>
        <w:contextualSpacing/>
        <w:textAlignment w:val="baseline"/>
        <w:rPr>
          <w:szCs w:val="20"/>
        </w:rPr>
      </w:pPr>
      <w:r w:rsidRPr="00A16F10">
        <w:t>kehottaa komissiota etsimään yhdessä Euroopan investointipankin kanssa uusia rahoitusvaihtoehtoja yksityisten sijoittajien kannustamiseksi.</w:t>
      </w:r>
    </w:p>
    <w:p w:rsidR="00C1115F" w:rsidRPr="00A16F10" w:rsidRDefault="00C1115F" w:rsidP="000D2F9C">
      <w:pPr>
        <w:numPr>
          <w:ilvl w:val="0"/>
          <w:numId w:val="5"/>
        </w:numPr>
        <w:overflowPunct w:val="0"/>
        <w:autoSpaceDE w:val="0"/>
        <w:autoSpaceDN w:val="0"/>
        <w:adjustRightInd w:val="0"/>
        <w:contextualSpacing/>
        <w:textAlignment w:val="baseline"/>
        <w:rPr>
          <w:szCs w:val="20"/>
        </w:rPr>
      </w:pPr>
      <w:r w:rsidRPr="00A16F10">
        <w:t>kehottaa kaikkia jäsenvaltiota osallistumaan aktiivisesti avaruusstrategiaan.</w:t>
      </w:r>
    </w:p>
    <w:p w:rsidR="00C1115F" w:rsidRPr="00A16F10" w:rsidRDefault="00C1115F" w:rsidP="000D2F9C">
      <w:pPr>
        <w:numPr>
          <w:ilvl w:val="0"/>
          <w:numId w:val="5"/>
        </w:numPr>
        <w:overflowPunct w:val="0"/>
        <w:autoSpaceDE w:val="0"/>
        <w:autoSpaceDN w:val="0"/>
        <w:adjustRightInd w:val="0"/>
        <w:contextualSpacing/>
        <w:textAlignment w:val="baseline"/>
        <w:rPr>
          <w:szCs w:val="20"/>
        </w:rPr>
      </w:pPr>
      <w:r w:rsidRPr="00A16F10">
        <w:t>uskoo, että avaruustoiminnan avulla saatuun tietoon ja dataan liittyviä hyötyjä koskeva koulutus ja kansalaisvalistus ovat erittäin tärkeitä.</w:t>
      </w:r>
    </w:p>
    <w:p w:rsidR="00C1115F" w:rsidRPr="00A16F10" w:rsidRDefault="00C1115F" w:rsidP="000D2F9C">
      <w:pPr>
        <w:numPr>
          <w:ilvl w:val="0"/>
          <w:numId w:val="5"/>
        </w:numPr>
        <w:overflowPunct w:val="0"/>
        <w:autoSpaceDE w:val="0"/>
        <w:autoSpaceDN w:val="0"/>
        <w:adjustRightInd w:val="0"/>
        <w:contextualSpacing/>
        <w:textAlignment w:val="baseline"/>
        <w:rPr>
          <w:szCs w:val="20"/>
        </w:rPr>
      </w:pPr>
      <w:r w:rsidRPr="00A16F10">
        <w:t>kehottaa komissiota kokeilemaan mahdollisuutta luoda yksi ainoa portaali.</w:t>
      </w:r>
    </w:p>
    <w:p w:rsidR="00C1115F" w:rsidRPr="00A16F10" w:rsidRDefault="00C1115F" w:rsidP="000D2F9C">
      <w:pPr>
        <w:numPr>
          <w:ilvl w:val="0"/>
          <w:numId w:val="5"/>
        </w:numPr>
        <w:overflowPunct w:val="0"/>
        <w:autoSpaceDE w:val="0"/>
        <w:autoSpaceDN w:val="0"/>
        <w:adjustRightInd w:val="0"/>
        <w:contextualSpacing/>
        <w:textAlignment w:val="baseline"/>
        <w:rPr>
          <w:szCs w:val="20"/>
        </w:rPr>
      </w:pPr>
      <w:r w:rsidRPr="00A16F10">
        <w:t>toivoo dataa koskevaa uutta lähestymistapaa.</w:t>
      </w:r>
    </w:p>
    <w:p w:rsidR="00C1115F" w:rsidRPr="00A16F10" w:rsidRDefault="00C1115F" w:rsidP="000D2F9C">
      <w:pPr>
        <w:overflowPunct w:val="0"/>
        <w:autoSpaceDE w:val="0"/>
        <w:autoSpaceDN w:val="0"/>
        <w:adjustRightInd w:val="0"/>
        <w:textAlignment w:val="baseline"/>
      </w:pPr>
    </w:p>
    <w:p w:rsidR="00C1115F" w:rsidRPr="00A16F10" w:rsidRDefault="00C1115F" w:rsidP="000D2F9C">
      <w:pPr>
        <w:overflowPunct w:val="0"/>
        <w:autoSpaceDE w:val="0"/>
        <w:autoSpaceDN w:val="0"/>
        <w:adjustRightInd w:val="0"/>
        <w:rPr>
          <w:i/>
          <w:szCs w:val="20"/>
        </w:rPr>
      </w:pPr>
      <w:r w:rsidRPr="00A16F10">
        <w:rPr>
          <w:b/>
          <w:i/>
        </w:rPr>
        <w:t>Yhteyshenkilö</w:t>
      </w:r>
      <w:r w:rsidRPr="00A16F10">
        <w:t>:</w:t>
      </w:r>
      <w:r w:rsidR="00743670" w:rsidRPr="00A16F10">
        <w:tab/>
      </w:r>
      <w:r w:rsidRPr="00A16F10">
        <w:rPr>
          <w:i/>
        </w:rPr>
        <w:t>Daniel Squerzi</w:t>
      </w:r>
    </w:p>
    <w:p w:rsidR="00C1115F" w:rsidRPr="00A16F10" w:rsidRDefault="00743670" w:rsidP="000D2F9C">
      <w:pPr>
        <w:overflowPunct w:val="0"/>
        <w:autoSpaceDE w:val="0"/>
        <w:autoSpaceDN w:val="0"/>
        <w:adjustRightInd w:val="0"/>
        <w:ind w:left="1134"/>
        <w:rPr>
          <w:szCs w:val="20"/>
        </w:rPr>
      </w:pPr>
      <w:r w:rsidRPr="00A16F10">
        <w:rPr>
          <w:i/>
        </w:rPr>
        <w:tab/>
      </w:r>
      <w:r w:rsidR="00C1115F" w:rsidRPr="00A16F10">
        <w:rPr>
          <w:i/>
        </w:rPr>
        <w:t xml:space="preserve">(P. +32 25469250 – sähköposti: </w:t>
      </w:r>
      <w:hyperlink r:id="rId30" w:history="1">
        <w:r w:rsidR="00C1115F" w:rsidRPr="00A16F10">
          <w:rPr>
            <w:rStyle w:val="Hyperlink"/>
            <w:i/>
          </w:rPr>
          <w:t>daniel.squerzi@eesc.europa.eu</w:t>
        </w:r>
      </w:hyperlink>
      <w:r w:rsidR="00C1115F" w:rsidRPr="00A16F10">
        <w:rPr>
          <w:i/>
        </w:rPr>
        <w:t>)</w:t>
      </w:r>
    </w:p>
    <w:p w:rsidR="00505DD7" w:rsidRPr="00A16F10" w:rsidRDefault="00505DD7" w:rsidP="000D2F9C">
      <w:pPr>
        <w:rPr>
          <w:b/>
        </w:rPr>
      </w:pPr>
    </w:p>
    <w:p w:rsidR="000D2F9C" w:rsidRPr="00A16F10" w:rsidRDefault="000D2F9C" w:rsidP="000D2F9C">
      <w:pPr>
        <w:rPr>
          <w:b/>
        </w:rPr>
      </w:pPr>
    </w:p>
    <w:p w:rsidR="003075E1" w:rsidRPr="00A16F10" w:rsidRDefault="00E6566F" w:rsidP="000D2F9C">
      <w:pPr>
        <w:pStyle w:val="Heading1"/>
        <w:keepNext/>
        <w:keepLines/>
        <w:rPr>
          <w:b/>
          <w:iCs/>
        </w:rPr>
      </w:pPr>
      <w:bookmarkStart w:id="16" w:name="_Toc477938713"/>
      <w:bookmarkStart w:id="17" w:name="_Toc480374756"/>
      <w:bookmarkStart w:id="18" w:name="_Toc480381007"/>
      <w:r w:rsidRPr="00A16F10">
        <w:rPr>
          <w:b/>
        </w:rPr>
        <w:t>SISÄMARKKINAT</w:t>
      </w:r>
      <w:bookmarkEnd w:id="16"/>
      <w:bookmarkEnd w:id="17"/>
      <w:bookmarkEnd w:id="18"/>
    </w:p>
    <w:p w:rsidR="00505DD7" w:rsidRPr="00A16F10" w:rsidRDefault="00505DD7" w:rsidP="000D2F9C">
      <w:pPr>
        <w:keepNext/>
        <w:keepLines/>
        <w:overflowPunct w:val="0"/>
        <w:autoSpaceDE w:val="0"/>
        <w:autoSpaceDN w:val="0"/>
        <w:adjustRightInd w:val="0"/>
        <w:rPr>
          <w:i/>
          <w:iCs/>
          <w:u w:val="single"/>
        </w:rPr>
      </w:pPr>
    </w:p>
    <w:p w:rsidR="00C1115F" w:rsidRPr="00A16F10" w:rsidRDefault="00C1115F" w:rsidP="000D2F9C">
      <w:pPr>
        <w:keepNext/>
        <w:keepLines/>
        <w:widowControl w:val="0"/>
        <w:numPr>
          <w:ilvl w:val="0"/>
          <w:numId w:val="2"/>
        </w:numPr>
        <w:overflowPunct w:val="0"/>
        <w:autoSpaceDE w:val="0"/>
        <w:autoSpaceDN w:val="0"/>
        <w:adjustRightInd w:val="0"/>
        <w:textAlignment w:val="baseline"/>
        <w:rPr>
          <w:i/>
          <w:sz w:val="28"/>
          <w:szCs w:val="28"/>
        </w:rPr>
      </w:pPr>
      <w:r w:rsidRPr="00A16F10">
        <w:rPr>
          <w:b/>
          <w:i/>
          <w:sz w:val="28"/>
        </w:rPr>
        <w:t>Yritysten maksukyvyttömyys</w:t>
      </w:r>
    </w:p>
    <w:p w:rsidR="00C1115F" w:rsidRPr="00A16F10" w:rsidRDefault="00C1115F" w:rsidP="000D2F9C">
      <w:pPr>
        <w:keepNext/>
        <w:keepLines/>
        <w:tabs>
          <w:tab w:val="center" w:pos="284"/>
        </w:tabs>
        <w:overflowPunct w:val="0"/>
        <w:autoSpaceDE w:val="0"/>
        <w:autoSpaceDN w:val="0"/>
        <w:adjustRightInd w:val="0"/>
        <w:ind w:left="266" w:hanging="266"/>
        <w:textAlignment w:val="baseline"/>
        <w:rPr>
          <w:b/>
          <w:szCs w:val="20"/>
        </w:rPr>
      </w:pPr>
    </w:p>
    <w:p w:rsidR="00C1115F" w:rsidRPr="00A16F10" w:rsidRDefault="00C1115F" w:rsidP="000D2F9C">
      <w:pPr>
        <w:keepNext/>
        <w:keepLines/>
        <w:tabs>
          <w:tab w:val="center" w:pos="284"/>
        </w:tabs>
        <w:overflowPunct w:val="0"/>
        <w:autoSpaceDE w:val="0"/>
        <w:autoSpaceDN w:val="0"/>
        <w:adjustRightInd w:val="0"/>
        <w:ind w:left="266" w:hanging="266"/>
        <w:textAlignment w:val="baseline"/>
        <w:rPr>
          <w:szCs w:val="20"/>
        </w:rPr>
      </w:pPr>
      <w:r w:rsidRPr="00A16F10">
        <w:rPr>
          <w:b/>
        </w:rPr>
        <w:t>Esittelijä:</w:t>
      </w:r>
      <w:r w:rsidRPr="00A16F10">
        <w:tab/>
      </w:r>
      <w:r w:rsidR="00743670" w:rsidRPr="00A16F10">
        <w:tab/>
      </w:r>
      <w:r w:rsidRPr="00A16F10">
        <w:t>Antonello PEZZINI (työnantajat – IT)</w:t>
      </w:r>
    </w:p>
    <w:p w:rsidR="00C1115F" w:rsidRPr="00A16F10" w:rsidRDefault="00C1115F" w:rsidP="000D2F9C">
      <w:pPr>
        <w:keepNext/>
        <w:keepLines/>
        <w:tabs>
          <w:tab w:val="center" w:pos="284"/>
        </w:tabs>
        <w:overflowPunct w:val="0"/>
        <w:autoSpaceDE w:val="0"/>
        <w:autoSpaceDN w:val="0"/>
        <w:adjustRightInd w:val="0"/>
        <w:ind w:left="266" w:hanging="266"/>
        <w:textAlignment w:val="baseline"/>
        <w:rPr>
          <w:szCs w:val="20"/>
        </w:rPr>
      </w:pPr>
      <w:r w:rsidRPr="00A16F10">
        <w:rPr>
          <w:b/>
        </w:rPr>
        <w:t>Toinen esittelijä:</w:t>
      </w:r>
      <w:r w:rsidRPr="00A16F10">
        <w:tab/>
        <w:t>Franca SALIS-MADINIER (työntekijät – FR)</w:t>
      </w:r>
    </w:p>
    <w:p w:rsidR="00C1115F" w:rsidRPr="00A16F10" w:rsidRDefault="00C1115F" w:rsidP="000D2F9C">
      <w:pPr>
        <w:keepNext/>
        <w:keepLines/>
        <w:tabs>
          <w:tab w:val="center" w:pos="284"/>
        </w:tabs>
        <w:overflowPunct w:val="0"/>
        <w:autoSpaceDE w:val="0"/>
        <w:autoSpaceDN w:val="0"/>
        <w:adjustRightInd w:val="0"/>
        <w:ind w:left="266" w:hanging="266"/>
        <w:textAlignment w:val="baseline"/>
        <w:rPr>
          <w:szCs w:val="20"/>
        </w:rPr>
      </w:pPr>
    </w:p>
    <w:p w:rsidR="00E24E8C" w:rsidRPr="00A16F10" w:rsidRDefault="00C1115F" w:rsidP="000D2F9C">
      <w:pPr>
        <w:keepNext/>
        <w:keepLines/>
        <w:tabs>
          <w:tab w:val="left" w:pos="1701"/>
        </w:tabs>
        <w:overflowPunct w:val="0"/>
        <w:autoSpaceDE w:val="0"/>
        <w:autoSpaceDN w:val="0"/>
        <w:adjustRightInd w:val="0"/>
        <w:textAlignment w:val="baseline"/>
        <w:rPr>
          <w:szCs w:val="20"/>
        </w:rPr>
      </w:pPr>
      <w:r w:rsidRPr="00A16F10">
        <w:rPr>
          <w:b/>
        </w:rPr>
        <w:t>Viiteasiakirjat:</w:t>
      </w:r>
      <w:r w:rsidRPr="00A16F10">
        <w:tab/>
        <w:t>COM(2016) 723 final – 2016/0359 (COD)</w:t>
      </w:r>
    </w:p>
    <w:p w:rsidR="00C1115F" w:rsidRPr="00A16F10" w:rsidRDefault="00C1115F" w:rsidP="000D2F9C">
      <w:pPr>
        <w:keepNext/>
        <w:keepLines/>
        <w:overflowPunct w:val="0"/>
        <w:autoSpaceDE w:val="0"/>
        <w:autoSpaceDN w:val="0"/>
        <w:adjustRightInd w:val="0"/>
        <w:ind w:left="1701"/>
        <w:textAlignment w:val="baseline"/>
      </w:pPr>
      <w:r w:rsidRPr="00A16F10">
        <w:t>EESC-2016-06275-00-02-PA-TRA</w:t>
      </w:r>
    </w:p>
    <w:p w:rsidR="00C1115F" w:rsidRPr="00A16F10" w:rsidRDefault="00C1115F" w:rsidP="000D2F9C">
      <w:pPr>
        <w:keepNext/>
        <w:keepLines/>
        <w:tabs>
          <w:tab w:val="center" w:pos="284"/>
        </w:tabs>
        <w:overflowPunct w:val="0"/>
        <w:autoSpaceDE w:val="0"/>
        <w:autoSpaceDN w:val="0"/>
        <w:adjustRightInd w:val="0"/>
        <w:ind w:left="266" w:hanging="266"/>
        <w:textAlignment w:val="baseline"/>
        <w:rPr>
          <w:szCs w:val="20"/>
        </w:rPr>
      </w:pPr>
    </w:p>
    <w:p w:rsidR="00C1115F" w:rsidRPr="00A16F10" w:rsidRDefault="00C1115F" w:rsidP="000D2F9C">
      <w:pPr>
        <w:keepNext/>
        <w:keepLines/>
        <w:overflowPunct w:val="0"/>
        <w:autoSpaceDE w:val="0"/>
        <w:autoSpaceDN w:val="0"/>
        <w:adjustRightInd w:val="0"/>
        <w:textAlignment w:val="baseline"/>
        <w:rPr>
          <w:b/>
        </w:rPr>
      </w:pPr>
      <w:r w:rsidRPr="00A16F10">
        <w:rPr>
          <w:b/>
        </w:rPr>
        <w:t>Keskeiset kohdat:</w:t>
      </w:r>
    </w:p>
    <w:p w:rsidR="00E84F95" w:rsidRPr="00A16F10" w:rsidRDefault="00E84F95" w:rsidP="000D2F9C">
      <w:pPr>
        <w:keepNext/>
        <w:keepLines/>
        <w:overflowPunct w:val="0"/>
        <w:autoSpaceDE w:val="0"/>
        <w:autoSpaceDN w:val="0"/>
        <w:adjustRightInd w:val="0"/>
        <w:textAlignment w:val="baseline"/>
        <w:rPr>
          <w:szCs w:val="20"/>
        </w:rPr>
      </w:pPr>
    </w:p>
    <w:p w:rsidR="00C1115F" w:rsidRPr="00A16F10" w:rsidRDefault="00C1115F" w:rsidP="000D2F9C">
      <w:pPr>
        <w:keepNext/>
        <w:keepLines/>
        <w:overflowPunct w:val="0"/>
        <w:autoSpaceDE w:val="0"/>
        <w:autoSpaceDN w:val="0"/>
        <w:adjustRightInd w:val="0"/>
        <w:textAlignment w:val="baseline"/>
        <w:rPr>
          <w:szCs w:val="20"/>
        </w:rPr>
      </w:pPr>
      <w:r w:rsidRPr="00A16F10">
        <w:t>ETSK</w:t>
      </w:r>
    </w:p>
    <w:p w:rsidR="00ED4925" w:rsidRPr="00A16F10" w:rsidRDefault="00ED4925" w:rsidP="000D2F9C">
      <w:pPr>
        <w:keepNext/>
        <w:keepLines/>
        <w:overflowPunct w:val="0"/>
        <w:autoSpaceDE w:val="0"/>
        <w:autoSpaceDN w:val="0"/>
        <w:adjustRightInd w:val="0"/>
        <w:textAlignment w:val="baseline"/>
        <w:rPr>
          <w:szCs w:val="20"/>
        </w:rPr>
      </w:pPr>
    </w:p>
    <w:p w:rsidR="00C1115F" w:rsidRPr="00A16F10" w:rsidRDefault="00C1115F" w:rsidP="000D2F9C">
      <w:pPr>
        <w:numPr>
          <w:ilvl w:val="0"/>
          <w:numId w:val="16"/>
        </w:numPr>
        <w:overflowPunct w:val="0"/>
        <w:autoSpaceDE w:val="0"/>
        <w:autoSpaceDN w:val="0"/>
        <w:adjustRightInd w:val="0"/>
        <w:contextualSpacing/>
        <w:textAlignment w:val="baseline"/>
        <w:rPr>
          <w:szCs w:val="20"/>
        </w:rPr>
      </w:pPr>
      <w:r w:rsidRPr="00A16F10">
        <w:t>pitäisi suotavampana esittää ehdotus asetuksen muodossa kavahtamatta nykyisten järjestelmien mahdollisimman pitkälle menevää yhdenmukaistamista.</w:t>
      </w:r>
    </w:p>
    <w:p w:rsidR="00987EAE" w:rsidRPr="00A16F10" w:rsidRDefault="00987EAE" w:rsidP="000D2F9C">
      <w:pPr>
        <w:overflowPunct w:val="0"/>
        <w:autoSpaceDE w:val="0"/>
        <w:autoSpaceDN w:val="0"/>
        <w:adjustRightInd w:val="0"/>
        <w:ind w:left="720"/>
        <w:contextualSpacing/>
        <w:textAlignment w:val="baseline"/>
        <w:rPr>
          <w:szCs w:val="20"/>
        </w:rPr>
      </w:pPr>
    </w:p>
    <w:p w:rsidR="00BD394F" w:rsidRPr="00A16F10" w:rsidRDefault="00C1115F" w:rsidP="000D2F9C">
      <w:pPr>
        <w:numPr>
          <w:ilvl w:val="0"/>
          <w:numId w:val="16"/>
        </w:numPr>
        <w:overflowPunct w:val="0"/>
        <w:autoSpaceDE w:val="0"/>
        <w:autoSpaceDN w:val="0"/>
        <w:adjustRightInd w:val="0"/>
        <w:contextualSpacing/>
        <w:textAlignment w:val="baseline"/>
        <w:rPr>
          <w:szCs w:val="20"/>
        </w:rPr>
      </w:pPr>
      <w:r w:rsidRPr="00A16F10">
        <w:t>kehottaa painokkaasti lisäämään direktiiviin virallisen maininnan siitä, että yrityksen johdon on informoitava työntekijöitä ja kuultava heitä etukäteen ja neuvottelujen aikana.</w:t>
      </w:r>
    </w:p>
    <w:p w:rsidR="00BD394F" w:rsidRPr="00A16F10" w:rsidRDefault="00BD394F" w:rsidP="000D2F9C">
      <w:pPr>
        <w:overflowPunct w:val="0"/>
        <w:autoSpaceDE w:val="0"/>
        <w:autoSpaceDN w:val="0"/>
        <w:adjustRightInd w:val="0"/>
        <w:contextualSpacing/>
        <w:textAlignment w:val="baseline"/>
        <w:rPr>
          <w:szCs w:val="20"/>
        </w:rPr>
      </w:pPr>
    </w:p>
    <w:p w:rsidR="00C1115F" w:rsidRPr="00A16F10" w:rsidRDefault="00C1115F" w:rsidP="000D2F9C">
      <w:pPr>
        <w:numPr>
          <w:ilvl w:val="0"/>
          <w:numId w:val="16"/>
        </w:numPr>
        <w:overflowPunct w:val="0"/>
        <w:autoSpaceDE w:val="0"/>
        <w:autoSpaceDN w:val="0"/>
        <w:adjustRightInd w:val="0"/>
        <w:contextualSpacing/>
        <w:textAlignment w:val="baseline"/>
        <w:rPr>
          <w:szCs w:val="20"/>
        </w:rPr>
      </w:pPr>
      <w:r w:rsidRPr="00A16F10">
        <w:t>suosittaa, että direktiiviin sisällytetään velkojan aseman takaaminen maksukyvyttömyystapauksessa kaikille työntekijöille kaikissa jäsenvaltioissa.</w:t>
      </w:r>
    </w:p>
    <w:p w:rsidR="00987EAE" w:rsidRPr="00A16F10" w:rsidRDefault="00987EAE" w:rsidP="000D2F9C">
      <w:pPr>
        <w:overflowPunct w:val="0"/>
        <w:autoSpaceDE w:val="0"/>
        <w:autoSpaceDN w:val="0"/>
        <w:adjustRightInd w:val="0"/>
        <w:ind w:left="720"/>
        <w:contextualSpacing/>
        <w:textAlignment w:val="baseline"/>
        <w:rPr>
          <w:szCs w:val="20"/>
        </w:rPr>
      </w:pPr>
    </w:p>
    <w:p w:rsidR="00C1115F" w:rsidRPr="00A16F10" w:rsidRDefault="00C1115F" w:rsidP="000D2F9C">
      <w:pPr>
        <w:numPr>
          <w:ilvl w:val="0"/>
          <w:numId w:val="16"/>
        </w:numPr>
        <w:overflowPunct w:val="0"/>
        <w:autoSpaceDE w:val="0"/>
        <w:autoSpaceDN w:val="0"/>
        <w:adjustRightInd w:val="0"/>
        <w:contextualSpacing/>
        <w:textAlignment w:val="baseline"/>
        <w:rPr>
          <w:szCs w:val="20"/>
        </w:rPr>
      </w:pPr>
      <w:r w:rsidRPr="00A16F10">
        <w:t>katsoo, että rehellistä ammatillista toimintaa koskevien yrittäjän luotettavuuskriteerien täyttyminen tulee varmistaa.</w:t>
      </w:r>
    </w:p>
    <w:p w:rsidR="00987EAE" w:rsidRPr="00A16F10" w:rsidRDefault="00987EAE" w:rsidP="000D2F9C">
      <w:pPr>
        <w:overflowPunct w:val="0"/>
        <w:autoSpaceDE w:val="0"/>
        <w:autoSpaceDN w:val="0"/>
        <w:adjustRightInd w:val="0"/>
        <w:ind w:left="720"/>
        <w:contextualSpacing/>
        <w:textAlignment w:val="baseline"/>
        <w:rPr>
          <w:szCs w:val="20"/>
        </w:rPr>
      </w:pPr>
    </w:p>
    <w:p w:rsidR="00C1115F" w:rsidRPr="00A16F10" w:rsidRDefault="00C1115F" w:rsidP="000D2F9C">
      <w:pPr>
        <w:numPr>
          <w:ilvl w:val="0"/>
          <w:numId w:val="16"/>
        </w:numPr>
        <w:overflowPunct w:val="0"/>
        <w:autoSpaceDE w:val="0"/>
        <w:autoSpaceDN w:val="0"/>
        <w:adjustRightInd w:val="0"/>
        <w:contextualSpacing/>
        <w:textAlignment w:val="baseline"/>
        <w:rPr>
          <w:szCs w:val="20"/>
        </w:rPr>
      </w:pPr>
      <w:r w:rsidRPr="00A16F10">
        <w:t>kehottaa ottamaan direktiivissä sen kannan, että maksukyvyttömyysmenettelyn väärinkäyttö johtajan toimesta työntekijöiden oikeuksien epäämiseksi on laitonta.</w:t>
      </w:r>
    </w:p>
    <w:p w:rsidR="00C1115F" w:rsidRPr="00A16F10" w:rsidRDefault="00C1115F" w:rsidP="000D2F9C">
      <w:pPr>
        <w:overflowPunct w:val="0"/>
        <w:autoSpaceDE w:val="0"/>
        <w:autoSpaceDN w:val="0"/>
        <w:adjustRightInd w:val="0"/>
        <w:textAlignment w:val="baseline"/>
      </w:pPr>
    </w:p>
    <w:p w:rsidR="00C1115F" w:rsidRPr="00A16F10" w:rsidRDefault="00C1115F" w:rsidP="000D2F9C">
      <w:pPr>
        <w:overflowPunct w:val="0"/>
        <w:autoSpaceDE w:val="0"/>
        <w:autoSpaceDN w:val="0"/>
        <w:adjustRightInd w:val="0"/>
        <w:rPr>
          <w:i/>
          <w:szCs w:val="20"/>
        </w:rPr>
      </w:pPr>
      <w:r w:rsidRPr="00A16F10">
        <w:rPr>
          <w:b/>
          <w:i/>
        </w:rPr>
        <w:t>Yhteyshenkilö</w:t>
      </w:r>
      <w:r w:rsidRPr="00A16F10">
        <w:t>:</w:t>
      </w:r>
      <w:r w:rsidR="00743670" w:rsidRPr="00A16F10">
        <w:tab/>
      </w:r>
      <w:r w:rsidRPr="00A16F10">
        <w:rPr>
          <w:i/>
        </w:rPr>
        <w:t>Marie-Laurence Drillon</w:t>
      </w:r>
    </w:p>
    <w:p w:rsidR="00C1115F" w:rsidRPr="00A16F10" w:rsidRDefault="00743670" w:rsidP="000D2F9C">
      <w:pPr>
        <w:overflowPunct w:val="0"/>
        <w:autoSpaceDE w:val="0"/>
        <w:autoSpaceDN w:val="0"/>
        <w:adjustRightInd w:val="0"/>
        <w:ind w:left="1134"/>
        <w:textAlignment w:val="baseline"/>
        <w:rPr>
          <w:szCs w:val="20"/>
        </w:rPr>
      </w:pPr>
      <w:r w:rsidRPr="00A16F10">
        <w:rPr>
          <w:i/>
        </w:rPr>
        <w:tab/>
      </w:r>
      <w:r w:rsidR="00C1115F" w:rsidRPr="00A16F10">
        <w:rPr>
          <w:i/>
        </w:rPr>
        <w:t xml:space="preserve">(P. +32 25469615 – sähköposti: </w:t>
      </w:r>
      <w:hyperlink r:id="rId31" w:history="1">
        <w:r w:rsidR="00C1115F" w:rsidRPr="00A16F10">
          <w:rPr>
            <w:rStyle w:val="Hyperlink"/>
            <w:i/>
          </w:rPr>
          <w:t>jean-pierre.faure@eesc.europa.eu</w:t>
        </w:r>
      </w:hyperlink>
      <w:r w:rsidR="00C1115F" w:rsidRPr="00A16F10">
        <w:rPr>
          <w:i/>
        </w:rPr>
        <w:t>)</w:t>
      </w:r>
    </w:p>
    <w:p w:rsidR="00ED4925" w:rsidRPr="00A16F10" w:rsidRDefault="00ED4925" w:rsidP="000D2F9C">
      <w:pPr>
        <w:overflowPunct w:val="0"/>
        <w:autoSpaceDE w:val="0"/>
        <w:autoSpaceDN w:val="0"/>
        <w:adjustRightInd w:val="0"/>
        <w:textAlignment w:val="baseline"/>
        <w:rPr>
          <w:szCs w:val="20"/>
        </w:rPr>
      </w:pPr>
    </w:p>
    <w:p w:rsidR="000D2F9C" w:rsidRPr="00A16F10" w:rsidRDefault="000D2F9C" w:rsidP="000D2F9C">
      <w:pPr>
        <w:overflowPunct w:val="0"/>
        <w:autoSpaceDE w:val="0"/>
        <w:autoSpaceDN w:val="0"/>
        <w:adjustRightInd w:val="0"/>
        <w:textAlignment w:val="baseline"/>
        <w:rPr>
          <w:szCs w:val="20"/>
        </w:rPr>
      </w:pPr>
    </w:p>
    <w:p w:rsidR="00E6566F" w:rsidRPr="00A16F10" w:rsidRDefault="00E6566F" w:rsidP="000D2F9C">
      <w:pPr>
        <w:pStyle w:val="Heading1"/>
        <w:rPr>
          <w:b/>
          <w:iCs/>
        </w:rPr>
      </w:pPr>
      <w:bookmarkStart w:id="19" w:name="_Toc477938714"/>
      <w:bookmarkStart w:id="20" w:name="_Toc480374757"/>
      <w:bookmarkStart w:id="21" w:name="_Toc480381008"/>
      <w:r w:rsidRPr="00A16F10">
        <w:rPr>
          <w:b/>
        </w:rPr>
        <w:t>ULKOSUHTEET</w:t>
      </w:r>
      <w:bookmarkEnd w:id="19"/>
      <w:bookmarkEnd w:id="20"/>
      <w:bookmarkEnd w:id="21"/>
    </w:p>
    <w:p w:rsidR="00505DD7" w:rsidRPr="00A16F10" w:rsidRDefault="00505DD7" w:rsidP="000D2F9C">
      <w:pPr>
        <w:widowControl w:val="0"/>
      </w:pPr>
    </w:p>
    <w:p w:rsidR="00C1115F" w:rsidRPr="00A16F10" w:rsidRDefault="00C1115F" w:rsidP="000D2F9C">
      <w:pPr>
        <w:widowControl w:val="0"/>
        <w:numPr>
          <w:ilvl w:val="0"/>
          <w:numId w:val="3"/>
        </w:numPr>
        <w:overflowPunct w:val="0"/>
        <w:autoSpaceDE w:val="0"/>
        <w:autoSpaceDN w:val="0"/>
        <w:adjustRightInd w:val="0"/>
        <w:ind w:left="567" w:hanging="283"/>
        <w:textAlignment w:val="baseline"/>
        <w:rPr>
          <w:b/>
          <w:i/>
          <w:spacing w:val="-2"/>
          <w:sz w:val="28"/>
          <w:szCs w:val="28"/>
        </w:rPr>
      </w:pPr>
      <w:r w:rsidRPr="00A16F10">
        <w:rPr>
          <w:b/>
          <w:i/>
          <w:spacing w:val="-2"/>
          <w:sz w:val="28"/>
        </w:rPr>
        <w:t>Valtameriemme tulevaisuus</w:t>
      </w:r>
    </w:p>
    <w:p w:rsidR="00C1115F" w:rsidRPr="00A16F10" w:rsidRDefault="00C1115F" w:rsidP="000D2F9C">
      <w:pPr>
        <w:widowControl w:val="0"/>
      </w:pPr>
    </w:p>
    <w:p w:rsidR="00C1115F" w:rsidRPr="00A16F10" w:rsidRDefault="00C1115F" w:rsidP="000D2F9C">
      <w:pPr>
        <w:rPr>
          <w:b/>
          <w:i/>
          <w:highlight w:val="yellow"/>
        </w:rPr>
      </w:pPr>
      <w:r w:rsidRPr="00A16F10">
        <w:rPr>
          <w:b/>
        </w:rPr>
        <w:t>Esittelijä:</w:t>
      </w:r>
      <w:r w:rsidRPr="00A16F10">
        <w:tab/>
      </w:r>
      <w:r w:rsidR="00743670" w:rsidRPr="00A16F10">
        <w:tab/>
      </w:r>
      <w:r w:rsidRPr="00A16F10">
        <w:t>Jan SIMONS (työnantajat – NL)</w:t>
      </w:r>
    </w:p>
    <w:p w:rsidR="00C1115F" w:rsidRPr="00A16F10" w:rsidRDefault="00C1115F" w:rsidP="000D2F9C"/>
    <w:p w:rsidR="00C1115F" w:rsidRPr="00A16F10" w:rsidRDefault="00C1115F" w:rsidP="000D2F9C">
      <w:r w:rsidRPr="00A16F10">
        <w:rPr>
          <w:b/>
        </w:rPr>
        <w:t>Keskeiset kohdat:</w:t>
      </w:r>
    </w:p>
    <w:p w:rsidR="00C1115F" w:rsidRPr="00A16F10" w:rsidRDefault="00C1115F" w:rsidP="000D2F9C">
      <w:pPr>
        <w:widowControl w:val="0"/>
      </w:pPr>
    </w:p>
    <w:p w:rsidR="00C1115F" w:rsidRPr="00A16F10" w:rsidRDefault="00C1115F" w:rsidP="000D2F9C">
      <w:pPr>
        <w:numPr>
          <w:ilvl w:val="0"/>
          <w:numId w:val="33"/>
        </w:numPr>
        <w:ind w:left="360"/>
        <w:outlineLvl w:val="1"/>
      </w:pPr>
      <w:r w:rsidRPr="00A16F10">
        <w:t>ETSK on tyytyväinen Euroopan komission ja unionin ulkoasioiden ja turvallisuuspolitiikan korkean edustajan yhteiseen tiedonantoon valtamerten hallinnoinnin parantamisesta ja jakaa lisääntyvän huolen tarpeesta parantaa valtamerten hallinnointia ja suojelua ihmisen toiminnan (kestävyysperiaatteiden vastainen kalastus, riittämätön suojelu, matkailu, hyvin vilkas liikenne, saastuminen) lisääntyessä.</w:t>
      </w:r>
    </w:p>
    <w:p w:rsidR="00C1115F" w:rsidRPr="00A16F10" w:rsidRDefault="00C1115F" w:rsidP="000D2F9C"/>
    <w:p w:rsidR="00C1115F" w:rsidRPr="00A16F10" w:rsidRDefault="00C1115F" w:rsidP="000D2F9C">
      <w:pPr>
        <w:numPr>
          <w:ilvl w:val="0"/>
          <w:numId w:val="33"/>
        </w:numPr>
        <w:ind w:left="360"/>
        <w:outlineLvl w:val="1"/>
      </w:pPr>
      <w:r w:rsidRPr="00A16F10">
        <w:t>ETSK katsoo, että kansainvälisen valtamerten hallinnoinnin nykyinen kehys ei pysty varmistamaan valtamerten ja niiden tarjoamien resurssien kestävyysajattelun mukaista hallinnointia ja että siksi tarvitaan kiireesti toimenpiteitä. Komission ja korkean edustajan tulee kuitenkin vielä priorisoida valtamerten nykyiset uhat, jotta toimien kiireellisyys käy asianmukaisesti ilmi.</w:t>
      </w:r>
    </w:p>
    <w:p w:rsidR="00C1115F" w:rsidRPr="00A16F10" w:rsidRDefault="00C1115F" w:rsidP="000D2F9C"/>
    <w:p w:rsidR="00C1115F" w:rsidRPr="00A16F10" w:rsidRDefault="00C1115F" w:rsidP="000D2F9C">
      <w:pPr>
        <w:numPr>
          <w:ilvl w:val="0"/>
          <w:numId w:val="33"/>
        </w:numPr>
        <w:ind w:left="360"/>
        <w:outlineLvl w:val="1"/>
      </w:pPr>
      <w:r w:rsidRPr="00A16F10">
        <w:t>Yksi kansainvälisen valtamerten hallinnoinnin tehottomuuden syistä ovat puutteet kansainvälisen valtamerten hallinnoinnin nykyisessä kehyksessä. ETSK suosittaa, että komissio ja korkea edustaja korjaavat nämä puutteet ja epäjohdonmukaisuudet ja myös lisäävät nykyisten sääntöjen noudattamista esimerkiksi parantamalla meristrategiapuitedirektiivin täytäntöönpanoa. EU:n tulisi pidättyä ehdottamasta uutta lainsäädäntöä silloin, kun olemassa olevien sääntöjen ja säännösten täytäntöönpanon parantaminen tai koordinoinnin lisääminen olisi tehokkaampaa.</w:t>
      </w:r>
    </w:p>
    <w:p w:rsidR="00C1115F" w:rsidRPr="00A16F10" w:rsidRDefault="00C1115F" w:rsidP="000D2F9C"/>
    <w:p w:rsidR="00C1115F" w:rsidRPr="00A16F10" w:rsidRDefault="00C1115F" w:rsidP="000D2F9C">
      <w:pPr>
        <w:numPr>
          <w:ilvl w:val="0"/>
          <w:numId w:val="33"/>
        </w:numPr>
        <w:ind w:left="360"/>
        <w:outlineLvl w:val="1"/>
      </w:pPr>
      <w:r w:rsidRPr="00A16F10">
        <w:t>ETSK katsoo, että EU:lla voisi olla tärkeä rooli valtamerten hallinnoinnin parantamisessa, erityisesti maailman valtamerten tieteellisen tutkimuksen tukemisessa. Nykyisin käytössä olevaa tietoa on käytettävä asianmukaisesti ja tehokkaasti. Komitea kannustaa tästä syystä voimakkaasti EU:ta kehittämään Euroopan meripoliittisesta seurantakeskuksesta ja tietoverkosta maailmanlaajuisen merialan tietoverkon. EU:sta voisi tulla tällaisen tutkimuksen koordinointikeskus.</w:t>
      </w:r>
    </w:p>
    <w:p w:rsidR="00C1115F" w:rsidRPr="00A16F10" w:rsidRDefault="00C1115F" w:rsidP="000D2F9C"/>
    <w:p w:rsidR="00C1115F" w:rsidRPr="00A16F10" w:rsidRDefault="00C1115F" w:rsidP="000D2F9C">
      <w:pPr>
        <w:numPr>
          <w:ilvl w:val="0"/>
          <w:numId w:val="33"/>
        </w:numPr>
        <w:ind w:left="360"/>
        <w:outlineLvl w:val="1"/>
      </w:pPr>
      <w:r w:rsidRPr="00A16F10">
        <w:t>Lisäksi ETSK kehottaa EU:ta tekemään yhteistyötä kumppanimaiden kanssa vähentääkseen meriturvallisuuden uhkia ja riskejä, kuten merirosvousta sekä ihmis-, ase- ja huumekauppaa, hyödyntäen uutta Euroopan raja- ja rannikkovartiovirastoa, Euroopan meriturvallisuusvirastoa (EMSA) ja kalastuksenvalvontavirastoa (EFCA).</w:t>
      </w:r>
    </w:p>
    <w:p w:rsidR="00C1115F" w:rsidRPr="00A16F10" w:rsidRDefault="00C1115F" w:rsidP="000D2F9C"/>
    <w:p w:rsidR="00C1115F" w:rsidRPr="00A16F10" w:rsidRDefault="00C1115F" w:rsidP="000D2F9C">
      <w:pPr>
        <w:numPr>
          <w:ilvl w:val="0"/>
          <w:numId w:val="33"/>
        </w:numPr>
        <w:ind w:left="360"/>
        <w:outlineLvl w:val="1"/>
        <w:rPr>
          <w:kern w:val="28"/>
        </w:rPr>
      </w:pPr>
      <w:r w:rsidRPr="00A16F10">
        <w:t>ETSK kannustaa vahvasti perustamaan EU:n sidosryhmäfoorumin tarkastelemaan valtameriä ja meriä maailmanlaajuisesti erityisesti siksi, että valtamerten hallinnointi on monialainen asia, joka koskee useita sidosryhmiä.</w:t>
      </w:r>
    </w:p>
    <w:p w:rsidR="00C1115F" w:rsidRPr="00A16F10" w:rsidRDefault="00C1115F" w:rsidP="000D2F9C"/>
    <w:p w:rsidR="00C1115F" w:rsidRPr="00A16F10" w:rsidRDefault="00C1115F" w:rsidP="000D2F9C">
      <w:pPr>
        <w:numPr>
          <w:ilvl w:val="0"/>
          <w:numId w:val="33"/>
        </w:numPr>
        <w:ind w:left="360"/>
        <w:outlineLvl w:val="1"/>
      </w:pPr>
      <w:r w:rsidRPr="00A16F10">
        <w:t>ETSK katsoo, että valtamerten hallinnoinnissa tulisi tasapainottaa sosioekonominen kehitys ja merten suojelu. Valtamerten resurssien hyödyntämiseen käytettäviin tekniikoihin on syytä kiinnittää huomiota ja myös suhtautua varoen.</w:t>
      </w:r>
    </w:p>
    <w:p w:rsidR="003A4AB8" w:rsidRPr="00A16F10" w:rsidRDefault="003A4AB8" w:rsidP="000D2F9C"/>
    <w:p w:rsidR="00C1115F" w:rsidRPr="00A16F10" w:rsidRDefault="00C1115F" w:rsidP="000D2F9C">
      <w:pPr>
        <w:numPr>
          <w:ilvl w:val="0"/>
          <w:numId w:val="33"/>
        </w:numPr>
        <w:ind w:left="360"/>
        <w:outlineLvl w:val="1"/>
      </w:pPr>
      <w:r w:rsidRPr="00A16F10">
        <w:t>ETSK huomauttaa lopuksi, että yhteisen tiedonannon toimet koskevat sekä valtamerten että merten hallinnointia, ja ehdottaa siksi, että yhteisen tiedonannon otsikko muutetaan niin, että siihen lisätään valtamerten lisäksi myös meret.</w:t>
      </w:r>
    </w:p>
    <w:p w:rsidR="00C1115F" w:rsidRPr="00A16F10" w:rsidRDefault="00C1115F" w:rsidP="000D2F9C">
      <w:pPr>
        <w:widowControl w:val="0"/>
      </w:pPr>
    </w:p>
    <w:p w:rsidR="00C1115F" w:rsidRPr="00A16F10" w:rsidRDefault="00C1115F" w:rsidP="000D2F9C">
      <w:pPr>
        <w:rPr>
          <w:i/>
        </w:rPr>
      </w:pPr>
      <w:r w:rsidRPr="00A16F10">
        <w:rPr>
          <w:b/>
          <w:i/>
        </w:rPr>
        <w:t>Yhteyshenkilö:</w:t>
      </w:r>
      <w:r w:rsidR="00743670" w:rsidRPr="00A16F10">
        <w:rPr>
          <w:b/>
          <w:i/>
        </w:rPr>
        <w:tab/>
      </w:r>
      <w:r w:rsidRPr="00A16F10">
        <w:rPr>
          <w:i/>
        </w:rPr>
        <w:t>Laura Ernšteina</w:t>
      </w:r>
    </w:p>
    <w:p w:rsidR="00C1115F" w:rsidRPr="00A16F10" w:rsidRDefault="00743670" w:rsidP="000D2F9C">
      <w:pPr>
        <w:ind w:left="1134"/>
        <w:rPr>
          <w:i/>
          <w:iCs/>
        </w:rPr>
      </w:pPr>
      <w:r w:rsidRPr="00A16F10">
        <w:rPr>
          <w:i/>
        </w:rPr>
        <w:tab/>
      </w:r>
      <w:r w:rsidR="00C1115F" w:rsidRPr="00A16F10">
        <w:rPr>
          <w:i/>
        </w:rPr>
        <w:t xml:space="preserve">(P. +32 25469194 – sähköposti: </w:t>
      </w:r>
      <w:hyperlink r:id="rId32" w:history="1">
        <w:r w:rsidR="00C1115F" w:rsidRPr="00A16F10">
          <w:rPr>
            <w:rStyle w:val="Hyperlink"/>
            <w:i/>
          </w:rPr>
          <w:t>Laura.Ernsteina@eesc.europa.eu</w:t>
        </w:r>
      </w:hyperlink>
      <w:r w:rsidR="00C1115F" w:rsidRPr="00A16F10">
        <w:rPr>
          <w:i/>
        </w:rPr>
        <w:t>)</w:t>
      </w:r>
    </w:p>
    <w:p w:rsidR="00C1115F" w:rsidRPr="00A16F10" w:rsidRDefault="00C1115F" w:rsidP="000D2F9C">
      <w:pPr>
        <w:widowControl w:val="0"/>
        <w:autoSpaceDE w:val="0"/>
        <w:autoSpaceDN w:val="0"/>
        <w:adjustRightInd w:val="0"/>
        <w:ind w:left="-567"/>
        <w:rPr>
          <w:szCs w:val="20"/>
        </w:rPr>
      </w:pPr>
    </w:p>
    <w:p w:rsidR="00C1115F" w:rsidRPr="00A16F10" w:rsidRDefault="00C1115F" w:rsidP="000D2F9C">
      <w:pPr>
        <w:keepNext/>
        <w:widowControl w:val="0"/>
        <w:numPr>
          <w:ilvl w:val="0"/>
          <w:numId w:val="3"/>
        </w:numPr>
        <w:overflowPunct w:val="0"/>
        <w:autoSpaceDE w:val="0"/>
        <w:autoSpaceDN w:val="0"/>
        <w:adjustRightInd w:val="0"/>
        <w:ind w:left="567" w:hanging="283"/>
        <w:textAlignment w:val="baseline"/>
        <w:rPr>
          <w:b/>
          <w:i/>
          <w:spacing w:val="-2"/>
          <w:sz w:val="28"/>
          <w:szCs w:val="28"/>
        </w:rPr>
      </w:pPr>
      <w:r w:rsidRPr="00A16F10">
        <w:rPr>
          <w:b/>
          <w:i/>
          <w:spacing w:val="-2"/>
          <w:sz w:val="28"/>
        </w:rPr>
        <w:t>Kaupan suojatoimet – menetelmät</w:t>
      </w:r>
    </w:p>
    <w:p w:rsidR="00C1115F" w:rsidRPr="00A16F10" w:rsidRDefault="00C1115F" w:rsidP="000D2F9C">
      <w:pPr>
        <w:keepNext/>
        <w:widowControl w:val="0"/>
        <w:autoSpaceDE w:val="0"/>
        <w:autoSpaceDN w:val="0"/>
        <w:adjustRightInd w:val="0"/>
        <w:rPr>
          <w:szCs w:val="20"/>
        </w:rPr>
      </w:pPr>
    </w:p>
    <w:p w:rsidR="00C1115F" w:rsidRPr="00A16F10" w:rsidRDefault="00C1115F" w:rsidP="000D2F9C">
      <w:pPr>
        <w:keepNext/>
        <w:autoSpaceDE w:val="0"/>
        <w:autoSpaceDN w:val="0"/>
        <w:adjustRightInd w:val="0"/>
        <w:rPr>
          <w:b/>
          <w:szCs w:val="20"/>
        </w:rPr>
      </w:pPr>
      <w:r w:rsidRPr="00A16F10">
        <w:rPr>
          <w:b/>
        </w:rPr>
        <w:t>Esittelijä:</w:t>
      </w:r>
      <w:r w:rsidRPr="00A16F10">
        <w:tab/>
      </w:r>
      <w:r w:rsidR="00743670" w:rsidRPr="00A16F10">
        <w:tab/>
      </w:r>
      <w:r w:rsidRPr="00A16F10">
        <w:t>Christian Bäumler (työntekijät – DE)</w:t>
      </w:r>
    </w:p>
    <w:p w:rsidR="00C1115F" w:rsidRPr="00A16F10" w:rsidRDefault="00C1115F" w:rsidP="000D2F9C">
      <w:pPr>
        <w:keepNext/>
        <w:autoSpaceDE w:val="0"/>
        <w:autoSpaceDN w:val="0"/>
        <w:adjustRightInd w:val="0"/>
        <w:rPr>
          <w:szCs w:val="20"/>
        </w:rPr>
      </w:pPr>
      <w:r w:rsidRPr="00A16F10">
        <w:rPr>
          <w:b/>
        </w:rPr>
        <w:t>Toinen esittelijä:</w:t>
      </w:r>
      <w:r w:rsidRPr="00A16F10">
        <w:tab/>
        <w:t>Andrés Barceló Delgado (työnantajat – ES)</w:t>
      </w:r>
    </w:p>
    <w:p w:rsidR="00C1115F" w:rsidRPr="00A16F10" w:rsidRDefault="00C1115F" w:rsidP="000D2F9C">
      <w:pPr>
        <w:keepNext/>
        <w:overflowPunct w:val="0"/>
        <w:autoSpaceDE w:val="0"/>
        <w:autoSpaceDN w:val="0"/>
        <w:adjustRightInd w:val="0"/>
        <w:textAlignment w:val="baseline"/>
        <w:rPr>
          <w:b/>
        </w:rPr>
      </w:pPr>
    </w:p>
    <w:p w:rsidR="00C1115F" w:rsidRPr="00A16F10" w:rsidRDefault="00C1115F" w:rsidP="000D2F9C">
      <w:pPr>
        <w:keepNext/>
        <w:overflowPunct w:val="0"/>
        <w:autoSpaceDE w:val="0"/>
        <w:autoSpaceDN w:val="0"/>
        <w:adjustRightInd w:val="0"/>
        <w:textAlignment w:val="baseline"/>
        <w:rPr>
          <w:b/>
        </w:rPr>
      </w:pPr>
      <w:r w:rsidRPr="00A16F10">
        <w:rPr>
          <w:b/>
        </w:rPr>
        <w:t>Keskeiset kohdat:</w:t>
      </w:r>
    </w:p>
    <w:p w:rsidR="00C1115F" w:rsidRPr="00A16F10" w:rsidRDefault="00C1115F" w:rsidP="000D2F9C">
      <w:pPr>
        <w:keepNext/>
        <w:overflowPunct w:val="0"/>
        <w:autoSpaceDE w:val="0"/>
        <w:autoSpaceDN w:val="0"/>
        <w:adjustRightInd w:val="0"/>
        <w:textAlignment w:val="baseline"/>
        <w:rPr>
          <w:szCs w:val="20"/>
        </w:rPr>
      </w:pPr>
    </w:p>
    <w:p w:rsidR="00C1115F" w:rsidRPr="00A16F10" w:rsidRDefault="00C1115F" w:rsidP="000D2F9C">
      <w:pPr>
        <w:overflowPunct w:val="0"/>
        <w:autoSpaceDE w:val="0"/>
        <w:autoSpaceDN w:val="0"/>
        <w:adjustRightInd w:val="0"/>
        <w:textAlignment w:val="baseline"/>
      </w:pPr>
      <w:r w:rsidRPr="00A16F10">
        <w:t>ETSK kannattaa avointa ja oikeudenmukaista kauppaa ja tunnustaa sen arvon kasvun ja työpaikkojen luomisen veturina.</w:t>
      </w:r>
    </w:p>
    <w:p w:rsidR="00BD394F" w:rsidRPr="00A16F10" w:rsidRDefault="00BD394F" w:rsidP="000D2F9C">
      <w:pPr>
        <w:overflowPunct w:val="0"/>
        <w:autoSpaceDE w:val="0"/>
        <w:autoSpaceDN w:val="0"/>
        <w:adjustRightInd w:val="0"/>
        <w:textAlignment w:val="baseline"/>
        <w:rPr>
          <w:szCs w:val="20"/>
        </w:rPr>
      </w:pPr>
    </w:p>
    <w:p w:rsidR="00C1115F" w:rsidRPr="00A16F10" w:rsidRDefault="00C1115F" w:rsidP="000D2F9C">
      <w:pPr>
        <w:overflowPunct w:val="0"/>
        <w:autoSpaceDE w:val="0"/>
        <w:autoSpaceDN w:val="0"/>
        <w:adjustRightInd w:val="0"/>
        <w:textAlignment w:val="baseline"/>
        <w:rPr>
          <w:szCs w:val="20"/>
        </w:rPr>
      </w:pPr>
      <w:r w:rsidRPr="00A16F10">
        <w:t>ETSK vaatii samoja kilpailuedellytyksiä EU:n ja kolmansien maiden vientiä harjoittaville tuottajille ja kannattaa tehokkaita kaupan suojatoimia.</w:t>
      </w:r>
    </w:p>
    <w:p w:rsidR="00C1115F" w:rsidRPr="00A16F10" w:rsidRDefault="00C1115F" w:rsidP="000D2F9C">
      <w:pPr>
        <w:overflowPunct w:val="0"/>
        <w:autoSpaceDE w:val="0"/>
        <w:autoSpaceDN w:val="0"/>
        <w:adjustRightInd w:val="0"/>
        <w:textAlignment w:val="baseline"/>
        <w:rPr>
          <w:szCs w:val="20"/>
        </w:rPr>
      </w:pPr>
    </w:p>
    <w:p w:rsidR="00C1115F" w:rsidRPr="00A16F10" w:rsidRDefault="00C1115F" w:rsidP="000D2F9C">
      <w:pPr>
        <w:overflowPunct w:val="0"/>
        <w:autoSpaceDE w:val="0"/>
        <w:autoSpaceDN w:val="0"/>
        <w:adjustRightInd w:val="0"/>
        <w:textAlignment w:val="baseline"/>
        <w:rPr>
          <w:szCs w:val="20"/>
        </w:rPr>
      </w:pPr>
      <w:r w:rsidRPr="00A16F10">
        <w:t>ETSK katsoo, että komission ehdotusta voi kaiken kaikkiaan pitää tasapainoisena ratkaisuna yhtäältä Kiinan markkinatalousasemaa koskevan kysymyksen ja toisaalta polkumyyntilaskennan tehokasta menetelmää koskevan tavoitteen kannalta.</w:t>
      </w:r>
    </w:p>
    <w:p w:rsidR="003A4AB8" w:rsidRPr="00A16F10" w:rsidRDefault="003A4AB8" w:rsidP="000D2F9C">
      <w:pPr>
        <w:overflowPunct w:val="0"/>
        <w:autoSpaceDE w:val="0"/>
        <w:autoSpaceDN w:val="0"/>
        <w:adjustRightInd w:val="0"/>
        <w:textAlignment w:val="baseline"/>
        <w:rPr>
          <w:szCs w:val="20"/>
        </w:rPr>
      </w:pPr>
    </w:p>
    <w:p w:rsidR="00C1115F" w:rsidRPr="00A16F10" w:rsidRDefault="00C1115F" w:rsidP="000D2F9C">
      <w:pPr>
        <w:overflowPunct w:val="0"/>
        <w:autoSpaceDE w:val="0"/>
        <w:autoSpaceDN w:val="0"/>
        <w:adjustRightInd w:val="0"/>
        <w:textAlignment w:val="baseline"/>
        <w:rPr>
          <w:szCs w:val="20"/>
        </w:rPr>
      </w:pPr>
      <w:r w:rsidRPr="00A16F10">
        <w:t>ETSK tukee komission ehdotusta, jossa polkumyyntimarginaalia laskettaessa ei lähdetä standardimenetelmästä, vaan sovelletaan vertailuarvoja, joissa otetaan huomioon merkittävästi vääristyneet tuotanto- ja myyntikustannukset. ETSK korostaa esittäneensä jo vuonna 2016 Euroopan terästeollisuuden kestävän työllisyyden ja kasvun turvaamisesta antamassaan lausunnossa, että Kiinan tuontia koskevissa polkumyynnin ja tukien vastaisissa tutkimuksissa ei pidä soveltaa standardimenetelmää niin kauan kuin maa ei täytä EU:n viittä markkinataloudeksi tunnustamisen kriteeriä.</w:t>
      </w:r>
    </w:p>
    <w:p w:rsidR="00C1115F" w:rsidRPr="00A16F10" w:rsidRDefault="00C1115F" w:rsidP="000D2F9C">
      <w:pPr>
        <w:overflowPunct w:val="0"/>
        <w:autoSpaceDE w:val="0"/>
        <w:autoSpaceDN w:val="0"/>
        <w:adjustRightInd w:val="0"/>
        <w:textAlignment w:val="baseline"/>
        <w:rPr>
          <w:szCs w:val="20"/>
        </w:rPr>
      </w:pPr>
    </w:p>
    <w:p w:rsidR="00C1115F" w:rsidRPr="00A16F10" w:rsidRDefault="00C1115F" w:rsidP="000D2F9C">
      <w:pPr>
        <w:overflowPunct w:val="0"/>
        <w:autoSpaceDE w:val="0"/>
        <w:autoSpaceDN w:val="0"/>
        <w:adjustRightInd w:val="0"/>
        <w:textAlignment w:val="baseline"/>
        <w:rPr>
          <w:szCs w:val="20"/>
        </w:rPr>
      </w:pPr>
      <w:r w:rsidRPr="00A16F10">
        <w:t>ETSK on tyytyväinen siihen, että komissio haluaa ratkaista konkreettisten kriteerien avulla sen, onko kyse merkittävästä markkinoiden vääristymisestä. Komitea toteaa, että olisi myös otettava huomioon ILO:n normien sekä monenvälisten ympäristösopimusten noudattaminen.</w:t>
      </w:r>
    </w:p>
    <w:p w:rsidR="00C1115F" w:rsidRPr="00A16F10" w:rsidRDefault="00C1115F" w:rsidP="000D2F9C">
      <w:pPr>
        <w:overflowPunct w:val="0"/>
        <w:autoSpaceDE w:val="0"/>
        <w:autoSpaceDN w:val="0"/>
        <w:adjustRightInd w:val="0"/>
        <w:textAlignment w:val="baseline"/>
        <w:rPr>
          <w:szCs w:val="20"/>
        </w:rPr>
      </w:pPr>
    </w:p>
    <w:p w:rsidR="00C1115F" w:rsidRPr="00A16F10" w:rsidRDefault="00C1115F" w:rsidP="000D2F9C">
      <w:pPr>
        <w:overflowPunct w:val="0"/>
        <w:autoSpaceDE w:val="0"/>
        <w:autoSpaceDN w:val="0"/>
        <w:adjustRightInd w:val="0"/>
        <w:textAlignment w:val="baseline"/>
        <w:rPr>
          <w:szCs w:val="20"/>
        </w:rPr>
      </w:pPr>
      <w:r w:rsidRPr="00A16F10">
        <w:t>ETSK kehottaa parlamenttia ja neuvostoa toteamaan selvästi, että komissio laatii maakohtaisia raportteja jokaisesta maasta, jossa esiintyy merkittäviä markkinoiden vääristymiä.</w:t>
      </w:r>
    </w:p>
    <w:p w:rsidR="00C1115F" w:rsidRPr="00A16F10" w:rsidRDefault="00C1115F" w:rsidP="000D2F9C">
      <w:pPr>
        <w:overflowPunct w:val="0"/>
        <w:autoSpaceDE w:val="0"/>
        <w:autoSpaceDN w:val="0"/>
        <w:adjustRightInd w:val="0"/>
        <w:textAlignment w:val="baseline"/>
        <w:rPr>
          <w:szCs w:val="20"/>
        </w:rPr>
      </w:pPr>
    </w:p>
    <w:p w:rsidR="00C1115F" w:rsidRPr="00A16F10" w:rsidRDefault="00C1115F" w:rsidP="000D2F9C">
      <w:pPr>
        <w:overflowPunct w:val="0"/>
        <w:autoSpaceDE w:val="0"/>
        <w:autoSpaceDN w:val="0"/>
        <w:adjustRightInd w:val="0"/>
        <w:textAlignment w:val="baseline"/>
        <w:rPr>
          <w:szCs w:val="20"/>
        </w:rPr>
      </w:pPr>
      <w:r w:rsidRPr="00A16F10">
        <w:t>ETSK toteaa kuitenkin, että komission ehdotuksessa polkumyynnin vastaisen perusasetuksen muuttamisesta on vielä kehittämistarvetta polkumyynnin tutkintamenettelyn tehokkuuden ja käytännöllisyyden (ehdotettujen raporttien oikeudellinen asema, toteutettavuus ja tarkoituksenmukaisuus) sekä etenkin todistustaakan suhteen (sitä ei tulisi sälyttää Euroopan teollisuudelle).</w:t>
      </w:r>
    </w:p>
    <w:p w:rsidR="00C1115F" w:rsidRPr="00A16F10" w:rsidRDefault="00C1115F" w:rsidP="000D2F9C">
      <w:pPr>
        <w:overflowPunct w:val="0"/>
        <w:autoSpaceDE w:val="0"/>
        <w:autoSpaceDN w:val="0"/>
        <w:adjustRightInd w:val="0"/>
        <w:textAlignment w:val="baseline"/>
        <w:rPr>
          <w:szCs w:val="20"/>
        </w:rPr>
      </w:pPr>
    </w:p>
    <w:p w:rsidR="00C1115F" w:rsidRPr="00A16F10" w:rsidRDefault="00C1115F" w:rsidP="000D2F9C">
      <w:pPr>
        <w:overflowPunct w:val="0"/>
        <w:autoSpaceDE w:val="0"/>
        <w:autoSpaceDN w:val="0"/>
        <w:adjustRightInd w:val="0"/>
        <w:textAlignment w:val="baseline"/>
        <w:rPr>
          <w:szCs w:val="20"/>
        </w:rPr>
      </w:pPr>
      <w:r w:rsidRPr="00A16F10">
        <w:t>Lisäksi ETSK painottaa, että myös pienten ja keskisuurten yritysten on voitava käyttää polkumyyntiä koskevia muutoksenhakumenettelyjä. Komitea panee myös merkille, että kaupan suojatoimiin liittyvien menettelyjen teho on riippuvainen myös vuonna 2013 annetusta kaupan suojatoimien nykyaikaistamista koskevasta ehdotuksesta, joka koskee mm. alhaisemman tullin sääntöä. ETSK painottaa, että myös kaupan suojatoimien nykyaikaistamista koskeva paketti on ratkaisevan tärkeää viimeistellä ja hyväksyä lähikuukausina, jotta tuloksena olisi vankka ja tehokas kaupan suojaamisjärjestelmä ja jotta voidaan turvata työpaikat ja kasvu EU:ssa.</w:t>
      </w:r>
    </w:p>
    <w:p w:rsidR="00C1115F" w:rsidRPr="00A16F10" w:rsidRDefault="00C1115F" w:rsidP="000D2F9C">
      <w:pPr>
        <w:widowControl w:val="0"/>
        <w:autoSpaceDE w:val="0"/>
        <w:autoSpaceDN w:val="0"/>
        <w:adjustRightInd w:val="0"/>
        <w:rPr>
          <w:szCs w:val="20"/>
        </w:rPr>
      </w:pPr>
    </w:p>
    <w:p w:rsidR="00C1115F" w:rsidRPr="00A16F10" w:rsidRDefault="00C1115F" w:rsidP="000D2F9C">
      <w:pPr>
        <w:overflowPunct w:val="0"/>
        <w:autoSpaceDE w:val="0"/>
        <w:autoSpaceDN w:val="0"/>
        <w:adjustRightInd w:val="0"/>
        <w:textAlignment w:val="baseline"/>
        <w:rPr>
          <w:i/>
          <w:szCs w:val="20"/>
        </w:rPr>
      </w:pPr>
      <w:r w:rsidRPr="00A16F10">
        <w:rPr>
          <w:b/>
          <w:i/>
        </w:rPr>
        <w:t>Yhteyshenkilö:</w:t>
      </w:r>
      <w:r w:rsidR="00743670" w:rsidRPr="00A16F10">
        <w:rPr>
          <w:b/>
          <w:i/>
        </w:rPr>
        <w:tab/>
      </w:r>
      <w:r w:rsidRPr="00A16F10">
        <w:rPr>
          <w:i/>
        </w:rPr>
        <w:t>Tzonka Iotzova</w:t>
      </w:r>
    </w:p>
    <w:p w:rsidR="00C1115F" w:rsidRPr="00A16F10" w:rsidRDefault="00743670" w:rsidP="000D2F9C">
      <w:pPr>
        <w:overflowPunct w:val="0"/>
        <w:autoSpaceDE w:val="0"/>
        <w:autoSpaceDN w:val="0"/>
        <w:adjustRightInd w:val="0"/>
        <w:ind w:left="1134"/>
        <w:textAlignment w:val="baseline"/>
        <w:rPr>
          <w:iCs/>
        </w:rPr>
      </w:pPr>
      <w:r w:rsidRPr="00A16F10">
        <w:rPr>
          <w:i/>
        </w:rPr>
        <w:tab/>
      </w:r>
      <w:r w:rsidR="00C1115F" w:rsidRPr="00A16F10">
        <w:rPr>
          <w:i/>
        </w:rPr>
        <w:t xml:space="preserve">(P. +32 25468978 – sähköposti: </w:t>
      </w:r>
      <w:hyperlink r:id="rId33" w:history="1">
        <w:r w:rsidR="00C1115F" w:rsidRPr="00A16F10">
          <w:rPr>
            <w:rStyle w:val="Hyperlink"/>
            <w:i/>
          </w:rPr>
          <w:t>Tzonka.Iotzova@eesc.europa.eu</w:t>
        </w:r>
      </w:hyperlink>
      <w:r w:rsidR="00C1115F" w:rsidRPr="00A16F10">
        <w:rPr>
          <w:i/>
        </w:rPr>
        <w:t>)</w:t>
      </w:r>
    </w:p>
    <w:p w:rsidR="00ED4925" w:rsidRPr="00A16F10" w:rsidRDefault="00ED4925" w:rsidP="000D2F9C">
      <w:pPr>
        <w:overflowPunct w:val="0"/>
        <w:autoSpaceDE w:val="0"/>
        <w:autoSpaceDN w:val="0"/>
        <w:adjustRightInd w:val="0"/>
        <w:textAlignment w:val="baseline"/>
        <w:rPr>
          <w:iCs/>
        </w:rPr>
      </w:pPr>
    </w:p>
    <w:p w:rsidR="00BC5473" w:rsidRPr="00A16F10" w:rsidRDefault="00BC5473" w:rsidP="000D2F9C">
      <w:pPr>
        <w:rPr>
          <w:b/>
          <w:highlight w:val="green"/>
        </w:rPr>
      </w:pPr>
    </w:p>
    <w:p w:rsidR="00E6566F" w:rsidRPr="00A16F10" w:rsidRDefault="000D2F9C" w:rsidP="000D2F9C">
      <w:pPr>
        <w:pStyle w:val="Heading1"/>
        <w:rPr>
          <w:b/>
        </w:rPr>
      </w:pPr>
      <w:bookmarkStart w:id="22" w:name="_Toc480381009"/>
      <w:r w:rsidRPr="00A16F10">
        <w:rPr>
          <w:b/>
        </w:rPr>
        <w:t>LIIKENNE</w:t>
      </w:r>
      <w:bookmarkEnd w:id="22"/>
    </w:p>
    <w:p w:rsidR="00E84F95" w:rsidRPr="00A16F10" w:rsidRDefault="00E84F95" w:rsidP="000D2F9C">
      <w:pPr>
        <w:widowControl w:val="0"/>
        <w:overflowPunct w:val="0"/>
        <w:autoSpaceDE w:val="0"/>
        <w:autoSpaceDN w:val="0"/>
        <w:adjustRightInd w:val="0"/>
        <w:ind w:left="-567"/>
        <w:textAlignment w:val="baseline"/>
        <w:rPr>
          <w:szCs w:val="20"/>
        </w:rPr>
      </w:pPr>
    </w:p>
    <w:p w:rsidR="006D7E2A" w:rsidRPr="00A16F10" w:rsidRDefault="006D7E2A" w:rsidP="000D2F9C">
      <w:pPr>
        <w:widowControl w:val="0"/>
        <w:numPr>
          <w:ilvl w:val="0"/>
          <w:numId w:val="3"/>
        </w:numPr>
        <w:overflowPunct w:val="0"/>
        <w:autoSpaceDE w:val="0"/>
        <w:autoSpaceDN w:val="0"/>
        <w:adjustRightInd w:val="0"/>
        <w:ind w:left="567" w:hanging="283"/>
        <w:textAlignment w:val="baseline"/>
        <w:rPr>
          <w:bCs/>
          <w:i/>
          <w:sz w:val="28"/>
          <w:szCs w:val="28"/>
        </w:rPr>
      </w:pPr>
      <w:r w:rsidRPr="00A16F10">
        <w:rPr>
          <w:b/>
          <w:i/>
          <w:sz w:val="28"/>
        </w:rPr>
        <w:t>Eräiden liikennealaa koskevien asetusten kumoaminen</w:t>
      </w:r>
    </w:p>
    <w:p w:rsidR="006D7E2A" w:rsidRPr="00A16F10" w:rsidRDefault="006D7E2A" w:rsidP="000D2F9C">
      <w:pPr>
        <w:widowControl w:val="0"/>
        <w:overflowPunct w:val="0"/>
        <w:autoSpaceDE w:val="0"/>
        <w:autoSpaceDN w:val="0"/>
        <w:adjustRightInd w:val="0"/>
        <w:textAlignment w:val="baseline"/>
        <w:rPr>
          <w:bCs/>
          <w:szCs w:val="20"/>
          <w:highlight w:val="green"/>
        </w:rPr>
      </w:pPr>
    </w:p>
    <w:p w:rsidR="006D7E2A" w:rsidRPr="00A16F10" w:rsidRDefault="006D7E2A" w:rsidP="000D2F9C">
      <w:pPr>
        <w:overflowPunct w:val="0"/>
        <w:autoSpaceDE w:val="0"/>
        <w:autoSpaceDN w:val="0"/>
        <w:adjustRightInd w:val="0"/>
        <w:textAlignment w:val="baseline"/>
      </w:pPr>
      <w:r w:rsidRPr="00A16F10">
        <w:rPr>
          <w:b/>
        </w:rPr>
        <w:t>Esittelijä:</w:t>
      </w:r>
      <w:r w:rsidRPr="00A16F10">
        <w:tab/>
      </w:r>
      <w:r w:rsidR="00743670" w:rsidRPr="00A16F10">
        <w:tab/>
      </w:r>
      <w:r w:rsidRPr="00A16F10">
        <w:t>Jan SIMONS (työnantajat – NL)</w:t>
      </w:r>
    </w:p>
    <w:p w:rsidR="004079A9" w:rsidRPr="00A16F10" w:rsidRDefault="006D7E2A" w:rsidP="000D2F9C">
      <w:pPr>
        <w:tabs>
          <w:tab w:val="num" w:pos="550"/>
          <w:tab w:val="left" w:pos="1701"/>
        </w:tabs>
        <w:overflowPunct w:val="0"/>
        <w:autoSpaceDE w:val="0"/>
        <w:autoSpaceDN w:val="0"/>
        <w:adjustRightInd w:val="0"/>
        <w:textAlignment w:val="baseline"/>
        <w:rPr>
          <w:szCs w:val="20"/>
        </w:rPr>
      </w:pPr>
      <w:r w:rsidRPr="00A16F10">
        <w:rPr>
          <w:b/>
        </w:rPr>
        <w:t>Viiteasiakirjat:</w:t>
      </w:r>
      <w:r w:rsidRPr="00A16F10">
        <w:tab/>
        <w:t>COM(2016) 745 final – 2016/0368 (COD)</w:t>
      </w:r>
    </w:p>
    <w:p w:rsidR="006D7E2A" w:rsidRPr="00A16F10" w:rsidRDefault="006D7E2A" w:rsidP="000D2F9C">
      <w:pPr>
        <w:tabs>
          <w:tab w:val="num" w:pos="550"/>
        </w:tabs>
        <w:overflowPunct w:val="0"/>
        <w:autoSpaceDE w:val="0"/>
        <w:autoSpaceDN w:val="0"/>
        <w:adjustRightInd w:val="0"/>
        <w:ind w:left="1701"/>
        <w:textAlignment w:val="baseline"/>
        <w:rPr>
          <w:szCs w:val="20"/>
          <w:highlight w:val="green"/>
        </w:rPr>
      </w:pPr>
      <w:r w:rsidRPr="00A16F10">
        <w:t>EESC-2017-00448-00-00-AS-TRA</w:t>
      </w:r>
    </w:p>
    <w:p w:rsidR="006D7E2A" w:rsidRPr="00A16F10" w:rsidRDefault="006D7E2A" w:rsidP="000D2F9C">
      <w:pPr>
        <w:overflowPunct w:val="0"/>
        <w:autoSpaceDE w:val="0"/>
        <w:autoSpaceDN w:val="0"/>
        <w:adjustRightInd w:val="0"/>
        <w:textAlignment w:val="baseline"/>
        <w:rPr>
          <w:b/>
          <w:highlight w:val="green"/>
        </w:rPr>
      </w:pPr>
    </w:p>
    <w:p w:rsidR="006D7E2A" w:rsidRPr="00A16F10" w:rsidRDefault="006D7E2A" w:rsidP="000D2F9C">
      <w:pPr>
        <w:overflowPunct w:val="0"/>
        <w:autoSpaceDE w:val="0"/>
        <w:autoSpaceDN w:val="0"/>
        <w:adjustRightInd w:val="0"/>
        <w:textAlignment w:val="baseline"/>
        <w:rPr>
          <w:b/>
        </w:rPr>
      </w:pPr>
      <w:r w:rsidRPr="00A16F10">
        <w:rPr>
          <w:b/>
        </w:rPr>
        <w:t>Keskeiset kohdat:</w:t>
      </w:r>
    </w:p>
    <w:p w:rsidR="00E84F95" w:rsidRPr="00A16F10" w:rsidRDefault="00E84F95" w:rsidP="000D2F9C">
      <w:pPr>
        <w:overflowPunct w:val="0"/>
        <w:autoSpaceDE w:val="0"/>
        <w:autoSpaceDN w:val="0"/>
        <w:adjustRightInd w:val="0"/>
        <w:textAlignment w:val="baseline"/>
        <w:rPr>
          <w:szCs w:val="20"/>
        </w:rPr>
      </w:pPr>
    </w:p>
    <w:p w:rsidR="006D7E2A" w:rsidRPr="00A16F10" w:rsidRDefault="006D7E2A" w:rsidP="000D2F9C">
      <w:pPr>
        <w:overflowPunct w:val="0"/>
        <w:autoSpaceDE w:val="0"/>
        <w:autoSpaceDN w:val="0"/>
        <w:adjustRightInd w:val="0"/>
        <w:textAlignment w:val="baseline"/>
        <w:rPr>
          <w:szCs w:val="20"/>
        </w:rPr>
      </w:pPr>
      <w:r w:rsidRPr="00A16F10">
        <w:t>Euroopan komissio esittää osana REFIT-ohjelmaa ja lainsäädännön parantamista koskevan sitoumuksensa puitteissa kolmen vanhentuneen asetuksen kumoamista. Tavoitteena on varmistaa tarkoituksenmukainen ja korkeatasoinen sääntelykehys Euroopan parlamentin, Euroopan unionin neuvoston ja Euroopan komission paremmasta lainsäädännöstä tekemän toimielinten välisen sopimuksen mukaisesti.</w:t>
      </w:r>
    </w:p>
    <w:p w:rsidR="00E84F95" w:rsidRPr="00A16F10" w:rsidRDefault="00E84F95" w:rsidP="000D2F9C">
      <w:pPr>
        <w:overflowPunct w:val="0"/>
        <w:autoSpaceDE w:val="0"/>
        <w:autoSpaceDN w:val="0"/>
        <w:adjustRightInd w:val="0"/>
        <w:ind w:left="-567"/>
        <w:textAlignment w:val="baseline"/>
        <w:rPr>
          <w:szCs w:val="20"/>
        </w:rPr>
      </w:pPr>
    </w:p>
    <w:p w:rsidR="006D7E2A" w:rsidRPr="00A16F10" w:rsidRDefault="006D7E2A" w:rsidP="000D2F9C">
      <w:pPr>
        <w:overflowPunct w:val="0"/>
        <w:autoSpaceDE w:val="0"/>
        <w:autoSpaceDN w:val="0"/>
        <w:adjustRightInd w:val="0"/>
        <w:textAlignment w:val="baseline"/>
        <w:rPr>
          <w:szCs w:val="20"/>
        </w:rPr>
      </w:pPr>
      <w:r w:rsidRPr="00A16F10">
        <w:t>ETSK on aina ollut sillä kannalla, että sääntelykehyksen on oltava tarkoituksenmukainen ja korkeatasoinen ja että lisäksi on pidettävä huoli sen avoimuudesta, selkeydestä ja sovellettavuudesta jäsenvaltioissa ja asianomaisten sidosryhmien keskuudessa – tässä tapauksessa sisävesiliikenteen sekä maanteiden tavarakuljetusten alalla.</w:t>
      </w:r>
    </w:p>
    <w:p w:rsidR="00E84F95" w:rsidRPr="00A16F10" w:rsidRDefault="00E84F95" w:rsidP="000D2F9C">
      <w:pPr>
        <w:overflowPunct w:val="0"/>
        <w:autoSpaceDE w:val="0"/>
        <w:autoSpaceDN w:val="0"/>
        <w:adjustRightInd w:val="0"/>
        <w:ind w:left="-567"/>
        <w:textAlignment w:val="baseline"/>
        <w:rPr>
          <w:szCs w:val="20"/>
        </w:rPr>
      </w:pPr>
    </w:p>
    <w:p w:rsidR="006D7E2A" w:rsidRPr="00A16F10" w:rsidRDefault="006D7E2A" w:rsidP="000D2F9C">
      <w:pPr>
        <w:overflowPunct w:val="0"/>
        <w:autoSpaceDE w:val="0"/>
        <w:autoSpaceDN w:val="0"/>
        <w:adjustRightInd w:val="0"/>
        <w:textAlignment w:val="baseline"/>
        <w:rPr>
          <w:szCs w:val="20"/>
        </w:rPr>
      </w:pPr>
      <w:r w:rsidRPr="00A16F10">
        <w:t>ETSK toteaa asianomaisia sidosryhmiä edustavia järjestöjä kuultuaan, että asetuksen (ETY) N:o 1101/89 (väliaikainen sisävesialusten romutusohjelma) sekä asetusten (EY) N:o 2888/2000 (Sveitsin aluetta koskevien tavarankuljetuslupien jakaminen) ja (EY) N:o 685/2001 (Bulgarian ja Romanian aluetta koskevat tavarankuljetusluvat ennen maiden EU-jäsenyyttä) kumoamista koskevaa komission ehdotusta voidaan pitää hyväksyttävänä.</w:t>
      </w:r>
    </w:p>
    <w:p w:rsidR="006D7E2A" w:rsidRPr="00A16F10" w:rsidRDefault="006D7E2A" w:rsidP="000D2F9C">
      <w:pPr>
        <w:overflowPunct w:val="0"/>
        <w:autoSpaceDE w:val="0"/>
        <w:autoSpaceDN w:val="0"/>
        <w:adjustRightInd w:val="0"/>
        <w:textAlignment w:val="baseline"/>
        <w:rPr>
          <w:b/>
          <w:i/>
        </w:rPr>
      </w:pPr>
    </w:p>
    <w:p w:rsidR="006D7E2A" w:rsidRPr="00A16F10" w:rsidRDefault="006D7E2A" w:rsidP="000D2F9C">
      <w:pPr>
        <w:overflowPunct w:val="0"/>
        <w:autoSpaceDE w:val="0"/>
        <w:autoSpaceDN w:val="0"/>
        <w:adjustRightInd w:val="0"/>
        <w:textAlignment w:val="baseline"/>
        <w:rPr>
          <w:i/>
        </w:rPr>
      </w:pPr>
      <w:r w:rsidRPr="00A16F10">
        <w:rPr>
          <w:b/>
          <w:i/>
        </w:rPr>
        <w:t>Yhteyshenkilö</w:t>
      </w:r>
      <w:r w:rsidRPr="00A16F10">
        <w:t>:</w:t>
      </w:r>
      <w:r w:rsidR="00743670" w:rsidRPr="00A16F10">
        <w:tab/>
      </w:r>
      <w:r w:rsidRPr="00A16F10">
        <w:rPr>
          <w:i/>
        </w:rPr>
        <w:t>Agota Bazsik</w:t>
      </w:r>
    </w:p>
    <w:p w:rsidR="006D7E2A" w:rsidRPr="00A16F10" w:rsidRDefault="00743670" w:rsidP="000D2F9C">
      <w:pPr>
        <w:overflowPunct w:val="0"/>
        <w:autoSpaceDE w:val="0"/>
        <w:autoSpaceDN w:val="0"/>
        <w:adjustRightInd w:val="0"/>
        <w:ind w:left="1134"/>
        <w:textAlignment w:val="baseline"/>
        <w:rPr>
          <w:i/>
        </w:rPr>
      </w:pPr>
      <w:r w:rsidRPr="00A16F10">
        <w:rPr>
          <w:i/>
        </w:rPr>
        <w:tab/>
      </w:r>
      <w:r w:rsidR="006D7E2A" w:rsidRPr="00A16F10">
        <w:rPr>
          <w:i/>
        </w:rPr>
        <w:t xml:space="preserve">(P. +32 25468658 – sähköposti: </w:t>
      </w:r>
      <w:hyperlink r:id="rId34" w:history="1">
        <w:r w:rsidR="006D7E2A" w:rsidRPr="00A16F10">
          <w:rPr>
            <w:rStyle w:val="Hyperlink"/>
            <w:i/>
          </w:rPr>
          <w:t>Agota.Bazsik@eesc.europa.eu</w:t>
        </w:r>
      </w:hyperlink>
      <w:r w:rsidR="006D7E2A" w:rsidRPr="00A16F10">
        <w:rPr>
          <w:i/>
        </w:rPr>
        <w:t>)</w:t>
      </w:r>
    </w:p>
    <w:p w:rsidR="007D03DC" w:rsidRPr="00A16F10" w:rsidRDefault="007D03DC" w:rsidP="000D2F9C"/>
    <w:p w:rsidR="00156950" w:rsidRPr="00A16F10" w:rsidRDefault="00156950" w:rsidP="000D2F9C">
      <w:pPr>
        <w:overflowPunct w:val="0"/>
        <w:autoSpaceDE w:val="0"/>
        <w:autoSpaceDN w:val="0"/>
        <w:adjustRightInd w:val="0"/>
        <w:jc w:val="center"/>
        <w:textAlignment w:val="baseline"/>
      </w:pPr>
      <w:r w:rsidRPr="00A16F10">
        <w:t>_____________</w:t>
      </w:r>
    </w:p>
    <w:sectPr w:rsidR="00156950" w:rsidRPr="00A16F10" w:rsidSect="000D2F9C">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BF" w:rsidRDefault="004C07BF" w:rsidP="003B283B">
      <w:pPr>
        <w:spacing w:line="240" w:lineRule="auto"/>
      </w:pPr>
      <w:r>
        <w:separator/>
      </w:r>
    </w:p>
  </w:endnote>
  <w:endnote w:type="continuationSeparator" w:id="0">
    <w:p w:rsidR="004C07BF" w:rsidRDefault="004C07BF" w:rsidP="003B283B">
      <w:pPr>
        <w:spacing w:line="240" w:lineRule="auto"/>
      </w:pPr>
      <w:r>
        <w:continuationSeparator/>
      </w:r>
    </w:p>
  </w:endnote>
  <w:endnote w:type="continuationNotice" w:id="1">
    <w:p w:rsidR="004C07BF" w:rsidRDefault="004C0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0D2F9C" w:rsidRDefault="0089563A" w:rsidP="000D2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0D2F9C" w:rsidRDefault="000D2F9C" w:rsidP="000D2F9C">
    <w:pPr>
      <w:pStyle w:val="Footer"/>
    </w:pPr>
    <w:r>
      <w:t xml:space="preserve">EESC-2017-01003-00-01-TCD-TRA (FR/EN) </w:t>
    </w:r>
    <w:r>
      <w:fldChar w:fldCharType="begin"/>
    </w:r>
    <w:r>
      <w:instrText xml:space="preserve"> PAGE  \* Arabic  \* MERGEFORMAT </w:instrText>
    </w:r>
    <w:r>
      <w:fldChar w:fldCharType="separate"/>
    </w:r>
    <w:r w:rsidR="00A16F10">
      <w:rPr>
        <w:noProof/>
      </w:rPr>
      <w:t>1</w:t>
    </w:r>
    <w:r>
      <w:fldChar w:fldCharType="end"/>
    </w:r>
    <w:r>
      <w:t>/</w:t>
    </w:r>
    <w:r>
      <w:fldChar w:fldCharType="begin"/>
    </w:r>
    <w:r>
      <w:instrText xml:space="preserve"> = </w:instrText>
    </w:r>
    <w:r w:rsidR="00A16F10">
      <w:fldChar w:fldCharType="begin"/>
    </w:r>
    <w:r w:rsidR="00A16F10">
      <w:instrText xml:space="preserve"> NUMPAGES </w:instrText>
    </w:r>
    <w:r w:rsidR="00A16F10">
      <w:fldChar w:fldCharType="separate"/>
    </w:r>
    <w:r w:rsidR="00A16F10">
      <w:rPr>
        <w:noProof/>
      </w:rPr>
      <w:instrText>3</w:instrText>
    </w:r>
    <w:r w:rsidR="00A16F10">
      <w:rPr>
        <w:noProof/>
      </w:rPr>
      <w:fldChar w:fldCharType="end"/>
    </w:r>
    <w:r>
      <w:instrText xml:space="preserve"> -0 </w:instrText>
    </w:r>
    <w:r>
      <w:fldChar w:fldCharType="separate"/>
    </w:r>
    <w:r w:rsidR="00A16F1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0D2F9C" w:rsidRDefault="0089563A" w:rsidP="000D2F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0D2F9C" w:rsidRDefault="004C07BF" w:rsidP="000D2F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0D2F9C" w:rsidRDefault="000D2F9C" w:rsidP="000D2F9C">
    <w:pPr>
      <w:pStyle w:val="Footer"/>
    </w:pPr>
    <w:r>
      <w:t xml:space="preserve">EESC-2017-01003-00-01-TCD-TRA (FR/EN) </w:t>
    </w:r>
    <w:r>
      <w:fldChar w:fldCharType="begin"/>
    </w:r>
    <w:r>
      <w:instrText xml:space="preserve"> PAGE  \* Arabic  \* MERGEFORMAT </w:instrText>
    </w:r>
    <w:r>
      <w:fldChar w:fldCharType="separate"/>
    </w:r>
    <w:r w:rsidR="00A16F10">
      <w:rPr>
        <w:noProof/>
      </w:rPr>
      <w:t>3</w:t>
    </w:r>
    <w:r>
      <w:fldChar w:fldCharType="end"/>
    </w:r>
    <w:r>
      <w:t>/</w:t>
    </w:r>
    <w:r>
      <w:fldChar w:fldCharType="begin"/>
    </w:r>
    <w:r>
      <w:instrText xml:space="preserve"> = </w:instrText>
    </w:r>
    <w:r w:rsidR="00A16F10">
      <w:fldChar w:fldCharType="begin"/>
    </w:r>
    <w:r w:rsidR="00A16F10">
      <w:instrText xml:space="preserve"> NUMPAGES </w:instrText>
    </w:r>
    <w:r w:rsidR="00A16F10">
      <w:fldChar w:fldCharType="separate"/>
    </w:r>
    <w:r w:rsidR="00A16F10">
      <w:rPr>
        <w:noProof/>
      </w:rPr>
      <w:instrText>3</w:instrText>
    </w:r>
    <w:r w:rsidR="00A16F10">
      <w:rPr>
        <w:noProof/>
      </w:rPr>
      <w:fldChar w:fldCharType="end"/>
    </w:r>
    <w:r>
      <w:instrText xml:space="preserve"> -0 </w:instrText>
    </w:r>
    <w:r>
      <w:fldChar w:fldCharType="separate"/>
    </w:r>
    <w:r w:rsidR="00A16F10">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0D2F9C" w:rsidRDefault="004C07BF" w:rsidP="000D2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BF" w:rsidRDefault="004C07BF" w:rsidP="003B283B">
      <w:pPr>
        <w:spacing w:line="240" w:lineRule="auto"/>
      </w:pPr>
      <w:r>
        <w:separator/>
      </w:r>
    </w:p>
  </w:footnote>
  <w:footnote w:type="continuationSeparator" w:id="0">
    <w:p w:rsidR="004C07BF" w:rsidRDefault="004C07BF" w:rsidP="003B283B">
      <w:pPr>
        <w:spacing w:line="240" w:lineRule="auto"/>
      </w:pPr>
      <w:r>
        <w:continuationSeparator/>
      </w:r>
    </w:p>
  </w:footnote>
  <w:footnote w:type="continuationNotice" w:id="1">
    <w:p w:rsidR="004C07BF" w:rsidRPr="00377A77" w:rsidRDefault="004C07B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0D2F9C" w:rsidRDefault="0089563A" w:rsidP="000D2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0D2F9C" w:rsidRDefault="0089563A" w:rsidP="000D2F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0D2F9C" w:rsidRDefault="0089563A" w:rsidP="000D2F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0D2F9C" w:rsidRDefault="004C07BF" w:rsidP="000D2F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0D2F9C" w:rsidRDefault="004C07BF" w:rsidP="000D2F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0D2F9C" w:rsidRDefault="004C07BF" w:rsidP="000D2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A2154"/>
    <w:multiLevelType w:val="singleLevel"/>
    <w:tmpl w:val="ACD4CDB0"/>
    <w:lvl w:ilvl="0">
      <w:numFmt w:val="decimal"/>
      <w:lvlText w:val="*"/>
      <w:lvlJc w:val="left"/>
      <w:rPr>
        <w:rFonts w:cs="Times New Roman"/>
      </w:rPr>
    </w:lvl>
  </w:abstractNum>
  <w:abstractNum w:abstractNumId="7">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8">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20">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3">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7">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34">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2"/>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7"/>
  </w:num>
  <w:num w:numId="6">
    <w:abstractNumId w:val="16"/>
  </w:num>
  <w:num w:numId="7">
    <w:abstractNumId w:val="34"/>
  </w:num>
  <w:num w:numId="8">
    <w:abstractNumId w:val="8"/>
  </w:num>
  <w:num w:numId="9">
    <w:abstractNumId w:val="20"/>
  </w:num>
  <w:num w:numId="10">
    <w:abstractNumId w:val="26"/>
  </w:num>
  <w:num w:numId="11">
    <w:abstractNumId w:val="19"/>
  </w:num>
  <w:num w:numId="12">
    <w:abstractNumId w:val="33"/>
  </w:num>
  <w:num w:numId="13">
    <w:abstractNumId w:val="15"/>
  </w:num>
  <w:num w:numId="14">
    <w:abstractNumId w:val="2"/>
  </w:num>
  <w:num w:numId="15">
    <w:abstractNumId w:val="14"/>
  </w:num>
  <w:num w:numId="16">
    <w:abstractNumId w:val="18"/>
  </w:num>
  <w:num w:numId="17">
    <w:abstractNumId w:val="21"/>
  </w:num>
  <w:num w:numId="18">
    <w:abstractNumId w:val="9"/>
  </w:num>
  <w:num w:numId="19">
    <w:abstractNumId w:val="29"/>
  </w:num>
  <w:num w:numId="20">
    <w:abstractNumId w:val="5"/>
  </w:num>
  <w:num w:numId="21">
    <w:abstractNumId w:val="31"/>
  </w:num>
  <w:num w:numId="22">
    <w:abstractNumId w:val="4"/>
  </w:num>
  <w:num w:numId="23">
    <w:abstractNumId w:val="13"/>
  </w:num>
  <w:num w:numId="24">
    <w:abstractNumId w:val="25"/>
  </w:num>
  <w:num w:numId="25">
    <w:abstractNumId w:val="28"/>
  </w:num>
  <w:num w:numId="26">
    <w:abstractNumId w:val="27"/>
  </w:num>
  <w:num w:numId="27">
    <w:abstractNumId w:val="17"/>
  </w:num>
  <w:num w:numId="28">
    <w:abstractNumId w:val="11"/>
  </w:num>
  <w:num w:numId="29">
    <w:abstractNumId w:val="24"/>
  </w:num>
  <w:num w:numId="30">
    <w:abstractNumId w:val="32"/>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23"/>
  </w:num>
  <w:num w:numId="34">
    <w:abstractNumId w:val="10"/>
  </w:num>
  <w:num w:numId="35">
    <w:abstractNumId w:val="6"/>
  </w:num>
  <w:num w:numId="36">
    <w:abstractNumId w:val="12"/>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51C81"/>
    <w:rsid w:val="0005250A"/>
    <w:rsid w:val="000529F2"/>
    <w:rsid w:val="00054E26"/>
    <w:rsid w:val="00055735"/>
    <w:rsid w:val="000562AF"/>
    <w:rsid w:val="00057390"/>
    <w:rsid w:val="00060853"/>
    <w:rsid w:val="00067189"/>
    <w:rsid w:val="00067BC4"/>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946"/>
    <w:rsid w:val="000C0AA0"/>
    <w:rsid w:val="000C2679"/>
    <w:rsid w:val="000C37E9"/>
    <w:rsid w:val="000C3DF6"/>
    <w:rsid w:val="000C469F"/>
    <w:rsid w:val="000D28F0"/>
    <w:rsid w:val="000D2F9C"/>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B77EA"/>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6F79"/>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24EA"/>
    <w:rsid w:val="002C3DCC"/>
    <w:rsid w:val="002C43DB"/>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0496"/>
    <w:rsid w:val="00311036"/>
    <w:rsid w:val="00311101"/>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26C7"/>
    <w:rsid w:val="003542D4"/>
    <w:rsid w:val="003543F0"/>
    <w:rsid w:val="003555A1"/>
    <w:rsid w:val="0035631F"/>
    <w:rsid w:val="00357667"/>
    <w:rsid w:val="00360D02"/>
    <w:rsid w:val="00361CF3"/>
    <w:rsid w:val="00362B7F"/>
    <w:rsid w:val="00364D74"/>
    <w:rsid w:val="00371671"/>
    <w:rsid w:val="0037202C"/>
    <w:rsid w:val="00372D96"/>
    <w:rsid w:val="003759AE"/>
    <w:rsid w:val="00376735"/>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4AB8"/>
    <w:rsid w:val="003A63B9"/>
    <w:rsid w:val="003A667F"/>
    <w:rsid w:val="003A7683"/>
    <w:rsid w:val="003B20F1"/>
    <w:rsid w:val="003B283B"/>
    <w:rsid w:val="003B2AB5"/>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079A9"/>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7BF"/>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650"/>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3A39"/>
    <w:rsid w:val="006763EC"/>
    <w:rsid w:val="0067717C"/>
    <w:rsid w:val="006808D7"/>
    <w:rsid w:val="0068174F"/>
    <w:rsid w:val="00681787"/>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3B66"/>
    <w:rsid w:val="007149F9"/>
    <w:rsid w:val="007200A7"/>
    <w:rsid w:val="00721659"/>
    <w:rsid w:val="0072400C"/>
    <w:rsid w:val="0072636A"/>
    <w:rsid w:val="007274A7"/>
    <w:rsid w:val="00730B8E"/>
    <w:rsid w:val="00732A09"/>
    <w:rsid w:val="00736415"/>
    <w:rsid w:val="007402B1"/>
    <w:rsid w:val="00740EA8"/>
    <w:rsid w:val="00742995"/>
    <w:rsid w:val="00743670"/>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4A"/>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087B"/>
    <w:rsid w:val="008813F4"/>
    <w:rsid w:val="00881E5F"/>
    <w:rsid w:val="008829A4"/>
    <w:rsid w:val="008836DC"/>
    <w:rsid w:val="00883FCB"/>
    <w:rsid w:val="008874F5"/>
    <w:rsid w:val="00887B21"/>
    <w:rsid w:val="00891B74"/>
    <w:rsid w:val="00892DE9"/>
    <w:rsid w:val="0089503E"/>
    <w:rsid w:val="00895093"/>
    <w:rsid w:val="0089563A"/>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2331"/>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6DBC"/>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8D1"/>
    <w:rsid w:val="0099424C"/>
    <w:rsid w:val="009967CB"/>
    <w:rsid w:val="009A0DEA"/>
    <w:rsid w:val="009A1F1D"/>
    <w:rsid w:val="009A24AD"/>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47D"/>
    <w:rsid w:val="00A0670F"/>
    <w:rsid w:val="00A07E52"/>
    <w:rsid w:val="00A108CC"/>
    <w:rsid w:val="00A11345"/>
    <w:rsid w:val="00A11D42"/>
    <w:rsid w:val="00A134D8"/>
    <w:rsid w:val="00A14950"/>
    <w:rsid w:val="00A16EE4"/>
    <w:rsid w:val="00A16F10"/>
    <w:rsid w:val="00A1766C"/>
    <w:rsid w:val="00A17F1A"/>
    <w:rsid w:val="00A22001"/>
    <w:rsid w:val="00A222A7"/>
    <w:rsid w:val="00A24AFA"/>
    <w:rsid w:val="00A25D87"/>
    <w:rsid w:val="00A26386"/>
    <w:rsid w:val="00A31921"/>
    <w:rsid w:val="00A34ED8"/>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C59A5"/>
    <w:rsid w:val="00AD173D"/>
    <w:rsid w:val="00AD2465"/>
    <w:rsid w:val="00AD442D"/>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1179"/>
    <w:rsid w:val="00BB3FB2"/>
    <w:rsid w:val="00BB532C"/>
    <w:rsid w:val="00BB5370"/>
    <w:rsid w:val="00BB65C4"/>
    <w:rsid w:val="00BB7B9D"/>
    <w:rsid w:val="00BC4431"/>
    <w:rsid w:val="00BC4B7F"/>
    <w:rsid w:val="00BC5473"/>
    <w:rsid w:val="00BC6E2E"/>
    <w:rsid w:val="00BC7DE7"/>
    <w:rsid w:val="00BD097C"/>
    <w:rsid w:val="00BD2639"/>
    <w:rsid w:val="00BD394F"/>
    <w:rsid w:val="00BD4CC9"/>
    <w:rsid w:val="00BD4EB5"/>
    <w:rsid w:val="00BD5B6F"/>
    <w:rsid w:val="00BD620F"/>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3825"/>
    <w:rsid w:val="00C152A6"/>
    <w:rsid w:val="00C15982"/>
    <w:rsid w:val="00C203E7"/>
    <w:rsid w:val="00C21EFF"/>
    <w:rsid w:val="00C23DF7"/>
    <w:rsid w:val="00C253D7"/>
    <w:rsid w:val="00C25B4D"/>
    <w:rsid w:val="00C274F6"/>
    <w:rsid w:val="00C27BFD"/>
    <w:rsid w:val="00C3053E"/>
    <w:rsid w:val="00C4067A"/>
    <w:rsid w:val="00C41BC5"/>
    <w:rsid w:val="00C46454"/>
    <w:rsid w:val="00C47D9F"/>
    <w:rsid w:val="00C5183B"/>
    <w:rsid w:val="00C57333"/>
    <w:rsid w:val="00C57A19"/>
    <w:rsid w:val="00C62955"/>
    <w:rsid w:val="00C64A18"/>
    <w:rsid w:val="00C66947"/>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3EE7"/>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0768"/>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7E36"/>
    <w:rsid w:val="00DF2441"/>
    <w:rsid w:val="00DF29AB"/>
    <w:rsid w:val="00DF2ED9"/>
    <w:rsid w:val="00DF4971"/>
    <w:rsid w:val="00DF76D7"/>
    <w:rsid w:val="00DF776E"/>
    <w:rsid w:val="00E01B2D"/>
    <w:rsid w:val="00E06D7D"/>
    <w:rsid w:val="00E07AE2"/>
    <w:rsid w:val="00E1002C"/>
    <w:rsid w:val="00E12B0C"/>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62B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4F95"/>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4925"/>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18F"/>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400"/>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F9C"/>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0D2F9C"/>
    <w:pPr>
      <w:numPr>
        <w:numId w:val="1"/>
      </w:numPr>
      <w:ind w:left="567" w:hanging="567"/>
      <w:outlineLvl w:val="0"/>
    </w:pPr>
    <w:rPr>
      <w:kern w:val="28"/>
    </w:rPr>
  </w:style>
  <w:style w:type="paragraph" w:styleId="Heading2">
    <w:name w:val="heading 2"/>
    <w:aliases w:val="Char, Char"/>
    <w:basedOn w:val="Normal"/>
    <w:next w:val="Normal"/>
    <w:link w:val="Heading2Char"/>
    <w:qFormat/>
    <w:rsid w:val="000D2F9C"/>
    <w:pPr>
      <w:numPr>
        <w:ilvl w:val="1"/>
        <w:numId w:val="1"/>
      </w:numPr>
      <w:ind w:left="567" w:hanging="567"/>
      <w:outlineLvl w:val="1"/>
    </w:pPr>
  </w:style>
  <w:style w:type="paragraph" w:styleId="Heading3">
    <w:name w:val="heading 3"/>
    <w:basedOn w:val="Normal"/>
    <w:next w:val="Normal"/>
    <w:link w:val="Heading3Char"/>
    <w:qFormat/>
    <w:rsid w:val="000D2F9C"/>
    <w:pPr>
      <w:numPr>
        <w:ilvl w:val="2"/>
        <w:numId w:val="1"/>
      </w:numPr>
      <w:ind w:left="567" w:hanging="567"/>
      <w:outlineLvl w:val="2"/>
    </w:pPr>
  </w:style>
  <w:style w:type="paragraph" w:styleId="Heading4">
    <w:name w:val="heading 4"/>
    <w:basedOn w:val="Normal"/>
    <w:next w:val="Normal"/>
    <w:link w:val="Heading4Char"/>
    <w:qFormat/>
    <w:rsid w:val="000D2F9C"/>
    <w:pPr>
      <w:numPr>
        <w:ilvl w:val="3"/>
        <w:numId w:val="1"/>
      </w:numPr>
      <w:ind w:left="567" w:hanging="567"/>
      <w:outlineLvl w:val="3"/>
    </w:pPr>
  </w:style>
  <w:style w:type="paragraph" w:styleId="Heading5">
    <w:name w:val="heading 5"/>
    <w:basedOn w:val="Normal"/>
    <w:next w:val="Normal"/>
    <w:link w:val="Heading5Char"/>
    <w:qFormat/>
    <w:rsid w:val="000D2F9C"/>
    <w:pPr>
      <w:numPr>
        <w:ilvl w:val="4"/>
        <w:numId w:val="1"/>
      </w:numPr>
      <w:ind w:left="567" w:hanging="567"/>
      <w:outlineLvl w:val="4"/>
    </w:pPr>
  </w:style>
  <w:style w:type="paragraph" w:styleId="Heading6">
    <w:name w:val="heading 6"/>
    <w:basedOn w:val="Normal"/>
    <w:next w:val="Normal"/>
    <w:link w:val="Heading6Char"/>
    <w:qFormat/>
    <w:rsid w:val="000D2F9C"/>
    <w:pPr>
      <w:numPr>
        <w:ilvl w:val="5"/>
        <w:numId w:val="1"/>
      </w:numPr>
      <w:ind w:left="567" w:hanging="567"/>
      <w:outlineLvl w:val="5"/>
    </w:pPr>
  </w:style>
  <w:style w:type="paragraph" w:styleId="Heading7">
    <w:name w:val="heading 7"/>
    <w:basedOn w:val="Normal"/>
    <w:next w:val="Normal"/>
    <w:link w:val="Heading7Char"/>
    <w:qFormat/>
    <w:rsid w:val="000D2F9C"/>
    <w:pPr>
      <w:numPr>
        <w:ilvl w:val="6"/>
        <w:numId w:val="1"/>
      </w:numPr>
      <w:ind w:left="567" w:hanging="567"/>
      <w:outlineLvl w:val="6"/>
    </w:pPr>
  </w:style>
  <w:style w:type="paragraph" w:styleId="Heading8">
    <w:name w:val="heading 8"/>
    <w:basedOn w:val="Normal"/>
    <w:next w:val="Normal"/>
    <w:link w:val="Heading8Char"/>
    <w:qFormat/>
    <w:rsid w:val="000D2F9C"/>
    <w:pPr>
      <w:numPr>
        <w:ilvl w:val="7"/>
        <w:numId w:val="1"/>
      </w:numPr>
      <w:ind w:left="567" w:hanging="567"/>
      <w:outlineLvl w:val="7"/>
    </w:pPr>
  </w:style>
  <w:style w:type="paragraph" w:styleId="Heading9">
    <w:name w:val="heading 9"/>
    <w:basedOn w:val="Normal"/>
    <w:next w:val="Normal"/>
    <w:link w:val="Heading9Char"/>
    <w:qFormat/>
    <w:rsid w:val="000D2F9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aliases w:val="Footer-odd"/>
    <w:basedOn w:val="Normal"/>
    <w:link w:val="FooterChar"/>
    <w:qFormat/>
    <w:rsid w:val="000D2F9C"/>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0D2F9C"/>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0D2F9C"/>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0D2F9C"/>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0D2F9C"/>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F9C"/>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0D2F9C"/>
    <w:pPr>
      <w:numPr>
        <w:numId w:val="1"/>
      </w:numPr>
      <w:ind w:left="567" w:hanging="567"/>
      <w:outlineLvl w:val="0"/>
    </w:pPr>
    <w:rPr>
      <w:kern w:val="28"/>
    </w:rPr>
  </w:style>
  <w:style w:type="paragraph" w:styleId="Heading2">
    <w:name w:val="heading 2"/>
    <w:aliases w:val="Char, Char"/>
    <w:basedOn w:val="Normal"/>
    <w:next w:val="Normal"/>
    <w:link w:val="Heading2Char"/>
    <w:qFormat/>
    <w:rsid w:val="000D2F9C"/>
    <w:pPr>
      <w:numPr>
        <w:ilvl w:val="1"/>
        <w:numId w:val="1"/>
      </w:numPr>
      <w:ind w:left="567" w:hanging="567"/>
      <w:outlineLvl w:val="1"/>
    </w:pPr>
  </w:style>
  <w:style w:type="paragraph" w:styleId="Heading3">
    <w:name w:val="heading 3"/>
    <w:basedOn w:val="Normal"/>
    <w:next w:val="Normal"/>
    <w:link w:val="Heading3Char"/>
    <w:qFormat/>
    <w:rsid w:val="000D2F9C"/>
    <w:pPr>
      <w:numPr>
        <w:ilvl w:val="2"/>
        <w:numId w:val="1"/>
      </w:numPr>
      <w:ind w:left="567" w:hanging="567"/>
      <w:outlineLvl w:val="2"/>
    </w:pPr>
  </w:style>
  <w:style w:type="paragraph" w:styleId="Heading4">
    <w:name w:val="heading 4"/>
    <w:basedOn w:val="Normal"/>
    <w:next w:val="Normal"/>
    <w:link w:val="Heading4Char"/>
    <w:qFormat/>
    <w:rsid w:val="000D2F9C"/>
    <w:pPr>
      <w:numPr>
        <w:ilvl w:val="3"/>
        <w:numId w:val="1"/>
      </w:numPr>
      <w:ind w:left="567" w:hanging="567"/>
      <w:outlineLvl w:val="3"/>
    </w:pPr>
  </w:style>
  <w:style w:type="paragraph" w:styleId="Heading5">
    <w:name w:val="heading 5"/>
    <w:basedOn w:val="Normal"/>
    <w:next w:val="Normal"/>
    <w:link w:val="Heading5Char"/>
    <w:qFormat/>
    <w:rsid w:val="000D2F9C"/>
    <w:pPr>
      <w:numPr>
        <w:ilvl w:val="4"/>
        <w:numId w:val="1"/>
      </w:numPr>
      <w:ind w:left="567" w:hanging="567"/>
      <w:outlineLvl w:val="4"/>
    </w:pPr>
  </w:style>
  <w:style w:type="paragraph" w:styleId="Heading6">
    <w:name w:val="heading 6"/>
    <w:basedOn w:val="Normal"/>
    <w:next w:val="Normal"/>
    <w:link w:val="Heading6Char"/>
    <w:qFormat/>
    <w:rsid w:val="000D2F9C"/>
    <w:pPr>
      <w:numPr>
        <w:ilvl w:val="5"/>
        <w:numId w:val="1"/>
      </w:numPr>
      <w:ind w:left="567" w:hanging="567"/>
      <w:outlineLvl w:val="5"/>
    </w:pPr>
  </w:style>
  <w:style w:type="paragraph" w:styleId="Heading7">
    <w:name w:val="heading 7"/>
    <w:basedOn w:val="Normal"/>
    <w:next w:val="Normal"/>
    <w:link w:val="Heading7Char"/>
    <w:qFormat/>
    <w:rsid w:val="000D2F9C"/>
    <w:pPr>
      <w:numPr>
        <w:ilvl w:val="6"/>
        <w:numId w:val="1"/>
      </w:numPr>
      <w:ind w:left="567" w:hanging="567"/>
      <w:outlineLvl w:val="6"/>
    </w:pPr>
  </w:style>
  <w:style w:type="paragraph" w:styleId="Heading8">
    <w:name w:val="heading 8"/>
    <w:basedOn w:val="Normal"/>
    <w:next w:val="Normal"/>
    <w:link w:val="Heading8Char"/>
    <w:qFormat/>
    <w:rsid w:val="000D2F9C"/>
    <w:pPr>
      <w:numPr>
        <w:ilvl w:val="7"/>
        <w:numId w:val="1"/>
      </w:numPr>
      <w:ind w:left="567" w:hanging="567"/>
      <w:outlineLvl w:val="7"/>
    </w:pPr>
  </w:style>
  <w:style w:type="paragraph" w:styleId="Heading9">
    <w:name w:val="heading 9"/>
    <w:basedOn w:val="Normal"/>
    <w:next w:val="Normal"/>
    <w:link w:val="Heading9Char"/>
    <w:qFormat/>
    <w:rsid w:val="000D2F9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aliases w:val="Footer-odd"/>
    <w:basedOn w:val="Normal"/>
    <w:link w:val="FooterChar"/>
    <w:qFormat/>
    <w:rsid w:val="000D2F9C"/>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0D2F9C"/>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0D2F9C"/>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0D2F9C"/>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0D2F9C"/>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Agota.Bazsik@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ean-pierre.faur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Helena.Polomik@eesc.europa.eu" TargetMode="External"/><Relationship Id="rId32" Type="http://schemas.openxmlformats.org/officeDocument/2006/relationships/hyperlink" Target="mailto:Laura.Ernsteina@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Monica.Guarinoni@eesc.europa.eu" TargetMode="External"/><Relationship Id="rId28" Type="http://schemas.openxmlformats.org/officeDocument/2006/relationships/hyperlink" Target="mailto:gerald.klec@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marie-laurence.drillon@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ana.dumitrache@eesc.europa.eu" TargetMode="External"/><Relationship Id="rId27" Type="http://schemas.openxmlformats.org/officeDocument/2006/relationships/hyperlink" Target="mailto:Helena.Polomik@eesc.europa.eu" TargetMode="External"/><Relationship Id="rId30" Type="http://schemas.openxmlformats.org/officeDocument/2006/relationships/hyperlink" Target="mailto:daniel.squerzi@eesc.europa.eu" TargetMode="Externa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WTPCSN73YJ26-4-4778</_dlc_DocId>
    <_dlc_DocIdUrl xmlns="8a3471f6-0f36-4ccf-b5ee-1ca67ea797ef">
      <Url>http://dm/EESC/2017/_layouts/DocIdRedir.aspx?ID=WTPCSN73YJ26-4-4778</Url>
      <Description>WTPCSN73YJ26-4-4778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2017-04-19T12:00:00+00:00</ProductionDate>
    <DocumentNumber xmlns="d001fc02-2481-471c-a01d-134a91e40015">1003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2017-03-29T12:00:00+00:00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TaxCatchAll xmlns="8a3471f6-0f36-4ccf-b5ee-1ca67ea797ef">
      <Value>35</Value>
      <Value>38</Value>
      <Value>37</Value>
      <Value>36</Value>
      <Value>27</Value>
      <Value>34</Value>
      <Value>33</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4518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Props1.xml><?xml version="1.0" encoding="utf-8"?>
<ds:datastoreItem xmlns:ds="http://schemas.openxmlformats.org/officeDocument/2006/customXml" ds:itemID="{918820D5-97FB-4C52-A9C0-68BABB270175}"/>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32E959C1-5DF0-4E4C-A47D-3986924510E8}"/>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17</TotalTime>
  <Pages>3</Pages>
  <Words>2550</Words>
  <Characters>22550</Characters>
  <Application>Microsoft Office Word</Application>
  <DocSecurity>0</DocSecurity>
  <Lines>550</Lines>
  <Paragraphs>204</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Yhteenveto lausunnoista - täysistunto maaliskuu 2017</dc:title>
  <dc:subject>lausuntotyö, muut</dc:subject>
  <dc:creator/>
  <cp:keywords>EESC-2017-01003-00-01-TCD-TRA-FI</cp:keywords>
  <dc:description>Esittelijä: -_x000d_
Alkukieli: FR, EN_x000d_
Asiakirjan päivämäärä: 19/04/2017_x000d_
Kokouksen päivämäärä: 29/03/2017_x000d_
Muut asiakirjat: -_x000d_
Vastaava virkamies: Cosmai Domenico, puhelin: +32 (0)2 546 9041_x000d_
_x000d_
Tiivistelmä:</dc:description>
  <cp:lastModifiedBy>Juha Eskelinen</cp:lastModifiedBy>
  <cp:revision>8</cp:revision>
  <cp:lastPrinted>2017-04-06T07:38:00Z</cp:lastPrinted>
  <dcterms:created xsi:type="dcterms:W3CDTF">2017-04-19T12:17:00Z</dcterms:created>
  <dcterms:modified xsi:type="dcterms:W3CDTF">2017-04-19T14:01:00Z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12/04/2017, 23/03/2017, 13/12/2016, 15/09/2016, 14/09/2016, 14/09/2016, 12/07/2016, 30/06/2016, 29/06/2016, 23/05/2016, 23/05/2016, 25/04/2016, 25/04/2016, 14/03/2016, 11/03/2016, 11/03/2016, 15/02/2016, 15/02/2016, 15/02/2016, 03/02/2016, 03/02/2016, 14/</vt:lpwstr>
  </property>
  <property fmtid="{D5CDD505-2E9C-101B-9397-08002B2CF9AE}" pid="4" name="Pref_Time">
    <vt:lpwstr>16:10:17, 12:08:44, 12:23:59, 18:12:41, 09:48:43, 08:36:59, 11:43:50, 09:30:52, 17:35:55, 17:02:49, 16:30:20, 11:28:20, 09:54:52, 08:31:22, 17:08:54, 15:59:23, 12:27:50, 12:09:16, 09:49:23, 17:26:57, 16:09:02, 17:58:07, 17:32:44, 15:05:42, 11:13:53, 16:35</vt:lpwstr>
  </property>
  <property fmtid="{D5CDD505-2E9C-101B-9397-08002B2CF9AE}" pid="5" name="Pref_User">
    <vt:lpwstr>mkop,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EESC-2017-01003-00-01-TCD-TRA-EN-CRR.docx, EESC-2017-01003-00-00-TCD-ORI.docx, EESC-2016-05775-00-00-TCD-ORI.docx, EESC-2016-03275-00-01-TCD-ORI.docx, EESC-2016-03275-00-00-TCD-TRA-EN-CRR.docx, EESC-2016-03275-00-00-TCD-CRR-FR.docx, EESC-2016-03689-00-01-</vt:lpwstr>
  </property>
  <property fmtid="{D5CDD505-2E9C-101B-9397-08002B2CF9AE}" pid="7" name="ContentTypeId">
    <vt:lpwstr>0x010100EA97B91038054C99906057A708A1480A00F51D1BDF1B59D8489738113A248D32C4</vt:lpwstr>
  </property>
  <property fmtid="{D5CDD505-2E9C-101B-9397-08002B2CF9AE}" pid="8" name="_dlc_DocIdItemGuid">
    <vt:lpwstr>060b51e4-4bd2-4332-9d0f-bd241e02e181</vt:lpwstr>
  </property>
  <property fmtid="{D5CDD505-2E9C-101B-9397-08002B2CF9AE}" pid="9" name="AvailableTranslations">
    <vt:lpwstr>4;#EN|f2175f21-25d7-44a3-96da-d6a61b075e1b;#32;#MT|7df99101-6854-4a26-b53a-b88c0da02c26;#33;#PL|1e03da61-4678-4e07-b136-b5024ca9197b;#38;#HR|2f555653-ed1a-4fe6-8362-9082d95989e5;#12;#NL|55c6556c-b4f4-441d-9acf-c498d4f838bd;#15;#PT|50ccc04a-eadd-42ae-a0cb-acaf45f812ba;#22;#IT|0774613c-01ed-4e5d-a25d-11d2388de825;#23;#DA|5d49c027-8956-412b-aa16-e85a0f96ad0e;#36;#BG|1a1b3951-7821-4e6a-85f5-5673fc08bd2c;#14;#ES|e7a6b05b-ae16-40c8-add9-68b64b03aeba;#24;#EL|6d4f4d51-af9b-4650-94b4-4276bee85c91;#31;#LT|a7ff5ce7-6123-4f68-865a-a57c31810414;#37;#RO|feb747a2-64cd-4299-af12-4833ddc30497;#34;#SK|46d9fce0-ef79-4f71-b89b-cd6aa82426b8;#18;#DE|f6b31e5a-26fa-4935-b661-318e46daf27e;#30;#LV|46f7e311-5d9f-4663-b433-18aeccb7ace7;#29;#HU|6b229040-c589-4408-b4c1-4285663d20a8;#25;#FI|87606a43-d45f-42d6-b8c9-e1a3457db5b7;#27;#CS|72f9705b-0217-4fd3-bea2-cbc7ed80e26e;#8;#FR|d2afafd3-4c81-4f60-8f52-ee33f2f54ff3;#28;#ET|ff6c3f4c-b02c-4c3c-ab07-2c37995a7a0a;#35;#SL|98a412ae-eb01-49e9-ae3d-585a81724cfc;#26;#SV|c2ed69e7-a339-43d7-8f22-d93680a92aa0</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25;#FI|87606a43-d45f-42d6-b8c9-e1a3457db5b7</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1003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2017-03-29T12:00:00Z</vt:filetime>
  </property>
  <property fmtid="{D5CDD505-2E9C-101B-9397-08002B2CF9AE}" pid="30" name="DocumentLanguage_0">
    <vt:lpwstr>FR|d2afafd3-4c81-4f60-8f52-ee33f2f54ff3</vt:lpwstr>
  </property>
  <property fmtid="{D5CDD505-2E9C-101B-9397-08002B2CF9AE}" pid="31" name="TaxCatchAll">
    <vt:lpwstr>18;#DE|f6b31e5a-26fa-4935-b661-318e46daf27e;#17;#TCD|cd9d6eb6-3f4f-424a-b2d1-57c9d450eaaf;#38;#HR|2f555653-ed1a-4fe6-8362-9082d95989e5;#12;#NL|55c6556c-b4f4-441d-9acf-c498d4f838bd;#34;#SK|46d9fce0-ef79-4f71-b89b-cd6aa82426b8;#33;#PL|1e03da61-4678-4e07-b136-b5024ca9197b;#30;#LV|46f7e311-5d9f-4663-b433-18aeccb7ace7;#8;#FR|d2afafd3-4c81-4f60-8f52-ee33f2f54ff3;#24;#EL|6d4f4d51-af9b-4650-94b4-4276bee85c91;#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4518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PL|1e03da61-4678-4e07-b136-b5024ca9197b;HR|2f555653-ed1a-4fe6-8362-9082d95989e5;NL|55c6556c-b4f4-441d-9acf-c498d4f838bd;EL|6d4f4d51-af9b-4650-94b4-4276bee85c91;SK|46d9fce0-ef79-4f71-b89b-cd6aa82426b8;DE|f6b31e5a-26fa-4935-b661-318e46daf27e;LV|46f7e311-5d9f-4663-b433-18aeccb7ace7</vt:lpwstr>
  </property>
</Properties>
</file>