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3571F6" w:rsidRDefault="00AF6F3E" w:rsidP="00377A77">
      <w:pPr>
        <w:snapToGrid w:val="0"/>
        <w:jc w:val="center"/>
      </w:pPr>
      <w:r w:rsidRPr="003571F6">
        <w:rPr>
          <w:sz w:val="20"/>
          <w:lang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9436D4" wp14:editId="520856B4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7BF" w:rsidRPr="004C07BF" w:rsidRDefault="004C07BF" w:rsidP="00AF6F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4C07BF" w:rsidRPr="004C07BF" w:rsidRDefault="004C07BF" w:rsidP="00AF6F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BG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571F6">
        <w:rPr>
          <w:lang w:eastAsia="fr-BE" w:bidi="ar-SA"/>
        </w:rPr>
        <w:drawing>
          <wp:inline distT="0" distB="0" distL="0" distR="0" wp14:anchorId="24F3229D" wp14:editId="1E83B81B">
            <wp:extent cx="87630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0" w:rsidRPr="003571F6" w:rsidRDefault="008405A0" w:rsidP="00377A77">
      <w:pPr>
        <w:snapToGrid w:val="0"/>
        <w:jc w:val="center"/>
        <w:rPr>
          <w:rFonts w:ascii="Arial" w:eastAsia="MS Mincho" w:hAnsi="Arial" w:cs="Arial"/>
          <w:b/>
          <w:i/>
          <w:sz w:val="20"/>
        </w:rPr>
      </w:pPr>
      <w:r w:rsidRPr="003571F6">
        <w:rPr>
          <w:rFonts w:ascii="Arial" w:hAnsi="Arial"/>
          <w:b/>
          <w:i/>
          <w:sz w:val="20"/>
        </w:rPr>
        <w:t>Европейски икономически и социален комитет</w:t>
      </w:r>
    </w:p>
    <w:p w:rsidR="008405A0" w:rsidRPr="003571F6" w:rsidRDefault="008405A0" w:rsidP="00377A77">
      <w:pPr>
        <w:snapToGrid w:val="0"/>
      </w:pPr>
    </w:p>
    <w:p w:rsidR="008405A0" w:rsidRPr="003571F6" w:rsidRDefault="008405A0" w:rsidP="00377A77">
      <w:pPr>
        <w:snapToGrid w:val="0"/>
      </w:pPr>
    </w:p>
    <w:p w:rsidR="008405A0" w:rsidRPr="003571F6" w:rsidRDefault="008405A0" w:rsidP="00377A77">
      <w:pPr>
        <w:snapToGrid w:val="0"/>
        <w:jc w:val="right"/>
        <w:rPr>
          <w:rFonts w:eastAsia="MS Mincho"/>
        </w:rPr>
      </w:pPr>
      <w:r w:rsidRPr="003571F6">
        <w:t>Брюксел, 20 април 2017 г.</w:t>
      </w:r>
    </w:p>
    <w:p w:rsidR="008405A0" w:rsidRPr="003571F6" w:rsidRDefault="008405A0" w:rsidP="00377A77">
      <w:pPr>
        <w:snapToGrid w:val="0"/>
      </w:pPr>
    </w:p>
    <w:p w:rsidR="008405A0" w:rsidRPr="003571F6" w:rsidRDefault="008405A0" w:rsidP="00377A77">
      <w:pPr>
        <w:snapToGrid w:val="0"/>
      </w:pPr>
    </w:p>
    <w:p w:rsidR="00AF6F3E" w:rsidRPr="003571F6" w:rsidRDefault="00AF6F3E" w:rsidP="00377A77">
      <w:pPr>
        <w:snapToGri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3571F6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3571F6" w:rsidRDefault="00544876" w:rsidP="00377A77">
            <w:pPr>
              <w:snapToGrid w:val="0"/>
              <w:jc w:val="center"/>
              <w:rPr>
                <w:rFonts w:eastAsia="MS Mincho"/>
                <w:b/>
                <w:sz w:val="32"/>
              </w:rPr>
            </w:pPr>
            <w:r w:rsidRPr="003571F6">
              <w:rPr>
                <w:b/>
                <w:sz w:val="32"/>
              </w:rPr>
              <w:t>ПЛЕНАРНА СЕСИЯ</w:t>
            </w:r>
            <w:r w:rsidR="00E27B69" w:rsidRPr="003571F6">
              <w:rPr>
                <w:b/>
                <w:sz w:val="32"/>
              </w:rPr>
              <w:br/>
            </w:r>
            <w:r w:rsidR="00E27B69" w:rsidRPr="003571F6">
              <w:rPr>
                <w:b/>
                <w:sz w:val="32"/>
              </w:rPr>
              <w:br/>
              <w:t>29 и 30 МАРТ 2017 г.</w:t>
            </w:r>
            <w:r w:rsidR="00E27B69" w:rsidRPr="003571F6">
              <w:rPr>
                <w:b/>
                <w:sz w:val="32"/>
              </w:rPr>
              <w:br/>
            </w:r>
            <w:r w:rsidR="0072400C" w:rsidRPr="003571F6">
              <w:rPr>
                <w:b/>
                <w:sz w:val="32"/>
              </w:rPr>
              <w:br/>
              <w:t>ОБОБЩЕНИЕ НА ПРИЕТИТЕ СТАНОВИЩА</w:t>
            </w:r>
          </w:p>
          <w:p w:rsidR="008405A0" w:rsidRPr="003571F6" w:rsidRDefault="008405A0" w:rsidP="00377A77"/>
          <w:p w:rsidR="008405A0" w:rsidRPr="003571F6" w:rsidRDefault="008405A0" w:rsidP="00377A77"/>
        </w:tc>
      </w:tr>
      <w:tr w:rsidR="008405A0" w:rsidRPr="003571F6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5A0" w:rsidRPr="003571F6" w:rsidRDefault="00A31921" w:rsidP="00377A77">
            <w:pPr>
              <w:snapToGrid w:val="0"/>
              <w:jc w:val="center"/>
              <w:rPr>
                <w:rFonts w:eastAsia="MS Mincho"/>
                <w:b/>
              </w:rPr>
            </w:pPr>
            <w:r w:rsidRPr="003571F6">
              <w:rPr>
                <w:b/>
              </w:rPr>
              <w:t>Настоящият документ е достъпен на официалните езици на интернет сайта на Комитета на следния адрес:</w:t>
            </w:r>
          </w:p>
          <w:p w:rsidR="008405A0" w:rsidRPr="003571F6" w:rsidRDefault="008405A0" w:rsidP="00377A77">
            <w:pPr>
              <w:snapToGrid w:val="0"/>
              <w:jc w:val="center"/>
              <w:rPr>
                <w:b/>
              </w:rPr>
            </w:pPr>
          </w:p>
          <w:p w:rsidR="008405A0" w:rsidRPr="003571F6" w:rsidRDefault="003571F6" w:rsidP="00377A77">
            <w:pPr>
              <w:jc w:val="center"/>
              <w:rPr>
                <w:rFonts w:eastAsia="MS Mincho"/>
                <w:b/>
              </w:rPr>
            </w:pPr>
            <w:hyperlink r:id="rId14" w:anchor="/boxTab1-2">
              <w:r w:rsidR="00184B28" w:rsidRPr="003571F6">
                <w:rPr>
                  <w:rStyle w:val="Hyperlink"/>
                  <w:b/>
                </w:rPr>
                <w:t>http://www.eesc.europa.eu/?i=portal.bg.documents#/boxTab1-2</w:t>
              </w:r>
            </w:hyperlink>
          </w:p>
          <w:p w:rsidR="008405A0" w:rsidRPr="003571F6" w:rsidRDefault="008405A0" w:rsidP="00377A77">
            <w:pPr>
              <w:snapToGrid w:val="0"/>
              <w:jc w:val="center"/>
            </w:pPr>
          </w:p>
          <w:p w:rsidR="008405A0" w:rsidRPr="003571F6" w:rsidRDefault="008405A0" w:rsidP="00377A77">
            <w:pPr>
              <w:snapToGrid w:val="0"/>
              <w:jc w:val="center"/>
              <w:rPr>
                <w:rFonts w:eastAsia="SimSun"/>
                <w:b/>
              </w:rPr>
            </w:pPr>
          </w:p>
          <w:p w:rsidR="008405A0" w:rsidRPr="003571F6" w:rsidRDefault="008405A0" w:rsidP="00377A77">
            <w:pPr>
              <w:snapToGrid w:val="0"/>
              <w:jc w:val="center"/>
              <w:rPr>
                <w:rFonts w:eastAsia="MS Mincho"/>
                <w:b/>
              </w:rPr>
            </w:pPr>
            <w:r w:rsidRPr="003571F6">
              <w:rPr>
                <w:b/>
              </w:rPr>
              <w:t>Посочените становища могат да бъдат намерени онлайн чрез търсачката на Комитета:</w:t>
            </w:r>
          </w:p>
          <w:p w:rsidR="008405A0" w:rsidRPr="003571F6" w:rsidRDefault="008405A0" w:rsidP="00377A77">
            <w:pPr>
              <w:snapToGrid w:val="0"/>
              <w:jc w:val="center"/>
              <w:rPr>
                <w:b/>
              </w:rPr>
            </w:pPr>
          </w:p>
          <w:p w:rsidR="008405A0" w:rsidRPr="003571F6" w:rsidRDefault="003571F6" w:rsidP="00377A77">
            <w:pPr>
              <w:jc w:val="center"/>
              <w:rPr>
                <w:rFonts w:eastAsia="MS Mincho"/>
                <w:b/>
              </w:rPr>
            </w:pPr>
            <w:hyperlink r:id="rId15">
              <w:r w:rsidR="00184B28" w:rsidRPr="003571F6">
                <w:rPr>
                  <w:rStyle w:val="Hyperlink"/>
                  <w:b/>
                </w:rPr>
                <w:t>http://www.eesc.europa.eu/?i=portal.bg.opinions-search</w:t>
              </w:r>
            </w:hyperlink>
          </w:p>
          <w:p w:rsidR="008405A0" w:rsidRPr="003571F6" w:rsidRDefault="008405A0" w:rsidP="00377A77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8405A0" w:rsidRPr="003571F6" w:rsidRDefault="008405A0" w:rsidP="00377A77">
      <w:pPr>
        <w:snapToGrid w:val="0"/>
      </w:pPr>
    </w:p>
    <w:p w:rsidR="008F7791" w:rsidRPr="003571F6" w:rsidRDefault="008F7791" w:rsidP="008F7791">
      <w:pPr>
        <w:rPr>
          <w:rFonts w:eastAsia="SimSun"/>
          <w:sz w:val="28"/>
        </w:rPr>
      </w:pPr>
    </w:p>
    <w:p w:rsidR="008F7791" w:rsidRPr="003571F6" w:rsidRDefault="008F7791" w:rsidP="008F7791">
      <w:pPr>
        <w:rPr>
          <w:rFonts w:eastAsia="SimSun"/>
          <w:sz w:val="28"/>
        </w:rPr>
      </w:pPr>
    </w:p>
    <w:p w:rsidR="00A9340A" w:rsidRPr="003571F6" w:rsidRDefault="00A9340A" w:rsidP="008F7791">
      <w:pPr>
        <w:rPr>
          <w:rFonts w:eastAsia="SimSun"/>
          <w:sz w:val="28"/>
        </w:rPr>
        <w:sectPr w:rsidR="00A9340A" w:rsidRPr="003571F6" w:rsidSect="0089563A">
          <w:footerReference w:type="default" r:id="rId16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3571F6" w:rsidRDefault="008405A0" w:rsidP="00377A77">
      <w:pPr>
        <w:snapToGrid w:val="0"/>
        <w:rPr>
          <w:rFonts w:eastAsia="MS Mincho"/>
          <w:b/>
          <w:sz w:val="28"/>
          <w:u w:val="single"/>
        </w:rPr>
      </w:pPr>
      <w:bookmarkStart w:id="0" w:name="_GoBack"/>
      <w:bookmarkEnd w:id="0"/>
      <w:r w:rsidRPr="003571F6">
        <w:rPr>
          <w:b/>
        </w:rPr>
        <w:lastRenderedPageBreak/>
        <w:t>Обобщение:</w:t>
      </w:r>
    </w:p>
    <w:p w:rsidR="00D16D76" w:rsidRPr="003571F6" w:rsidRDefault="00D16D76" w:rsidP="004C07BF"/>
    <w:p w:rsidR="00E27B69" w:rsidRPr="003571F6" w:rsidRDefault="00FC45F0">
      <w:pPr>
        <w:pStyle w:val="TOC1"/>
        <w:rPr>
          <w:rFonts w:asciiTheme="minorHAnsi" w:eastAsiaTheme="minorEastAsia" w:hAnsiTheme="minorHAnsi" w:cstheme="minorBidi"/>
          <w:lang w:eastAsia="fr-BE" w:bidi="ar-SA"/>
        </w:rPr>
      </w:pPr>
      <w:r w:rsidRPr="003571F6">
        <w:rPr>
          <w:b/>
        </w:rPr>
        <w:fldChar w:fldCharType="begin"/>
      </w:r>
      <w:r w:rsidRPr="003571F6">
        <w:rPr>
          <w:b/>
        </w:rPr>
        <w:instrText xml:space="preserve"> TOC \o "1-1" \h \z \u </w:instrText>
      </w:r>
      <w:r w:rsidRPr="003571F6">
        <w:rPr>
          <w:b/>
        </w:rPr>
        <w:fldChar w:fldCharType="separate"/>
      </w:r>
      <w:hyperlink w:anchor="_Toc480380514" w:history="1">
        <w:r w:rsidR="00E27B69" w:rsidRPr="003571F6">
          <w:rPr>
            <w:rStyle w:val="Hyperlink"/>
            <w:b/>
          </w:rPr>
          <w:t>1.</w:t>
        </w:r>
        <w:r w:rsidR="00E27B69" w:rsidRPr="003571F6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E27B69" w:rsidRPr="003571F6">
          <w:rPr>
            <w:rStyle w:val="Hyperlink"/>
            <w:b/>
          </w:rPr>
          <w:t>СОЦИАЛНИ ВЪПРОСИ</w:t>
        </w:r>
        <w:r w:rsidR="00E27B69" w:rsidRPr="003571F6">
          <w:rPr>
            <w:webHidden/>
          </w:rPr>
          <w:tab/>
        </w:r>
        <w:r w:rsidR="00E27B69" w:rsidRPr="003571F6">
          <w:rPr>
            <w:webHidden/>
          </w:rPr>
          <w:fldChar w:fldCharType="begin"/>
        </w:r>
        <w:r w:rsidR="00E27B69" w:rsidRPr="003571F6">
          <w:rPr>
            <w:webHidden/>
          </w:rPr>
          <w:instrText xml:space="preserve"> PAGEREF _Toc480380514 \h </w:instrText>
        </w:r>
        <w:r w:rsidR="00E27B69" w:rsidRPr="003571F6">
          <w:rPr>
            <w:webHidden/>
          </w:rPr>
        </w:r>
        <w:r w:rsidR="00E27B69" w:rsidRPr="003571F6">
          <w:rPr>
            <w:webHidden/>
          </w:rPr>
          <w:fldChar w:fldCharType="separate"/>
        </w:r>
        <w:r w:rsidR="00E27B69" w:rsidRPr="003571F6">
          <w:rPr>
            <w:webHidden/>
          </w:rPr>
          <w:t>3</w:t>
        </w:r>
        <w:r w:rsidR="00E27B69" w:rsidRPr="003571F6">
          <w:rPr>
            <w:webHidden/>
          </w:rPr>
          <w:fldChar w:fldCharType="end"/>
        </w:r>
      </w:hyperlink>
    </w:p>
    <w:p w:rsidR="00E27B69" w:rsidRPr="003571F6" w:rsidRDefault="003571F6">
      <w:pPr>
        <w:pStyle w:val="TOC1"/>
        <w:rPr>
          <w:rFonts w:asciiTheme="minorHAnsi" w:eastAsiaTheme="minorEastAsia" w:hAnsiTheme="minorHAnsi" w:cstheme="minorBidi"/>
          <w:lang w:eastAsia="fr-BE" w:bidi="ar-SA"/>
        </w:rPr>
      </w:pPr>
      <w:hyperlink w:anchor="_Toc480380515" w:history="1">
        <w:r w:rsidR="00E27B69" w:rsidRPr="003571F6">
          <w:rPr>
            <w:rStyle w:val="Hyperlink"/>
            <w:b/>
          </w:rPr>
          <w:t>2.</w:t>
        </w:r>
        <w:r w:rsidR="00E27B69" w:rsidRPr="003571F6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E27B69" w:rsidRPr="003571F6">
          <w:rPr>
            <w:rStyle w:val="Hyperlink"/>
            <w:b/>
          </w:rPr>
          <w:t>ПОТРЕБИТЕЛИ / СОЦИАЛНИ ВЪПРОСИ</w:t>
        </w:r>
        <w:r w:rsidR="00E27B69" w:rsidRPr="003571F6">
          <w:rPr>
            <w:webHidden/>
          </w:rPr>
          <w:tab/>
        </w:r>
        <w:r w:rsidR="00E27B69" w:rsidRPr="003571F6">
          <w:rPr>
            <w:webHidden/>
          </w:rPr>
          <w:fldChar w:fldCharType="begin"/>
        </w:r>
        <w:r w:rsidR="00E27B69" w:rsidRPr="003571F6">
          <w:rPr>
            <w:webHidden/>
          </w:rPr>
          <w:instrText xml:space="preserve"> PAGEREF _Toc480380515 \h </w:instrText>
        </w:r>
        <w:r w:rsidR="00E27B69" w:rsidRPr="003571F6">
          <w:rPr>
            <w:webHidden/>
          </w:rPr>
        </w:r>
        <w:r w:rsidR="00E27B69" w:rsidRPr="003571F6">
          <w:rPr>
            <w:webHidden/>
          </w:rPr>
          <w:fldChar w:fldCharType="separate"/>
        </w:r>
        <w:r w:rsidR="00E27B69" w:rsidRPr="003571F6">
          <w:rPr>
            <w:webHidden/>
          </w:rPr>
          <w:t>4</w:t>
        </w:r>
        <w:r w:rsidR="00E27B69" w:rsidRPr="003571F6">
          <w:rPr>
            <w:webHidden/>
          </w:rPr>
          <w:fldChar w:fldCharType="end"/>
        </w:r>
      </w:hyperlink>
    </w:p>
    <w:p w:rsidR="00E27B69" w:rsidRPr="003571F6" w:rsidRDefault="003571F6">
      <w:pPr>
        <w:pStyle w:val="TOC1"/>
        <w:rPr>
          <w:rFonts w:asciiTheme="minorHAnsi" w:eastAsiaTheme="minorEastAsia" w:hAnsiTheme="minorHAnsi" w:cstheme="minorBidi"/>
          <w:lang w:eastAsia="fr-BE" w:bidi="ar-SA"/>
        </w:rPr>
      </w:pPr>
      <w:hyperlink w:anchor="_Toc480380516" w:history="1">
        <w:r w:rsidR="00E27B69" w:rsidRPr="003571F6">
          <w:rPr>
            <w:rStyle w:val="Hyperlink"/>
            <w:b/>
          </w:rPr>
          <w:t>3.</w:t>
        </w:r>
        <w:r w:rsidR="00E27B69" w:rsidRPr="003571F6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E27B69" w:rsidRPr="003571F6">
          <w:rPr>
            <w:rStyle w:val="Hyperlink"/>
            <w:b/>
          </w:rPr>
          <w:t>РАСТЕЖ И ИНОВАЦИИ</w:t>
        </w:r>
        <w:r w:rsidR="00E27B69" w:rsidRPr="003571F6">
          <w:rPr>
            <w:webHidden/>
          </w:rPr>
          <w:tab/>
        </w:r>
        <w:r w:rsidR="00E27B69" w:rsidRPr="003571F6">
          <w:rPr>
            <w:webHidden/>
          </w:rPr>
          <w:fldChar w:fldCharType="begin"/>
        </w:r>
        <w:r w:rsidR="00E27B69" w:rsidRPr="003571F6">
          <w:rPr>
            <w:webHidden/>
          </w:rPr>
          <w:instrText xml:space="preserve"> PAGEREF _Toc480380516 \h </w:instrText>
        </w:r>
        <w:r w:rsidR="00E27B69" w:rsidRPr="003571F6">
          <w:rPr>
            <w:webHidden/>
          </w:rPr>
        </w:r>
        <w:r w:rsidR="00E27B69" w:rsidRPr="003571F6">
          <w:rPr>
            <w:webHidden/>
          </w:rPr>
          <w:fldChar w:fldCharType="separate"/>
        </w:r>
        <w:r w:rsidR="00E27B69" w:rsidRPr="003571F6">
          <w:rPr>
            <w:webHidden/>
          </w:rPr>
          <w:t>5</w:t>
        </w:r>
        <w:r w:rsidR="00E27B69" w:rsidRPr="003571F6">
          <w:rPr>
            <w:webHidden/>
          </w:rPr>
          <w:fldChar w:fldCharType="end"/>
        </w:r>
      </w:hyperlink>
    </w:p>
    <w:p w:rsidR="00E27B69" w:rsidRPr="003571F6" w:rsidRDefault="003571F6">
      <w:pPr>
        <w:pStyle w:val="TOC1"/>
        <w:rPr>
          <w:rFonts w:asciiTheme="minorHAnsi" w:eastAsiaTheme="minorEastAsia" w:hAnsiTheme="minorHAnsi" w:cstheme="minorBidi"/>
          <w:lang w:eastAsia="fr-BE" w:bidi="ar-SA"/>
        </w:rPr>
      </w:pPr>
      <w:hyperlink w:anchor="_Toc480380517" w:history="1">
        <w:r w:rsidR="00E27B69" w:rsidRPr="003571F6">
          <w:rPr>
            <w:rStyle w:val="Hyperlink"/>
            <w:b/>
          </w:rPr>
          <w:t>4.</w:t>
        </w:r>
        <w:r w:rsidR="00E27B69" w:rsidRPr="003571F6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E27B69" w:rsidRPr="003571F6">
          <w:rPr>
            <w:rStyle w:val="Hyperlink"/>
            <w:b/>
          </w:rPr>
          <w:t>ИКОНОМИЧЕСКО УПРАВЛЕНИЕ / ФИНАНСОВИ ИНСТРУМЕНТИ / ДАНЪЧНО ОБЛАГАНЕ</w:t>
        </w:r>
        <w:r w:rsidR="00E27B69" w:rsidRPr="003571F6">
          <w:rPr>
            <w:webHidden/>
          </w:rPr>
          <w:tab/>
        </w:r>
        <w:r w:rsidR="00E27B69" w:rsidRPr="003571F6">
          <w:rPr>
            <w:webHidden/>
          </w:rPr>
          <w:fldChar w:fldCharType="begin"/>
        </w:r>
        <w:r w:rsidR="00E27B69" w:rsidRPr="003571F6">
          <w:rPr>
            <w:webHidden/>
          </w:rPr>
          <w:instrText xml:space="preserve"> PAGEREF _Toc480380517 \h </w:instrText>
        </w:r>
        <w:r w:rsidR="00E27B69" w:rsidRPr="003571F6">
          <w:rPr>
            <w:webHidden/>
          </w:rPr>
        </w:r>
        <w:r w:rsidR="00E27B69" w:rsidRPr="003571F6">
          <w:rPr>
            <w:webHidden/>
          </w:rPr>
          <w:fldChar w:fldCharType="separate"/>
        </w:r>
        <w:r w:rsidR="00E27B69" w:rsidRPr="003571F6">
          <w:rPr>
            <w:webHidden/>
          </w:rPr>
          <w:t>6</w:t>
        </w:r>
        <w:r w:rsidR="00E27B69" w:rsidRPr="003571F6">
          <w:rPr>
            <w:webHidden/>
          </w:rPr>
          <w:fldChar w:fldCharType="end"/>
        </w:r>
      </w:hyperlink>
    </w:p>
    <w:p w:rsidR="00E27B69" w:rsidRPr="003571F6" w:rsidRDefault="003571F6">
      <w:pPr>
        <w:pStyle w:val="TOC1"/>
        <w:rPr>
          <w:rFonts w:asciiTheme="minorHAnsi" w:eastAsiaTheme="minorEastAsia" w:hAnsiTheme="minorHAnsi" w:cstheme="minorBidi"/>
          <w:lang w:eastAsia="fr-BE" w:bidi="ar-SA"/>
        </w:rPr>
      </w:pPr>
      <w:hyperlink w:anchor="_Toc480380518" w:history="1">
        <w:r w:rsidR="00E27B69" w:rsidRPr="003571F6">
          <w:rPr>
            <w:rStyle w:val="Hyperlink"/>
            <w:b/>
          </w:rPr>
          <w:t>5.</w:t>
        </w:r>
        <w:r w:rsidR="00E27B69" w:rsidRPr="003571F6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E27B69" w:rsidRPr="003571F6">
          <w:rPr>
            <w:rStyle w:val="Hyperlink"/>
            <w:b/>
          </w:rPr>
          <w:t>ПРОМИШЛЕНОСТ / ИНОВАЦИИ</w:t>
        </w:r>
        <w:r w:rsidR="00E27B69" w:rsidRPr="003571F6">
          <w:rPr>
            <w:webHidden/>
          </w:rPr>
          <w:tab/>
        </w:r>
        <w:r w:rsidR="00E27B69" w:rsidRPr="003571F6">
          <w:rPr>
            <w:webHidden/>
          </w:rPr>
          <w:fldChar w:fldCharType="begin"/>
        </w:r>
        <w:r w:rsidR="00E27B69" w:rsidRPr="003571F6">
          <w:rPr>
            <w:webHidden/>
          </w:rPr>
          <w:instrText xml:space="preserve"> PAGEREF _Toc480380518 \h </w:instrText>
        </w:r>
        <w:r w:rsidR="00E27B69" w:rsidRPr="003571F6">
          <w:rPr>
            <w:webHidden/>
          </w:rPr>
        </w:r>
        <w:r w:rsidR="00E27B69" w:rsidRPr="003571F6">
          <w:rPr>
            <w:webHidden/>
          </w:rPr>
          <w:fldChar w:fldCharType="separate"/>
        </w:r>
        <w:r w:rsidR="00E27B69" w:rsidRPr="003571F6">
          <w:rPr>
            <w:webHidden/>
          </w:rPr>
          <w:t>10</w:t>
        </w:r>
        <w:r w:rsidR="00E27B69" w:rsidRPr="003571F6">
          <w:rPr>
            <w:webHidden/>
          </w:rPr>
          <w:fldChar w:fldCharType="end"/>
        </w:r>
      </w:hyperlink>
    </w:p>
    <w:p w:rsidR="00E27B69" w:rsidRPr="003571F6" w:rsidRDefault="003571F6">
      <w:pPr>
        <w:pStyle w:val="TOC1"/>
        <w:rPr>
          <w:rFonts w:asciiTheme="minorHAnsi" w:eastAsiaTheme="minorEastAsia" w:hAnsiTheme="minorHAnsi" w:cstheme="minorBidi"/>
          <w:lang w:eastAsia="fr-BE" w:bidi="ar-SA"/>
        </w:rPr>
      </w:pPr>
      <w:hyperlink w:anchor="_Toc480380519" w:history="1">
        <w:r w:rsidR="00E27B69" w:rsidRPr="003571F6">
          <w:rPr>
            <w:rStyle w:val="Hyperlink"/>
            <w:b/>
            <w:iCs/>
          </w:rPr>
          <w:t>6.</w:t>
        </w:r>
        <w:r w:rsidR="00E27B69" w:rsidRPr="003571F6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E27B69" w:rsidRPr="003571F6">
          <w:rPr>
            <w:rStyle w:val="Hyperlink"/>
            <w:b/>
          </w:rPr>
          <w:t>ВЪТРЕШЕН ПАЗАР</w:t>
        </w:r>
        <w:r w:rsidR="00E27B69" w:rsidRPr="003571F6">
          <w:rPr>
            <w:webHidden/>
          </w:rPr>
          <w:tab/>
        </w:r>
        <w:r w:rsidR="00E27B69" w:rsidRPr="003571F6">
          <w:rPr>
            <w:webHidden/>
          </w:rPr>
          <w:fldChar w:fldCharType="begin"/>
        </w:r>
        <w:r w:rsidR="00E27B69" w:rsidRPr="003571F6">
          <w:rPr>
            <w:webHidden/>
          </w:rPr>
          <w:instrText xml:space="preserve"> PAGEREF _Toc480380519 \h </w:instrText>
        </w:r>
        <w:r w:rsidR="00E27B69" w:rsidRPr="003571F6">
          <w:rPr>
            <w:webHidden/>
          </w:rPr>
        </w:r>
        <w:r w:rsidR="00E27B69" w:rsidRPr="003571F6">
          <w:rPr>
            <w:webHidden/>
          </w:rPr>
          <w:fldChar w:fldCharType="separate"/>
        </w:r>
        <w:r w:rsidR="00E27B69" w:rsidRPr="003571F6">
          <w:rPr>
            <w:webHidden/>
          </w:rPr>
          <w:t>12</w:t>
        </w:r>
        <w:r w:rsidR="00E27B69" w:rsidRPr="003571F6">
          <w:rPr>
            <w:webHidden/>
          </w:rPr>
          <w:fldChar w:fldCharType="end"/>
        </w:r>
      </w:hyperlink>
    </w:p>
    <w:p w:rsidR="00E27B69" w:rsidRPr="003571F6" w:rsidRDefault="003571F6">
      <w:pPr>
        <w:pStyle w:val="TOC1"/>
        <w:rPr>
          <w:rFonts w:asciiTheme="minorHAnsi" w:eastAsiaTheme="minorEastAsia" w:hAnsiTheme="minorHAnsi" w:cstheme="minorBidi"/>
          <w:lang w:eastAsia="fr-BE" w:bidi="ar-SA"/>
        </w:rPr>
      </w:pPr>
      <w:hyperlink w:anchor="_Toc480380520" w:history="1">
        <w:r w:rsidR="00E27B69" w:rsidRPr="003571F6">
          <w:rPr>
            <w:rStyle w:val="Hyperlink"/>
            <w:b/>
            <w:iCs/>
          </w:rPr>
          <w:t>7.</w:t>
        </w:r>
        <w:r w:rsidR="00E27B69" w:rsidRPr="003571F6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E27B69" w:rsidRPr="003571F6">
          <w:rPr>
            <w:rStyle w:val="Hyperlink"/>
            <w:b/>
          </w:rPr>
          <w:t>ВЪНШНИ ОТНОШЕНИЯ</w:t>
        </w:r>
        <w:r w:rsidR="00E27B69" w:rsidRPr="003571F6">
          <w:rPr>
            <w:webHidden/>
          </w:rPr>
          <w:tab/>
        </w:r>
        <w:r w:rsidR="00E27B69" w:rsidRPr="003571F6">
          <w:rPr>
            <w:webHidden/>
          </w:rPr>
          <w:fldChar w:fldCharType="begin"/>
        </w:r>
        <w:r w:rsidR="00E27B69" w:rsidRPr="003571F6">
          <w:rPr>
            <w:webHidden/>
          </w:rPr>
          <w:instrText xml:space="preserve"> PAGEREF _Toc480380520 \h </w:instrText>
        </w:r>
        <w:r w:rsidR="00E27B69" w:rsidRPr="003571F6">
          <w:rPr>
            <w:webHidden/>
          </w:rPr>
        </w:r>
        <w:r w:rsidR="00E27B69" w:rsidRPr="003571F6">
          <w:rPr>
            <w:webHidden/>
          </w:rPr>
          <w:fldChar w:fldCharType="separate"/>
        </w:r>
        <w:r w:rsidR="00E27B69" w:rsidRPr="003571F6">
          <w:rPr>
            <w:webHidden/>
          </w:rPr>
          <w:t>13</w:t>
        </w:r>
        <w:r w:rsidR="00E27B69" w:rsidRPr="003571F6">
          <w:rPr>
            <w:webHidden/>
          </w:rPr>
          <w:fldChar w:fldCharType="end"/>
        </w:r>
      </w:hyperlink>
    </w:p>
    <w:p w:rsidR="00E27B69" w:rsidRPr="003571F6" w:rsidRDefault="003571F6">
      <w:pPr>
        <w:pStyle w:val="TOC1"/>
        <w:rPr>
          <w:rFonts w:asciiTheme="minorHAnsi" w:eastAsiaTheme="minorEastAsia" w:hAnsiTheme="minorHAnsi" w:cstheme="minorBidi"/>
          <w:lang w:eastAsia="fr-BE" w:bidi="ar-SA"/>
        </w:rPr>
      </w:pPr>
      <w:hyperlink w:anchor="_Toc480380521" w:history="1">
        <w:r w:rsidR="00E27B69" w:rsidRPr="003571F6">
          <w:rPr>
            <w:rStyle w:val="Hyperlink"/>
            <w:b/>
            <w:iCs/>
          </w:rPr>
          <w:t>8.</w:t>
        </w:r>
        <w:r w:rsidR="00E27B69" w:rsidRPr="003571F6">
          <w:rPr>
            <w:rFonts w:asciiTheme="minorHAnsi" w:eastAsiaTheme="minorEastAsia" w:hAnsiTheme="minorHAnsi" w:cstheme="minorBidi"/>
            <w:lang w:eastAsia="fr-BE" w:bidi="ar-SA"/>
          </w:rPr>
          <w:tab/>
        </w:r>
        <w:r w:rsidR="00E27B69" w:rsidRPr="003571F6">
          <w:rPr>
            <w:rStyle w:val="Hyperlink"/>
            <w:b/>
          </w:rPr>
          <w:t>ТРАНСПОРТ</w:t>
        </w:r>
        <w:r w:rsidR="00E27B69" w:rsidRPr="003571F6">
          <w:rPr>
            <w:webHidden/>
          </w:rPr>
          <w:tab/>
        </w:r>
        <w:r w:rsidR="00E27B69" w:rsidRPr="003571F6">
          <w:rPr>
            <w:webHidden/>
          </w:rPr>
          <w:fldChar w:fldCharType="begin"/>
        </w:r>
        <w:r w:rsidR="00E27B69" w:rsidRPr="003571F6">
          <w:rPr>
            <w:webHidden/>
          </w:rPr>
          <w:instrText xml:space="preserve"> PAGEREF _Toc480380521 \h </w:instrText>
        </w:r>
        <w:r w:rsidR="00E27B69" w:rsidRPr="003571F6">
          <w:rPr>
            <w:webHidden/>
          </w:rPr>
        </w:r>
        <w:r w:rsidR="00E27B69" w:rsidRPr="003571F6">
          <w:rPr>
            <w:webHidden/>
          </w:rPr>
          <w:fldChar w:fldCharType="separate"/>
        </w:r>
        <w:r w:rsidR="00E27B69" w:rsidRPr="003571F6">
          <w:rPr>
            <w:webHidden/>
          </w:rPr>
          <w:t>15</w:t>
        </w:r>
        <w:r w:rsidR="00E27B69" w:rsidRPr="003571F6">
          <w:rPr>
            <w:webHidden/>
          </w:rPr>
          <w:fldChar w:fldCharType="end"/>
        </w:r>
      </w:hyperlink>
    </w:p>
    <w:p w:rsidR="00D67A5D" w:rsidRPr="003571F6" w:rsidRDefault="00FC45F0">
      <w:pPr>
        <w:pStyle w:val="TOC1"/>
        <w:rPr>
          <w:rFonts w:asciiTheme="minorHAnsi" w:eastAsiaTheme="minorEastAsia" w:hAnsiTheme="minorHAnsi" w:cstheme="minorBidi"/>
        </w:rPr>
      </w:pPr>
      <w:r w:rsidRPr="003571F6">
        <w:rPr>
          <w:b/>
        </w:rPr>
        <w:fldChar w:fldCharType="end"/>
      </w:r>
    </w:p>
    <w:p w:rsidR="008405A0" w:rsidRPr="003571F6" w:rsidRDefault="008405A0" w:rsidP="00377A77">
      <w:r w:rsidRPr="003571F6">
        <w:br w:type="page"/>
      </w:r>
    </w:p>
    <w:p w:rsidR="00421682" w:rsidRPr="003571F6" w:rsidRDefault="00421682" w:rsidP="00A3275A">
      <w:pPr>
        <w:spacing w:line="276" w:lineRule="auto"/>
      </w:pPr>
      <w:bookmarkStart w:id="1" w:name="_Toc477938708"/>
      <w:r w:rsidRPr="003571F6">
        <w:lastRenderedPageBreak/>
        <w:t xml:space="preserve">На пленарната сесия на 29 и 30 март 2017 г. присъстваха </w:t>
      </w:r>
      <w:r w:rsidRPr="003571F6">
        <w:rPr>
          <w:b/>
        </w:rPr>
        <w:t>Cecilia Malmström</w:t>
      </w:r>
      <w:r w:rsidRPr="003571F6">
        <w:t xml:space="preserve">, европейски комисар, отговарящ за търговията, и </w:t>
      </w:r>
      <w:r w:rsidRPr="003571F6">
        <w:rPr>
          <w:b/>
        </w:rPr>
        <w:t>Corina Crețu</w:t>
      </w:r>
      <w:r w:rsidRPr="003571F6">
        <w:t>, комисар по въпросите на регионалната политика.</w:t>
      </w:r>
    </w:p>
    <w:p w:rsidR="00421682" w:rsidRPr="003571F6" w:rsidRDefault="00421682" w:rsidP="00A3275A">
      <w:pPr>
        <w:spacing w:line="276" w:lineRule="auto"/>
      </w:pPr>
    </w:p>
    <w:p w:rsidR="00421682" w:rsidRPr="003571F6" w:rsidRDefault="00421682" w:rsidP="00A3275A">
      <w:pPr>
        <w:spacing w:line="276" w:lineRule="auto"/>
      </w:pPr>
      <w:r w:rsidRPr="003571F6">
        <w:t>По време на пленарната сесия бяха приети следните становища:</w:t>
      </w:r>
    </w:p>
    <w:p w:rsidR="00421682" w:rsidRPr="003571F6" w:rsidRDefault="00421682" w:rsidP="00A3275A">
      <w:pPr>
        <w:spacing w:line="276" w:lineRule="auto"/>
      </w:pPr>
    </w:p>
    <w:p w:rsidR="003075E1" w:rsidRPr="003571F6" w:rsidRDefault="004C07BF" w:rsidP="00A3275A">
      <w:pPr>
        <w:pStyle w:val="Heading1"/>
        <w:spacing w:line="276" w:lineRule="auto"/>
        <w:ind w:left="0" w:firstLine="0"/>
        <w:rPr>
          <w:b/>
        </w:rPr>
      </w:pPr>
      <w:r w:rsidRPr="003571F6">
        <w:tab/>
      </w:r>
      <w:bookmarkStart w:id="2" w:name="_Toc480380514"/>
      <w:r w:rsidRPr="003571F6">
        <w:rPr>
          <w:b/>
        </w:rPr>
        <w:t>СОЦИАЛНИ ВЪПРОСИ</w:t>
      </w:r>
      <w:bookmarkEnd w:id="2"/>
      <w:r w:rsidRPr="003571F6">
        <w:tab/>
      </w:r>
      <w:bookmarkEnd w:id="1"/>
    </w:p>
    <w:p w:rsidR="008F6AB1" w:rsidRPr="003571F6" w:rsidRDefault="008F6AB1" w:rsidP="00A3275A">
      <w:pPr>
        <w:rPr>
          <w:highlight w:val="yellow"/>
        </w:rPr>
      </w:pPr>
    </w:p>
    <w:p w:rsidR="00632738" w:rsidRPr="003571F6" w:rsidRDefault="00632738" w:rsidP="00A327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  <w:i/>
          <w:iCs/>
          <w:sz w:val="28"/>
          <w:szCs w:val="28"/>
        </w:rPr>
      </w:pPr>
      <w:r w:rsidRPr="003571F6">
        <w:rPr>
          <w:b/>
          <w:i/>
          <w:sz w:val="28"/>
        </w:rPr>
        <w:t>Регламентите относно Eurofound, Cedefop и EU-OSHA</w:t>
      </w:r>
    </w:p>
    <w:p w:rsidR="00632738" w:rsidRPr="003571F6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67" w:firstLine="17"/>
        <w:textAlignment w:val="baseline"/>
        <w:rPr>
          <w:szCs w:val="20"/>
          <w:highlight w:val="yellow"/>
        </w:rPr>
      </w:pPr>
    </w:p>
    <w:p w:rsidR="00632738" w:rsidRPr="003571F6" w:rsidRDefault="00632738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3571F6">
        <w:rPr>
          <w:b/>
        </w:rPr>
        <w:t>Докладчик:</w:t>
      </w:r>
      <w:r w:rsidRPr="003571F6">
        <w:t xml:space="preserve"> </w:t>
      </w:r>
      <w:r w:rsidRPr="003571F6">
        <w:tab/>
        <w:t>Christa Schweng (група „Работодатели“ – AT)</w:t>
      </w:r>
    </w:p>
    <w:p w:rsidR="00632738" w:rsidRPr="003571F6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b/>
          <w:bCs/>
          <w:szCs w:val="20"/>
        </w:rPr>
      </w:pPr>
      <w:r w:rsidRPr="003571F6">
        <w:rPr>
          <w:b/>
        </w:rPr>
        <w:t>Съдокладчик:</w:t>
      </w:r>
      <w:r w:rsidRPr="003571F6">
        <w:tab/>
        <w:t>Giulia Barbucci (група „Работници“ – IT)</w:t>
      </w:r>
    </w:p>
    <w:p w:rsidR="00632738" w:rsidRPr="003571F6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szCs w:val="20"/>
        </w:rPr>
      </w:pPr>
    </w:p>
    <w:p w:rsidR="00632738" w:rsidRPr="003571F6" w:rsidRDefault="007E6D4A" w:rsidP="00A3275A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szCs w:val="20"/>
        </w:rPr>
      </w:pPr>
      <w:r w:rsidRPr="003571F6">
        <w:rPr>
          <w:b/>
        </w:rPr>
        <w:t>Референтен документ:</w:t>
      </w:r>
      <w:r w:rsidRPr="003571F6">
        <w:tab/>
        <w:t>EESC-2016-05685-00-00-AS-TRA</w:t>
      </w:r>
    </w:p>
    <w:p w:rsidR="00632738" w:rsidRPr="003571F6" w:rsidRDefault="00632738" w:rsidP="00A3275A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364" w:hanging="369"/>
        <w:textAlignment w:val="baseline"/>
        <w:rPr>
          <w:szCs w:val="20"/>
        </w:rPr>
      </w:pPr>
    </w:p>
    <w:p w:rsidR="00632738" w:rsidRPr="003571F6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b/>
          <w:szCs w:val="20"/>
        </w:rPr>
      </w:pPr>
      <w:r w:rsidRPr="003571F6">
        <w:rPr>
          <w:b/>
        </w:rPr>
        <w:t>Основни аспекти:</w:t>
      </w:r>
    </w:p>
    <w:p w:rsidR="00632738" w:rsidRPr="003571F6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b/>
          <w:szCs w:val="20"/>
        </w:rPr>
      </w:pPr>
    </w:p>
    <w:p w:rsidR="00C66947" w:rsidRPr="003571F6" w:rsidRDefault="00C66947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</w:pPr>
      <w:r w:rsidRPr="003571F6">
        <w:t>В контекста на преразглеждането на учредителните регламенти за трите агенции – Cedefop, Eurofound и EU-OSHA, ЕИСК изразява вижданията си относно общите ръководни принципи за тези органи и представя конкретни бележки за всяка агенция.</w:t>
      </w:r>
    </w:p>
    <w:p w:rsidR="0089563A" w:rsidRPr="003571F6" w:rsidRDefault="0089563A" w:rsidP="0089563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0"/>
        </w:rPr>
      </w:pPr>
    </w:p>
    <w:p w:rsidR="00632738" w:rsidRPr="003571F6" w:rsidRDefault="00632738" w:rsidP="00A3275A">
      <w:pPr>
        <w:numPr>
          <w:ilvl w:val="0"/>
          <w:numId w:val="27"/>
        </w:numPr>
        <w:tabs>
          <w:tab w:val="clear" w:pos="850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outlineLvl w:val="1"/>
        <w:rPr>
          <w:szCs w:val="20"/>
        </w:rPr>
      </w:pPr>
      <w:r w:rsidRPr="003571F6">
        <w:t>Комитетът горещо приветства факта, че балансираната тристранна структура на управителния съвет ще бъде запазена. Комитетът счита, че трипартизмът е израз на приобщаващ подход, който зачита важната роля на социалните партньори в търсенето на съвместни решения.</w:t>
      </w:r>
    </w:p>
    <w:p w:rsidR="004C07BF" w:rsidRPr="003571F6" w:rsidRDefault="004C07BF" w:rsidP="004C07B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0"/>
        </w:rPr>
      </w:pPr>
    </w:p>
    <w:p w:rsidR="00632738" w:rsidRPr="003571F6" w:rsidRDefault="00632738" w:rsidP="00A3275A">
      <w:pPr>
        <w:numPr>
          <w:ilvl w:val="0"/>
          <w:numId w:val="27"/>
        </w:numPr>
        <w:tabs>
          <w:tab w:val="clear" w:pos="850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outlineLvl w:val="1"/>
        <w:rPr>
          <w:szCs w:val="20"/>
        </w:rPr>
      </w:pPr>
      <w:r w:rsidRPr="003571F6">
        <w:t>Според ЕИСК общите цели на трите агенции следва да бъдат определени по еднакъв и по-систематичен начин – „да подпомагат нуждите на всички институции и органи на ЕС, държавите членки и социалните партньори“.</w:t>
      </w:r>
    </w:p>
    <w:p w:rsidR="004C07BF" w:rsidRPr="003571F6" w:rsidRDefault="004C07BF" w:rsidP="004C07BF">
      <w:pPr>
        <w:overflowPunct w:val="0"/>
        <w:autoSpaceDE w:val="0"/>
        <w:autoSpaceDN w:val="0"/>
        <w:adjustRightInd w:val="0"/>
        <w:spacing w:line="276" w:lineRule="auto"/>
        <w:ind w:left="-567" w:firstLine="567"/>
        <w:textAlignment w:val="baseline"/>
        <w:rPr>
          <w:b/>
          <w:szCs w:val="20"/>
        </w:rPr>
      </w:pPr>
    </w:p>
    <w:p w:rsidR="00632738" w:rsidRPr="003571F6" w:rsidRDefault="00632738" w:rsidP="00A3275A">
      <w:pPr>
        <w:numPr>
          <w:ilvl w:val="0"/>
          <w:numId w:val="27"/>
        </w:numPr>
        <w:tabs>
          <w:tab w:val="clear" w:pos="850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outlineLvl w:val="1"/>
        <w:rPr>
          <w:szCs w:val="20"/>
        </w:rPr>
      </w:pPr>
      <w:r w:rsidRPr="003571F6">
        <w:t>ЕИСК препоръчва правомощията във връзка с назначаването на персонала и промяната на вътрешните структури на съответната агенция да останат от компетентността на директора на всяка агенция.</w:t>
      </w:r>
    </w:p>
    <w:p w:rsidR="004C07BF" w:rsidRPr="003571F6" w:rsidRDefault="004C07BF" w:rsidP="004C07B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0"/>
        </w:rPr>
      </w:pPr>
    </w:p>
    <w:p w:rsidR="00632738" w:rsidRPr="003571F6" w:rsidRDefault="00632738" w:rsidP="00A3275A">
      <w:pPr>
        <w:numPr>
          <w:ilvl w:val="0"/>
          <w:numId w:val="27"/>
        </w:numPr>
        <w:tabs>
          <w:tab w:val="clear" w:pos="850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outlineLvl w:val="1"/>
        <w:rPr>
          <w:szCs w:val="20"/>
        </w:rPr>
      </w:pPr>
      <w:r w:rsidRPr="003571F6">
        <w:t>Той е против намаляването на броя на членовете на изпълнителния съвет, тъй като това ще постави в неизгодно положение групата заинтересовани лица, чийто представител понастоящем заема длъжността председател, тъй като тя няма да има друг говорител в изпълнителния съвет.</w:t>
      </w:r>
    </w:p>
    <w:p w:rsidR="004C07BF" w:rsidRPr="003571F6" w:rsidRDefault="004C07BF" w:rsidP="004C07BF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Cs w:val="20"/>
        </w:rPr>
      </w:pPr>
    </w:p>
    <w:p w:rsidR="00632738" w:rsidRPr="003571F6" w:rsidRDefault="00632738" w:rsidP="00A3275A">
      <w:pPr>
        <w:numPr>
          <w:ilvl w:val="0"/>
          <w:numId w:val="27"/>
        </w:numPr>
        <w:tabs>
          <w:tab w:val="clear" w:pos="850"/>
        </w:tabs>
        <w:overflowPunct w:val="0"/>
        <w:autoSpaceDE w:val="0"/>
        <w:autoSpaceDN w:val="0"/>
        <w:adjustRightInd w:val="0"/>
        <w:spacing w:line="276" w:lineRule="auto"/>
        <w:ind w:left="567" w:hanging="567"/>
        <w:textAlignment w:val="baseline"/>
        <w:outlineLvl w:val="1"/>
        <w:rPr>
          <w:szCs w:val="20"/>
        </w:rPr>
      </w:pPr>
      <w:r w:rsidRPr="003571F6">
        <w:t>ЕИСК приветства стандартизирания подход за назначаване на изпълнителния директор, който е по подобие на този на EU-OSHA.</w:t>
      </w:r>
    </w:p>
    <w:p w:rsidR="004C07BF" w:rsidRPr="003571F6" w:rsidRDefault="004C07BF" w:rsidP="00BE1126">
      <w:pPr>
        <w:overflowPunct w:val="0"/>
        <w:autoSpaceDE w:val="0"/>
        <w:autoSpaceDN w:val="0"/>
        <w:adjustRightInd w:val="0"/>
        <w:spacing w:line="276" w:lineRule="auto"/>
        <w:textAlignment w:val="baseline"/>
        <w:outlineLvl w:val="1"/>
        <w:rPr>
          <w:szCs w:val="20"/>
        </w:rPr>
      </w:pPr>
    </w:p>
    <w:p w:rsidR="00632738" w:rsidRPr="003571F6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b/>
          <w:szCs w:val="20"/>
        </w:rPr>
      </w:pPr>
      <w:r w:rsidRPr="003571F6">
        <w:t>ЕИСК е убеден, че длъжността заместник-директор се е доказала като полезна и трябва да бъде запазена там, където съществува. Предвид факта, че различните съществуващи практики работят добре, Комитетът изисква да има определена гъвкавост за трите агенции.</w:t>
      </w:r>
    </w:p>
    <w:p w:rsidR="00632738" w:rsidRPr="003571F6" w:rsidRDefault="00632738" w:rsidP="00A3275A">
      <w:pPr>
        <w:overflowPunct w:val="0"/>
        <w:autoSpaceDE w:val="0"/>
        <w:autoSpaceDN w:val="0"/>
        <w:adjustRightInd w:val="0"/>
        <w:spacing w:line="276" w:lineRule="auto"/>
        <w:ind w:left="-5"/>
        <w:textAlignment w:val="baseline"/>
        <w:rPr>
          <w:b/>
          <w:sz w:val="10"/>
          <w:szCs w:val="10"/>
        </w:rPr>
      </w:pPr>
    </w:p>
    <w:p w:rsidR="00632738" w:rsidRPr="003571F6" w:rsidRDefault="00632738" w:rsidP="00A3275A">
      <w:pPr>
        <w:tabs>
          <w:tab w:val="left" w:pos="77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</w:rPr>
      </w:pPr>
      <w:r w:rsidRPr="003571F6">
        <w:rPr>
          <w:b/>
          <w:i/>
        </w:rPr>
        <w:t>За контакт:</w:t>
      </w:r>
      <w:r w:rsidRPr="003571F6">
        <w:rPr>
          <w:i/>
        </w:rPr>
        <w:t>Ana Dumitrache</w:t>
      </w:r>
    </w:p>
    <w:p w:rsidR="00C1115F" w:rsidRPr="003571F6" w:rsidRDefault="00632738" w:rsidP="00A3275A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/>
        <w:rPr>
          <w:iCs/>
        </w:rPr>
      </w:pPr>
      <w:r w:rsidRPr="003571F6">
        <w:rPr>
          <w:i/>
        </w:rPr>
        <w:t>(Тел.: 00 0032 2 546 97 8131 – електронен адрес</w:t>
      </w:r>
      <w:r w:rsidRPr="003571F6">
        <w:t xml:space="preserve">: </w:t>
      </w:r>
      <w:hyperlink r:id="rId17">
        <w:r w:rsidRPr="003571F6">
          <w:rPr>
            <w:i/>
            <w:color w:val="0000FF"/>
            <w:u w:val="single"/>
          </w:rPr>
          <w:t>ana.dumitrache@eesc.europa.eu</w:t>
        </w:r>
      </w:hyperlink>
      <w:r w:rsidRPr="003571F6">
        <w:rPr>
          <w:i/>
        </w:rPr>
        <w:t>)</w:t>
      </w:r>
    </w:p>
    <w:p w:rsidR="00C1115F" w:rsidRPr="003571F6" w:rsidRDefault="00C1115F" w:rsidP="004C07BF">
      <w:pPr>
        <w:spacing w:line="240" w:lineRule="auto"/>
        <w:rPr>
          <w:iCs/>
        </w:rPr>
      </w:pPr>
    </w:p>
    <w:p w:rsidR="00E6566F" w:rsidRPr="003571F6" w:rsidRDefault="00E6566F" w:rsidP="00A3275A">
      <w:pPr>
        <w:pStyle w:val="Heading1"/>
        <w:spacing w:line="276" w:lineRule="auto"/>
        <w:rPr>
          <w:b/>
        </w:rPr>
      </w:pPr>
      <w:bookmarkStart w:id="3" w:name="_Toc477938709"/>
      <w:bookmarkStart w:id="4" w:name="_Toc480380515"/>
      <w:r w:rsidRPr="003571F6">
        <w:rPr>
          <w:b/>
        </w:rPr>
        <w:t>ПОТРЕБИТЕЛИ / СОЦИАЛНИ ВЪПРОСИ</w:t>
      </w:r>
      <w:bookmarkEnd w:id="3"/>
      <w:bookmarkEnd w:id="4"/>
    </w:p>
    <w:p w:rsidR="004C07BF" w:rsidRPr="003571F6" w:rsidRDefault="004C07BF" w:rsidP="00BE1126">
      <w:pPr>
        <w:spacing w:line="276" w:lineRule="auto"/>
        <w:rPr>
          <w:i/>
          <w:iCs/>
        </w:rPr>
      </w:pPr>
    </w:p>
    <w:p w:rsidR="00632738" w:rsidRPr="003571F6" w:rsidRDefault="00632738" w:rsidP="00A3275A">
      <w:pPr>
        <w:numPr>
          <w:ilvl w:val="0"/>
          <w:numId w:val="2"/>
        </w:numPr>
        <w:spacing w:line="276" w:lineRule="auto"/>
        <w:contextualSpacing/>
        <w:rPr>
          <w:b/>
          <w:bCs/>
          <w:i/>
          <w:iCs/>
          <w:sz w:val="28"/>
          <w:szCs w:val="28"/>
        </w:rPr>
      </w:pPr>
      <w:r w:rsidRPr="003571F6">
        <w:rPr>
          <w:b/>
          <w:i/>
          <w:sz w:val="28"/>
        </w:rPr>
        <w:t>Спиртни напитки</w:t>
      </w:r>
    </w:p>
    <w:p w:rsidR="00632738" w:rsidRPr="003571F6" w:rsidRDefault="00632738" w:rsidP="00A3275A">
      <w:pPr>
        <w:spacing w:line="276" w:lineRule="auto"/>
        <w:rPr>
          <w:b/>
          <w:bCs/>
          <w:i/>
          <w:iCs/>
        </w:rPr>
      </w:pPr>
    </w:p>
    <w:p w:rsidR="00632738" w:rsidRPr="003571F6" w:rsidRDefault="00632738" w:rsidP="00A3275A">
      <w:pPr>
        <w:spacing w:line="276" w:lineRule="auto"/>
      </w:pPr>
      <w:r w:rsidRPr="003571F6">
        <w:rPr>
          <w:b/>
        </w:rPr>
        <w:t>Докладчик:</w:t>
      </w:r>
      <w:r w:rsidRPr="003571F6">
        <w:tab/>
        <w:t>Peter Schmidt (група „Работници“ –DE)</w:t>
      </w:r>
    </w:p>
    <w:p w:rsidR="00632738" w:rsidRPr="003571F6" w:rsidRDefault="00632738" w:rsidP="00A3275A">
      <w:pPr>
        <w:spacing w:line="276" w:lineRule="auto"/>
      </w:pPr>
    </w:p>
    <w:p w:rsidR="00632738" w:rsidRPr="003571F6" w:rsidRDefault="007E6D4A" w:rsidP="00A3275A">
      <w:pPr>
        <w:tabs>
          <w:tab w:val="left" w:pos="1701"/>
        </w:tabs>
        <w:spacing w:line="276" w:lineRule="auto"/>
        <w:ind w:left="-5"/>
        <w:rPr>
          <w:bCs/>
        </w:rPr>
      </w:pPr>
      <w:r w:rsidRPr="003571F6">
        <w:rPr>
          <w:b/>
        </w:rPr>
        <w:t>Референтни документи:</w:t>
      </w:r>
      <w:r w:rsidRPr="003571F6">
        <w:tab/>
        <w:t>COM(2016) 750 final – 2016-392-COD</w:t>
      </w:r>
    </w:p>
    <w:p w:rsidR="00632738" w:rsidRPr="003571F6" w:rsidRDefault="00632738" w:rsidP="00BE1126">
      <w:pPr>
        <w:spacing w:line="276" w:lineRule="auto"/>
        <w:ind w:left="2835"/>
      </w:pPr>
      <w:r w:rsidRPr="003571F6">
        <w:t>EESC-2017-00058-00-00-AS-TRA</w:t>
      </w:r>
    </w:p>
    <w:p w:rsidR="00632738" w:rsidRPr="003571F6" w:rsidRDefault="00632738" w:rsidP="00A3275A">
      <w:pPr>
        <w:spacing w:line="276" w:lineRule="auto"/>
        <w:ind w:left="-5"/>
      </w:pPr>
    </w:p>
    <w:p w:rsidR="00632738" w:rsidRPr="003571F6" w:rsidRDefault="00632738" w:rsidP="00A3275A">
      <w:pPr>
        <w:spacing w:line="276" w:lineRule="auto"/>
        <w:rPr>
          <w:b/>
          <w:iCs/>
          <w:highlight w:val="yellow"/>
          <w:u w:val="single"/>
        </w:rPr>
      </w:pPr>
      <w:r w:rsidRPr="003571F6">
        <w:rPr>
          <w:b/>
        </w:rPr>
        <w:t>Основни аспекти:</w:t>
      </w:r>
    </w:p>
    <w:p w:rsidR="004C07BF" w:rsidRPr="003571F6" w:rsidRDefault="004C07BF" w:rsidP="00BE1126">
      <w:pPr>
        <w:spacing w:line="276" w:lineRule="auto"/>
        <w:rPr>
          <w:b/>
          <w:iCs/>
          <w:highlight w:val="yellow"/>
        </w:rPr>
      </w:pPr>
    </w:p>
    <w:p w:rsidR="00632738" w:rsidRPr="003571F6" w:rsidRDefault="00632738" w:rsidP="00A3275A">
      <w:pPr>
        <w:spacing w:line="276" w:lineRule="auto"/>
        <w:outlineLvl w:val="1"/>
      </w:pPr>
      <w:r w:rsidRPr="003571F6">
        <w:t>ЕИСК приветства инициативата на Комисията за привеждане на действащата правна рамка за спиртните напитки в съответствие с Договора за функционирането на Европейския съюз (ДФЕС) и за съгласуване на законодателството с новите правни инструменти на ЕС, по</w:t>
      </w:r>
      <w:r w:rsidR="00BE1126" w:rsidRPr="003571F6">
        <w:rPr>
          <w:spacing w:val="-20"/>
        </w:rPr>
        <w:noBreakHyphen/>
      </w:r>
      <w:r w:rsidRPr="003571F6">
        <w:t>специално що се отнася до предоставянето на информация за храните на потребителите и схемите за качество на селскостопанските продукти и храни. По-специално ЕИСК подкрепя въвеждането на по-здрава връзка със селскостопанския сектор. Тази връзка е особено важна за качеството и репутацията на произведените в ЕС спиртни напитки.</w:t>
      </w:r>
    </w:p>
    <w:p w:rsidR="00632738" w:rsidRPr="003571F6" w:rsidRDefault="00632738" w:rsidP="00A3275A">
      <w:pPr>
        <w:spacing w:line="276" w:lineRule="auto"/>
        <w:outlineLvl w:val="1"/>
      </w:pPr>
    </w:p>
    <w:p w:rsidR="00632738" w:rsidRPr="003571F6" w:rsidRDefault="00632738" w:rsidP="00A3275A">
      <w:pPr>
        <w:spacing w:line="276" w:lineRule="auto"/>
        <w:outlineLvl w:val="1"/>
      </w:pPr>
      <w:r w:rsidRPr="003571F6">
        <w:t>ЕИСК признава сложността на процеса на преразглеждане и приветства поясненията и подобренията в такива области като правилата във връзка с посочването в етикета на съставните термини, загатванията и смесите на спиртни напитки, както и незадължителното посочване в етикета на произхода на суровините. По отношение на географските указания ЕИСК приветства поясняването на правилата и процедурите за тях, както и значението, което се отдава на традициите и на местното/териториалното производство.</w:t>
      </w:r>
    </w:p>
    <w:p w:rsidR="00632738" w:rsidRPr="003571F6" w:rsidRDefault="00632738" w:rsidP="00A3275A">
      <w:pPr>
        <w:spacing w:line="276" w:lineRule="auto"/>
        <w:outlineLvl w:val="1"/>
      </w:pPr>
    </w:p>
    <w:p w:rsidR="00632738" w:rsidRPr="003571F6" w:rsidRDefault="00632738" w:rsidP="00A3275A">
      <w:pPr>
        <w:spacing w:line="276" w:lineRule="auto"/>
        <w:outlineLvl w:val="1"/>
      </w:pPr>
      <w:r w:rsidRPr="003571F6">
        <w:t>ЕИСК подчертава значението на запазването на настоящото равнище на защита на сектора на спиртните напитки, за да се гарантира оставането на добавената стойност и заетостта в Европа. Важно е мястото, където продуктът се дестилира и произвежда, и въведената промяна в терминологията не бива да предполага никакви значителни промени за сектора. По отношение на представянето и етикетирането Комитетът предлага няколко подобрения в настоящото предложение, по-специално във връзка с това колко е важно да бъде избегнато всяко погрешно представяне или недоразумение по отношение на „имитация“ и „с аромат на“, което би могло да заблуди потребителите.</w:t>
      </w:r>
    </w:p>
    <w:p w:rsidR="00632738" w:rsidRPr="003571F6" w:rsidRDefault="00632738" w:rsidP="00A3275A">
      <w:pPr>
        <w:spacing w:line="276" w:lineRule="auto"/>
        <w:outlineLvl w:val="1"/>
      </w:pPr>
    </w:p>
    <w:p w:rsidR="00632738" w:rsidRPr="003571F6" w:rsidRDefault="00632738" w:rsidP="00A3275A">
      <w:pPr>
        <w:spacing w:line="276" w:lineRule="auto"/>
        <w:outlineLvl w:val="1"/>
      </w:pPr>
      <w:r w:rsidRPr="003571F6">
        <w:t>Въпреки че това не попада в рамките на конкретното приложно поле на предложението на Комисията, ЕИСК отново заявява своите предишни препоръки за необходимостта от последователен и всеобхватен подход на политиката, който да се основава на избягване на вредната консумация на алкохол, както и на насърчаване на отговорно консумиране, при което се избягват рисковете за здравето и консумацията на алкохол от малолетни и непълнолетни лица, не само за сектора на спиртните напитки, но и в по-общ план. В това отношение от ключово значение са информацията, образованието и повишаването на осведомеността и във връзка с това ЕИСК приветства многобройните инициативи на публичния и частния сектор.</w:t>
      </w:r>
    </w:p>
    <w:p w:rsidR="00632738" w:rsidRPr="003571F6" w:rsidRDefault="00632738" w:rsidP="00A3275A">
      <w:pPr>
        <w:rPr>
          <w:highlight w:val="yellow"/>
        </w:rPr>
      </w:pPr>
    </w:p>
    <w:p w:rsidR="00632738" w:rsidRPr="003571F6" w:rsidRDefault="00632738" w:rsidP="00A3275A">
      <w:pPr>
        <w:spacing w:line="276" w:lineRule="auto"/>
        <w:rPr>
          <w:i/>
          <w:iCs/>
        </w:rPr>
      </w:pPr>
      <w:r w:rsidRPr="003571F6">
        <w:rPr>
          <w:b/>
          <w:i/>
        </w:rPr>
        <w:t>За контакт:</w:t>
      </w:r>
      <w:r w:rsidRPr="003571F6">
        <w:rPr>
          <w:i/>
        </w:rPr>
        <w:t>Monica Guarinoni</w:t>
      </w:r>
    </w:p>
    <w:p w:rsidR="00610CDE" w:rsidRPr="003571F6" w:rsidRDefault="00632738" w:rsidP="00A3275A">
      <w:pPr>
        <w:spacing w:line="276" w:lineRule="auto"/>
        <w:ind w:left="1134"/>
        <w:rPr>
          <w:i/>
          <w:iCs/>
        </w:rPr>
      </w:pPr>
      <w:r w:rsidRPr="003571F6">
        <w:rPr>
          <w:i/>
        </w:rPr>
        <w:t xml:space="preserve">(Тел.: 00 32 2 546 27 – електронен адрес: </w:t>
      </w:r>
      <w:hyperlink r:id="rId18">
        <w:r w:rsidRPr="003571F6">
          <w:rPr>
            <w:i/>
            <w:color w:val="0000FF"/>
            <w:u w:val="single"/>
          </w:rPr>
          <w:t>Monica.Guarinoni@eesc.europa.eu</w:t>
        </w:r>
      </w:hyperlink>
      <w:r w:rsidRPr="003571F6">
        <w:rPr>
          <w:i/>
        </w:rPr>
        <w:t>)</w:t>
      </w:r>
    </w:p>
    <w:p w:rsidR="004C07BF" w:rsidRPr="003571F6" w:rsidRDefault="004C07BF" w:rsidP="00A3275A"/>
    <w:p w:rsidR="003A4AB8" w:rsidRPr="003571F6" w:rsidRDefault="003A4AB8" w:rsidP="00A3275A"/>
    <w:p w:rsidR="003A4AB8" w:rsidRPr="003571F6" w:rsidRDefault="003A4AB8" w:rsidP="00A3275A">
      <w:pPr>
        <w:pStyle w:val="Heading1"/>
        <w:keepNext/>
        <w:rPr>
          <w:b/>
        </w:rPr>
      </w:pPr>
      <w:bookmarkStart w:id="5" w:name="_Toc480380516"/>
      <w:r w:rsidRPr="003571F6">
        <w:rPr>
          <w:b/>
        </w:rPr>
        <w:t>РАСТЕЖ И ИНОВАЦИИ</w:t>
      </w:r>
      <w:bookmarkEnd w:id="5"/>
    </w:p>
    <w:p w:rsidR="00BC5473" w:rsidRPr="003571F6" w:rsidRDefault="00BC5473" w:rsidP="00A3275A">
      <w:pPr>
        <w:keepNext/>
        <w:spacing w:line="276" w:lineRule="auto"/>
        <w:rPr>
          <w:rFonts w:eastAsia="Calibri"/>
          <w:b/>
          <w:iCs/>
          <w:highlight w:val="yellow"/>
          <w:u w:val="single"/>
        </w:rPr>
      </w:pPr>
    </w:p>
    <w:p w:rsidR="006D7E2A" w:rsidRPr="003571F6" w:rsidRDefault="006D7E2A" w:rsidP="00A3275A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rFonts w:eastAsia="Calibri"/>
          <w:b/>
          <w:i/>
          <w:sz w:val="28"/>
          <w:szCs w:val="28"/>
        </w:rPr>
      </w:pPr>
      <w:r w:rsidRPr="003571F6">
        <w:rPr>
          <w:b/>
          <w:i/>
          <w:sz w:val="28"/>
        </w:rPr>
        <w:t>Приобщаващи острови</w:t>
      </w:r>
    </w:p>
    <w:p w:rsidR="006D7E2A" w:rsidRPr="003571F6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</w:p>
    <w:p w:rsidR="006D7E2A" w:rsidRPr="003571F6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</w:rPr>
      </w:pPr>
      <w:r w:rsidRPr="003571F6">
        <w:rPr>
          <w:b/>
        </w:rPr>
        <w:t>Докладчик:</w:t>
      </w:r>
      <w:r w:rsidRPr="003571F6">
        <w:tab/>
        <w:t>Stefano Mallia (група „Работодатели“ – MT)</w:t>
      </w:r>
    </w:p>
    <w:p w:rsidR="006D7E2A" w:rsidRPr="003571F6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</w:p>
    <w:p w:rsidR="00BC7DE7" w:rsidRPr="003571F6" w:rsidRDefault="006D7E2A" w:rsidP="00A3275A">
      <w:pPr>
        <w:keepNext/>
        <w:tabs>
          <w:tab w:val="center" w:pos="284"/>
          <w:tab w:val="left" w:pos="1701"/>
        </w:tabs>
        <w:spacing w:line="276" w:lineRule="auto"/>
        <w:ind w:left="266" w:hanging="266"/>
        <w:rPr>
          <w:rFonts w:eastAsia="Calibri"/>
        </w:rPr>
      </w:pPr>
      <w:r w:rsidRPr="003571F6">
        <w:rPr>
          <w:b/>
        </w:rPr>
        <w:t>Референтен документ:</w:t>
      </w:r>
      <w:r w:rsidRPr="003571F6">
        <w:tab/>
        <w:t>Проучвателно становище по искане на малтийското председателство</w:t>
      </w:r>
    </w:p>
    <w:p w:rsidR="006D7E2A" w:rsidRPr="003571F6" w:rsidRDefault="006D7E2A" w:rsidP="00BE1126">
      <w:pPr>
        <w:keepNext/>
        <w:spacing w:line="276" w:lineRule="auto"/>
        <w:ind w:left="2268"/>
        <w:rPr>
          <w:rFonts w:eastAsia="Calibri"/>
        </w:rPr>
      </w:pPr>
      <w:r w:rsidRPr="003571F6">
        <w:t>EESC-2016-05508-00-00-AC-TRA</w:t>
      </w:r>
    </w:p>
    <w:p w:rsidR="006D7E2A" w:rsidRPr="003571F6" w:rsidRDefault="006D7E2A" w:rsidP="00A3275A">
      <w:pPr>
        <w:keepNext/>
        <w:keepLines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</w:p>
    <w:p w:rsidR="006D7E2A" w:rsidRPr="003571F6" w:rsidRDefault="006D7E2A" w:rsidP="00A3275A">
      <w:pPr>
        <w:keepNext/>
        <w:spacing w:line="276" w:lineRule="auto"/>
        <w:ind w:left="-5"/>
        <w:rPr>
          <w:rFonts w:eastAsia="Calibri"/>
          <w:b/>
        </w:rPr>
      </w:pPr>
      <w:r w:rsidRPr="003571F6">
        <w:rPr>
          <w:b/>
        </w:rPr>
        <w:t>Основни аспекти:</w:t>
      </w:r>
    </w:p>
    <w:p w:rsidR="00E84F95" w:rsidRPr="003571F6" w:rsidRDefault="00E84F95" w:rsidP="00A3275A">
      <w:pPr>
        <w:keepNext/>
        <w:tabs>
          <w:tab w:val="left" w:pos="770"/>
        </w:tabs>
        <w:spacing w:line="276" w:lineRule="auto"/>
        <w:ind w:left="1430" w:hanging="1430"/>
        <w:rPr>
          <w:rFonts w:eastAsia="Calibri"/>
          <w:bCs/>
          <w:iCs/>
        </w:rPr>
      </w:pPr>
    </w:p>
    <w:p w:rsidR="006D7E2A" w:rsidRPr="003571F6" w:rsidRDefault="006D7E2A" w:rsidP="00A3275A">
      <w:pPr>
        <w:spacing w:line="276" w:lineRule="auto"/>
        <w:rPr>
          <w:rFonts w:eastAsia="Calibri"/>
        </w:rPr>
      </w:pPr>
      <w:r w:rsidRPr="003571F6">
        <w:t>Според ЕИСК:</w:t>
      </w:r>
    </w:p>
    <w:p w:rsidR="006D7E2A" w:rsidRPr="003571F6" w:rsidRDefault="006D7E2A" w:rsidP="00A3275A">
      <w:pPr>
        <w:spacing w:line="276" w:lineRule="auto"/>
        <w:rPr>
          <w:rFonts w:eastAsia="Calibri"/>
        </w:rPr>
      </w:pPr>
    </w:p>
    <w:p w:rsidR="006D7E2A" w:rsidRPr="003571F6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3571F6">
        <w:t>e необходимо ЕС да положи повече усилия за признаване на уникалния характер на предизвикателствата, пред които са изправени островите;</w:t>
      </w:r>
    </w:p>
    <w:p w:rsidR="006D7E2A" w:rsidRPr="003571F6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3571F6">
        <w:t>ключови области на политиката като единния пазар, политиката на конкуренция, транспортната политика, политиката за развитие на селските райони и политика в областта на рибарството, както и инициативи и програми на ЕС в подкрепа на политиките в сферата на образованието, обучението, младежта и спорта трябва да се прилагат с по-голяма гъвкавост, когато става въпрос за островните икономики;</w:t>
      </w:r>
    </w:p>
    <w:p w:rsidR="006D7E2A" w:rsidRPr="003571F6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3571F6">
        <w:t>използваните от Евростат критерии за определяне на островен регион следва да бъдат преразгледани;</w:t>
      </w:r>
    </w:p>
    <w:p w:rsidR="006D7E2A" w:rsidRPr="003571F6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3571F6">
        <w:t>е необходимо да се обърне специално внимание на хората с увреждания и като цяло на всички хора в неравностойно положение;</w:t>
      </w:r>
    </w:p>
    <w:p w:rsidR="006D7E2A" w:rsidRPr="003571F6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3571F6">
        <w:t>следва да се даде приоритет на осигуряването на достъп до публични услуги, насърчаването на устойчив растеж и поощряването на пълна заетост, конкурентоспособност и сближаване на европейските острови;</w:t>
      </w:r>
    </w:p>
    <w:p w:rsidR="006D7E2A" w:rsidRPr="003571F6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3571F6">
        <w:t>островите и островните региони често предлагат уникални възможности за решения за чиста енергия. ЕИСК подкрепя всички усилия на Европейската комисия в тази посока и по</w:t>
      </w:r>
      <w:r w:rsidR="0013272B" w:rsidRPr="003571F6">
        <w:rPr>
          <w:spacing w:val="-20"/>
        </w:rPr>
        <w:noBreakHyphen/>
      </w:r>
      <w:r w:rsidRPr="003571F6">
        <w:t>конкретно прехода на островите към решения, осигуряващи 100% чиста енергия;</w:t>
      </w:r>
    </w:p>
    <w:p w:rsidR="00B85972" w:rsidRPr="003571F6" w:rsidRDefault="00B85972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3571F6">
        <w:t>необходимо е да се извърши задълбочено проучване на допълнителните разходи на европейските острови;</w:t>
      </w:r>
    </w:p>
    <w:p w:rsidR="006D7E2A" w:rsidRPr="003571F6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3571F6">
        <w:t>всички островни региони или островни държави членки следва да се разглеждат като отговарящи на условията за свързано с инфраструктурата финансиране в рамките на политиката на сближаване за периода след 2020 г.;</w:t>
      </w:r>
    </w:p>
    <w:p w:rsidR="006D7E2A" w:rsidRPr="003571F6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3571F6">
        <w:t>Комисията следва да определи по-подходяща законодателна рамка, уреждаща прилагането на правилата за държавна помощ по отношение на островите и островните региони;</w:t>
      </w:r>
    </w:p>
    <w:p w:rsidR="006D7E2A" w:rsidRPr="003571F6" w:rsidRDefault="006D7E2A" w:rsidP="00A3275A">
      <w:pPr>
        <w:numPr>
          <w:ilvl w:val="0"/>
          <w:numId w:val="29"/>
        </w:numPr>
        <w:spacing w:line="276" w:lineRule="auto"/>
        <w:ind w:left="360"/>
        <w:contextualSpacing/>
      </w:pPr>
      <w:r w:rsidRPr="003571F6">
        <w:t>Комисията следва да засили координацията посредством междуведомствената група за териториално и градско развитие;</w:t>
      </w:r>
    </w:p>
    <w:p w:rsidR="006D7E2A" w:rsidRPr="003571F6" w:rsidRDefault="006D7E2A" w:rsidP="00A3275A">
      <w:pPr>
        <w:spacing w:line="276" w:lineRule="auto"/>
        <w:rPr>
          <w:rFonts w:eastAsia="Calibri"/>
          <w:b/>
          <w:i/>
        </w:rPr>
      </w:pPr>
    </w:p>
    <w:p w:rsidR="006D7E2A" w:rsidRPr="003571F6" w:rsidRDefault="006D7E2A" w:rsidP="00A3275A">
      <w:pPr>
        <w:tabs>
          <w:tab w:val="left" w:pos="770"/>
        </w:tabs>
        <w:spacing w:line="276" w:lineRule="auto"/>
        <w:rPr>
          <w:rFonts w:eastAsia="Calibri"/>
          <w:i/>
          <w:iCs/>
        </w:rPr>
      </w:pPr>
      <w:r w:rsidRPr="003571F6">
        <w:rPr>
          <w:b/>
          <w:i/>
        </w:rPr>
        <w:t>За контакт</w:t>
      </w:r>
      <w:r w:rsidRPr="003571F6">
        <w:t>:</w:t>
      </w:r>
      <w:r w:rsidRPr="003571F6">
        <w:tab/>
      </w:r>
      <w:r w:rsidRPr="003571F6">
        <w:rPr>
          <w:i/>
        </w:rPr>
        <w:t>Helena Polomik</w:t>
      </w:r>
    </w:p>
    <w:p w:rsidR="00C1115F" w:rsidRPr="003571F6" w:rsidRDefault="006D7E2A" w:rsidP="00A3275A">
      <w:pPr>
        <w:spacing w:line="276" w:lineRule="auto"/>
        <w:ind w:left="1134"/>
        <w:rPr>
          <w:rFonts w:eastAsia="Calibri"/>
          <w:iCs/>
        </w:rPr>
      </w:pPr>
      <w:r w:rsidRPr="003571F6">
        <w:rPr>
          <w:i/>
        </w:rPr>
        <w:t xml:space="preserve">(Тел.: 00 32 2 546 90 63 – електронен адрес: </w:t>
      </w:r>
      <w:hyperlink r:id="rId19">
        <w:r w:rsidRPr="003571F6">
          <w:rPr>
            <w:rStyle w:val="Hyperlink"/>
            <w:i/>
          </w:rPr>
          <w:t>Helena.Polomik@eesc.europa.eu</w:t>
        </w:r>
      </w:hyperlink>
      <w:r w:rsidRPr="003571F6">
        <w:rPr>
          <w:i/>
        </w:rPr>
        <w:t>)</w:t>
      </w:r>
    </w:p>
    <w:p w:rsidR="00C1115F" w:rsidRPr="003571F6" w:rsidRDefault="00C1115F" w:rsidP="004C07BF">
      <w:pPr>
        <w:spacing w:line="240" w:lineRule="auto"/>
        <w:rPr>
          <w:rFonts w:eastAsia="Calibri"/>
          <w:iCs/>
        </w:rPr>
      </w:pPr>
    </w:p>
    <w:p w:rsidR="00E6566F" w:rsidRPr="003571F6" w:rsidRDefault="00E6566F" w:rsidP="00A3275A">
      <w:pPr>
        <w:pStyle w:val="Heading1"/>
        <w:keepNext/>
        <w:spacing w:line="276" w:lineRule="auto"/>
        <w:rPr>
          <w:b/>
        </w:rPr>
      </w:pPr>
      <w:bookmarkStart w:id="6" w:name="_Toc477938711"/>
      <w:bookmarkStart w:id="7" w:name="_Toc480380517"/>
      <w:r w:rsidRPr="003571F6">
        <w:rPr>
          <w:b/>
        </w:rPr>
        <w:t>ИКОНОМИЧЕСКО УПРАВЛЕНИЕ / ФИНАНСОВИ ИНСТРУМЕНТИ / ДАНЪЧНО ОБЛАГАНЕ</w:t>
      </w:r>
      <w:bookmarkEnd w:id="6"/>
      <w:bookmarkEnd w:id="7"/>
    </w:p>
    <w:p w:rsidR="00BC5473" w:rsidRPr="003571F6" w:rsidRDefault="00BC5473" w:rsidP="00A3275A">
      <w:pPr>
        <w:keepNext/>
        <w:spacing w:line="276" w:lineRule="auto"/>
      </w:pPr>
    </w:p>
    <w:p w:rsidR="006D7E2A" w:rsidRPr="003571F6" w:rsidRDefault="006D7E2A" w:rsidP="00A3275A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rFonts w:eastAsia="Calibri"/>
          <w:b/>
          <w:i/>
          <w:sz w:val="28"/>
          <w:szCs w:val="28"/>
        </w:rPr>
      </w:pPr>
      <w:r w:rsidRPr="003571F6">
        <w:rPr>
          <w:b/>
          <w:i/>
          <w:sz w:val="28"/>
        </w:rPr>
        <w:t>Възстановяване и преструктуриране на централните контрагенти</w:t>
      </w:r>
    </w:p>
    <w:p w:rsidR="006D7E2A" w:rsidRPr="003571F6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</w:p>
    <w:p w:rsidR="006D7E2A" w:rsidRPr="003571F6" w:rsidRDefault="006D7E2A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  <w:r w:rsidRPr="003571F6">
        <w:rPr>
          <w:b/>
        </w:rPr>
        <w:t>Докладчик:</w:t>
      </w:r>
      <w:r w:rsidRPr="003571F6">
        <w:tab/>
        <w:t>Antonio García del Riego (група „Работодатели“ – ES)</w:t>
      </w:r>
    </w:p>
    <w:p w:rsidR="006D7E2A" w:rsidRPr="003571F6" w:rsidRDefault="006D7E2A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</w:p>
    <w:p w:rsidR="00D81307" w:rsidRPr="003571F6" w:rsidRDefault="006D7E2A" w:rsidP="00A3275A">
      <w:pPr>
        <w:tabs>
          <w:tab w:val="center" w:pos="284"/>
          <w:tab w:val="left" w:pos="1701"/>
        </w:tabs>
        <w:spacing w:line="276" w:lineRule="auto"/>
        <w:ind w:left="266" w:hanging="266"/>
        <w:rPr>
          <w:rFonts w:eastAsia="Calibri"/>
        </w:rPr>
      </w:pPr>
      <w:r w:rsidRPr="003571F6">
        <w:rPr>
          <w:b/>
        </w:rPr>
        <w:t>Референтни документи:</w:t>
      </w:r>
      <w:r w:rsidRPr="003571F6">
        <w:tab/>
        <w:t>COM(2016) 856 final - 2016/0365 (COD)</w:t>
      </w:r>
    </w:p>
    <w:p w:rsidR="006D7E2A" w:rsidRPr="003571F6" w:rsidRDefault="006D7E2A" w:rsidP="00BE1126">
      <w:pPr>
        <w:spacing w:line="276" w:lineRule="auto"/>
        <w:ind w:left="2835"/>
        <w:rPr>
          <w:rFonts w:eastAsia="Calibri"/>
        </w:rPr>
      </w:pPr>
      <w:r w:rsidRPr="003571F6">
        <w:t>EESC-2016-06466-00-00-AC-TRA</w:t>
      </w:r>
    </w:p>
    <w:p w:rsidR="006D7E2A" w:rsidRPr="003571F6" w:rsidRDefault="006D7E2A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</w:p>
    <w:p w:rsidR="006D7E2A" w:rsidRPr="003571F6" w:rsidRDefault="006D7E2A" w:rsidP="00A3275A">
      <w:pPr>
        <w:keepNext/>
        <w:keepLines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  <w:r w:rsidRPr="003571F6">
        <w:rPr>
          <w:b/>
        </w:rPr>
        <w:t>Основни аспекти:</w:t>
      </w:r>
    </w:p>
    <w:p w:rsidR="00B75A7B" w:rsidRPr="003571F6" w:rsidRDefault="00B75A7B" w:rsidP="00A3275A">
      <w:pPr>
        <w:rPr>
          <w:rFonts w:eastAsia="Calibri"/>
        </w:rPr>
      </w:pPr>
    </w:p>
    <w:p w:rsidR="006D7E2A" w:rsidRPr="003571F6" w:rsidRDefault="006D7E2A">
      <w:pPr>
        <w:spacing w:line="276" w:lineRule="auto"/>
        <w:rPr>
          <w:rFonts w:eastAsia="Calibri"/>
        </w:rPr>
      </w:pPr>
      <w:r w:rsidRPr="003571F6">
        <w:t>ЕИСК</w:t>
      </w:r>
    </w:p>
    <w:p w:rsidR="006D7E2A" w:rsidRPr="003571F6" w:rsidRDefault="006D7E2A" w:rsidP="00A3275A">
      <w:pPr>
        <w:rPr>
          <w:rFonts w:eastAsia="Calibri"/>
        </w:rPr>
      </w:pPr>
    </w:p>
    <w:p w:rsidR="006D7E2A" w:rsidRPr="003571F6" w:rsidRDefault="006D7E2A" w:rsidP="00A3275A">
      <w:pPr>
        <w:numPr>
          <w:ilvl w:val="0"/>
          <w:numId w:val="28"/>
        </w:numPr>
        <w:spacing w:line="276" w:lineRule="auto"/>
        <w:ind w:left="360"/>
        <w:rPr>
          <w:rFonts w:eastAsia="Calibri"/>
        </w:rPr>
      </w:pPr>
      <w:r w:rsidRPr="003571F6">
        <w:t>приветства предложената Рамка за възстановяване и преструктуриране на централни контрагенти (ЦК) и подчертава, че е от първостепенно значение съществуващото решение на Г-20 за глобално управление на ЦК, както и специфичните препоръки на Съвета за финансова стабилност да се превърнат в хармонизирано обвързващо законодателство, което да гарантира стабилни и равни условия в световен план;</w:t>
      </w:r>
    </w:p>
    <w:p w:rsidR="0089563A" w:rsidRPr="003571F6" w:rsidRDefault="0089563A">
      <w:pPr>
        <w:spacing w:line="276" w:lineRule="auto"/>
        <w:ind w:left="720"/>
        <w:rPr>
          <w:rFonts w:eastAsia="Calibri"/>
        </w:rPr>
      </w:pPr>
    </w:p>
    <w:p w:rsidR="006D7E2A" w:rsidRPr="003571F6" w:rsidRDefault="006D7E2A" w:rsidP="00A3275A">
      <w:pPr>
        <w:numPr>
          <w:ilvl w:val="0"/>
          <w:numId w:val="28"/>
        </w:numPr>
        <w:spacing w:line="276" w:lineRule="auto"/>
        <w:ind w:left="360"/>
        <w:rPr>
          <w:rFonts w:eastAsia="Calibri"/>
        </w:rPr>
      </w:pPr>
      <w:r w:rsidRPr="003571F6">
        <w:t>би приветствал известна гъвкавост, за да се адаптира предложеният регламент към бъдещото развитие на международния консенсус относно регулирането на ЦК, т.е. препоръките на Съвета за финансова стабилност (FSB);</w:t>
      </w:r>
    </w:p>
    <w:p w:rsidR="00E84F95" w:rsidRPr="003571F6" w:rsidRDefault="00E84F95">
      <w:pPr>
        <w:spacing w:line="276" w:lineRule="auto"/>
        <w:ind w:left="720"/>
        <w:rPr>
          <w:rFonts w:eastAsia="Calibri"/>
        </w:rPr>
      </w:pPr>
    </w:p>
    <w:p w:rsidR="006D7E2A" w:rsidRPr="003571F6" w:rsidRDefault="006D7E2A" w:rsidP="00A3275A">
      <w:pPr>
        <w:numPr>
          <w:ilvl w:val="0"/>
          <w:numId w:val="28"/>
        </w:numPr>
        <w:spacing w:line="276" w:lineRule="auto"/>
        <w:ind w:left="360"/>
        <w:rPr>
          <w:rFonts w:eastAsia="Calibri"/>
        </w:rPr>
      </w:pPr>
      <w:r w:rsidRPr="003571F6">
        <w:t>счита, че наличието на единен орган за надзор на ЦК и на единен орган за преструктуриране ще гарантира, че новият регламент ще се прилага по най-ефективен и стандартизиран начин;</w:t>
      </w:r>
    </w:p>
    <w:p w:rsidR="0089563A" w:rsidRPr="003571F6" w:rsidRDefault="0089563A">
      <w:pPr>
        <w:spacing w:line="276" w:lineRule="auto"/>
        <w:ind w:left="720"/>
        <w:rPr>
          <w:rFonts w:eastAsia="Calibri"/>
        </w:rPr>
      </w:pPr>
    </w:p>
    <w:p w:rsidR="006D7E2A" w:rsidRPr="003571F6" w:rsidRDefault="006D7E2A" w:rsidP="00A3275A">
      <w:pPr>
        <w:numPr>
          <w:ilvl w:val="0"/>
          <w:numId w:val="28"/>
        </w:numPr>
        <w:spacing w:line="276" w:lineRule="auto"/>
        <w:ind w:left="360"/>
        <w:rPr>
          <w:rFonts w:eastAsia="Calibri"/>
        </w:rPr>
      </w:pPr>
      <w:r w:rsidRPr="003571F6">
        <w:t>настоятелно препоръчва да се разгледа възможността за използване или разширяване на компетентността на ЕЦБ, за да се превърне тя в централен европейски надзорен орган за ЦК в рамките на единен надзорен механизъм (ЕНМ) и в централен орган за преструктуриране в рамките на ЕЦБ/Евросистема;</w:t>
      </w:r>
    </w:p>
    <w:p w:rsidR="0089563A" w:rsidRPr="003571F6" w:rsidRDefault="0089563A">
      <w:pPr>
        <w:spacing w:line="276" w:lineRule="auto"/>
        <w:ind w:left="720"/>
        <w:rPr>
          <w:rFonts w:eastAsia="Calibri"/>
        </w:rPr>
      </w:pPr>
    </w:p>
    <w:p w:rsidR="006D7E2A" w:rsidRPr="003571F6" w:rsidRDefault="006D7E2A" w:rsidP="00A3275A">
      <w:pPr>
        <w:numPr>
          <w:ilvl w:val="0"/>
          <w:numId w:val="28"/>
        </w:numPr>
        <w:spacing w:line="276" w:lineRule="auto"/>
        <w:ind w:left="360"/>
        <w:rPr>
          <w:rFonts w:eastAsia="Calibri"/>
        </w:rPr>
      </w:pPr>
      <w:r w:rsidRPr="003571F6">
        <w:t>счита, че трябва да се изключат искания за спасяване на ЦК със средства на данъкоплатците, особено на ЦК от трети държави. Включената в настоящия текст възможност за извънредна публична подкрепа при определени условия може да доведе до ситуация на морален риск;</w:t>
      </w:r>
    </w:p>
    <w:p w:rsidR="0089563A" w:rsidRPr="003571F6" w:rsidRDefault="0089563A">
      <w:pPr>
        <w:spacing w:line="276" w:lineRule="auto"/>
        <w:ind w:left="720"/>
        <w:rPr>
          <w:rFonts w:eastAsia="Calibri"/>
        </w:rPr>
      </w:pPr>
    </w:p>
    <w:p w:rsidR="006D7E2A" w:rsidRPr="003571F6" w:rsidRDefault="006D7E2A" w:rsidP="00A3275A">
      <w:pPr>
        <w:numPr>
          <w:ilvl w:val="0"/>
          <w:numId w:val="28"/>
        </w:numPr>
        <w:spacing w:line="276" w:lineRule="auto"/>
        <w:ind w:left="360"/>
      </w:pPr>
      <w:r w:rsidRPr="003571F6">
        <w:t>счита, че следва да се обърне специално внимание на начина, по който може да бъдат засегнати нефинансовите контрагенти (НК) и отделените активи на клиентите на участници в непряк клиринг.</w:t>
      </w:r>
    </w:p>
    <w:p w:rsidR="006D7E2A" w:rsidRPr="003571F6" w:rsidRDefault="006D7E2A" w:rsidP="00A3275A">
      <w:pPr>
        <w:spacing w:line="276" w:lineRule="auto"/>
        <w:rPr>
          <w:rFonts w:eastAsia="Calibri"/>
        </w:rPr>
      </w:pPr>
    </w:p>
    <w:p w:rsidR="006D7E2A" w:rsidRPr="003571F6" w:rsidRDefault="006D7E2A" w:rsidP="00A3275A">
      <w:pPr>
        <w:spacing w:line="276" w:lineRule="auto"/>
        <w:rPr>
          <w:rFonts w:eastAsia="Calibri"/>
          <w:i/>
        </w:rPr>
      </w:pPr>
      <w:r w:rsidRPr="003571F6">
        <w:rPr>
          <w:b/>
          <w:i/>
        </w:rPr>
        <w:t>За контакт:</w:t>
      </w:r>
      <w:r w:rsidRPr="003571F6">
        <w:tab/>
      </w:r>
      <w:r w:rsidRPr="003571F6">
        <w:rPr>
          <w:i/>
        </w:rPr>
        <w:t>Gerald Klec</w:t>
      </w:r>
    </w:p>
    <w:p w:rsidR="006D7E2A" w:rsidRPr="003571F6" w:rsidRDefault="006D7E2A" w:rsidP="00A3275A">
      <w:pPr>
        <w:spacing w:line="276" w:lineRule="auto"/>
        <w:ind w:left="1134"/>
        <w:rPr>
          <w:rFonts w:eastAsia="Calibri"/>
          <w:i/>
        </w:rPr>
      </w:pPr>
      <w:r w:rsidRPr="003571F6">
        <w:rPr>
          <w:i/>
        </w:rPr>
        <w:t xml:space="preserve">(Тел: 00 32 2 546 9909 – електронен адрес: </w:t>
      </w:r>
      <w:hyperlink r:id="rId20">
        <w:r w:rsidRPr="003571F6">
          <w:rPr>
            <w:rStyle w:val="Hyperlink"/>
            <w:i/>
          </w:rPr>
          <w:t>gerald.klec@eesc.europa.eu</w:t>
        </w:r>
      </w:hyperlink>
      <w:r w:rsidRPr="003571F6">
        <w:rPr>
          <w:i/>
        </w:rPr>
        <w:t>)</w:t>
      </w:r>
    </w:p>
    <w:p w:rsidR="006D7E2A" w:rsidRPr="003571F6" w:rsidRDefault="006D7E2A" w:rsidP="00A3275A">
      <w:pPr>
        <w:spacing w:line="276" w:lineRule="auto"/>
        <w:rPr>
          <w:rFonts w:eastAsia="Calibri"/>
          <w:b/>
          <w:iCs/>
          <w:highlight w:val="yellow"/>
          <w:u w:val="single"/>
        </w:rPr>
      </w:pPr>
    </w:p>
    <w:p w:rsidR="006D7E2A" w:rsidRPr="003571F6" w:rsidRDefault="006D7E2A" w:rsidP="00A3275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3571F6">
        <w:rPr>
          <w:b/>
          <w:i/>
          <w:sz w:val="28"/>
        </w:rPr>
        <w:t>Регулаторна рамка на ЕС за финансови услуги</w:t>
      </w:r>
    </w:p>
    <w:p w:rsidR="006D7E2A" w:rsidRPr="003571F6" w:rsidRDefault="006D7E2A" w:rsidP="00A3275A">
      <w:pPr>
        <w:spacing w:line="276" w:lineRule="auto"/>
        <w:ind w:firstLine="17"/>
        <w:rPr>
          <w:rFonts w:eastAsia="Calibri"/>
        </w:rPr>
      </w:pPr>
    </w:p>
    <w:p w:rsidR="006D7E2A" w:rsidRPr="003571F6" w:rsidRDefault="006D7E2A" w:rsidP="00A3275A">
      <w:pPr>
        <w:spacing w:line="276" w:lineRule="auto"/>
        <w:rPr>
          <w:rFonts w:eastAsia="Calibri"/>
        </w:rPr>
      </w:pPr>
      <w:r w:rsidRPr="003571F6">
        <w:rPr>
          <w:b/>
        </w:rPr>
        <w:t>Rapporteur:</w:t>
      </w:r>
      <w:r w:rsidRPr="003571F6">
        <w:tab/>
        <w:t>Милена Ангелова (група „Работодатели“ – BG)</w:t>
      </w:r>
    </w:p>
    <w:p w:rsidR="006D7E2A" w:rsidRPr="003571F6" w:rsidRDefault="006D7E2A" w:rsidP="00A3275A">
      <w:pPr>
        <w:spacing w:line="276" w:lineRule="auto"/>
        <w:rPr>
          <w:rFonts w:eastAsia="Calibri"/>
        </w:rPr>
      </w:pPr>
    </w:p>
    <w:p w:rsidR="004C07BF" w:rsidRPr="003571F6" w:rsidRDefault="006D7E2A" w:rsidP="00A3275A">
      <w:pPr>
        <w:tabs>
          <w:tab w:val="left" w:pos="1701"/>
        </w:tabs>
        <w:spacing w:line="276" w:lineRule="auto"/>
        <w:ind w:left="-5"/>
        <w:rPr>
          <w:rFonts w:eastAsia="Calibri"/>
        </w:rPr>
      </w:pPr>
      <w:r w:rsidRPr="003571F6">
        <w:rPr>
          <w:b/>
        </w:rPr>
        <w:t>Референтни документи:</w:t>
      </w:r>
      <w:r w:rsidRPr="003571F6">
        <w:tab/>
        <w:t>COM(2016) 855 final</w:t>
      </w:r>
    </w:p>
    <w:p w:rsidR="006D7E2A" w:rsidRPr="003571F6" w:rsidRDefault="006D7E2A" w:rsidP="00BE1126">
      <w:pPr>
        <w:spacing w:line="276" w:lineRule="auto"/>
        <w:ind w:left="2835"/>
        <w:rPr>
          <w:rFonts w:eastAsia="Calibri"/>
          <w:b/>
        </w:rPr>
      </w:pPr>
      <w:r w:rsidRPr="003571F6">
        <w:t>ESC-2016-06465-00-00-AC-TRA</w:t>
      </w:r>
    </w:p>
    <w:p w:rsidR="006D7E2A" w:rsidRPr="003571F6" w:rsidRDefault="006D7E2A" w:rsidP="00A3275A">
      <w:pPr>
        <w:spacing w:line="276" w:lineRule="auto"/>
        <w:ind w:left="-5"/>
        <w:rPr>
          <w:rFonts w:eastAsia="Calibri"/>
          <w:b/>
        </w:rPr>
      </w:pPr>
    </w:p>
    <w:p w:rsidR="006D7E2A" w:rsidRPr="003571F6" w:rsidRDefault="006D7E2A" w:rsidP="00A3275A">
      <w:pPr>
        <w:spacing w:line="276" w:lineRule="auto"/>
        <w:ind w:left="-5"/>
        <w:rPr>
          <w:rFonts w:eastAsia="Calibri"/>
          <w:b/>
        </w:rPr>
      </w:pPr>
      <w:r w:rsidRPr="003571F6">
        <w:rPr>
          <w:b/>
        </w:rPr>
        <w:t>Основни аспекти:</w:t>
      </w:r>
    </w:p>
    <w:p w:rsidR="006D7E2A" w:rsidRPr="003571F6" w:rsidRDefault="006D7E2A" w:rsidP="00A3275A"/>
    <w:p w:rsidR="006D7E2A" w:rsidRPr="003571F6" w:rsidRDefault="006D7E2A" w:rsidP="00A3275A">
      <w:pPr>
        <w:spacing w:line="276" w:lineRule="auto"/>
        <w:rPr>
          <w:rFonts w:eastAsia="Calibri"/>
        </w:rPr>
      </w:pPr>
      <w:r w:rsidRPr="003571F6">
        <w:t>ЕИСК</w:t>
      </w:r>
    </w:p>
    <w:p w:rsidR="006D7E2A" w:rsidRPr="003571F6" w:rsidRDefault="006D7E2A" w:rsidP="00A3275A">
      <w:pPr>
        <w:spacing w:line="276" w:lineRule="auto"/>
        <w:rPr>
          <w:rFonts w:eastAsia="Calibri"/>
        </w:rPr>
      </w:pPr>
    </w:p>
    <w:p w:rsidR="006D7E2A" w:rsidRPr="003571F6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3571F6">
        <w:t>приветства поканата за представяне на мнения като иновативен, информативен и полезен инструмент за оценка на въздействието на законодателни инициативи на равнището на ЕС и се надява, че това ще се превърне в обща практика в бъдеще;</w:t>
      </w:r>
    </w:p>
    <w:p w:rsidR="006D7E2A" w:rsidRPr="003571F6" w:rsidRDefault="006D7E2A" w:rsidP="00A3275A">
      <w:pPr>
        <w:spacing w:line="276" w:lineRule="auto"/>
        <w:ind w:left="720"/>
        <w:rPr>
          <w:rFonts w:eastAsia="Calibri"/>
        </w:rPr>
      </w:pPr>
    </w:p>
    <w:p w:rsidR="006D7E2A" w:rsidRPr="003571F6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3571F6">
        <w:t>споделя мнението, че основните принципи на неотдавнашните финансови реформи не могат да бъдат оспорени и че новите правила са подобрили стабилността и устойчивостта на финансовата система;</w:t>
      </w:r>
    </w:p>
    <w:p w:rsidR="006D7E2A" w:rsidRPr="003571F6" w:rsidRDefault="006D7E2A" w:rsidP="00A3275A">
      <w:pPr>
        <w:spacing w:line="276" w:lineRule="auto"/>
        <w:ind w:left="720"/>
        <w:rPr>
          <w:rFonts w:eastAsia="Calibri"/>
        </w:rPr>
      </w:pPr>
    </w:p>
    <w:p w:rsidR="006D7E2A" w:rsidRPr="003571F6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3571F6">
        <w:t>подчертава значението на регулаторната рамка на ЕС за финансови услуги за ускореното завършване на съюза на капиталовите пазари (СКП);</w:t>
      </w:r>
    </w:p>
    <w:p w:rsidR="006D7E2A" w:rsidRPr="003571F6" w:rsidRDefault="006D7E2A" w:rsidP="00A3275A">
      <w:pPr>
        <w:spacing w:line="276" w:lineRule="auto"/>
        <w:ind w:left="720"/>
        <w:rPr>
          <w:rFonts w:eastAsia="Calibri"/>
        </w:rPr>
      </w:pPr>
    </w:p>
    <w:p w:rsidR="006D7E2A" w:rsidRPr="003571F6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3571F6">
        <w:t>приветства подхода, според който реформата се поставя в контекста на по-обширната цел за постигане на по-добър баланс между целите, свързани с финансовата стабилност, и целите, свързани с растежа;</w:t>
      </w:r>
    </w:p>
    <w:p w:rsidR="006D7E2A" w:rsidRPr="003571F6" w:rsidRDefault="006D7E2A" w:rsidP="00A3275A">
      <w:pPr>
        <w:spacing w:line="276" w:lineRule="auto"/>
        <w:ind w:left="720"/>
        <w:rPr>
          <w:rFonts w:eastAsia="Calibri"/>
        </w:rPr>
      </w:pPr>
    </w:p>
    <w:p w:rsidR="006D7E2A" w:rsidRPr="003571F6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3571F6">
        <w:t>настоятелно призовава държавите членки да не налагат ненужна тежест и ограничения, когато транспонират правилата на ЕС;</w:t>
      </w:r>
    </w:p>
    <w:p w:rsidR="006D7E2A" w:rsidRPr="003571F6" w:rsidRDefault="006D7E2A" w:rsidP="00A3275A">
      <w:pPr>
        <w:spacing w:line="276" w:lineRule="auto"/>
        <w:ind w:left="720"/>
        <w:rPr>
          <w:rFonts w:eastAsia="Calibri"/>
        </w:rPr>
      </w:pPr>
    </w:p>
    <w:p w:rsidR="006D7E2A" w:rsidRPr="003571F6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3571F6">
        <w:t>изразява съгласие, че банките трябва да бъдат обект на специално внимание, тъй като предоставят важни услуги от общ интерес на широката общественост и са основен източник на финансиране за МСП;</w:t>
      </w:r>
    </w:p>
    <w:p w:rsidR="006D7E2A" w:rsidRPr="003571F6" w:rsidRDefault="006D7E2A" w:rsidP="00A3275A">
      <w:pPr>
        <w:spacing w:line="276" w:lineRule="auto"/>
        <w:ind w:left="720"/>
        <w:rPr>
          <w:rFonts w:eastAsia="Calibri"/>
        </w:rPr>
      </w:pPr>
    </w:p>
    <w:p w:rsidR="006D7E2A" w:rsidRPr="003571F6" w:rsidRDefault="006D7E2A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eastAsia="Calibri"/>
        </w:rPr>
      </w:pPr>
      <w:r w:rsidRPr="003571F6">
        <w:t xml:space="preserve">призовава европейските органи, отговорни за вземането на решения, да ускорят структурната реформа на банковия сектор на ЕС, включително като намерят решение на застоя в преговорите със съзаконодателите по законодателното предложение на Комисията за </w:t>
      </w:r>
      <w:r w:rsidRPr="003571F6">
        <w:rPr>
          <w:i/>
        </w:rPr>
        <w:t>регламент относно структурните мерки за повишаване на устойчивостта на кредитните институции в ЕС;</w:t>
      </w:r>
    </w:p>
    <w:p w:rsidR="006D7E2A" w:rsidRPr="003571F6" w:rsidRDefault="006D7E2A" w:rsidP="00A3275A">
      <w:pPr>
        <w:keepLines/>
        <w:spacing w:line="276" w:lineRule="auto"/>
        <w:ind w:left="720"/>
        <w:rPr>
          <w:rFonts w:eastAsia="Calibri"/>
        </w:rPr>
      </w:pPr>
    </w:p>
    <w:p w:rsidR="006D7E2A" w:rsidRPr="003571F6" w:rsidRDefault="004C07BF" w:rsidP="00A3275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left="360"/>
        <w:textAlignment w:val="baseline"/>
      </w:pPr>
      <w:r w:rsidRPr="003571F6">
        <w:t>счита, че законотворчеството невинаги е най-подходящото действие, свързано с дадена област на политиката, и приканва Комисията да избира незаконодателни и основани на пазара решения, когато е възможно.</w:t>
      </w:r>
    </w:p>
    <w:p w:rsidR="006D7E2A" w:rsidRPr="003571F6" w:rsidRDefault="006D7E2A" w:rsidP="00A3275A">
      <w:pPr>
        <w:spacing w:line="276" w:lineRule="auto"/>
        <w:rPr>
          <w:rFonts w:eastAsia="Calibri"/>
        </w:rPr>
      </w:pPr>
    </w:p>
    <w:p w:rsidR="006D7E2A" w:rsidRPr="003571F6" w:rsidRDefault="006D7E2A" w:rsidP="00A3275A">
      <w:pPr>
        <w:spacing w:line="276" w:lineRule="auto"/>
        <w:rPr>
          <w:rFonts w:eastAsia="Calibri"/>
          <w:i/>
        </w:rPr>
      </w:pPr>
      <w:r w:rsidRPr="003571F6">
        <w:rPr>
          <w:b/>
          <w:i/>
        </w:rPr>
        <w:t>За контакт:</w:t>
      </w:r>
      <w:r w:rsidRPr="003571F6">
        <w:tab/>
      </w:r>
      <w:r w:rsidRPr="003571F6">
        <w:rPr>
          <w:i/>
        </w:rPr>
        <w:t>Gerald Klec</w:t>
      </w:r>
    </w:p>
    <w:p w:rsidR="006D7E2A" w:rsidRPr="003571F6" w:rsidRDefault="006D7E2A" w:rsidP="00A3275A">
      <w:pPr>
        <w:spacing w:line="276" w:lineRule="auto"/>
        <w:ind w:left="1134"/>
        <w:rPr>
          <w:rFonts w:eastAsia="Calibri"/>
          <w:i/>
        </w:rPr>
      </w:pPr>
      <w:r w:rsidRPr="003571F6">
        <w:rPr>
          <w:i/>
        </w:rPr>
        <w:t xml:space="preserve">(Тел: 00 32 2 546 9909 – електронен адрес: </w:t>
      </w:r>
      <w:hyperlink r:id="rId21">
        <w:r w:rsidRPr="003571F6">
          <w:rPr>
            <w:i/>
            <w:color w:val="0000FF"/>
            <w:u w:val="single"/>
          </w:rPr>
          <w:t>gerald.klec@eesc.europa.eu</w:t>
        </w:r>
      </w:hyperlink>
      <w:r w:rsidRPr="003571F6">
        <w:rPr>
          <w:i/>
        </w:rPr>
        <w:t>)</w:t>
      </w:r>
    </w:p>
    <w:p w:rsidR="004B41EE" w:rsidRPr="003571F6" w:rsidRDefault="004B41EE" w:rsidP="0088087B">
      <w:pPr>
        <w:spacing w:line="276" w:lineRule="auto"/>
        <w:rPr>
          <w:rFonts w:eastAsia="Calibri"/>
          <w:i/>
          <w:iCs/>
          <w:u w:val="single"/>
        </w:rPr>
      </w:pPr>
    </w:p>
    <w:p w:rsidR="004B41EE" w:rsidRPr="003571F6" w:rsidRDefault="004B41EE" w:rsidP="00BE1126">
      <w:pPr>
        <w:keepNext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568" w:hanging="284"/>
        <w:contextualSpacing/>
        <w:textAlignment w:val="baseline"/>
        <w:rPr>
          <w:b/>
          <w:i/>
          <w:sz w:val="28"/>
          <w:szCs w:val="28"/>
        </w:rPr>
      </w:pPr>
      <w:r w:rsidRPr="003571F6">
        <w:rPr>
          <w:b/>
          <w:i/>
          <w:sz w:val="28"/>
        </w:rPr>
        <w:t>Териториални типологии</w:t>
      </w:r>
    </w:p>
    <w:p w:rsidR="004B41EE" w:rsidRPr="003571F6" w:rsidRDefault="004B41EE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</w:p>
    <w:p w:rsidR="004B41EE" w:rsidRPr="003571F6" w:rsidRDefault="004B41EE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  <w:r w:rsidRPr="003571F6">
        <w:rPr>
          <w:b/>
        </w:rPr>
        <w:t>Категория В</w:t>
      </w:r>
    </w:p>
    <w:p w:rsidR="004B41EE" w:rsidRPr="003571F6" w:rsidRDefault="004B41EE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</w:p>
    <w:p w:rsidR="004C07BF" w:rsidRPr="003571F6" w:rsidRDefault="004B41EE" w:rsidP="00A3275A">
      <w:pPr>
        <w:tabs>
          <w:tab w:val="center" w:pos="284"/>
          <w:tab w:val="left" w:pos="1701"/>
        </w:tabs>
        <w:spacing w:line="276" w:lineRule="auto"/>
        <w:ind w:left="266" w:hanging="266"/>
        <w:rPr>
          <w:rFonts w:eastAsia="Calibri"/>
        </w:rPr>
      </w:pPr>
      <w:r w:rsidRPr="003571F6">
        <w:rPr>
          <w:b/>
        </w:rPr>
        <w:t>Референтни документи:</w:t>
      </w:r>
      <w:r w:rsidRPr="003571F6">
        <w:tab/>
        <w:t>COM(2016) 788 final - 2016/0393 (COD)</w:t>
      </w:r>
    </w:p>
    <w:p w:rsidR="004B41EE" w:rsidRPr="003571F6" w:rsidRDefault="004B41EE" w:rsidP="00BE1126">
      <w:pPr>
        <w:tabs>
          <w:tab w:val="center" w:pos="-2268"/>
        </w:tabs>
        <w:spacing w:line="276" w:lineRule="auto"/>
        <w:ind w:left="2835"/>
        <w:rPr>
          <w:rFonts w:eastAsia="Calibri"/>
        </w:rPr>
      </w:pPr>
      <w:r w:rsidRPr="003571F6">
        <w:t>EESC-2017-01107-00-00-AC-TRA</w:t>
      </w:r>
    </w:p>
    <w:p w:rsidR="004B41EE" w:rsidRPr="003571F6" w:rsidRDefault="004B41EE" w:rsidP="00A3275A">
      <w:pPr>
        <w:tabs>
          <w:tab w:val="center" w:pos="284"/>
        </w:tabs>
        <w:spacing w:line="276" w:lineRule="auto"/>
        <w:ind w:left="266" w:hanging="266"/>
        <w:rPr>
          <w:rFonts w:eastAsia="Calibri"/>
        </w:rPr>
      </w:pPr>
    </w:p>
    <w:p w:rsidR="004B41EE" w:rsidRPr="003571F6" w:rsidRDefault="004B41EE" w:rsidP="00A3275A">
      <w:pPr>
        <w:keepNext/>
        <w:keepLines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  <w:r w:rsidRPr="003571F6">
        <w:rPr>
          <w:b/>
        </w:rPr>
        <w:t>Основни аспекти:</w:t>
      </w:r>
    </w:p>
    <w:p w:rsidR="004B41EE" w:rsidRPr="003571F6" w:rsidRDefault="004B41EE" w:rsidP="00A3275A">
      <w:pPr>
        <w:spacing w:line="276" w:lineRule="auto"/>
        <w:rPr>
          <w:rFonts w:eastAsia="Calibri"/>
        </w:rPr>
      </w:pPr>
    </w:p>
    <w:p w:rsidR="004B41EE" w:rsidRPr="003571F6" w:rsidRDefault="004B41EE" w:rsidP="00A3275A">
      <w:pPr>
        <w:spacing w:line="276" w:lineRule="auto"/>
        <w:rPr>
          <w:rFonts w:eastAsia="Calibri"/>
        </w:rPr>
      </w:pPr>
      <w:r w:rsidRPr="003571F6">
        <w:t>След като прецени, че съдържанието на предложението е напълно задоволително и не изисква никакви бележки от негова страна, Комитетът реши да приеме положително становище по предложения текст.</w:t>
      </w:r>
    </w:p>
    <w:p w:rsidR="004B41EE" w:rsidRPr="003571F6" w:rsidRDefault="004B41EE" w:rsidP="00A3275A">
      <w:pPr>
        <w:tabs>
          <w:tab w:val="left" w:pos="770"/>
        </w:tabs>
        <w:spacing w:line="276" w:lineRule="auto"/>
        <w:ind w:left="1430" w:hanging="1430"/>
        <w:rPr>
          <w:rFonts w:eastAsia="Calibri"/>
          <w:b/>
          <w:i/>
        </w:rPr>
      </w:pPr>
    </w:p>
    <w:p w:rsidR="004B41EE" w:rsidRPr="003571F6" w:rsidRDefault="004B41EE" w:rsidP="00A3275A">
      <w:pPr>
        <w:tabs>
          <w:tab w:val="left" w:pos="770"/>
        </w:tabs>
        <w:spacing w:line="276" w:lineRule="auto"/>
        <w:ind w:left="1430" w:hanging="1430"/>
        <w:rPr>
          <w:rFonts w:eastAsia="Calibri"/>
          <w:i/>
          <w:iCs/>
        </w:rPr>
      </w:pPr>
      <w:r w:rsidRPr="003571F6">
        <w:rPr>
          <w:b/>
          <w:i/>
        </w:rPr>
        <w:t>За контакт</w:t>
      </w:r>
      <w:r w:rsidRPr="003571F6">
        <w:t>:</w:t>
      </w:r>
      <w:r w:rsidRPr="003571F6">
        <w:tab/>
      </w:r>
      <w:r w:rsidRPr="003571F6">
        <w:rPr>
          <w:i/>
        </w:rPr>
        <w:t>Helena Polomik</w:t>
      </w:r>
    </w:p>
    <w:p w:rsidR="007818AB" w:rsidRPr="003571F6" w:rsidRDefault="004B41EE" w:rsidP="00A3275A">
      <w:pPr>
        <w:spacing w:line="276" w:lineRule="auto"/>
        <w:ind w:left="1418"/>
        <w:rPr>
          <w:rFonts w:eastAsia="Calibri"/>
          <w:i/>
          <w:iCs/>
        </w:rPr>
      </w:pPr>
      <w:r w:rsidRPr="003571F6">
        <w:rPr>
          <w:i/>
        </w:rPr>
        <w:t xml:space="preserve">(Тел.: 00 32 2 546 90 63 – електронен адрес: </w:t>
      </w:r>
      <w:hyperlink r:id="rId22">
        <w:r w:rsidRPr="003571F6">
          <w:rPr>
            <w:i/>
            <w:color w:val="0000FF"/>
            <w:u w:val="single"/>
          </w:rPr>
          <w:t>Helena.Polomik@eesc.europa.eu</w:t>
        </w:r>
      </w:hyperlink>
      <w:r w:rsidRPr="003571F6">
        <w:rPr>
          <w:i/>
        </w:rPr>
        <w:t>)</w:t>
      </w:r>
    </w:p>
    <w:p w:rsidR="004B41EE" w:rsidRPr="003571F6" w:rsidRDefault="004B41EE" w:rsidP="00A3275A">
      <w:pPr>
        <w:spacing w:line="276" w:lineRule="auto"/>
        <w:rPr>
          <w:rFonts w:eastAsia="Calibri"/>
          <w:i/>
          <w:iCs/>
        </w:rPr>
      </w:pPr>
    </w:p>
    <w:p w:rsidR="006D7E2A" w:rsidRPr="003571F6" w:rsidRDefault="006D7E2A" w:rsidP="00A3275A">
      <w:pPr>
        <w:keepNext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rFonts w:eastAsia="Calibri"/>
          <w:b/>
          <w:i/>
          <w:sz w:val="28"/>
          <w:szCs w:val="28"/>
        </w:rPr>
      </w:pPr>
      <w:r w:rsidRPr="003571F6">
        <w:rPr>
          <w:b/>
          <w:i/>
          <w:sz w:val="28"/>
        </w:rPr>
        <w:t>Банкова реформа – Изменения на уредбата за капиталовите изисквания и преструктурирането</w:t>
      </w:r>
    </w:p>
    <w:p w:rsidR="006D7E2A" w:rsidRPr="003571F6" w:rsidRDefault="006D7E2A" w:rsidP="00A3275A">
      <w:pPr>
        <w:keepNext/>
        <w:tabs>
          <w:tab w:val="left" w:pos="1520"/>
        </w:tabs>
        <w:spacing w:line="276" w:lineRule="auto"/>
        <w:ind w:left="266" w:hanging="266"/>
        <w:rPr>
          <w:rFonts w:eastAsia="Calibri"/>
          <w:b/>
        </w:rPr>
      </w:pPr>
    </w:p>
    <w:p w:rsidR="006D7E2A" w:rsidRPr="003571F6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</w:rPr>
      </w:pPr>
      <w:r w:rsidRPr="003571F6">
        <w:rPr>
          <w:b/>
        </w:rPr>
        <w:t>Докладчик:</w:t>
      </w:r>
      <w:r w:rsidRPr="003571F6">
        <w:tab/>
        <w:t>Daniel Marеels (група „Работодатели“ – BE)</w:t>
      </w:r>
    </w:p>
    <w:p w:rsidR="006D7E2A" w:rsidRPr="003571F6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</w:p>
    <w:p w:rsidR="006D7E2A" w:rsidRPr="003571F6" w:rsidRDefault="006D7E2A" w:rsidP="00A3275A">
      <w:pPr>
        <w:keepNext/>
        <w:tabs>
          <w:tab w:val="center" w:pos="284"/>
          <w:tab w:val="left" w:pos="1701"/>
        </w:tabs>
        <w:spacing w:line="276" w:lineRule="auto"/>
        <w:ind w:left="266" w:hanging="266"/>
        <w:rPr>
          <w:rFonts w:eastAsia="Calibri"/>
        </w:rPr>
      </w:pPr>
      <w:r w:rsidRPr="003571F6">
        <w:rPr>
          <w:b/>
        </w:rPr>
        <w:t>Референтни документи:</w:t>
      </w:r>
      <w:r w:rsidRPr="003571F6">
        <w:tab/>
        <w:t>COM(2016) 850 final – 2016/0360 (COD)</w:t>
      </w:r>
    </w:p>
    <w:p w:rsidR="006D7E2A" w:rsidRPr="003571F6" w:rsidRDefault="006D7E2A" w:rsidP="0013272B">
      <w:pPr>
        <w:keepNext/>
        <w:tabs>
          <w:tab w:val="center" w:pos="284"/>
        </w:tabs>
        <w:spacing w:line="276" w:lineRule="auto"/>
        <w:ind w:left="2835"/>
        <w:rPr>
          <w:rFonts w:eastAsia="Calibri"/>
        </w:rPr>
      </w:pPr>
      <w:r w:rsidRPr="003571F6">
        <w:t>COM(2016) 851 final – 2016/0361 (COD)</w:t>
      </w:r>
    </w:p>
    <w:p w:rsidR="006D7E2A" w:rsidRPr="003571F6" w:rsidRDefault="006D7E2A" w:rsidP="0013272B">
      <w:pPr>
        <w:keepNext/>
        <w:tabs>
          <w:tab w:val="center" w:pos="284"/>
        </w:tabs>
        <w:spacing w:line="276" w:lineRule="auto"/>
        <w:ind w:left="2835"/>
        <w:rPr>
          <w:rFonts w:eastAsia="Calibri"/>
        </w:rPr>
      </w:pPr>
      <w:r w:rsidRPr="003571F6">
        <w:t>COM(2016) 852 final – 2016/0362 (COD)</w:t>
      </w:r>
    </w:p>
    <w:p w:rsidR="006D7E2A" w:rsidRPr="003571F6" w:rsidRDefault="006D7E2A" w:rsidP="0013272B">
      <w:pPr>
        <w:keepNext/>
        <w:tabs>
          <w:tab w:val="center" w:pos="284"/>
        </w:tabs>
        <w:spacing w:line="276" w:lineRule="auto"/>
        <w:ind w:left="2835"/>
        <w:rPr>
          <w:rFonts w:eastAsia="Calibri"/>
        </w:rPr>
      </w:pPr>
      <w:r w:rsidRPr="003571F6">
        <w:t>COM(2016) 854 final – 2016/0364 (COD)</w:t>
      </w:r>
    </w:p>
    <w:p w:rsidR="006D7E2A" w:rsidRPr="003571F6" w:rsidRDefault="006D7E2A" w:rsidP="0013272B">
      <w:pPr>
        <w:keepNext/>
        <w:tabs>
          <w:tab w:val="center" w:pos="284"/>
        </w:tabs>
        <w:spacing w:line="276" w:lineRule="auto"/>
        <w:ind w:left="2835"/>
        <w:rPr>
          <w:rFonts w:eastAsia="Calibri"/>
        </w:rPr>
      </w:pPr>
      <w:r w:rsidRPr="003571F6">
        <w:t>EESC-2016-06799-00-00-AC-TRA</w:t>
      </w:r>
    </w:p>
    <w:p w:rsidR="006D7E2A" w:rsidRPr="003571F6" w:rsidRDefault="006D7E2A" w:rsidP="00A3275A">
      <w:pPr>
        <w:keepNext/>
        <w:tabs>
          <w:tab w:val="center" w:pos="284"/>
        </w:tabs>
        <w:spacing w:line="276" w:lineRule="auto"/>
        <w:ind w:left="266" w:hanging="266"/>
        <w:rPr>
          <w:rFonts w:eastAsia="Calibri"/>
        </w:rPr>
      </w:pPr>
    </w:p>
    <w:p w:rsidR="006D7E2A" w:rsidRPr="003571F6" w:rsidRDefault="006D7E2A" w:rsidP="00A3275A">
      <w:pPr>
        <w:keepNext/>
        <w:keepLines/>
        <w:tabs>
          <w:tab w:val="center" w:pos="284"/>
        </w:tabs>
        <w:spacing w:line="276" w:lineRule="auto"/>
        <w:ind w:left="266" w:hanging="266"/>
        <w:rPr>
          <w:rFonts w:eastAsia="Calibri"/>
          <w:b/>
        </w:rPr>
      </w:pPr>
      <w:r w:rsidRPr="003571F6">
        <w:rPr>
          <w:b/>
        </w:rPr>
        <w:t>Основни аспекти:</w:t>
      </w:r>
    </w:p>
    <w:p w:rsidR="00BC5473" w:rsidRPr="003571F6" w:rsidRDefault="00BC5473" w:rsidP="005617E6">
      <w:pPr>
        <w:keepNext/>
        <w:spacing w:line="276" w:lineRule="auto"/>
        <w:rPr>
          <w:rFonts w:eastAsia="Calibri"/>
        </w:rPr>
      </w:pPr>
    </w:p>
    <w:p w:rsidR="006D7E2A" w:rsidRPr="003571F6" w:rsidRDefault="006D7E2A" w:rsidP="00A3275A">
      <w:pPr>
        <w:spacing w:line="276" w:lineRule="auto"/>
        <w:rPr>
          <w:rFonts w:eastAsia="Calibri"/>
        </w:rPr>
      </w:pPr>
      <w:r w:rsidRPr="003571F6">
        <w:t>ЕИСК</w:t>
      </w:r>
    </w:p>
    <w:p w:rsidR="006D7E2A" w:rsidRPr="003571F6" w:rsidRDefault="006D7E2A" w:rsidP="00A3275A">
      <w:pPr>
        <w:spacing w:line="276" w:lineRule="auto"/>
        <w:rPr>
          <w:rFonts w:eastAsia="Calibri"/>
        </w:rPr>
      </w:pPr>
    </w:p>
    <w:p w:rsidR="006D7E2A" w:rsidRPr="003571F6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3571F6">
        <w:t>приветства горещо пакета от предложения на Комисията и се надява, че той ще допринесе ефективно за завършването на започналата след кризата работа по реформата на финансовия сектор;</w:t>
      </w:r>
    </w:p>
    <w:p w:rsidR="006D7E2A" w:rsidRPr="003571F6" w:rsidRDefault="006D7E2A" w:rsidP="00A3275A"/>
    <w:p w:rsidR="006D7E2A" w:rsidRPr="003571F6" w:rsidRDefault="009928D1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3571F6">
        <w:t>споделя цялостния и интегриран подход, който дава възможност за съчетаване и обединяване на няколко важни цели в различни области, без обаче да има отклонение от принципите;</w:t>
      </w:r>
    </w:p>
    <w:p w:rsidR="006D7E2A" w:rsidRPr="003571F6" w:rsidRDefault="006D7E2A" w:rsidP="00A3275A"/>
    <w:p w:rsidR="006D7E2A" w:rsidRPr="003571F6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3571F6">
        <w:t>счита, че предложените мерки безспорно ще допринесат за укрепването на европейската пруденциална рамка и рамката за преструктуриране, приложими към банките. Това е от решаващо значение в рамките на целта за намаляване на рисковете във финансовия сектор и за подобряване на устойчивостта на институциите;</w:t>
      </w:r>
    </w:p>
    <w:p w:rsidR="006D7E2A" w:rsidRPr="003571F6" w:rsidRDefault="006D7E2A" w:rsidP="00A3275A"/>
    <w:p w:rsidR="006D7E2A" w:rsidRPr="003571F6" w:rsidRDefault="006D7E2A" w:rsidP="005617E6">
      <w:pPr>
        <w:keepLines/>
        <w:numPr>
          <w:ilvl w:val="0"/>
          <w:numId w:val="30"/>
        </w:numPr>
        <w:spacing w:line="276" w:lineRule="auto"/>
        <w:ind w:left="357" w:hanging="357"/>
        <w:contextualSpacing/>
      </w:pPr>
      <w:r w:rsidRPr="003571F6">
        <w:t>е убеден, че стремежът за намаляване на рисковете, с който се отличават тези предложения, ще даде възможност да се постигне напредък в по-нататъшното изграждане на банковия съюз и  създаването на неговия трети стълб – европейската схема за гарантиране на депозити. По този начин предложенията ще допринесат положително за възстановяването на доверието на клиентите и на потребителите във финансовия сектор;</w:t>
      </w:r>
    </w:p>
    <w:p w:rsidR="006D7E2A" w:rsidRPr="003571F6" w:rsidRDefault="006D7E2A" w:rsidP="00A3275A"/>
    <w:p w:rsidR="006D7E2A" w:rsidRPr="003571F6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3571F6">
        <w:t>приветства категорично и вниманието, което се отделя на финансирането на икономиката. Тъй като понастоящем нивото на инвестициите остава твърде ниско, е необходимо да се използва всеки благоприятен случай за създаване на нови и допълнителни възможности с цел стабилно и устойчиво икономическо възстановяване. Банките играят важна роля като посредници на капиталовите пазари и банковото кредитиране несъмнено ще остане най</w:t>
      </w:r>
      <w:r w:rsidR="005617E6" w:rsidRPr="003571F6">
        <w:rPr>
          <w:spacing w:val="-20"/>
        </w:rPr>
        <w:noBreakHyphen/>
      </w:r>
      <w:r w:rsidRPr="003571F6">
        <w:t>важният източник на финансиране на домакинствата и на МСП и в бъдеще. Следва да се положат повече усилия в тази област в полза на МСП, които са гръбнакът на европейската икономика Комитетът призовава за утвърждаване и по-нататъшно разпространение на „коефициента за подпомагане на МСП“;</w:t>
      </w:r>
    </w:p>
    <w:p w:rsidR="006D7E2A" w:rsidRPr="003571F6" w:rsidRDefault="006D7E2A" w:rsidP="00A3275A"/>
    <w:p w:rsidR="006D7E2A" w:rsidRPr="003571F6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3571F6">
        <w:t>счита, че все още не се отделя достатъчно внимание на състоянието на малките банки с опростена структура. Това се отнася по-специално за принципа на пропорционалност. От решаващо значение да се възприеме по-структуриран и задълбочен подход в полза на повече институции и по-голям брой области. На този тип институции не бива да се налагат непропорционални задължения или тежести;</w:t>
      </w:r>
    </w:p>
    <w:p w:rsidR="006D7E2A" w:rsidRPr="003571F6" w:rsidRDefault="006D7E2A" w:rsidP="00A3275A"/>
    <w:p w:rsidR="006D7E2A" w:rsidRPr="003571F6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3571F6">
        <w:t>одобрява факта, че са отчетени известен брой специфики на ЕС. Това важи например за корекциите по отношение на международните споразумения с оглед отчитане на европейските специфики.</w:t>
      </w:r>
    </w:p>
    <w:p w:rsidR="006D7E2A" w:rsidRPr="003571F6" w:rsidRDefault="006D7E2A" w:rsidP="00A3275A"/>
    <w:p w:rsidR="006D7E2A" w:rsidRPr="003571F6" w:rsidRDefault="006D7E2A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3571F6">
        <w:t>счита, че е важно Европа да продължи да играе първостепенна роля в настоящите и бъдещите международни дейности по реформата на финансовия сектор;</w:t>
      </w:r>
    </w:p>
    <w:p w:rsidR="006D7E2A" w:rsidRPr="003571F6" w:rsidRDefault="006D7E2A" w:rsidP="00A3275A"/>
    <w:p w:rsidR="006D7E2A" w:rsidRPr="003571F6" w:rsidRDefault="00A57F27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3571F6">
        <w:t>счита, че е в интерес на всички участници и заинтересовани страни да се търси повече яснота и правна сигурност при разработването на новите правила, за които впрочем е необходимо да се предвиди достатъчен срок за прилагане;</w:t>
      </w:r>
    </w:p>
    <w:p w:rsidR="004B41EE" w:rsidRPr="003571F6" w:rsidRDefault="004B41EE" w:rsidP="00A3275A"/>
    <w:p w:rsidR="004B41EE" w:rsidRPr="003571F6" w:rsidRDefault="004B41EE" w:rsidP="00A3275A">
      <w:pPr>
        <w:numPr>
          <w:ilvl w:val="0"/>
          <w:numId w:val="30"/>
        </w:numPr>
        <w:spacing w:line="276" w:lineRule="auto"/>
        <w:ind w:left="360"/>
        <w:contextualSpacing/>
      </w:pPr>
      <w:r w:rsidRPr="003571F6">
        <w:t>счита, че е желателно да се финализират бързо законодателните преходни мерки във връзка с новите Международни стандарти за финансово отчитане – МСФО 9 с цел да се предотвратят възможни отрицателни последици за финансирането на икономиката.</w:t>
      </w:r>
    </w:p>
    <w:p w:rsidR="006D7E2A" w:rsidRPr="003571F6" w:rsidRDefault="006D7E2A" w:rsidP="00A3275A">
      <w:pPr>
        <w:rPr>
          <w:rFonts w:eastAsia="Calibri"/>
          <w:highlight w:val="yellow"/>
        </w:rPr>
      </w:pPr>
    </w:p>
    <w:p w:rsidR="006D7E2A" w:rsidRPr="003571F6" w:rsidRDefault="006D7E2A" w:rsidP="00A3275A">
      <w:pPr>
        <w:tabs>
          <w:tab w:val="left" w:pos="1134"/>
        </w:tabs>
        <w:spacing w:line="276" w:lineRule="auto"/>
        <w:ind w:left="1134" w:hanging="1134"/>
        <w:rPr>
          <w:rFonts w:eastAsia="Calibri"/>
          <w:i/>
        </w:rPr>
      </w:pPr>
      <w:r w:rsidRPr="003571F6">
        <w:rPr>
          <w:b/>
          <w:i/>
        </w:rPr>
        <w:t>За контакт:</w:t>
      </w:r>
      <w:r w:rsidRPr="003571F6">
        <w:tab/>
      </w:r>
      <w:r w:rsidRPr="003571F6">
        <w:rPr>
          <w:i/>
        </w:rPr>
        <w:t>Gerald Klec</w:t>
      </w:r>
    </w:p>
    <w:p w:rsidR="007D03DC" w:rsidRPr="003571F6" w:rsidRDefault="006D7E2A" w:rsidP="00A3275A">
      <w:pPr>
        <w:spacing w:line="276" w:lineRule="auto"/>
        <w:ind w:left="1134"/>
        <w:rPr>
          <w:rFonts w:eastAsia="Calibri"/>
        </w:rPr>
      </w:pPr>
      <w:r w:rsidRPr="003571F6">
        <w:rPr>
          <w:i/>
        </w:rPr>
        <w:t xml:space="preserve">(Тел: 00 32 2 546 9909 – електронен адрес: </w:t>
      </w:r>
      <w:hyperlink r:id="rId23">
        <w:r w:rsidRPr="003571F6">
          <w:rPr>
            <w:rStyle w:val="Hyperlink"/>
            <w:i/>
          </w:rPr>
          <w:t>gerald.klec@eesc.europa.eu</w:t>
        </w:r>
      </w:hyperlink>
      <w:r w:rsidRPr="003571F6">
        <w:rPr>
          <w:i/>
        </w:rPr>
        <w:t>)</w:t>
      </w:r>
    </w:p>
    <w:p w:rsidR="00505DD7" w:rsidRPr="003571F6" w:rsidRDefault="00505DD7" w:rsidP="004C07BF">
      <w:pPr>
        <w:spacing w:line="240" w:lineRule="auto"/>
        <w:rPr>
          <w:b/>
        </w:rPr>
      </w:pPr>
    </w:p>
    <w:p w:rsidR="00E6566F" w:rsidRPr="003571F6" w:rsidRDefault="00E6566F" w:rsidP="00582ABA">
      <w:pPr>
        <w:pStyle w:val="Heading1"/>
        <w:keepNext/>
        <w:spacing w:line="276" w:lineRule="auto"/>
        <w:rPr>
          <w:b/>
        </w:rPr>
      </w:pPr>
      <w:bookmarkStart w:id="8" w:name="_Toc477938712"/>
      <w:bookmarkStart w:id="9" w:name="_Toc480380518"/>
      <w:r w:rsidRPr="003571F6">
        <w:rPr>
          <w:b/>
        </w:rPr>
        <w:t>ПРОМИШЛЕНОСТ / ИНОВАЦИИ</w:t>
      </w:r>
      <w:bookmarkEnd w:id="8"/>
      <w:bookmarkEnd w:id="9"/>
    </w:p>
    <w:p w:rsidR="00BC5473" w:rsidRPr="003571F6" w:rsidRDefault="00BC5473" w:rsidP="00582ABA">
      <w:pPr>
        <w:keepNext/>
        <w:spacing w:line="276" w:lineRule="auto"/>
      </w:pPr>
    </w:p>
    <w:p w:rsidR="00C1115F" w:rsidRPr="003571F6" w:rsidRDefault="00C1115F" w:rsidP="00582ABA">
      <w:pPr>
        <w:keepNext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i/>
          <w:sz w:val="28"/>
          <w:szCs w:val="28"/>
        </w:rPr>
      </w:pPr>
      <w:r w:rsidRPr="003571F6">
        <w:rPr>
          <w:b/>
          <w:i/>
          <w:sz w:val="28"/>
        </w:rPr>
        <w:t>Плавателен и морски туризъм</w:t>
      </w:r>
    </w:p>
    <w:p w:rsidR="00C1115F" w:rsidRPr="003571F6" w:rsidRDefault="00C1115F" w:rsidP="00582AB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b/>
          <w:szCs w:val="20"/>
        </w:rPr>
      </w:pPr>
    </w:p>
    <w:p w:rsidR="00C1115F" w:rsidRPr="003571F6" w:rsidRDefault="00C1115F" w:rsidP="00582AB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3571F6">
        <w:rPr>
          <w:b/>
        </w:rPr>
        <w:t>Докладчик:</w:t>
      </w:r>
      <w:r w:rsidRPr="003571F6">
        <w:tab/>
        <w:t>Tony Zahra (група „Работодатели“ – MT)</w:t>
      </w:r>
    </w:p>
    <w:p w:rsidR="00C1115F" w:rsidRPr="003571F6" w:rsidRDefault="00C1115F" w:rsidP="00582AB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b/>
          <w:szCs w:val="20"/>
        </w:rPr>
      </w:pPr>
    </w:p>
    <w:p w:rsidR="00ED4925" w:rsidRPr="003571F6" w:rsidRDefault="00F2643C" w:rsidP="00582ABA">
      <w:pPr>
        <w:keepNext/>
        <w:tabs>
          <w:tab w:val="center" w:pos="284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3571F6">
        <w:rPr>
          <w:b/>
        </w:rPr>
        <w:t>Референтен</w:t>
      </w:r>
      <w:r w:rsidR="00C1115F" w:rsidRPr="003571F6">
        <w:rPr>
          <w:b/>
        </w:rPr>
        <w:t xml:space="preserve"> документ:</w:t>
      </w:r>
      <w:r w:rsidR="00C1115F" w:rsidRPr="003571F6">
        <w:tab/>
        <w:t>Проучвателно становище</w:t>
      </w:r>
    </w:p>
    <w:p w:rsidR="00C1115F" w:rsidRPr="003571F6" w:rsidRDefault="00C1115F" w:rsidP="00582ABA">
      <w:pPr>
        <w:tabs>
          <w:tab w:val="center" w:pos="-2268"/>
        </w:tabs>
        <w:overflowPunct w:val="0"/>
        <w:autoSpaceDE w:val="0"/>
        <w:autoSpaceDN w:val="0"/>
        <w:adjustRightInd w:val="0"/>
        <w:spacing w:line="276" w:lineRule="auto"/>
        <w:ind w:left="2268"/>
        <w:textAlignment w:val="baseline"/>
      </w:pPr>
      <w:r w:rsidRPr="003571F6">
        <w:t>EESC-2016-05923-00-00-PA-TRA</w:t>
      </w:r>
    </w:p>
    <w:p w:rsidR="00C1115F" w:rsidRPr="003571F6" w:rsidRDefault="00C1115F" w:rsidP="00A3275A">
      <w:pPr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3571F6">
        <w:rPr>
          <w:b/>
        </w:rPr>
        <w:t>Основни аспекти:</w:t>
      </w: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3571F6">
        <w:t>Въпреки силната устойчивост и бързото възстановяване на туризма по време на криза, ЕИСК счита, че е важно да се анализират предвидимите предизвикателства и възможности в плавателния и морския туризъм и да се предприемат съответните мерки, особено в Средиземноморския регион поради голямото му значение и съществения му принос към европейската икономика.</w:t>
      </w: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3571F6">
        <w:t>ЕИСК се застъпва за създаването на група от западносредиземноморски държави членки и трети държави, която да разгледа съвместно въпроса за синия растеж и синята и зелената инфраструктура за възстановяване на увредените екосистеми. Тъй като самият туризъм генерира значителни отпадъци, това изисква иновативни мерки, които могат да смекчат проблемите, свързани с отпадъците, в допълнение към съгласуваното и ефективно привеждане в действие на нормативните изисквания.</w:t>
      </w: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rPr>
          <w:i/>
          <w:szCs w:val="20"/>
        </w:rPr>
      </w:pPr>
      <w:r w:rsidRPr="003571F6">
        <w:rPr>
          <w:b/>
          <w:i/>
        </w:rPr>
        <w:t>За контакт:</w:t>
      </w:r>
      <w:r w:rsidRPr="003571F6">
        <w:rPr>
          <w:i/>
        </w:rPr>
        <w:t>Jean-Pierre Faure</w:t>
      </w: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ind w:left="1134"/>
        <w:rPr>
          <w:i/>
          <w:szCs w:val="20"/>
        </w:rPr>
      </w:pPr>
      <w:r w:rsidRPr="003571F6">
        <w:rPr>
          <w:i/>
        </w:rPr>
        <w:t xml:space="preserve">(Тел.: 00 32 2 546 96 15 – електронен адрес: </w:t>
      </w:r>
      <w:hyperlink r:id="rId24">
        <w:r w:rsidRPr="003571F6">
          <w:rPr>
            <w:i/>
            <w:color w:val="0000FF"/>
            <w:u w:val="single"/>
          </w:rPr>
          <w:t>jean-pierre.faure@eesc.europa.eu</w:t>
        </w:r>
      </w:hyperlink>
      <w:r w:rsidRPr="003571F6">
        <w:rPr>
          <w:i/>
        </w:rPr>
        <w:t>)</w:t>
      </w: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rPr>
          <w:i/>
          <w:iCs/>
          <w:u w:val="single"/>
        </w:rPr>
      </w:pPr>
    </w:p>
    <w:p w:rsidR="00C1115F" w:rsidRPr="003571F6" w:rsidRDefault="00C1115F" w:rsidP="00A3275A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8"/>
          <w:szCs w:val="28"/>
        </w:rPr>
      </w:pPr>
      <w:r w:rsidRPr="003571F6">
        <w:rPr>
          <w:b/>
          <w:i/>
          <w:sz w:val="28"/>
        </w:rPr>
        <w:t>Космическа стратегия за Европа</w:t>
      </w:r>
    </w:p>
    <w:p w:rsidR="00C1115F" w:rsidRPr="003571F6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b/>
          <w:szCs w:val="20"/>
        </w:rPr>
      </w:pPr>
    </w:p>
    <w:p w:rsidR="00C1115F" w:rsidRPr="003571F6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3571F6">
        <w:rPr>
          <w:b/>
        </w:rPr>
        <w:t>Докладчик:</w:t>
      </w:r>
      <w:r w:rsidRPr="003571F6">
        <w:tab/>
        <w:t>Mindaugas Maciulevičius (група „Други интереси“ – LT)</w:t>
      </w:r>
    </w:p>
    <w:p w:rsidR="00C1115F" w:rsidRPr="003571F6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b/>
          <w:szCs w:val="20"/>
        </w:rPr>
      </w:pPr>
    </w:p>
    <w:p w:rsidR="00C1115F" w:rsidRPr="003571F6" w:rsidRDefault="001B1AFB" w:rsidP="00A3275A">
      <w:pPr>
        <w:keepNext/>
        <w:tabs>
          <w:tab w:val="center" w:pos="284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3571F6">
        <w:rPr>
          <w:b/>
        </w:rPr>
        <w:t>Референт</w:t>
      </w:r>
      <w:r w:rsidR="00C1115F" w:rsidRPr="003571F6">
        <w:rPr>
          <w:b/>
        </w:rPr>
        <w:t>ни документи:</w:t>
      </w:r>
      <w:r w:rsidR="00C1115F" w:rsidRPr="003571F6">
        <w:tab/>
        <w:t>COM(2016) 705 final</w:t>
      </w:r>
    </w:p>
    <w:p w:rsidR="00C1115F" w:rsidRPr="003571F6" w:rsidRDefault="00C1115F" w:rsidP="00582ABA">
      <w:pPr>
        <w:keepNext/>
        <w:tabs>
          <w:tab w:val="center" w:pos="-2977"/>
        </w:tabs>
        <w:overflowPunct w:val="0"/>
        <w:autoSpaceDE w:val="0"/>
        <w:autoSpaceDN w:val="0"/>
        <w:adjustRightInd w:val="0"/>
        <w:spacing w:line="276" w:lineRule="auto"/>
        <w:ind w:left="2835"/>
        <w:textAlignment w:val="baseline"/>
      </w:pPr>
      <w:r w:rsidRPr="003571F6">
        <w:t>INT/809 - EESC-2016-05992-00-00-PA-TRA</w:t>
      </w:r>
    </w:p>
    <w:p w:rsidR="00C1115F" w:rsidRPr="003571F6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</w:p>
    <w:p w:rsidR="00C1115F" w:rsidRPr="003571F6" w:rsidRDefault="00C1115F" w:rsidP="00A3275A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3571F6">
        <w:rPr>
          <w:b/>
        </w:rPr>
        <w:t>Основни аспекти:</w:t>
      </w:r>
    </w:p>
    <w:p w:rsidR="00E84F95" w:rsidRPr="003571F6" w:rsidRDefault="00E84F95" w:rsidP="00A3275A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3571F6">
        <w:t>ЕИСК:</w:t>
      </w:r>
    </w:p>
    <w:p w:rsidR="009928D1" w:rsidRPr="003571F6" w:rsidRDefault="009928D1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3571F6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3571F6">
        <w:t>приветства съобщението на Европейската комисия относно „Космическа стратегия за Европа“;</w:t>
      </w:r>
    </w:p>
    <w:p w:rsidR="00C1115F" w:rsidRPr="003571F6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3571F6">
        <w:t>отново изразява решителната си подкрепа за космическа политика, ориентирана към граждански нужди;</w:t>
      </w:r>
    </w:p>
    <w:p w:rsidR="00C1115F" w:rsidRPr="003571F6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3571F6">
        <w:t>приканва Комисията да определи съвместно с Европейската инвестиционна банка новите финансови възможности за насърчаване на частните инвеститори да насочат вниманието си към космическия сектор;</w:t>
      </w:r>
    </w:p>
    <w:p w:rsidR="00C1115F" w:rsidRPr="003571F6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3571F6">
        <w:t>призовава за активно участие на всички държави членки;</w:t>
      </w:r>
    </w:p>
    <w:p w:rsidR="00C1115F" w:rsidRPr="003571F6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3571F6">
        <w:t>смята, че образованието и повишаването на обществената осведоменост по отношение на предимствата на информацията и данните, станали достъпни в резултат на космическите дейност</w:t>
      </w:r>
      <w:r w:rsidR="00582ABA" w:rsidRPr="003571F6">
        <w:t>и, са от първостепенно значение;</w:t>
      </w:r>
    </w:p>
    <w:p w:rsidR="00C1115F" w:rsidRPr="003571F6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3571F6">
        <w:t>приканва Комисията да провери осъществимостта на създаването на единен портал;</w:t>
      </w:r>
    </w:p>
    <w:p w:rsidR="00C1115F" w:rsidRPr="003571F6" w:rsidRDefault="00C1115F" w:rsidP="00A3275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3571F6">
        <w:t>призовава за нов подход към използването на данните.</w:t>
      </w: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rPr>
          <w:i/>
          <w:szCs w:val="20"/>
        </w:rPr>
      </w:pPr>
      <w:r w:rsidRPr="003571F6">
        <w:rPr>
          <w:b/>
          <w:i/>
        </w:rPr>
        <w:t>За контакт:</w:t>
      </w:r>
      <w:r w:rsidRPr="003571F6">
        <w:rPr>
          <w:i/>
        </w:rPr>
        <w:t>Daniel Squerzi</w:t>
      </w: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ind w:left="1134"/>
        <w:rPr>
          <w:szCs w:val="20"/>
        </w:rPr>
      </w:pPr>
      <w:r w:rsidRPr="003571F6">
        <w:rPr>
          <w:i/>
        </w:rPr>
        <w:t xml:space="preserve">(Тел.: 00 32 2 546 92 50 – електронен адрес: </w:t>
      </w:r>
      <w:hyperlink r:id="rId25">
        <w:r w:rsidRPr="003571F6">
          <w:rPr>
            <w:i/>
            <w:color w:val="0000FF"/>
            <w:u w:val="single"/>
          </w:rPr>
          <w:t>daniel.squerzi@eesc.europa.eu</w:t>
        </w:r>
      </w:hyperlink>
      <w:r w:rsidRPr="003571F6">
        <w:t>)</w:t>
      </w:r>
    </w:p>
    <w:p w:rsidR="00505DD7" w:rsidRPr="003571F6" w:rsidRDefault="00505DD7" w:rsidP="004C07BF">
      <w:pPr>
        <w:spacing w:line="240" w:lineRule="auto"/>
        <w:rPr>
          <w:b/>
        </w:rPr>
      </w:pPr>
    </w:p>
    <w:p w:rsidR="003075E1" w:rsidRPr="003571F6" w:rsidRDefault="00E6566F" w:rsidP="00A3275A">
      <w:pPr>
        <w:pStyle w:val="Heading1"/>
        <w:keepNext/>
        <w:spacing w:line="276" w:lineRule="auto"/>
        <w:rPr>
          <w:b/>
          <w:iCs/>
        </w:rPr>
      </w:pPr>
      <w:bookmarkStart w:id="10" w:name="_Toc477938713"/>
      <w:bookmarkStart w:id="11" w:name="_Toc480380519"/>
      <w:r w:rsidRPr="003571F6">
        <w:rPr>
          <w:b/>
        </w:rPr>
        <w:t>ВЪТРЕШЕН ПАЗАР</w:t>
      </w:r>
      <w:bookmarkEnd w:id="10"/>
      <w:bookmarkEnd w:id="11"/>
    </w:p>
    <w:p w:rsidR="00505DD7" w:rsidRPr="003571F6" w:rsidRDefault="00505DD7" w:rsidP="00A3275A">
      <w:pPr>
        <w:keepNext/>
        <w:overflowPunct w:val="0"/>
        <w:autoSpaceDE w:val="0"/>
        <w:autoSpaceDN w:val="0"/>
        <w:adjustRightInd w:val="0"/>
        <w:spacing w:line="276" w:lineRule="auto"/>
        <w:rPr>
          <w:i/>
          <w:iCs/>
          <w:u w:val="single"/>
        </w:rPr>
      </w:pPr>
    </w:p>
    <w:p w:rsidR="00C1115F" w:rsidRPr="003571F6" w:rsidRDefault="00C1115F" w:rsidP="00A3275A">
      <w:pPr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8"/>
          <w:szCs w:val="28"/>
        </w:rPr>
      </w:pPr>
      <w:r w:rsidRPr="003571F6">
        <w:rPr>
          <w:b/>
          <w:i/>
          <w:sz w:val="28"/>
        </w:rPr>
        <w:t>Несъстоятелност на предприятията</w:t>
      </w:r>
    </w:p>
    <w:p w:rsidR="00C1115F" w:rsidRPr="003571F6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b/>
          <w:szCs w:val="20"/>
        </w:rPr>
      </w:pPr>
    </w:p>
    <w:p w:rsidR="00C1115F" w:rsidRPr="003571F6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3571F6">
        <w:rPr>
          <w:b/>
        </w:rPr>
        <w:t>Докладчик:</w:t>
      </w:r>
      <w:r w:rsidRPr="003571F6">
        <w:tab/>
        <w:t>Antonello PEZZINI (Employeurs - IT)</w:t>
      </w:r>
    </w:p>
    <w:p w:rsidR="00C1115F" w:rsidRPr="003571F6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  <w:r w:rsidRPr="003571F6">
        <w:rPr>
          <w:b/>
        </w:rPr>
        <w:t>Съдокладчик:</w:t>
      </w:r>
      <w:r w:rsidRPr="003571F6">
        <w:tab/>
        <w:t>Franca SALIS-MADINIER (Travailleurs - FR)</w:t>
      </w:r>
    </w:p>
    <w:p w:rsidR="00C1115F" w:rsidRPr="003571F6" w:rsidRDefault="00C1115F" w:rsidP="00A3275A">
      <w:pPr>
        <w:keepNext/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</w:p>
    <w:p w:rsidR="00E24E8C" w:rsidRPr="003571F6" w:rsidRDefault="00B82693" w:rsidP="00A3275A">
      <w:pPr>
        <w:tabs>
          <w:tab w:val="left" w:pos="1701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3571F6">
        <w:rPr>
          <w:b/>
        </w:rPr>
        <w:t>Референтни</w:t>
      </w:r>
      <w:r w:rsidR="00C1115F" w:rsidRPr="003571F6">
        <w:rPr>
          <w:b/>
        </w:rPr>
        <w:t xml:space="preserve"> документи:</w:t>
      </w:r>
      <w:r w:rsidR="00C1115F" w:rsidRPr="003571F6">
        <w:tab/>
        <w:t>COM(2016) 723 final – 2016/0359 (COD)</w:t>
      </w:r>
    </w:p>
    <w:p w:rsidR="00C1115F" w:rsidRPr="003571F6" w:rsidRDefault="00C1115F" w:rsidP="00582ABA">
      <w:pPr>
        <w:overflowPunct w:val="0"/>
        <w:autoSpaceDE w:val="0"/>
        <w:autoSpaceDN w:val="0"/>
        <w:adjustRightInd w:val="0"/>
        <w:spacing w:line="276" w:lineRule="auto"/>
        <w:ind w:left="2835"/>
        <w:textAlignment w:val="baseline"/>
      </w:pPr>
      <w:r w:rsidRPr="003571F6">
        <w:t>EESC-2016-06275-00-02-PA-TRA</w:t>
      </w:r>
    </w:p>
    <w:p w:rsidR="00C1115F" w:rsidRPr="003571F6" w:rsidRDefault="00C1115F" w:rsidP="00A3275A">
      <w:pPr>
        <w:tabs>
          <w:tab w:val="center" w:pos="284"/>
        </w:tabs>
        <w:overflowPunct w:val="0"/>
        <w:autoSpaceDE w:val="0"/>
        <w:autoSpaceDN w:val="0"/>
        <w:adjustRightInd w:val="0"/>
        <w:spacing w:line="276" w:lineRule="auto"/>
        <w:ind w:left="266" w:hanging="266"/>
        <w:textAlignment w:val="baseline"/>
        <w:rPr>
          <w:szCs w:val="20"/>
        </w:rPr>
      </w:pP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3571F6">
        <w:rPr>
          <w:b/>
        </w:rPr>
        <w:t>Основни аспекти:</w:t>
      </w:r>
    </w:p>
    <w:p w:rsidR="00E84F95" w:rsidRPr="003571F6" w:rsidRDefault="00E84F95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3571F6">
        <w:t>ЕИСК:</w:t>
      </w:r>
    </w:p>
    <w:p w:rsidR="00ED4925" w:rsidRPr="003571F6" w:rsidRDefault="00ED4925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3571F6" w:rsidRDefault="00C1115F" w:rsidP="00A3275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3571F6">
        <w:t>предпочита предложението да излезе под формата на регламент и без колебание да се пристъпи към възможно максимално хармонизиране на съществуващите системи;</w:t>
      </w:r>
    </w:p>
    <w:p w:rsidR="00987EAE" w:rsidRPr="003571F6" w:rsidRDefault="00987EAE" w:rsidP="00A3275A">
      <w:pPr>
        <w:overflowPunct w:val="0"/>
        <w:autoSpaceDE w:val="0"/>
        <w:autoSpaceDN w:val="0"/>
        <w:adjustRightInd w:val="0"/>
        <w:spacing w:line="276" w:lineRule="auto"/>
        <w:ind w:left="720"/>
        <w:contextualSpacing/>
        <w:textAlignment w:val="baseline"/>
        <w:rPr>
          <w:szCs w:val="20"/>
        </w:rPr>
      </w:pPr>
    </w:p>
    <w:p w:rsidR="00C1115F" w:rsidRPr="003571F6" w:rsidRDefault="00C1115F" w:rsidP="00A3275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3571F6">
        <w:t>настоява задължението на ръководството на предприятието да информира и да се консултира предварително и по време на преговорите с работниците, да бъде официално указано в директивата;</w:t>
      </w:r>
    </w:p>
    <w:p w:rsidR="00C1115F" w:rsidRPr="003571F6" w:rsidRDefault="00C1115F" w:rsidP="00A3275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3571F6">
        <w:t>препоръчва да се гарантира, в случай на несъстоятелност, статут на преференциални кредитори за всички работници във всички държави членки;</w:t>
      </w:r>
    </w:p>
    <w:p w:rsidR="00987EAE" w:rsidRPr="003571F6" w:rsidRDefault="00987EAE" w:rsidP="00A3275A">
      <w:pPr>
        <w:overflowPunct w:val="0"/>
        <w:autoSpaceDE w:val="0"/>
        <w:autoSpaceDN w:val="0"/>
        <w:adjustRightInd w:val="0"/>
        <w:spacing w:line="276" w:lineRule="auto"/>
        <w:ind w:left="720"/>
        <w:contextualSpacing/>
        <w:textAlignment w:val="baseline"/>
        <w:rPr>
          <w:szCs w:val="20"/>
        </w:rPr>
      </w:pPr>
    </w:p>
    <w:p w:rsidR="00C1115F" w:rsidRPr="003571F6" w:rsidRDefault="00C1115F" w:rsidP="00A3275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3571F6">
        <w:t>счита, че е необходимо да се проверят критериите за надеждност на предприемачите, свързани с почтеното професионално поведение, и</w:t>
      </w:r>
    </w:p>
    <w:p w:rsidR="00987EAE" w:rsidRPr="003571F6" w:rsidRDefault="00987EAE" w:rsidP="00A3275A">
      <w:pPr>
        <w:overflowPunct w:val="0"/>
        <w:autoSpaceDE w:val="0"/>
        <w:autoSpaceDN w:val="0"/>
        <w:adjustRightInd w:val="0"/>
        <w:spacing w:line="276" w:lineRule="auto"/>
        <w:ind w:left="720"/>
        <w:contextualSpacing/>
        <w:textAlignment w:val="baseline"/>
        <w:rPr>
          <w:szCs w:val="20"/>
        </w:rPr>
      </w:pPr>
    </w:p>
    <w:p w:rsidR="00C1115F" w:rsidRPr="003571F6" w:rsidRDefault="00C1115F" w:rsidP="00A3275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szCs w:val="20"/>
        </w:rPr>
      </w:pPr>
      <w:r w:rsidRPr="003571F6">
        <w:t>настоява в директивата да бъде взето под внимание, че злоупотребата с производството по несъстоятелност от страна на управител с цел отричане на правата на работниците представлява незаконна практика.</w:t>
      </w: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rPr>
          <w:i/>
          <w:szCs w:val="20"/>
        </w:rPr>
      </w:pPr>
      <w:r w:rsidRPr="003571F6">
        <w:rPr>
          <w:b/>
          <w:i/>
        </w:rPr>
        <w:t>За контакт:</w:t>
      </w:r>
      <w:r w:rsidRPr="003571F6">
        <w:tab/>
      </w:r>
      <w:r w:rsidRPr="003571F6">
        <w:rPr>
          <w:i/>
        </w:rPr>
        <w:t>Marie-Laurence Drillon</w:t>
      </w: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ind w:left="1134"/>
        <w:textAlignment w:val="baseline"/>
        <w:rPr>
          <w:szCs w:val="20"/>
        </w:rPr>
      </w:pPr>
      <w:r w:rsidRPr="003571F6">
        <w:rPr>
          <w:i/>
        </w:rPr>
        <w:t>(Тел.: 00 32 2 546 83 20 – електронен адрес:</w:t>
      </w:r>
      <w:r w:rsidRPr="003571F6">
        <w:t xml:space="preserve"> </w:t>
      </w:r>
      <w:r w:rsidRPr="003571F6">
        <w:rPr>
          <w:i/>
        </w:rPr>
        <w:t xml:space="preserve"> </w:t>
      </w:r>
      <w:hyperlink r:id="rId26">
        <w:r w:rsidRPr="003571F6">
          <w:rPr>
            <w:i/>
            <w:color w:val="0000FF"/>
            <w:u w:val="single"/>
          </w:rPr>
          <w:t>marie-laurence.drillon@eesc.europa.eu</w:t>
        </w:r>
      </w:hyperlink>
      <w:r w:rsidRPr="003571F6">
        <w:rPr>
          <w:i/>
        </w:rPr>
        <w:t>)</w:t>
      </w:r>
    </w:p>
    <w:p w:rsidR="00505DD7" w:rsidRPr="003571F6" w:rsidRDefault="00505DD7" w:rsidP="004C07BF">
      <w:pPr>
        <w:spacing w:line="240" w:lineRule="auto"/>
        <w:rPr>
          <w:b/>
        </w:rPr>
      </w:pPr>
    </w:p>
    <w:p w:rsidR="00E6566F" w:rsidRPr="003571F6" w:rsidRDefault="00E6566F" w:rsidP="00CA5675">
      <w:pPr>
        <w:pStyle w:val="Heading1"/>
        <w:keepNext/>
        <w:spacing w:line="276" w:lineRule="auto"/>
        <w:rPr>
          <w:b/>
          <w:iCs/>
        </w:rPr>
      </w:pPr>
      <w:bookmarkStart w:id="12" w:name="_Toc477938714"/>
      <w:bookmarkStart w:id="13" w:name="_Toc480380520"/>
      <w:r w:rsidRPr="003571F6">
        <w:rPr>
          <w:b/>
        </w:rPr>
        <w:t>ВЪНШНИ ОТНОШЕНИЯ</w:t>
      </w:r>
      <w:bookmarkEnd w:id="12"/>
      <w:bookmarkEnd w:id="13"/>
    </w:p>
    <w:p w:rsidR="00505DD7" w:rsidRPr="003571F6" w:rsidRDefault="00505DD7" w:rsidP="00CA5675">
      <w:pPr>
        <w:keepNext/>
        <w:widowControl w:val="0"/>
        <w:spacing w:line="276" w:lineRule="auto"/>
      </w:pPr>
    </w:p>
    <w:p w:rsidR="00C1115F" w:rsidRPr="003571F6" w:rsidRDefault="00C1115F" w:rsidP="00CA5675">
      <w:pPr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b/>
          <w:i/>
          <w:spacing w:val="-2"/>
          <w:sz w:val="28"/>
          <w:szCs w:val="28"/>
        </w:rPr>
      </w:pPr>
      <w:r w:rsidRPr="003571F6">
        <w:rPr>
          <w:b/>
          <w:i/>
          <w:spacing w:val="-2"/>
          <w:sz w:val="28"/>
        </w:rPr>
        <w:t>Бъдещето на океаните</w:t>
      </w:r>
    </w:p>
    <w:p w:rsidR="00C1115F" w:rsidRPr="003571F6" w:rsidRDefault="00C1115F" w:rsidP="00CA5675">
      <w:pPr>
        <w:keepNext/>
        <w:widowControl w:val="0"/>
        <w:spacing w:line="276" w:lineRule="auto"/>
      </w:pPr>
    </w:p>
    <w:p w:rsidR="00C1115F" w:rsidRPr="003571F6" w:rsidRDefault="00C1115F" w:rsidP="00CA5675">
      <w:pPr>
        <w:keepNext/>
        <w:spacing w:line="276" w:lineRule="auto"/>
        <w:rPr>
          <w:b/>
          <w:i/>
          <w:highlight w:val="yellow"/>
        </w:rPr>
      </w:pPr>
      <w:r w:rsidRPr="003571F6">
        <w:rPr>
          <w:b/>
        </w:rPr>
        <w:t>Докладчик:</w:t>
      </w:r>
      <w:r w:rsidRPr="003571F6">
        <w:tab/>
        <w:t>Jan Simons (група „Работодатели“ – NL)</w:t>
      </w:r>
    </w:p>
    <w:p w:rsidR="00C1115F" w:rsidRPr="003571F6" w:rsidRDefault="00C1115F" w:rsidP="00A3275A">
      <w:pPr>
        <w:spacing w:line="276" w:lineRule="auto"/>
      </w:pPr>
    </w:p>
    <w:p w:rsidR="00C1115F" w:rsidRPr="003571F6" w:rsidRDefault="00C1115F" w:rsidP="00A3275A">
      <w:pPr>
        <w:spacing w:line="276" w:lineRule="auto"/>
      </w:pPr>
      <w:r w:rsidRPr="003571F6">
        <w:rPr>
          <w:b/>
        </w:rPr>
        <w:t>Основни аспекти:</w:t>
      </w:r>
    </w:p>
    <w:p w:rsidR="00C1115F" w:rsidRPr="003571F6" w:rsidRDefault="00C1115F" w:rsidP="00A3275A">
      <w:pPr>
        <w:widowControl w:val="0"/>
        <w:spacing w:line="276" w:lineRule="auto"/>
      </w:pPr>
    </w:p>
    <w:p w:rsidR="00C1115F" w:rsidRPr="003571F6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3571F6">
        <w:t>ЕИСК приветства съвместното съобщение на Европейската комисия и върховния представител на Съюза по въпросите на външните работи и политиката на сигурност относно по-доброто управление на океаните и споделя нарастващата загриженост относно необходимостта от по-добро управление и опазване на океаните поради нарасналата човешка дейност (неустойчив риболов, неадекватно опазване, туризъм, интензивно движение, замърсяване).</w:t>
      </w:r>
    </w:p>
    <w:p w:rsidR="00C1115F" w:rsidRPr="003571F6" w:rsidRDefault="00C1115F" w:rsidP="00A3275A">
      <w:pPr>
        <w:spacing w:line="276" w:lineRule="auto"/>
      </w:pPr>
    </w:p>
    <w:p w:rsidR="00C1115F" w:rsidRPr="003571F6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3571F6">
        <w:t>ЕИСК счита, че настоящата рамка за международно управление на океаните не може да гарантира устойчивото стопанисване на океаните и техните ресурси и са необходими спешни мерки. Все още предстои обаче Комисията и върховният представител да степенуват заплахите, които стоят понастоящем пред океаните, така че да бъде отразена правилно спешната необходимост от предприемане на действия.</w:t>
      </w:r>
    </w:p>
    <w:p w:rsidR="00C1115F" w:rsidRPr="003571F6" w:rsidRDefault="00C1115F" w:rsidP="00A3275A">
      <w:pPr>
        <w:spacing w:line="276" w:lineRule="auto"/>
      </w:pPr>
    </w:p>
    <w:p w:rsidR="00C1115F" w:rsidRPr="003571F6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3571F6">
        <w:t>Една от причините за неефективното международно управление на океаните е наличието на пропуски в сегашната международна рамка за управление на океаните. ЕИСК препоръчва на Комисията и върховния представител да преодолеят тези пропуски и несъответствия, но и да подобрят спазването на съществуващите правила, например чрез подобряване на прилагането на Рамковата директива за морска стратегия. ЕС следва да се въздържа от предлагане на каквото и да било ново законодателство, когато по-доброто или по-добре координираното прилагане на съществуващите правила и разпоредби би било по</w:t>
      </w:r>
      <w:r w:rsidR="00CA5675" w:rsidRPr="003571F6">
        <w:rPr>
          <w:spacing w:val="-20"/>
        </w:rPr>
        <w:noBreakHyphen/>
      </w:r>
      <w:r w:rsidRPr="003571F6">
        <w:t>ефективно.</w:t>
      </w:r>
    </w:p>
    <w:p w:rsidR="00C1115F" w:rsidRPr="003571F6" w:rsidRDefault="00C1115F" w:rsidP="00A3275A"/>
    <w:p w:rsidR="00C1115F" w:rsidRPr="003571F6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3571F6">
        <w:t>Според ЕИСК ЕС би могъл да изиграе важна роля за подобряване на управлението на океаните, по-специално като окаже подкрепа за научните изследвания на световния океан. Наличните понастоящем данни трябва да се използват по добър и ефективен начин. Поради това Комитетът настоятелно призовава ЕС да развие Мрежата за наблюдение и данни за морската среда, като я превърне в световна мрежа за морски данни. ЕС би могъл да стане координационен център за такава научно-изследователска дейност.</w:t>
      </w:r>
    </w:p>
    <w:p w:rsidR="00C1115F" w:rsidRPr="003571F6" w:rsidRDefault="00C1115F" w:rsidP="00A3275A"/>
    <w:p w:rsidR="00C1115F" w:rsidRPr="003571F6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3571F6">
        <w:t>Освен това ЕИСК настоятелно призовава ЕС да работи с партньорските държави за намаляване на заплахите и рисковете за морската сигурност, като пиратството и трафика на хора, оръжие и наркотици, като едновременно с това използва пълноценно възможностите на новата Европейска агенция за гранична и брегова охрана, Европейската агенция по морска безопасност (ЕАМБ) и Европейската агенция за контрол на рибарството (EFCA).</w:t>
      </w:r>
    </w:p>
    <w:p w:rsidR="00C1115F" w:rsidRPr="003571F6" w:rsidRDefault="00C1115F" w:rsidP="00A3275A"/>
    <w:p w:rsidR="00C1115F" w:rsidRPr="003571F6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  <w:rPr>
          <w:kern w:val="28"/>
        </w:rPr>
      </w:pPr>
      <w:r w:rsidRPr="003571F6">
        <w:t>ЕИСК силно насърчава създаването на форум на заинтересованите страни в ЕС, посветен на океаните и моретата в световен мащаб, особено поради това, че управлението на океаните е междусекторен въпрос, с който са ангажирани редица заинтересовани страни.</w:t>
      </w:r>
    </w:p>
    <w:p w:rsidR="00C1115F" w:rsidRPr="003571F6" w:rsidRDefault="00C1115F" w:rsidP="00A3275A"/>
    <w:p w:rsidR="00C1115F" w:rsidRPr="003571F6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3571F6">
        <w:t>ЕИСК счита, че управлението на океаните следва да балансира социално-икономическото развитие и опазването на морските зони. Технологиите за използване на ресурсите на морското дъно трябва да се прилагат внимателно и предпазливо.</w:t>
      </w:r>
    </w:p>
    <w:p w:rsidR="003A4AB8" w:rsidRPr="003571F6" w:rsidRDefault="003A4AB8" w:rsidP="00A3275A"/>
    <w:p w:rsidR="00C1115F" w:rsidRPr="003571F6" w:rsidRDefault="00C1115F" w:rsidP="00A3275A">
      <w:pPr>
        <w:numPr>
          <w:ilvl w:val="0"/>
          <w:numId w:val="33"/>
        </w:numPr>
        <w:spacing w:line="276" w:lineRule="auto"/>
        <w:ind w:left="360"/>
        <w:outlineLvl w:val="1"/>
      </w:pPr>
      <w:r w:rsidRPr="003571F6">
        <w:t>И на последно място, но не по важност: ЕИСК отбелязва, че мерките в съвместното съобщение са насочени към управлението както на океаните, така и на моретата, и поради това предлага заглавието да бъде променено на „Програма за бъдещето на нашите океани и морета“.</w:t>
      </w:r>
    </w:p>
    <w:p w:rsidR="00C1115F" w:rsidRPr="003571F6" w:rsidRDefault="00C1115F" w:rsidP="00A3275A">
      <w:pPr>
        <w:widowControl w:val="0"/>
        <w:spacing w:line="276" w:lineRule="auto"/>
      </w:pPr>
    </w:p>
    <w:p w:rsidR="00C1115F" w:rsidRPr="003571F6" w:rsidRDefault="00C1115F" w:rsidP="00A3275A">
      <w:pPr>
        <w:spacing w:line="276" w:lineRule="auto"/>
        <w:rPr>
          <w:i/>
        </w:rPr>
      </w:pPr>
      <w:r w:rsidRPr="003571F6">
        <w:rPr>
          <w:b/>
          <w:i/>
        </w:rPr>
        <w:t>За контакт:</w:t>
      </w:r>
      <w:r w:rsidRPr="003571F6">
        <w:tab/>
      </w:r>
      <w:r w:rsidRPr="003571F6">
        <w:rPr>
          <w:i/>
        </w:rPr>
        <w:t>Laura Ernsteina</w:t>
      </w:r>
    </w:p>
    <w:p w:rsidR="00C1115F" w:rsidRPr="003571F6" w:rsidRDefault="00C1115F" w:rsidP="00A3275A">
      <w:pPr>
        <w:spacing w:line="276" w:lineRule="auto"/>
        <w:ind w:left="1134"/>
        <w:rPr>
          <w:i/>
          <w:iCs/>
        </w:rPr>
      </w:pPr>
      <w:r w:rsidRPr="003571F6">
        <w:rPr>
          <w:i/>
        </w:rPr>
        <w:t xml:space="preserve">(Тел.: 00 32 2 546 9194 – електронен адрес: </w:t>
      </w:r>
      <w:hyperlink r:id="rId27">
        <w:r w:rsidRPr="003571F6">
          <w:rPr>
            <w:i/>
            <w:color w:val="0000FF"/>
            <w:u w:val="single"/>
          </w:rPr>
          <w:t>Laura.Ernsteina@eesc.europa.eu</w:t>
        </w:r>
      </w:hyperlink>
      <w:r w:rsidRPr="003571F6">
        <w:rPr>
          <w:i/>
        </w:rPr>
        <w:t>)</w:t>
      </w:r>
    </w:p>
    <w:p w:rsidR="00C1115F" w:rsidRPr="003571F6" w:rsidRDefault="00C1115F" w:rsidP="00CA5675">
      <w:pPr>
        <w:widowControl w:val="0"/>
        <w:autoSpaceDE w:val="0"/>
        <w:autoSpaceDN w:val="0"/>
        <w:adjustRightInd w:val="0"/>
        <w:spacing w:line="276" w:lineRule="auto"/>
        <w:rPr>
          <w:szCs w:val="20"/>
        </w:rPr>
      </w:pPr>
    </w:p>
    <w:p w:rsidR="00C1115F" w:rsidRPr="003571F6" w:rsidRDefault="00C1115F" w:rsidP="00A3275A">
      <w:pPr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b/>
          <w:i/>
          <w:spacing w:val="-2"/>
          <w:sz w:val="28"/>
          <w:szCs w:val="28"/>
        </w:rPr>
      </w:pPr>
      <w:r w:rsidRPr="003571F6">
        <w:rPr>
          <w:b/>
          <w:i/>
          <w:spacing w:val="-2"/>
          <w:sz w:val="28"/>
        </w:rPr>
        <w:t>Инструменти за търговска защита – методология</w:t>
      </w:r>
    </w:p>
    <w:p w:rsidR="00C1115F" w:rsidRPr="003571F6" w:rsidRDefault="00C1115F" w:rsidP="00A3275A">
      <w:pPr>
        <w:keepNext/>
        <w:widowControl w:val="0"/>
        <w:autoSpaceDE w:val="0"/>
        <w:autoSpaceDN w:val="0"/>
        <w:adjustRightInd w:val="0"/>
        <w:spacing w:line="276" w:lineRule="auto"/>
        <w:rPr>
          <w:szCs w:val="20"/>
        </w:rPr>
      </w:pPr>
    </w:p>
    <w:p w:rsidR="00C1115F" w:rsidRPr="003571F6" w:rsidRDefault="00C1115F" w:rsidP="00A3275A">
      <w:pPr>
        <w:keepNext/>
        <w:autoSpaceDE w:val="0"/>
        <w:autoSpaceDN w:val="0"/>
        <w:adjustRightInd w:val="0"/>
        <w:spacing w:line="276" w:lineRule="auto"/>
        <w:rPr>
          <w:b/>
          <w:szCs w:val="20"/>
        </w:rPr>
      </w:pPr>
      <w:r w:rsidRPr="003571F6">
        <w:rPr>
          <w:b/>
        </w:rPr>
        <w:t>Докладчик:</w:t>
      </w:r>
      <w:r w:rsidRPr="003571F6">
        <w:tab/>
        <w:t>Christian Bäumler (група „Работници“ – DE)</w:t>
      </w:r>
    </w:p>
    <w:p w:rsidR="00C1115F" w:rsidRPr="003571F6" w:rsidRDefault="00C1115F" w:rsidP="00A3275A">
      <w:pPr>
        <w:keepNext/>
        <w:autoSpaceDE w:val="0"/>
        <w:autoSpaceDN w:val="0"/>
        <w:adjustRightInd w:val="0"/>
        <w:spacing w:line="276" w:lineRule="auto"/>
        <w:rPr>
          <w:szCs w:val="20"/>
        </w:rPr>
      </w:pPr>
      <w:r w:rsidRPr="003571F6">
        <w:rPr>
          <w:b/>
        </w:rPr>
        <w:t>Съдокладчик:</w:t>
      </w:r>
      <w:r w:rsidRPr="003571F6">
        <w:tab/>
        <w:t>Andrés Barceló Delgado (група „Работодатели“ – ES)</w:t>
      </w:r>
    </w:p>
    <w:p w:rsidR="00C1115F" w:rsidRPr="003571F6" w:rsidRDefault="00C1115F" w:rsidP="00A3275A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</w:p>
    <w:p w:rsidR="00C1115F" w:rsidRPr="003571F6" w:rsidRDefault="00C1115F" w:rsidP="00A3275A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3571F6">
        <w:rPr>
          <w:b/>
        </w:rPr>
        <w:t>Основни аспекти:</w:t>
      </w:r>
    </w:p>
    <w:p w:rsidR="00C1115F" w:rsidRPr="003571F6" w:rsidRDefault="00C1115F" w:rsidP="00A3275A">
      <w:pPr>
        <w:keepNext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3571F6">
        <w:t>ЕИСК подкрепя отворената и справедлива търговия и признава нейната стойност като двигател на растежа и работните места.</w:t>
      </w: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3571F6">
        <w:t>Поради това Комитетът призовава за еднакви условия на конкуренция за европейските производители износители и тези от трети държави и за ефективни инструменти за търговска защита.</w:t>
      </w: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3571F6">
        <w:t>ЕИСК счита, че като цяло предложението на Комисията осигурява балансиран подход между въпроса за статута на пазарна икономика на Китай, от една страна, и целта за ефективен метод за изчисляване на дъмпинга, от друга.</w:t>
      </w:r>
    </w:p>
    <w:p w:rsidR="003A4AB8" w:rsidRPr="003571F6" w:rsidRDefault="003A4AB8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3571F6">
        <w:t>Комитетът подкрепя предложението на Комисията дъмпинговият марж да се изчислява не с помощта на стандартната методология, а въз основа на референтни стойности, които отчитат значителни нарушения при разходите за производство и продажба. ЕИСК отбелязва, че още в становището си от 2016 г. относно запазването на устойчивите работни места и растежа в стоманодобивната промишленост той призова да не се използва стандартната методология при антидъмпинговите и антисубсидийните разследвания на китайския внос, докато Китай не изпълни петте критерия на ЕС за статут на пазарна икономика.</w:t>
      </w: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3571F6">
        <w:t>Комитетът приветства намерението на Комисията да използва специфични критерии, за да определи дали има значителни нарушения на пазарната ситуация. Отбелязва, че трябва да се отчита и спазването на стандартите на МОТ и на многостранните споразумения по околната среда.</w:t>
      </w: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3571F6">
        <w:t>ЕИСК призовава Парламента и Съвета ясно да заявят, че Комисията ще изготви отделни доклади за всяка страна, където се наблюдават значителни нарушения на пазара.</w:t>
      </w: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3571F6" w:rsidRDefault="00C1115F" w:rsidP="00CE6B08">
      <w:pPr>
        <w:keepLines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3571F6">
        <w:t>ЕИСК обаче отбелязва, че в предложението на Комисията за изменение на основния антидъмпингов регламент могат да се внесат допълнителни подобрения от гледна точка на ефективността и практическата осъществимост на процедурата на антидъмпингови разследвания (правен статут, осъществимост и целесъобразност на предлаганите доклади) и по</w:t>
      </w:r>
      <w:r w:rsidR="00CE6B08" w:rsidRPr="003571F6">
        <w:rPr>
          <w:spacing w:val="-20"/>
        </w:rPr>
        <w:noBreakHyphen/>
      </w:r>
      <w:r w:rsidRPr="003571F6">
        <w:t>специално по отношение на тежестта на доказване, която не бива да се прехвърля върху европейските предприятия.</w:t>
      </w: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3571F6">
        <w:t>Освен това ЕИСК подчертава, че процедурата за подаване на антидъмпингови жалби трябва да бъде достъпна и за малките и средните предприятия. Комитетът отбелязва още, че ефективността на процедурите за прилагане на инструментите за търговска защита (ИТЗ) е свързана и с предложението от 2013 г. за модернизиране на ИТЗ, включващо правилото за по</w:t>
      </w:r>
      <w:r w:rsidR="00CE6B08" w:rsidRPr="003571F6">
        <w:rPr>
          <w:spacing w:val="-20"/>
        </w:rPr>
        <w:noBreakHyphen/>
      </w:r>
      <w:r w:rsidRPr="003571F6">
        <w:t>малкото мито. ЕИСК подчертава, че е от изключителна важност пакетът за модернизиране на ИТЗ да бъде завършен и приет през следващите месеци, за да се създаде стабилна и ефективна система на търговска защита и да се гарантират работните места и растежът в ЕС.</w:t>
      </w:r>
    </w:p>
    <w:p w:rsidR="00C1115F" w:rsidRPr="003571F6" w:rsidRDefault="00C1115F" w:rsidP="00A3275A">
      <w:pPr>
        <w:widowControl w:val="0"/>
        <w:autoSpaceDE w:val="0"/>
        <w:autoSpaceDN w:val="0"/>
        <w:adjustRightInd w:val="0"/>
        <w:spacing w:line="276" w:lineRule="auto"/>
        <w:rPr>
          <w:szCs w:val="20"/>
        </w:rPr>
      </w:pP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Cs w:val="20"/>
        </w:rPr>
      </w:pPr>
      <w:r w:rsidRPr="003571F6">
        <w:rPr>
          <w:b/>
          <w:i/>
        </w:rPr>
        <w:t>За контакт:</w:t>
      </w:r>
      <w:r w:rsidRPr="003571F6">
        <w:tab/>
      </w:r>
      <w:r w:rsidRPr="003571F6">
        <w:rPr>
          <w:i/>
        </w:rPr>
        <w:t>Цонка Йоцова</w:t>
      </w:r>
    </w:p>
    <w:p w:rsidR="00C1115F" w:rsidRPr="003571F6" w:rsidRDefault="00C1115F" w:rsidP="00A3275A">
      <w:pPr>
        <w:overflowPunct w:val="0"/>
        <w:autoSpaceDE w:val="0"/>
        <w:autoSpaceDN w:val="0"/>
        <w:adjustRightInd w:val="0"/>
        <w:spacing w:line="276" w:lineRule="auto"/>
        <w:ind w:left="1134"/>
        <w:textAlignment w:val="baseline"/>
        <w:rPr>
          <w:iCs/>
        </w:rPr>
      </w:pPr>
      <w:r w:rsidRPr="003571F6">
        <w:rPr>
          <w:i/>
        </w:rPr>
        <w:t xml:space="preserve">(Тел.: 00 32 2 546 8978 – електронен адрес: </w:t>
      </w:r>
      <w:hyperlink r:id="rId28">
        <w:r w:rsidRPr="003571F6">
          <w:rPr>
            <w:i/>
            <w:color w:val="0000FF"/>
            <w:u w:val="single"/>
          </w:rPr>
          <w:t>Tzonka.Iotzova@eesc.europa.eu</w:t>
        </w:r>
      </w:hyperlink>
      <w:r w:rsidRPr="003571F6">
        <w:rPr>
          <w:i/>
        </w:rPr>
        <w:t>)</w:t>
      </w:r>
    </w:p>
    <w:p w:rsidR="00BC5473" w:rsidRPr="003571F6" w:rsidRDefault="00BC5473" w:rsidP="00A3275A">
      <w:pPr>
        <w:spacing w:line="276" w:lineRule="auto"/>
        <w:rPr>
          <w:b/>
          <w:highlight w:val="green"/>
        </w:rPr>
      </w:pPr>
    </w:p>
    <w:p w:rsidR="00E6566F" w:rsidRPr="003571F6" w:rsidRDefault="00E6566F" w:rsidP="00A3275A">
      <w:pPr>
        <w:pStyle w:val="Heading1"/>
        <w:spacing w:line="276" w:lineRule="auto"/>
        <w:rPr>
          <w:b/>
          <w:iCs/>
        </w:rPr>
      </w:pPr>
      <w:bookmarkStart w:id="14" w:name="_Toc477938715"/>
      <w:bookmarkStart w:id="15" w:name="_Toc480380521"/>
      <w:r w:rsidRPr="003571F6">
        <w:rPr>
          <w:b/>
        </w:rPr>
        <w:t>ТРАНСПОРТ</w:t>
      </w:r>
      <w:bookmarkEnd w:id="14"/>
      <w:bookmarkEnd w:id="15"/>
    </w:p>
    <w:p w:rsidR="00E84F95" w:rsidRPr="003571F6" w:rsidRDefault="00E84F95" w:rsidP="0013272B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6D7E2A" w:rsidRPr="003571F6" w:rsidRDefault="006D7E2A" w:rsidP="00A327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567" w:hanging="283"/>
        <w:textAlignment w:val="baseline"/>
        <w:rPr>
          <w:bCs/>
          <w:i/>
          <w:sz w:val="28"/>
          <w:szCs w:val="28"/>
        </w:rPr>
      </w:pPr>
      <w:r w:rsidRPr="003571F6">
        <w:rPr>
          <w:b/>
          <w:i/>
          <w:sz w:val="28"/>
        </w:rPr>
        <w:t>Отмяна на регламенти в сектора на транспорта</w:t>
      </w:r>
    </w:p>
    <w:p w:rsidR="006D7E2A" w:rsidRPr="003571F6" w:rsidRDefault="006D7E2A" w:rsidP="00A3275A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Cs w:val="20"/>
          <w:highlight w:val="green"/>
        </w:rPr>
      </w:pPr>
    </w:p>
    <w:p w:rsidR="006D7E2A" w:rsidRPr="003571F6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3571F6">
        <w:rPr>
          <w:b/>
        </w:rPr>
        <w:t>Докладчик:</w:t>
      </w:r>
      <w:r w:rsidRPr="003571F6">
        <w:tab/>
        <w:t>Jan Simons (група „Работодатели“ – NL)</w:t>
      </w:r>
    </w:p>
    <w:p w:rsidR="004079A9" w:rsidRPr="003571F6" w:rsidRDefault="006D7E2A" w:rsidP="00A3275A">
      <w:pPr>
        <w:tabs>
          <w:tab w:val="num" w:pos="550"/>
          <w:tab w:val="left" w:pos="1701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3571F6">
        <w:rPr>
          <w:b/>
        </w:rPr>
        <w:t>Референтни документи:</w:t>
      </w:r>
      <w:r w:rsidRPr="003571F6">
        <w:tab/>
        <w:t>COM(2016) 745 final – 2016/0368 (COD)</w:t>
      </w:r>
    </w:p>
    <w:p w:rsidR="006D7E2A" w:rsidRPr="003571F6" w:rsidRDefault="006D7E2A" w:rsidP="0013272B">
      <w:pPr>
        <w:tabs>
          <w:tab w:val="num" w:pos="550"/>
        </w:tabs>
        <w:overflowPunct w:val="0"/>
        <w:autoSpaceDE w:val="0"/>
        <w:autoSpaceDN w:val="0"/>
        <w:adjustRightInd w:val="0"/>
        <w:spacing w:line="276" w:lineRule="auto"/>
        <w:ind w:left="2835"/>
        <w:textAlignment w:val="baseline"/>
        <w:rPr>
          <w:szCs w:val="20"/>
          <w:highlight w:val="green"/>
        </w:rPr>
      </w:pPr>
      <w:r w:rsidRPr="003571F6">
        <w:t>EESC-2017-00448-00-00-AS-TRA</w:t>
      </w:r>
    </w:p>
    <w:p w:rsidR="006D7E2A" w:rsidRPr="003571F6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highlight w:val="green"/>
        </w:rPr>
      </w:pPr>
    </w:p>
    <w:p w:rsidR="006D7E2A" w:rsidRPr="003571F6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3571F6">
        <w:rPr>
          <w:b/>
        </w:rPr>
        <w:t>Основни аспекти:</w:t>
      </w:r>
    </w:p>
    <w:p w:rsidR="00E84F95" w:rsidRPr="003571F6" w:rsidRDefault="00E84F95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6D7E2A" w:rsidRPr="003571F6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3571F6">
        <w:t>В контекста на програмата REFIT и ангажимента към по-добро законотворчество с цел да се гарантира установяване на подходяща и висококачествена регулаторна рамка, както се посочва в Междуинституционалното споразумение за по-добро законотворчество между Европейския парламент, Съвета на Европейския съюз и Европейската комисия, последната предлага отмяна на посочените три регламента като остарели.</w:t>
      </w:r>
    </w:p>
    <w:p w:rsidR="00E84F95" w:rsidRPr="003571F6" w:rsidRDefault="00E84F95" w:rsidP="0013272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6D7E2A" w:rsidRPr="003571F6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3571F6">
        <w:t>ЕИСК винаги е подкрепял виждането, че регулаторната рамка трябва да бъде висококачествена и адаптирана към потребностите, но също и прозрачна, ясна и лесна за използване за държавите членки и заинтересованите страни, в този случай в секторите на транспорта по вътрешните водни пътища и на товарния автомобилен транспорт.</w:t>
      </w:r>
    </w:p>
    <w:p w:rsidR="00E84F95" w:rsidRPr="003571F6" w:rsidRDefault="00E84F95" w:rsidP="0013272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</w:p>
    <w:p w:rsidR="006D7E2A" w:rsidRPr="003571F6" w:rsidRDefault="006D7E2A" w:rsidP="0013272B">
      <w:pPr>
        <w:pageBreakBefore/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0"/>
        </w:rPr>
      </w:pPr>
      <w:r w:rsidRPr="003571F6">
        <w:t>След консултация със заинтересованите представителни организации ЕИСК стига до заключението, че предложението на Комисията за регламент</w:t>
      </w:r>
      <w:r w:rsidR="0013272B" w:rsidRPr="003571F6">
        <w:t xml:space="preserve"> за отмяна на Регламент (ЕИО) № </w:t>
      </w:r>
      <w:r w:rsidRPr="003571F6">
        <w:t>1101/89 (временна схема за бракуване на плавателни съдове във вътрешноводния транспорт) и Регламенти (ЕО) № 2888/2000, (разпределяне на разрешителните за товарни превози, получени от Швейцария) и (ЕО) № 685/2001 (разпределяне на разрешителните за товарни превози, предоставени от България и Румъния преди присъединяването им към ЕС), може да бъде подкрепено.</w:t>
      </w:r>
    </w:p>
    <w:p w:rsidR="006D7E2A" w:rsidRPr="003571F6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i/>
        </w:rPr>
      </w:pPr>
    </w:p>
    <w:p w:rsidR="006D7E2A" w:rsidRPr="003571F6" w:rsidRDefault="006D7E2A" w:rsidP="00A3275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</w:rPr>
      </w:pPr>
      <w:r w:rsidRPr="003571F6">
        <w:rPr>
          <w:b/>
          <w:i/>
        </w:rPr>
        <w:t>За контакт:</w:t>
      </w:r>
      <w:r w:rsidRPr="003571F6">
        <w:rPr>
          <w:i/>
        </w:rPr>
        <w:t>Agota Bazsik</w:t>
      </w:r>
    </w:p>
    <w:p w:rsidR="006D7E2A" w:rsidRPr="003571F6" w:rsidRDefault="006D7E2A" w:rsidP="00A3275A">
      <w:pPr>
        <w:overflowPunct w:val="0"/>
        <w:autoSpaceDE w:val="0"/>
        <w:autoSpaceDN w:val="0"/>
        <w:adjustRightInd w:val="0"/>
        <w:spacing w:line="276" w:lineRule="auto"/>
        <w:ind w:left="1134"/>
        <w:textAlignment w:val="baseline"/>
        <w:rPr>
          <w:i/>
        </w:rPr>
      </w:pPr>
      <w:r w:rsidRPr="003571F6">
        <w:rPr>
          <w:i/>
        </w:rPr>
        <w:t xml:space="preserve">(Тел.: 00 32 2 546 8658 – електронен адрес: </w:t>
      </w:r>
      <w:hyperlink r:id="rId29">
        <w:r w:rsidRPr="003571F6">
          <w:rPr>
            <w:i/>
            <w:color w:val="0000FF"/>
            <w:u w:val="single"/>
          </w:rPr>
          <w:t>Agota.Bazsik@eesc.europa.eu</w:t>
        </w:r>
      </w:hyperlink>
      <w:r w:rsidRPr="003571F6">
        <w:rPr>
          <w:i/>
        </w:rPr>
        <w:t>)</w:t>
      </w:r>
    </w:p>
    <w:p w:rsidR="007D03DC" w:rsidRPr="003571F6" w:rsidRDefault="007D03DC" w:rsidP="00E6566F"/>
    <w:p w:rsidR="00156950" w:rsidRPr="003571F6" w:rsidRDefault="00156950" w:rsidP="008B7E27">
      <w:pPr>
        <w:overflowPunct w:val="0"/>
        <w:autoSpaceDE w:val="0"/>
        <w:autoSpaceDN w:val="0"/>
        <w:adjustRightInd w:val="0"/>
        <w:jc w:val="center"/>
        <w:textAlignment w:val="baseline"/>
      </w:pPr>
      <w:r w:rsidRPr="003571F6">
        <w:t>_____________</w:t>
      </w:r>
    </w:p>
    <w:sectPr w:rsidR="00156950" w:rsidRPr="003571F6" w:rsidSect="0089563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BF" w:rsidRDefault="004C07BF" w:rsidP="003B283B">
      <w:pPr>
        <w:spacing w:line="240" w:lineRule="auto"/>
      </w:pPr>
      <w:r>
        <w:separator/>
      </w:r>
    </w:p>
  </w:endnote>
  <w:endnote w:type="continuationSeparator" w:id="0">
    <w:p w:rsidR="004C07BF" w:rsidRDefault="004C07BF" w:rsidP="003B283B">
      <w:pPr>
        <w:spacing w:line="240" w:lineRule="auto"/>
      </w:pPr>
      <w:r>
        <w:continuationSeparator/>
      </w:r>
    </w:p>
  </w:endnote>
  <w:endnote w:type="continuationNotice" w:id="1">
    <w:p w:rsidR="004C07BF" w:rsidRDefault="004C07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89563A" w:rsidRDefault="0089563A" w:rsidP="0089563A">
    <w:pPr>
      <w:pStyle w:val="Footer"/>
    </w:pPr>
    <w:r>
      <w:t xml:space="preserve">EESC-2017-01003-00-01-TCD-TRA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3571F6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3571F6">
      <w:fldChar w:fldCharType="begin"/>
    </w:r>
    <w:r w:rsidR="003571F6">
      <w:instrText xml:space="preserve"> NUMPAGES </w:instrText>
    </w:r>
    <w:r w:rsidR="003571F6">
      <w:fldChar w:fldCharType="separate"/>
    </w:r>
    <w:r w:rsidR="003571F6">
      <w:rPr>
        <w:noProof/>
      </w:rPr>
      <w:instrText>3</w:instrText>
    </w:r>
    <w:r w:rsidR="003571F6">
      <w:rPr>
        <w:noProof/>
      </w:rPr>
      <w:fldChar w:fldCharType="end"/>
    </w:r>
    <w:r>
      <w:instrText xml:space="preserve"> </w:instrText>
    </w:r>
    <w:r>
      <w:fldChar w:fldCharType="separate"/>
    </w:r>
    <w:r w:rsidR="003571F6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89563A" w:rsidRDefault="004C07BF" w:rsidP="00895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89563A" w:rsidRDefault="0089563A" w:rsidP="0089563A">
    <w:pPr>
      <w:pStyle w:val="Footer"/>
    </w:pPr>
    <w:r>
      <w:t xml:space="preserve">EESC-2017-01003-00-01-TCD-TRA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3571F6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r w:rsidR="003571F6">
      <w:fldChar w:fldCharType="begin"/>
    </w:r>
    <w:r w:rsidR="003571F6">
      <w:instrText xml:space="preserve"> NUMPAGES </w:instrText>
    </w:r>
    <w:r w:rsidR="003571F6">
      <w:fldChar w:fldCharType="separate"/>
    </w:r>
    <w:r w:rsidR="003571F6">
      <w:rPr>
        <w:noProof/>
      </w:rPr>
      <w:instrText>3</w:instrText>
    </w:r>
    <w:r w:rsidR="003571F6">
      <w:rPr>
        <w:noProof/>
      </w:rPr>
      <w:fldChar w:fldCharType="end"/>
    </w:r>
    <w:r>
      <w:instrText xml:space="preserve"> </w:instrText>
    </w:r>
    <w:r>
      <w:fldChar w:fldCharType="separate"/>
    </w:r>
    <w:r w:rsidR="003571F6">
      <w:rPr>
        <w:noProof/>
      </w:rPr>
      <w:t>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89563A" w:rsidRDefault="004C07BF" w:rsidP="00895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BF" w:rsidRDefault="004C07BF" w:rsidP="003B283B">
      <w:pPr>
        <w:spacing w:line="240" w:lineRule="auto"/>
      </w:pPr>
      <w:r>
        <w:separator/>
      </w:r>
    </w:p>
  </w:footnote>
  <w:footnote w:type="continuationSeparator" w:id="0">
    <w:p w:rsidR="004C07BF" w:rsidRDefault="004C07BF" w:rsidP="003B283B">
      <w:pPr>
        <w:spacing w:line="240" w:lineRule="auto"/>
      </w:pPr>
      <w:r>
        <w:continuationSeparator/>
      </w:r>
    </w:p>
  </w:footnote>
  <w:footnote w:type="continuationNotice" w:id="1">
    <w:p w:rsidR="004C07BF" w:rsidRPr="00377A77" w:rsidRDefault="004C07B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89563A" w:rsidRDefault="004C07BF" w:rsidP="00895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89563A" w:rsidRDefault="004C07BF" w:rsidP="008956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BF" w:rsidRPr="0089563A" w:rsidRDefault="004C07BF" w:rsidP="00895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58074F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7A6591"/>
    <w:multiLevelType w:val="hybridMultilevel"/>
    <w:tmpl w:val="404AE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370DB"/>
    <w:multiLevelType w:val="hybridMultilevel"/>
    <w:tmpl w:val="934E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92FF2"/>
    <w:multiLevelType w:val="hybridMultilevel"/>
    <w:tmpl w:val="3FD06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11FB4"/>
    <w:multiLevelType w:val="hybridMultilevel"/>
    <w:tmpl w:val="EE1EB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A2154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7">
    <w:nsid w:val="21365F1C"/>
    <w:multiLevelType w:val="hybridMultilevel"/>
    <w:tmpl w:val="F9B07F6C"/>
    <w:lvl w:ilvl="0" w:tplc="785AADF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32FB5"/>
    <w:multiLevelType w:val="hybridMultilevel"/>
    <w:tmpl w:val="EC3C5F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009B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57113"/>
    <w:multiLevelType w:val="hybridMultilevel"/>
    <w:tmpl w:val="6BE82942"/>
    <w:lvl w:ilvl="0" w:tplc="009CC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72673"/>
    <w:multiLevelType w:val="hybridMultilevel"/>
    <w:tmpl w:val="9118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805FB"/>
    <w:multiLevelType w:val="hybridMultilevel"/>
    <w:tmpl w:val="4E22F3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87AFF"/>
    <w:multiLevelType w:val="hybridMultilevel"/>
    <w:tmpl w:val="DAE07A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228B1"/>
    <w:multiLevelType w:val="hybridMultilevel"/>
    <w:tmpl w:val="9B48AC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45A15"/>
    <w:multiLevelType w:val="hybridMultilevel"/>
    <w:tmpl w:val="1766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24569"/>
    <w:multiLevelType w:val="hybridMultilevel"/>
    <w:tmpl w:val="3112F4B2"/>
    <w:lvl w:ilvl="0" w:tplc="B9FED33E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A270B"/>
    <w:multiLevelType w:val="hybridMultilevel"/>
    <w:tmpl w:val="003A0D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87B3012"/>
    <w:multiLevelType w:val="hybridMultilevel"/>
    <w:tmpl w:val="E480A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91E6B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59D91D28"/>
    <w:multiLevelType w:val="hybridMultilevel"/>
    <w:tmpl w:val="773A9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C5D50"/>
    <w:multiLevelType w:val="hybridMultilevel"/>
    <w:tmpl w:val="1194AF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614B4760"/>
    <w:multiLevelType w:val="hybridMultilevel"/>
    <w:tmpl w:val="FF12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F53D6"/>
    <w:multiLevelType w:val="hybridMultilevel"/>
    <w:tmpl w:val="5D2E37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F7774"/>
    <w:multiLevelType w:val="hybridMultilevel"/>
    <w:tmpl w:val="13528DA4"/>
    <w:lvl w:ilvl="0" w:tplc="CB285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842C3A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6A7D1050"/>
    <w:multiLevelType w:val="hybridMultilevel"/>
    <w:tmpl w:val="7E2493F4"/>
    <w:lvl w:ilvl="0" w:tplc="EEF02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79493A"/>
    <w:multiLevelType w:val="hybridMultilevel"/>
    <w:tmpl w:val="D6561F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9A64ED"/>
    <w:multiLevelType w:val="hybridMultilevel"/>
    <w:tmpl w:val="325C538C"/>
    <w:lvl w:ilvl="0" w:tplc="5956C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13587"/>
    <w:multiLevelType w:val="hybridMultilevel"/>
    <w:tmpl w:val="7BECB25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433624"/>
    <w:multiLevelType w:val="hybridMultilevel"/>
    <w:tmpl w:val="230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31035"/>
    <w:multiLevelType w:val="hybridMultilevel"/>
    <w:tmpl w:val="2784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5615A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7FF407A9"/>
    <w:multiLevelType w:val="hybridMultilevel"/>
    <w:tmpl w:val="E228A9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16"/>
  </w:num>
  <w:num w:numId="7">
    <w:abstractNumId w:val="34"/>
  </w:num>
  <w:num w:numId="8">
    <w:abstractNumId w:val="8"/>
  </w:num>
  <w:num w:numId="9">
    <w:abstractNumId w:val="20"/>
  </w:num>
  <w:num w:numId="10">
    <w:abstractNumId w:val="26"/>
  </w:num>
  <w:num w:numId="11">
    <w:abstractNumId w:val="19"/>
  </w:num>
  <w:num w:numId="12">
    <w:abstractNumId w:val="33"/>
  </w:num>
  <w:num w:numId="13">
    <w:abstractNumId w:val="15"/>
  </w:num>
  <w:num w:numId="14">
    <w:abstractNumId w:val="2"/>
  </w:num>
  <w:num w:numId="15">
    <w:abstractNumId w:val="14"/>
  </w:num>
  <w:num w:numId="16">
    <w:abstractNumId w:val="18"/>
  </w:num>
  <w:num w:numId="17">
    <w:abstractNumId w:val="21"/>
  </w:num>
  <w:num w:numId="18">
    <w:abstractNumId w:val="9"/>
  </w:num>
  <w:num w:numId="19">
    <w:abstractNumId w:val="29"/>
  </w:num>
  <w:num w:numId="20">
    <w:abstractNumId w:val="5"/>
  </w:num>
  <w:num w:numId="21">
    <w:abstractNumId w:val="31"/>
  </w:num>
  <w:num w:numId="22">
    <w:abstractNumId w:val="4"/>
  </w:num>
  <w:num w:numId="23">
    <w:abstractNumId w:val="13"/>
  </w:num>
  <w:num w:numId="24">
    <w:abstractNumId w:val="25"/>
  </w:num>
  <w:num w:numId="25">
    <w:abstractNumId w:val="28"/>
  </w:num>
  <w:num w:numId="26">
    <w:abstractNumId w:val="27"/>
  </w:num>
  <w:num w:numId="27">
    <w:abstractNumId w:val="17"/>
  </w:num>
  <w:num w:numId="28">
    <w:abstractNumId w:val="11"/>
  </w:num>
  <w:num w:numId="29">
    <w:abstractNumId w:val="24"/>
  </w:num>
  <w:num w:numId="30">
    <w:abstractNumId w:val="32"/>
  </w:num>
  <w:num w:numId="31">
    <w:abstractNumId w:val="3"/>
  </w:num>
  <w:num w:numId="3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9" w:hanging="283"/>
        </w:pPr>
        <w:rPr>
          <w:rFonts w:ascii="Symbol" w:hAnsi="Symbol" w:hint="default"/>
        </w:rPr>
      </w:lvl>
    </w:lvlOverride>
  </w:num>
  <w:num w:numId="33">
    <w:abstractNumId w:val="23"/>
  </w:num>
  <w:num w:numId="34">
    <w:abstractNumId w:val="10"/>
  </w:num>
  <w:num w:numId="35">
    <w:abstractNumId w:val="6"/>
  </w:num>
  <w:num w:numId="36">
    <w:abstractNumId w:val="12"/>
  </w:num>
  <w:num w:numId="37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E4F"/>
    <w:rsid w:val="00004D0F"/>
    <w:rsid w:val="00007B94"/>
    <w:rsid w:val="000115A9"/>
    <w:rsid w:val="000138A1"/>
    <w:rsid w:val="0001686B"/>
    <w:rsid w:val="00017703"/>
    <w:rsid w:val="00020A28"/>
    <w:rsid w:val="000215A9"/>
    <w:rsid w:val="00022B6C"/>
    <w:rsid w:val="000244F9"/>
    <w:rsid w:val="00026BD2"/>
    <w:rsid w:val="00030B04"/>
    <w:rsid w:val="0003128F"/>
    <w:rsid w:val="000316FF"/>
    <w:rsid w:val="00031C70"/>
    <w:rsid w:val="00032E3A"/>
    <w:rsid w:val="000338E8"/>
    <w:rsid w:val="00033C6E"/>
    <w:rsid w:val="00033DA8"/>
    <w:rsid w:val="000349EE"/>
    <w:rsid w:val="00034A75"/>
    <w:rsid w:val="00035EF4"/>
    <w:rsid w:val="000378CC"/>
    <w:rsid w:val="0004006B"/>
    <w:rsid w:val="0004042B"/>
    <w:rsid w:val="00041C6C"/>
    <w:rsid w:val="00041EB7"/>
    <w:rsid w:val="00051C81"/>
    <w:rsid w:val="0005250A"/>
    <w:rsid w:val="000529F2"/>
    <w:rsid w:val="00054E26"/>
    <w:rsid w:val="00055735"/>
    <w:rsid w:val="000562AF"/>
    <w:rsid w:val="00057390"/>
    <w:rsid w:val="00060853"/>
    <w:rsid w:val="00067189"/>
    <w:rsid w:val="00067BC4"/>
    <w:rsid w:val="00070C28"/>
    <w:rsid w:val="000714D6"/>
    <w:rsid w:val="00071E53"/>
    <w:rsid w:val="0007365D"/>
    <w:rsid w:val="00073A46"/>
    <w:rsid w:val="00074A88"/>
    <w:rsid w:val="00074CD8"/>
    <w:rsid w:val="000814F6"/>
    <w:rsid w:val="00081813"/>
    <w:rsid w:val="000818D4"/>
    <w:rsid w:val="000821ED"/>
    <w:rsid w:val="000836FE"/>
    <w:rsid w:val="00086D04"/>
    <w:rsid w:val="00087AE9"/>
    <w:rsid w:val="00094645"/>
    <w:rsid w:val="000967CA"/>
    <w:rsid w:val="00096999"/>
    <w:rsid w:val="000A62E2"/>
    <w:rsid w:val="000C07F0"/>
    <w:rsid w:val="000C0946"/>
    <w:rsid w:val="000C0AA0"/>
    <w:rsid w:val="000C2679"/>
    <w:rsid w:val="000C37E9"/>
    <w:rsid w:val="000C3DF6"/>
    <w:rsid w:val="000C469F"/>
    <w:rsid w:val="000D28F0"/>
    <w:rsid w:val="000D50A8"/>
    <w:rsid w:val="000D59D3"/>
    <w:rsid w:val="000D7F5A"/>
    <w:rsid w:val="000E4C16"/>
    <w:rsid w:val="000E6466"/>
    <w:rsid w:val="000E6F41"/>
    <w:rsid w:val="000F035E"/>
    <w:rsid w:val="000F16CE"/>
    <w:rsid w:val="000F181E"/>
    <w:rsid w:val="000F42C4"/>
    <w:rsid w:val="000F77C3"/>
    <w:rsid w:val="0010339F"/>
    <w:rsid w:val="0010391E"/>
    <w:rsid w:val="00103CC0"/>
    <w:rsid w:val="00104975"/>
    <w:rsid w:val="001053BA"/>
    <w:rsid w:val="0010786D"/>
    <w:rsid w:val="00110344"/>
    <w:rsid w:val="001127C6"/>
    <w:rsid w:val="001138B0"/>
    <w:rsid w:val="001158DF"/>
    <w:rsid w:val="00116CFB"/>
    <w:rsid w:val="00126A7F"/>
    <w:rsid w:val="00127660"/>
    <w:rsid w:val="00131042"/>
    <w:rsid w:val="0013146D"/>
    <w:rsid w:val="0013272B"/>
    <w:rsid w:val="00136F53"/>
    <w:rsid w:val="00136FA8"/>
    <w:rsid w:val="001376AC"/>
    <w:rsid w:val="0014104C"/>
    <w:rsid w:val="00142A4E"/>
    <w:rsid w:val="0014464E"/>
    <w:rsid w:val="00144DCE"/>
    <w:rsid w:val="00146F91"/>
    <w:rsid w:val="00153199"/>
    <w:rsid w:val="001540D3"/>
    <w:rsid w:val="00155138"/>
    <w:rsid w:val="00156950"/>
    <w:rsid w:val="00157649"/>
    <w:rsid w:val="00160DCC"/>
    <w:rsid w:val="001657F4"/>
    <w:rsid w:val="00166FCB"/>
    <w:rsid w:val="0017241F"/>
    <w:rsid w:val="001737B7"/>
    <w:rsid w:val="0017469D"/>
    <w:rsid w:val="001764F7"/>
    <w:rsid w:val="001768E2"/>
    <w:rsid w:val="0018061D"/>
    <w:rsid w:val="00180A82"/>
    <w:rsid w:val="00182D03"/>
    <w:rsid w:val="00184B28"/>
    <w:rsid w:val="00184C46"/>
    <w:rsid w:val="00186D96"/>
    <w:rsid w:val="00191C0B"/>
    <w:rsid w:val="00194447"/>
    <w:rsid w:val="0019516A"/>
    <w:rsid w:val="00195479"/>
    <w:rsid w:val="001A1064"/>
    <w:rsid w:val="001A3D0C"/>
    <w:rsid w:val="001B0D26"/>
    <w:rsid w:val="001B1504"/>
    <w:rsid w:val="001B18C2"/>
    <w:rsid w:val="001B1AFB"/>
    <w:rsid w:val="001B232C"/>
    <w:rsid w:val="001B28BC"/>
    <w:rsid w:val="001B424E"/>
    <w:rsid w:val="001B4CC9"/>
    <w:rsid w:val="001B77EA"/>
    <w:rsid w:val="001C0535"/>
    <w:rsid w:val="001C05B2"/>
    <w:rsid w:val="001C07DD"/>
    <w:rsid w:val="001C0B67"/>
    <w:rsid w:val="001C17BE"/>
    <w:rsid w:val="001C365D"/>
    <w:rsid w:val="001C4264"/>
    <w:rsid w:val="001C6C93"/>
    <w:rsid w:val="001D013F"/>
    <w:rsid w:val="001D4E3C"/>
    <w:rsid w:val="001D52CB"/>
    <w:rsid w:val="001D6C48"/>
    <w:rsid w:val="001E2338"/>
    <w:rsid w:val="001E74A2"/>
    <w:rsid w:val="001E76FC"/>
    <w:rsid w:val="001F0BC4"/>
    <w:rsid w:val="001F1F3D"/>
    <w:rsid w:val="001F4D66"/>
    <w:rsid w:val="00200F03"/>
    <w:rsid w:val="002013C3"/>
    <w:rsid w:val="00202634"/>
    <w:rsid w:val="00203A8F"/>
    <w:rsid w:val="00204864"/>
    <w:rsid w:val="002052D8"/>
    <w:rsid w:val="00205EFC"/>
    <w:rsid w:val="00211393"/>
    <w:rsid w:val="00211FAE"/>
    <w:rsid w:val="00212787"/>
    <w:rsid w:val="002138A9"/>
    <w:rsid w:val="00214451"/>
    <w:rsid w:val="00221123"/>
    <w:rsid w:val="002236A6"/>
    <w:rsid w:val="00224DE6"/>
    <w:rsid w:val="00224E75"/>
    <w:rsid w:val="00226823"/>
    <w:rsid w:val="002276DD"/>
    <w:rsid w:val="0023002B"/>
    <w:rsid w:val="00233CAC"/>
    <w:rsid w:val="0023548F"/>
    <w:rsid w:val="002407AA"/>
    <w:rsid w:val="00242408"/>
    <w:rsid w:val="00242759"/>
    <w:rsid w:val="00242890"/>
    <w:rsid w:val="00242B03"/>
    <w:rsid w:val="00243514"/>
    <w:rsid w:val="002469F7"/>
    <w:rsid w:val="002539A1"/>
    <w:rsid w:val="00253B72"/>
    <w:rsid w:val="002559A2"/>
    <w:rsid w:val="002563ED"/>
    <w:rsid w:val="00256406"/>
    <w:rsid w:val="0026049D"/>
    <w:rsid w:val="00263B55"/>
    <w:rsid w:val="002653BB"/>
    <w:rsid w:val="00266729"/>
    <w:rsid w:val="00266BC6"/>
    <w:rsid w:val="00266F79"/>
    <w:rsid w:val="00267AB2"/>
    <w:rsid w:val="0027137C"/>
    <w:rsid w:val="00281365"/>
    <w:rsid w:val="0028188E"/>
    <w:rsid w:val="002843D9"/>
    <w:rsid w:val="002903CB"/>
    <w:rsid w:val="00291252"/>
    <w:rsid w:val="002915A8"/>
    <w:rsid w:val="00291981"/>
    <w:rsid w:val="00291F64"/>
    <w:rsid w:val="002A0707"/>
    <w:rsid w:val="002A17C4"/>
    <w:rsid w:val="002A349B"/>
    <w:rsid w:val="002A3665"/>
    <w:rsid w:val="002A4A76"/>
    <w:rsid w:val="002A5E72"/>
    <w:rsid w:val="002A5F58"/>
    <w:rsid w:val="002B2798"/>
    <w:rsid w:val="002B4372"/>
    <w:rsid w:val="002B5973"/>
    <w:rsid w:val="002C0F1F"/>
    <w:rsid w:val="002C1999"/>
    <w:rsid w:val="002C24EA"/>
    <w:rsid w:val="002C3DCC"/>
    <w:rsid w:val="002C43DB"/>
    <w:rsid w:val="002C5D72"/>
    <w:rsid w:val="002D0F32"/>
    <w:rsid w:val="002D1B76"/>
    <w:rsid w:val="002D41B7"/>
    <w:rsid w:val="002D73EF"/>
    <w:rsid w:val="002D750B"/>
    <w:rsid w:val="002F0044"/>
    <w:rsid w:val="002F0388"/>
    <w:rsid w:val="003002D3"/>
    <w:rsid w:val="003058FB"/>
    <w:rsid w:val="00306501"/>
    <w:rsid w:val="003075E1"/>
    <w:rsid w:val="003079A2"/>
    <w:rsid w:val="00307A61"/>
    <w:rsid w:val="00310496"/>
    <w:rsid w:val="00311036"/>
    <w:rsid w:val="00311101"/>
    <w:rsid w:val="003111F0"/>
    <w:rsid w:val="00313967"/>
    <w:rsid w:val="00314E67"/>
    <w:rsid w:val="003154F6"/>
    <w:rsid w:val="003160F4"/>
    <w:rsid w:val="003179EF"/>
    <w:rsid w:val="00322BCE"/>
    <w:rsid w:val="00325A3E"/>
    <w:rsid w:val="00326F48"/>
    <w:rsid w:val="00327A6E"/>
    <w:rsid w:val="00327A80"/>
    <w:rsid w:val="00330A73"/>
    <w:rsid w:val="00331316"/>
    <w:rsid w:val="00331403"/>
    <w:rsid w:val="00332F52"/>
    <w:rsid w:val="00336DB2"/>
    <w:rsid w:val="00342715"/>
    <w:rsid w:val="0034601A"/>
    <w:rsid w:val="0034657E"/>
    <w:rsid w:val="00350470"/>
    <w:rsid w:val="003526C7"/>
    <w:rsid w:val="003542D4"/>
    <w:rsid w:val="003543F0"/>
    <w:rsid w:val="003555A1"/>
    <w:rsid w:val="0035631F"/>
    <w:rsid w:val="003571F6"/>
    <w:rsid w:val="00357667"/>
    <w:rsid w:val="00360D02"/>
    <w:rsid w:val="00361CF3"/>
    <w:rsid w:val="00362B7F"/>
    <w:rsid w:val="00364D74"/>
    <w:rsid w:val="00371671"/>
    <w:rsid w:val="0037202C"/>
    <w:rsid w:val="00372D96"/>
    <w:rsid w:val="003759AE"/>
    <w:rsid w:val="00376735"/>
    <w:rsid w:val="00377A77"/>
    <w:rsid w:val="003803A1"/>
    <w:rsid w:val="00380A9A"/>
    <w:rsid w:val="0038274D"/>
    <w:rsid w:val="003833E4"/>
    <w:rsid w:val="0038799C"/>
    <w:rsid w:val="00387CFB"/>
    <w:rsid w:val="00392559"/>
    <w:rsid w:val="003939EE"/>
    <w:rsid w:val="00394196"/>
    <w:rsid w:val="0039485C"/>
    <w:rsid w:val="00397835"/>
    <w:rsid w:val="00397A66"/>
    <w:rsid w:val="00397C0A"/>
    <w:rsid w:val="003A4AB8"/>
    <w:rsid w:val="003A63B9"/>
    <w:rsid w:val="003A667F"/>
    <w:rsid w:val="003A7683"/>
    <w:rsid w:val="003B20F1"/>
    <w:rsid w:val="003B283B"/>
    <w:rsid w:val="003B2AB5"/>
    <w:rsid w:val="003B2BA2"/>
    <w:rsid w:val="003B38AA"/>
    <w:rsid w:val="003B5313"/>
    <w:rsid w:val="003B5456"/>
    <w:rsid w:val="003C1187"/>
    <w:rsid w:val="003C2DB1"/>
    <w:rsid w:val="003C4AF5"/>
    <w:rsid w:val="003C4EF8"/>
    <w:rsid w:val="003C5357"/>
    <w:rsid w:val="003D05FE"/>
    <w:rsid w:val="003D35EF"/>
    <w:rsid w:val="003D3B49"/>
    <w:rsid w:val="003D3D9E"/>
    <w:rsid w:val="003D7FAF"/>
    <w:rsid w:val="003E0B8C"/>
    <w:rsid w:val="003E24BB"/>
    <w:rsid w:val="003E387D"/>
    <w:rsid w:val="003E5833"/>
    <w:rsid w:val="003E6010"/>
    <w:rsid w:val="003E693F"/>
    <w:rsid w:val="003E75FE"/>
    <w:rsid w:val="003F1D4E"/>
    <w:rsid w:val="003F2CD5"/>
    <w:rsid w:val="003F2F97"/>
    <w:rsid w:val="003F4FF6"/>
    <w:rsid w:val="003F59AD"/>
    <w:rsid w:val="003F65E2"/>
    <w:rsid w:val="00400FC6"/>
    <w:rsid w:val="00402CA2"/>
    <w:rsid w:val="004079A9"/>
    <w:rsid w:val="00411755"/>
    <w:rsid w:val="0041385B"/>
    <w:rsid w:val="00413EED"/>
    <w:rsid w:val="00414A4C"/>
    <w:rsid w:val="00415AAD"/>
    <w:rsid w:val="0041728F"/>
    <w:rsid w:val="00421682"/>
    <w:rsid w:val="004221CC"/>
    <w:rsid w:val="004235E7"/>
    <w:rsid w:val="00425526"/>
    <w:rsid w:val="00426306"/>
    <w:rsid w:val="00427C97"/>
    <w:rsid w:val="00430FC6"/>
    <w:rsid w:val="004331FF"/>
    <w:rsid w:val="00434AB9"/>
    <w:rsid w:val="00434C77"/>
    <w:rsid w:val="00440808"/>
    <w:rsid w:val="00443153"/>
    <w:rsid w:val="0044401F"/>
    <w:rsid w:val="00444C4C"/>
    <w:rsid w:val="00444D44"/>
    <w:rsid w:val="004452E3"/>
    <w:rsid w:val="004520DF"/>
    <w:rsid w:val="0045436B"/>
    <w:rsid w:val="00460CCB"/>
    <w:rsid w:val="00460D3F"/>
    <w:rsid w:val="00461E3E"/>
    <w:rsid w:val="00464A26"/>
    <w:rsid w:val="00464B19"/>
    <w:rsid w:val="00464C86"/>
    <w:rsid w:val="00466AC6"/>
    <w:rsid w:val="0047016B"/>
    <w:rsid w:val="00470409"/>
    <w:rsid w:val="0047306F"/>
    <w:rsid w:val="0047417A"/>
    <w:rsid w:val="00477B4B"/>
    <w:rsid w:val="00477C1C"/>
    <w:rsid w:val="0048090F"/>
    <w:rsid w:val="00480C50"/>
    <w:rsid w:val="00486144"/>
    <w:rsid w:val="00486F07"/>
    <w:rsid w:val="004929C8"/>
    <w:rsid w:val="00492EDB"/>
    <w:rsid w:val="00496EBA"/>
    <w:rsid w:val="004A58D1"/>
    <w:rsid w:val="004A7356"/>
    <w:rsid w:val="004A737C"/>
    <w:rsid w:val="004A7AEE"/>
    <w:rsid w:val="004A7C3A"/>
    <w:rsid w:val="004A7E85"/>
    <w:rsid w:val="004B0633"/>
    <w:rsid w:val="004B14C0"/>
    <w:rsid w:val="004B41EE"/>
    <w:rsid w:val="004B7790"/>
    <w:rsid w:val="004C05A5"/>
    <w:rsid w:val="004C07BF"/>
    <w:rsid w:val="004C0FE5"/>
    <w:rsid w:val="004C4138"/>
    <w:rsid w:val="004C4D7B"/>
    <w:rsid w:val="004C56A4"/>
    <w:rsid w:val="004C6E55"/>
    <w:rsid w:val="004C7B95"/>
    <w:rsid w:val="004D1F3E"/>
    <w:rsid w:val="004D5272"/>
    <w:rsid w:val="004D6D5B"/>
    <w:rsid w:val="004E0268"/>
    <w:rsid w:val="004E0985"/>
    <w:rsid w:val="004E1536"/>
    <w:rsid w:val="004E16EC"/>
    <w:rsid w:val="004E21A8"/>
    <w:rsid w:val="004E2650"/>
    <w:rsid w:val="004E2B3E"/>
    <w:rsid w:val="004E3528"/>
    <w:rsid w:val="004E3A5B"/>
    <w:rsid w:val="004E46A8"/>
    <w:rsid w:val="004E4A42"/>
    <w:rsid w:val="004F0B26"/>
    <w:rsid w:val="004F3783"/>
    <w:rsid w:val="004F4E76"/>
    <w:rsid w:val="004F70F9"/>
    <w:rsid w:val="004F7A13"/>
    <w:rsid w:val="005021B6"/>
    <w:rsid w:val="005024F6"/>
    <w:rsid w:val="00504096"/>
    <w:rsid w:val="00504A01"/>
    <w:rsid w:val="00505516"/>
    <w:rsid w:val="00505DD7"/>
    <w:rsid w:val="00507398"/>
    <w:rsid w:val="005073C6"/>
    <w:rsid w:val="00507B8C"/>
    <w:rsid w:val="0051243D"/>
    <w:rsid w:val="00514A9A"/>
    <w:rsid w:val="00515BC0"/>
    <w:rsid w:val="00516F22"/>
    <w:rsid w:val="005207E3"/>
    <w:rsid w:val="00522152"/>
    <w:rsid w:val="00523686"/>
    <w:rsid w:val="00523996"/>
    <w:rsid w:val="00525911"/>
    <w:rsid w:val="00531900"/>
    <w:rsid w:val="005329D4"/>
    <w:rsid w:val="00534CC2"/>
    <w:rsid w:val="00535FFB"/>
    <w:rsid w:val="0054017F"/>
    <w:rsid w:val="0054168C"/>
    <w:rsid w:val="005434EE"/>
    <w:rsid w:val="00544876"/>
    <w:rsid w:val="0054508A"/>
    <w:rsid w:val="00546C60"/>
    <w:rsid w:val="005508F5"/>
    <w:rsid w:val="0055113A"/>
    <w:rsid w:val="005533A1"/>
    <w:rsid w:val="00554364"/>
    <w:rsid w:val="00554B37"/>
    <w:rsid w:val="00557587"/>
    <w:rsid w:val="00557A1C"/>
    <w:rsid w:val="00560AD6"/>
    <w:rsid w:val="005617E6"/>
    <w:rsid w:val="00561C94"/>
    <w:rsid w:val="005632D7"/>
    <w:rsid w:val="0056359E"/>
    <w:rsid w:val="00566858"/>
    <w:rsid w:val="00567A1B"/>
    <w:rsid w:val="0057117C"/>
    <w:rsid w:val="0057239E"/>
    <w:rsid w:val="005724ED"/>
    <w:rsid w:val="00575896"/>
    <w:rsid w:val="00575EED"/>
    <w:rsid w:val="00577829"/>
    <w:rsid w:val="005805C8"/>
    <w:rsid w:val="0058068C"/>
    <w:rsid w:val="00581104"/>
    <w:rsid w:val="00582ABA"/>
    <w:rsid w:val="00584D4C"/>
    <w:rsid w:val="005876F8"/>
    <w:rsid w:val="005918AB"/>
    <w:rsid w:val="00592C99"/>
    <w:rsid w:val="00593D2E"/>
    <w:rsid w:val="00595399"/>
    <w:rsid w:val="0059550E"/>
    <w:rsid w:val="00595E30"/>
    <w:rsid w:val="00597449"/>
    <w:rsid w:val="005A07EF"/>
    <w:rsid w:val="005A196D"/>
    <w:rsid w:val="005A22B5"/>
    <w:rsid w:val="005A2AD2"/>
    <w:rsid w:val="005A68CF"/>
    <w:rsid w:val="005B04CB"/>
    <w:rsid w:val="005B0683"/>
    <w:rsid w:val="005B0D29"/>
    <w:rsid w:val="005B1315"/>
    <w:rsid w:val="005B4236"/>
    <w:rsid w:val="005B46EE"/>
    <w:rsid w:val="005B5D2D"/>
    <w:rsid w:val="005B70E6"/>
    <w:rsid w:val="005B7EAD"/>
    <w:rsid w:val="005C0D2A"/>
    <w:rsid w:val="005C119A"/>
    <w:rsid w:val="005C2810"/>
    <w:rsid w:val="005C6C52"/>
    <w:rsid w:val="005C6CC7"/>
    <w:rsid w:val="005C6FD3"/>
    <w:rsid w:val="005D060D"/>
    <w:rsid w:val="005D2896"/>
    <w:rsid w:val="005D460E"/>
    <w:rsid w:val="005D4846"/>
    <w:rsid w:val="005D6008"/>
    <w:rsid w:val="005D652A"/>
    <w:rsid w:val="005D6D67"/>
    <w:rsid w:val="005E26CF"/>
    <w:rsid w:val="005E32A3"/>
    <w:rsid w:val="005E531B"/>
    <w:rsid w:val="005E7516"/>
    <w:rsid w:val="005F54A5"/>
    <w:rsid w:val="005F5722"/>
    <w:rsid w:val="005F7FD3"/>
    <w:rsid w:val="00600B60"/>
    <w:rsid w:val="006028AC"/>
    <w:rsid w:val="006043AA"/>
    <w:rsid w:val="00610CDE"/>
    <w:rsid w:val="006139AA"/>
    <w:rsid w:val="006140BB"/>
    <w:rsid w:val="00616E48"/>
    <w:rsid w:val="00622A2D"/>
    <w:rsid w:val="00623026"/>
    <w:rsid w:val="00623940"/>
    <w:rsid w:val="00630FCB"/>
    <w:rsid w:val="00632738"/>
    <w:rsid w:val="0063400F"/>
    <w:rsid w:val="00637052"/>
    <w:rsid w:val="00637DD7"/>
    <w:rsid w:val="0064336B"/>
    <w:rsid w:val="00643E56"/>
    <w:rsid w:val="006452AC"/>
    <w:rsid w:val="00646338"/>
    <w:rsid w:val="00646EEC"/>
    <w:rsid w:val="00647030"/>
    <w:rsid w:val="00647038"/>
    <w:rsid w:val="006472A6"/>
    <w:rsid w:val="006501DC"/>
    <w:rsid w:val="0065504C"/>
    <w:rsid w:val="006552FD"/>
    <w:rsid w:val="0065609C"/>
    <w:rsid w:val="006579F9"/>
    <w:rsid w:val="00657F8D"/>
    <w:rsid w:val="006600DC"/>
    <w:rsid w:val="00664CC5"/>
    <w:rsid w:val="00666847"/>
    <w:rsid w:val="006705FA"/>
    <w:rsid w:val="00671031"/>
    <w:rsid w:val="00673A39"/>
    <w:rsid w:val="006763EC"/>
    <w:rsid w:val="0067717C"/>
    <w:rsid w:val="006808D7"/>
    <w:rsid w:val="0068174F"/>
    <w:rsid w:val="00681787"/>
    <w:rsid w:val="00690AFD"/>
    <w:rsid w:val="0069185E"/>
    <w:rsid w:val="00696261"/>
    <w:rsid w:val="0069782A"/>
    <w:rsid w:val="006A2764"/>
    <w:rsid w:val="006A4EAA"/>
    <w:rsid w:val="006A5BE8"/>
    <w:rsid w:val="006A6090"/>
    <w:rsid w:val="006A645E"/>
    <w:rsid w:val="006B02D0"/>
    <w:rsid w:val="006B15C0"/>
    <w:rsid w:val="006B1950"/>
    <w:rsid w:val="006B1EE7"/>
    <w:rsid w:val="006B4FD1"/>
    <w:rsid w:val="006B5013"/>
    <w:rsid w:val="006B6362"/>
    <w:rsid w:val="006B7240"/>
    <w:rsid w:val="006B7B1B"/>
    <w:rsid w:val="006C29F2"/>
    <w:rsid w:val="006D03D8"/>
    <w:rsid w:val="006D1BB9"/>
    <w:rsid w:val="006D2C69"/>
    <w:rsid w:val="006D698D"/>
    <w:rsid w:val="006D78FF"/>
    <w:rsid w:val="006D7E2A"/>
    <w:rsid w:val="006E07C3"/>
    <w:rsid w:val="006E28A4"/>
    <w:rsid w:val="006E3C3D"/>
    <w:rsid w:val="006E4A32"/>
    <w:rsid w:val="006E6132"/>
    <w:rsid w:val="006E77C1"/>
    <w:rsid w:val="006F0D9E"/>
    <w:rsid w:val="006F170C"/>
    <w:rsid w:val="006F289E"/>
    <w:rsid w:val="006F2CA5"/>
    <w:rsid w:val="006F396D"/>
    <w:rsid w:val="006F5B7B"/>
    <w:rsid w:val="006F6558"/>
    <w:rsid w:val="007008B5"/>
    <w:rsid w:val="00701383"/>
    <w:rsid w:val="00701551"/>
    <w:rsid w:val="00701FE4"/>
    <w:rsid w:val="00704BB2"/>
    <w:rsid w:val="007056EF"/>
    <w:rsid w:val="007074EA"/>
    <w:rsid w:val="007112FB"/>
    <w:rsid w:val="00713B66"/>
    <w:rsid w:val="007149F9"/>
    <w:rsid w:val="007200A7"/>
    <w:rsid w:val="00721659"/>
    <w:rsid w:val="0072400C"/>
    <w:rsid w:val="0072636A"/>
    <w:rsid w:val="007274A7"/>
    <w:rsid w:val="00730B8E"/>
    <w:rsid w:val="00732A09"/>
    <w:rsid w:val="00736415"/>
    <w:rsid w:val="007402B1"/>
    <w:rsid w:val="00740EA8"/>
    <w:rsid w:val="00742995"/>
    <w:rsid w:val="0074514B"/>
    <w:rsid w:val="007456DC"/>
    <w:rsid w:val="007460DB"/>
    <w:rsid w:val="00746BC1"/>
    <w:rsid w:val="0075085B"/>
    <w:rsid w:val="00750AF6"/>
    <w:rsid w:val="0075179F"/>
    <w:rsid w:val="00754261"/>
    <w:rsid w:val="00754C10"/>
    <w:rsid w:val="007551F4"/>
    <w:rsid w:val="007562AD"/>
    <w:rsid w:val="00757CF0"/>
    <w:rsid w:val="007605C0"/>
    <w:rsid w:val="00761F77"/>
    <w:rsid w:val="007647C3"/>
    <w:rsid w:val="00765C42"/>
    <w:rsid w:val="00765F1B"/>
    <w:rsid w:val="00766201"/>
    <w:rsid w:val="00771B7B"/>
    <w:rsid w:val="00772D4D"/>
    <w:rsid w:val="007738AC"/>
    <w:rsid w:val="00774ED8"/>
    <w:rsid w:val="007818AB"/>
    <w:rsid w:val="00782FDA"/>
    <w:rsid w:val="00785399"/>
    <w:rsid w:val="00793CC7"/>
    <w:rsid w:val="0079472F"/>
    <w:rsid w:val="007949E3"/>
    <w:rsid w:val="00794E1C"/>
    <w:rsid w:val="00795DA3"/>
    <w:rsid w:val="00796D74"/>
    <w:rsid w:val="00797F04"/>
    <w:rsid w:val="007A57F4"/>
    <w:rsid w:val="007B31B6"/>
    <w:rsid w:val="007B3529"/>
    <w:rsid w:val="007C07C5"/>
    <w:rsid w:val="007C2D6B"/>
    <w:rsid w:val="007D03DC"/>
    <w:rsid w:val="007D0DD1"/>
    <w:rsid w:val="007D135C"/>
    <w:rsid w:val="007D2AA2"/>
    <w:rsid w:val="007D31F4"/>
    <w:rsid w:val="007D4275"/>
    <w:rsid w:val="007E0816"/>
    <w:rsid w:val="007E134F"/>
    <w:rsid w:val="007E170F"/>
    <w:rsid w:val="007E2573"/>
    <w:rsid w:val="007E3E7F"/>
    <w:rsid w:val="007E6BCE"/>
    <w:rsid w:val="007E6D4A"/>
    <w:rsid w:val="007E6DF2"/>
    <w:rsid w:val="007F00D3"/>
    <w:rsid w:val="007F0D28"/>
    <w:rsid w:val="007F0D84"/>
    <w:rsid w:val="007F15F7"/>
    <w:rsid w:val="007F2174"/>
    <w:rsid w:val="007F2A89"/>
    <w:rsid w:val="007F556F"/>
    <w:rsid w:val="00800AE3"/>
    <w:rsid w:val="0080274C"/>
    <w:rsid w:val="00802AF7"/>
    <w:rsid w:val="008031D6"/>
    <w:rsid w:val="008038C5"/>
    <w:rsid w:val="00805F7C"/>
    <w:rsid w:val="00806324"/>
    <w:rsid w:val="00810910"/>
    <w:rsid w:val="0081158D"/>
    <w:rsid w:val="00811B34"/>
    <w:rsid w:val="00811CDA"/>
    <w:rsid w:val="00814D3F"/>
    <w:rsid w:val="008212B0"/>
    <w:rsid w:val="00821A37"/>
    <w:rsid w:val="00821C94"/>
    <w:rsid w:val="00822E71"/>
    <w:rsid w:val="00824BEE"/>
    <w:rsid w:val="008275E5"/>
    <w:rsid w:val="00827D46"/>
    <w:rsid w:val="0083066E"/>
    <w:rsid w:val="00830E2A"/>
    <w:rsid w:val="008314D7"/>
    <w:rsid w:val="00831C5E"/>
    <w:rsid w:val="00832685"/>
    <w:rsid w:val="008331AD"/>
    <w:rsid w:val="008350EE"/>
    <w:rsid w:val="0083618B"/>
    <w:rsid w:val="008367AC"/>
    <w:rsid w:val="008405A0"/>
    <w:rsid w:val="008429E8"/>
    <w:rsid w:val="00843DF6"/>
    <w:rsid w:val="00845BBE"/>
    <w:rsid w:val="00847AAF"/>
    <w:rsid w:val="00851487"/>
    <w:rsid w:val="008524D0"/>
    <w:rsid w:val="00852878"/>
    <w:rsid w:val="008535EF"/>
    <w:rsid w:val="008549CE"/>
    <w:rsid w:val="00860B63"/>
    <w:rsid w:val="008634DC"/>
    <w:rsid w:val="00863940"/>
    <w:rsid w:val="00864DC6"/>
    <w:rsid w:val="008655DD"/>
    <w:rsid w:val="00867B02"/>
    <w:rsid w:val="00870187"/>
    <w:rsid w:val="008731E1"/>
    <w:rsid w:val="008736DF"/>
    <w:rsid w:val="008741DB"/>
    <w:rsid w:val="00874B7D"/>
    <w:rsid w:val="00875E52"/>
    <w:rsid w:val="00875F60"/>
    <w:rsid w:val="0088087B"/>
    <w:rsid w:val="008813F4"/>
    <w:rsid w:val="00881E5F"/>
    <w:rsid w:val="008829A4"/>
    <w:rsid w:val="008836DC"/>
    <w:rsid w:val="00883FCB"/>
    <w:rsid w:val="00885549"/>
    <w:rsid w:val="008874F5"/>
    <w:rsid w:val="00887B21"/>
    <w:rsid w:val="00891B74"/>
    <w:rsid w:val="00892DE9"/>
    <w:rsid w:val="0089503E"/>
    <w:rsid w:val="00895093"/>
    <w:rsid w:val="0089563A"/>
    <w:rsid w:val="008A0BF5"/>
    <w:rsid w:val="008A2046"/>
    <w:rsid w:val="008A2455"/>
    <w:rsid w:val="008A2A2F"/>
    <w:rsid w:val="008A6D95"/>
    <w:rsid w:val="008A6EC0"/>
    <w:rsid w:val="008B1171"/>
    <w:rsid w:val="008B48E2"/>
    <w:rsid w:val="008B5152"/>
    <w:rsid w:val="008B5EA0"/>
    <w:rsid w:val="008B6EE1"/>
    <w:rsid w:val="008B7E27"/>
    <w:rsid w:val="008C0CA5"/>
    <w:rsid w:val="008C12A2"/>
    <w:rsid w:val="008C1CF5"/>
    <w:rsid w:val="008C3CE8"/>
    <w:rsid w:val="008C4B38"/>
    <w:rsid w:val="008C6470"/>
    <w:rsid w:val="008C7465"/>
    <w:rsid w:val="008D00A6"/>
    <w:rsid w:val="008D10DE"/>
    <w:rsid w:val="008D3DE9"/>
    <w:rsid w:val="008D54FE"/>
    <w:rsid w:val="008D639A"/>
    <w:rsid w:val="008D6B9D"/>
    <w:rsid w:val="008E0AC9"/>
    <w:rsid w:val="008E1227"/>
    <w:rsid w:val="008E212A"/>
    <w:rsid w:val="008E23C2"/>
    <w:rsid w:val="008E328D"/>
    <w:rsid w:val="008E383F"/>
    <w:rsid w:val="008E4FE2"/>
    <w:rsid w:val="008E5190"/>
    <w:rsid w:val="008E5F8B"/>
    <w:rsid w:val="008E79DB"/>
    <w:rsid w:val="008F199D"/>
    <w:rsid w:val="008F1CB0"/>
    <w:rsid w:val="008F1D0A"/>
    <w:rsid w:val="008F3933"/>
    <w:rsid w:val="008F663E"/>
    <w:rsid w:val="008F6AB1"/>
    <w:rsid w:val="008F7791"/>
    <w:rsid w:val="00900EA0"/>
    <w:rsid w:val="009031A2"/>
    <w:rsid w:val="0090367E"/>
    <w:rsid w:val="00903E49"/>
    <w:rsid w:val="00903EBB"/>
    <w:rsid w:val="0090578F"/>
    <w:rsid w:val="00906027"/>
    <w:rsid w:val="009110F8"/>
    <w:rsid w:val="00915485"/>
    <w:rsid w:val="00915EB8"/>
    <w:rsid w:val="009177C9"/>
    <w:rsid w:val="00917932"/>
    <w:rsid w:val="00921C9B"/>
    <w:rsid w:val="00921E9F"/>
    <w:rsid w:val="0092229A"/>
    <w:rsid w:val="00923DCD"/>
    <w:rsid w:val="00925D18"/>
    <w:rsid w:val="00926DBC"/>
    <w:rsid w:val="00927AA9"/>
    <w:rsid w:val="00927B5B"/>
    <w:rsid w:val="00930D55"/>
    <w:rsid w:val="00932F5A"/>
    <w:rsid w:val="00933610"/>
    <w:rsid w:val="00933B07"/>
    <w:rsid w:val="00934561"/>
    <w:rsid w:val="00944F28"/>
    <w:rsid w:val="009523E9"/>
    <w:rsid w:val="00953BD4"/>
    <w:rsid w:val="00953DE1"/>
    <w:rsid w:val="00954C4D"/>
    <w:rsid w:val="00960E94"/>
    <w:rsid w:val="009619CC"/>
    <w:rsid w:val="00963089"/>
    <w:rsid w:val="0096362C"/>
    <w:rsid w:val="00963FE9"/>
    <w:rsid w:val="009650BD"/>
    <w:rsid w:val="009661A6"/>
    <w:rsid w:val="00966E9D"/>
    <w:rsid w:val="00967A30"/>
    <w:rsid w:val="00967E69"/>
    <w:rsid w:val="00974757"/>
    <w:rsid w:val="00976875"/>
    <w:rsid w:val="00977579"/>
    <w:rsid w:val="00977961"/>
    <w:rsid w:val="009804DC"/>
    <w:rsid w:val="009814EC"/>
    <w:rsid w:val="00983C32"/>
    <w:rsid w:val="0098597A"/>
    <w:rsid w:val="009867C1"/>
    <w:rsid w:val="00987EAE"/>
    <w:rsid w:val="00992591"/>
    <w:rsid w:val="009928D1"/>
    <w:rsid w:val="0099424C"/>
    <w:rsid w:val="009967CB"/>
    <w:rsid w:val="009A0DEA"/>
    <w:rsid w:val="009A1F1D"/>
    <w:rsid w:val="009A24AD"/>
    <w:rsid w:val="009A51F0"/>
    <w:rsid w:val="009A791D"/>
    <w:rsid w:val="009B0BC4"/>
    <w:rsid w:val="009B0BC8"/>
    <w:rsid w:val="009B10FF"/>
    <w:rsid w:val="009B3504"/>
    <w:rsid w:val="009B4402"/>
    <w:rsid w:val="009B5536"/>
    <w:rsid w:val="009C1289"/>
    <w:rsid w:val="009C4B4E"/>
    <w:rsid w:val="009C7881"/>
    <w:rsid w:val="009D3AE0"/>
    <w:rsid w:val="009D6AF9"/>
    <w:rsid w:val="009E1DC8"/>
    <w:rsid w:val="009E5563"/>
    <w:rsid w:val="009F02EC"/>
    <w:rsid w:val="009F05CF"/>
    <w:rsid w:val="009F09F1"/>
    <w:rsid w:val="009F40D9"/>
    <w:rsid w:val="009F475D"/>
    <w:rsid w:val="009F58A3"/>
    <w:rsid w:val="009F7736"/>
    <w:rsid w:val="00A0181D"/>
    <w:rsid w:val="00A02258"/>
    <w:rsid w:val="00A02AB3"/>
    <w:rsid w:val="00A0447D"/>
    <w:rsid w:val="00A0670F"/>
    <w:rsid w:val="00A07E52"/>
    <w:rsid w:val="00A108CC"/>
    <w:rsid w:val="00A11345"/>
    <w:rsid w:val="00A11D42"/>
    <w:rsid w:val="00A134D8"/>
    <w:rsid w:val="00A14950"/>
    <w:rsid w:val="00A16EE4"/>
    <w:rsid w:val="00A1766C"/>
    <w:rsid w:val="00A17F1A"/>
    <w:rsid w:val="00A22001"/>
    <w:rsid w:val="00A222A7"/>
    <w:rsid w:val="00A24AFA"/>
    <w:rsid w:val="00A25D87"/>
    <w:rsid w:val="00A26386"/>
    <w:rsid w:val="00A31921"/>
    <w:rsid w:val="00A3275A"/>
    <w:rsid w:val="00A34ED8"/>
    <w:rsid w:val="00A36716"/>
    <w:rsid w:val="00A36A65"/>
    <w:rsid w:val="00A372EE"/>
    <w:rsid w:val="00A4405B"/>
    <w:rsid w:val="00A45CD8"/>
    <w:rsid w:val="00A54ACB"/>
    <w:rsid w:val="00A55ABB"/>
    <w:rsid w:val="00A56055"/>
    <w:rsid w:val="00A56B6D"/>
    <w:rsid w:val="00A57F27"/>
    <w:rsid w:val="00A60027"/>
    <w:rsid w:val="00A61E8F"/>
    <w:rsid w:val="00A6266F"/>
    <w:rsid w:val="00A63F16"/>
    <w:rsid w:val="00A65DD2"/>
    <w:rsid w:val="00A70063"/>
    <w:rsid w:val="00A7009D"/>
    <w:rsid w:val="00A71A8D"/>
    <w:rsid w:val="00A71EF4"/>
    <w:rsid w:val="00A72D7A"/>
    <w:rsid w:val="00A74327"/>
    <w:rsid w:val="00A7436E"/>
    <w:rsid w:val="00A76812"/>
    <w:rsid w:val="00A76B23"/>
    <w:rsid w:val="00A81584"/>
    <w:rsid w:val="00A86D47"/>
    <w:rsid w:val="00A91E1F"/>
    <w:rsid w:val="00A9340A"/>
    <w:rsid w:val="00A944F3"/>
    <w:rsid w:val="00A96E05"/>
    <w:rsid w:val="00A97E15"/>
    <w:rsid w:val="00AA179C"/>
    <w:rsid w:val="00AA18AE"/>
    <w:rsid w:val="00AA2776"/>
    <w:rsid w:val="00AA4125"/>
    <w:rsid w:val="00AB16BF"/>
    <w:rsid w:val="00AB24C8"/>
    <w:rsid w:val="00AB4252"/>
    <w:rsid w:val="00AB508B"/>
    <w:rsid w:val="00AC16E1"/>
    <w:rsid w:val="00AC5086"/>
    <w:rsid w:val="00AD173D"/>
    <w:rsid w:val="00AD2465"/>
    <w:rsid w:val="00AD442D"/>
    <w:rsid w:val="00AD6554"/>
    <w:rsid w:val="00AE14F3"/>
    <w:rsid w:val="00AE20D3"/>
    <w:rsid w:val="00AE22F2"/>
    <w:rsid w:val="00AE2392"/>
    <w:rsid w:val="00AE24DF"/>
    <w:rsid w:val="00AE79CA"/>
    <w:rsid w:val="00AF328F"/>
    <w:rsid w:val="00AF4582"/>
    <w:rsid w:val="00AF6F3E"/>
    <w:rsid w:val="00B03922"/>
    <w:rsid w:val="00B04ACF"/>
    <w:rsid w:val="00B053C6"/>
    <w:rsid w:val="00B07386"/>
    <w:rsid w:val="00B104E7"/>
    <w:rsid w:val="00B14DAA"/>
    <w:rsid w:val="00B16E80"/>
    <w:rsid w:val="00B17D6B"/>
    <w:rsid w:val="00B234E3"/>
    <w:rsid w:val="00B274CC"/>
    <w:rsid w:val="00B33A06"/>
    <w:rsid w:val="00B34AF2"/>
    <w:rsid w:val="00B419F8"/>
    <w:rsid w:val="00B43B74"/>
    <w:rsid w:val="00B44DE2"/>
    <w:rsid w:val="00B50DEE"/>
    <w:rsid w:val="00B52FBD"/>
    <w:rsid w:val="00B54D58"/>
    <w:rsid w:val="00B55D48"/>
    <w:rsid w:val="00B607BF"/>
    <w:rsid w:val="00B60D9B"/>
    <w:rsid w:val="00B6122B"/>
    <w:rsid w:val="00B61251"/>
    <w:rsid w:val="00B614E6"/>
    <w:rsid w:val="00B6214E"/>
    <w:rsid w:val="00B65239"/>
    <w:rsid w:val="00B65A19"/>
    <w:rsid w:val="00B65AF4"/>
    <w:rsid w:val="00B65F77"/>
    <w:rsid w:val="00B71A2B"/>
    <w:rsid w:val="00B72929"/>
    <w:rsid w:val="00B7390A"/>
    <w:rsid w:val="00B75A56"/>
    <w:rsid w:val="00B75A7B"/>
    <w:rsid w:val="00B811EC"/>
    <w:rsid w:val="00B82693"/>
    <w:rsid w:val="00B82F3D"/>
    <w:rsid w:val="00B85972"/>
    <w:rsid w:val="00B87120"/>
    <w:rsid w:val="00B92979"/>
    <w:rsid w:val="00B929A5"/>
    <w:rsid w:val="00B939A6"/>
    <w:rsid w:val="00B94955"/>
    <w:rsid w:val="00B97C33"/>
    <w:rsid w:val="00B97F73"/>
    <w:rsid w:val="00BA020D"/>
    <w:rsid w:val="00BA0A81"/>
    <w:rsid w:val="00BA0C8A"/>
    <w:rsid w:val="00BA4901"/>
    <w:rsid w:val="00BA49CA"/>
    <w:rsid w:val="00BA5F2A"/>
    <w:rsid w:val="00BA6C29"/>
    <w:rsid w:val="00BB026F"/>
    <w:rsid w:val="00BB1179"/>
    <w:rsid w:val="00BB3FB2"/>
    <w:rsid w:val="00BB532C"/>
    <w:rsid w:val="00BB5370"/>
    <w:rsid w:val="00BB65C4"/>
    <w:rsid w:val="00BB7B9D"/>
    <w:rsid w:val="00BC4431"/>
    <w:rsid w:val="00BC4B7F"/>
    <w:rsid w:val="00BC5473"/>
    <w:rsid w:val="00BC6E2E"/>
    <w:rsid w:val="00BC7DE7"/>
    <w:rsid w:val="00BD097C"/>
    <w:rsid w:val="00BD2639"/>
    <w:rsid w:val="00BD4CC9"/>
    <w:rsid w:val="00BD4EB5"/>
    <w:rsid w:val="00BD5B6F"/>
    <w:rsid w:val="00BD620F"/>
    <w:rsid w:val="00BE1126"/>
    <w:rsid w:val="00BE364C"/>
    <w:rsid w:val="00BE37BA"/>
    <w:rsid w:val="00BF1785"/>
    <w:rsid w:val="00BF2010"/>
    <w:rsid w:val="00BF2365"/>
    <w:rsid w:val="00BF2E5D"/>
    <w:rsid w:val="00BF4BCD"/>
    <w:rsid w:val="00BF688B"/>
    <w:rsid w:val="00C01120"/>
    <w:rsid w:val="00C01A8A"/>
    <w:rsid w:val="00C04273"/>
    <w:rsid w:val="00C044F5"/>
    <w:rsid w:val="00C04732"/>
    <w:rsid w:val="00C07936"/>
    <w:rsid w:val="00C07E13"/>
    <w:rsid w:val="00C1115F"/>
    <w:rsid w:val="00C1160A"/>
    <w:rsid w:val="00C11D42"/>
    <w:rsid w:val="00C12328"/>
    <w:rsid w:val="00C12A12"/>
    <w:rsid w:val="00C13825"/>
    <w:rsid w:val="00C152A6"/>
    <w:rsid w:val="00C15982"/>
    <w:rsid w:val="00C203E7"/>
    <w:rsid w:val="00C21EFF"/>
    <w:rsid w:val="00C23DF7"/>
    <w:rsid w:val="00C253D7"/>
    <w:rsid w:val="00C25B4D"/>
    <w:rsid w:val="00C274F6"/>
    <w:rsid w:val="00C27BFD"/>
    <w:rsid w:val="00C3053E"/>
    <w:rsid w:val="00C4067A"/>
    <w:rsid w:val="00C41BC5"/>
    <w:rsid w:val="00C46454"/>
    <w:rsid w:val="00C47D9F"/>
    <w:rsid w:val="00C5183B"/>
    <w:rsid w:val="00C57333"/>
    <w:rsid w:val="00C57A19"/>
    <w:rsid w:val="00C62955"/>
    <w:rsid w:val="00C64A18"/>
    <w:rsid w:val="00C66947"/>
    <w:rsid w:val="00C70A83"/>
    <w:rsid w:val="00C726AA"/>
    <w:rsid w:val="00C72F05"/>
    <w:rsid w:val="00C73BEF"/>
    <w:rsid w:val="00C74BBA"/>
    <w:rsid w:val="00C7512A"/>
    <w:rsid w:val="00C761B3"/>
    <w:rsid w:val="00C835B2"/>
    <w:rsid w:val="00C85AC8"/>
    <w:rsid w:val="00C87EFC"/>
    <w:rsid w:val="00C90C12"/>
    <w:rsid w:val="00C92ED9"/>
    <w:rsid w:val="00C937E3"/>
    <w:rsid w:val="00C97992"/>
    <w:rsid w:val="00C97B34"/>
    <w:rsid w:val="00CA1941"/>
    <w:rsid w:val="00CA5675"/>
    <w:rsid w:val="00CB10E5"/>
    <w:rsid w:val="00CB3EE7"/>
    <w:rsid w:val="00CB40EE"/>
    <w:rsid w:val="00CB5CC4"/>
    <w:rsid w:val="00CC0E6A"/>
    <w:rsid w:val="00CC3E39"/>
    <w:rsid w:val="00CC4171"/>
    <w:rsid w:val="00CC4385"/>
    <w:rsid w:val="00CC49A2"/>
    <w:rsid w:val="00CC57DC"/>
    <w:rsid w:val="00CC6AD3"/>
    <w:rsid w:val="00CC734B"/>
    <w:rsid w:val="00CD1811"/>
    <w:rsid w:val="00CD4639"/>
    <w:rsid w:val="00CD5F76"/>
    <w:rsid w:val="00CD6411"/>
    <w:rsid w:val="00CE27BF"/>
    <w:rsid w:val="00CE5779"/>
    <w:rsid w:val="00CE653A"/>
    <w:rsid w:val="00CE6B08"/>
    <w:rsid w:val="00CF35FC"/>
    <w:rsid w:val="00CF53C8"/>
    <w:rsid w:val="00CF5F66"/>
    <w:rsid w:val="00CF63CB"/>
    <w:rsid w:val="00CF7A15"/>
    <w:rsid w:val="00D00275"/>
    <w:rsid w:val="00D033AB"/>
    <w:rsid w:val="00D0410B"/>
    <w:rsid w:val="00D0422F"/>
    <w:rsid w:val="00D05BB8"/>
    <w:rsid w:val="00D06776"/>
    <w:rsid w:val="00D06A85"/>
    <w:rsid w:val="00D13369"/>
    <w:rsid w:val="00D13F17"/>
    <w:rsid w:val="00D14053"/>
    <w:rsid w:val="00D14D46"/>
    <w:rsid w:val="00D155F5"/>
    <w:rsid w:val="00D15664"/>
    <w:rsid w:val="00D160F1"/>
    <w:rsid w:val="00D16179"/>
    <w:rsid w:val="00D16D76"/>
    <w:rsid w:val="00D215F3"/>
    <w:rsid w:val="00D2288D"/>
    <w:rsid w:val="00D23740"/>
    <w:rsid w:val="00D238B9"/>
    <w:rsid w:val="00D27CCC"/>
    <w:rsid w:val="00D32E3B"/>
    <w:rsid w:val="00D33B62"/>
    <w:rsid w:val="00D345E7"/>
    <w:rsid w:val="00D350C8"/>
    <w:rsid w:val="00D354D8"/>
    <w:rsid w:val="00D40A15"/>
    <w:rsid w:val="00D40BA4"/>
    <w:rsid w:val="00D4141E"/>
    <w:rsid w:val="00D416D2"/>
    <w:rsid w:val="00D4227C"/>
    <w:rsid w:val="00D502B8"/>
    <w:rsid w:val="00D504C3"/>
    <w:rsid w:val="00D50768"/>
    <w:rsid w:val="00D51474"/>
    <w:rsid w:val="00D538D3"/>
    <w:rsid w:val="00D56136"/>
    <w:rsid w:val="00D56D1A"/>
    <w:rsid w:val="00D606E2"/>
    <w:rsid w:val="00D62387"/>
    <w:rsid w:val="00D62A5F"/>
    <w:rsid w:val="00D64CA3"/>
    <w:rsid w:val="00D67A5D"/>
    <w:rsid w:val="00D67C7B"/>
    <w:rsid w:val="00D71342"/>
    <w:rsid w:val="00D7472A"/>
    <w:rsid w:val="00D74A5E"/>
    <w:rsid w:val="00D81307"/>
    <w:rsid w:val="00D83969"/>
    <w:rsid w:val="00D84D1C"/>
    <w:rsid w:val="00D86311"/>
    <w:rsid w:val="00D90188"/>
    <w:rsid w:val="00D92D5B"/>
    <w:rsid w:val="00D93206"/>
    <w:rsid w:val="00D95007"/>
    <w:rsid w:val="00D97EA9"/>
    <w:rsid w:val="00DA0BA0"/>
    <w:rsid w:val="00DA21B4"/>
    <w:rsid w:val="00DA6571"/>
    <w:rsid w:val="00DB4472"/>
    <w:rsid w:val="00DB4A7C"/>
    <w:rsid w:val="00DB564E"/>
    <w:rsid w:val="00DB69D2"/>
    <w:rsid w:val="00DC21B2"/>
    <w:rsid w:val="00DC543D"/>
    <w:rsid w:val="00DC7A11"/>
    <w:rsid w:val="00DC7ED7"/>
    <w:rsid w:val="00DC7FAC"/>
    <w:rsid w:val="00DD0491"/>
    <w:rsid w:val="00DD05C4"/>
    <w:rsid w:val="00DD07C9"/>
    <w:rsid w:val="00DD0C2E"/>
    <w:rsid w:val="00DD3CE5"/>
    <w:rsid w:val="00DD5011"/>
    <w:rsid w:val="00DD64AF"/>
    <w:rsid w:val="00DD6AE4"/>
    <w:rsid w:val="00DD6D5D"/>
    <w:rsid w:val="00DD7D2B"/>
    <w:rsid w:val="00DE1B14"/>
    <w:rsid w:val="00DE25EF"/>
    <w:rsid w:val="00DE4C44"/>
    <w:rsid w:val="00DE4F63"/>
    <w:rsid w:val="00DE59B3"/>
    <w:rsid w:val="00DE7E36"/>
    <w:rsid w:val="00DF2441"/>
    <w:rsid w:val="00DF29AB"/>
    <w:rsid w:val="00DF2ED9"/>
    <w:rsid w:val="00DF4971"/>
    <w:rsid w:val="00DF76D7"/>
    <w:rsid w:val="00DF776E"/>
    <w:rsid w:val="00E01B2D"/>
    <w:rsid w:val="00E06D7D"/>
    <w:rsid w:val="00E07AE2"/>
    <w:rsid w:val="00E1002C"/>
    <w:rsid w:val="00E12B0C"/>
    <w:rsid w:val="00E165E5"/>
    <w:rsid w:val="00E17510"/>
    <w:rsid w:val="00E17B8F"/>
    <w:rsid w:val="00E2126D"/>
    <w:rsid w:val="00E21B91"/>
    <w:rsid w:val="00E2261E"/>
    <w:rsid w:val="00E226E9"/>
    <w:rsid w:val="00E24E8C"/>
    <w:rsid w:val="00E27B69"/>
    <w:rsid w:val="00E30A3C"/>
    <w:rsid w:val="00E30C86"/>
    <w:rsid w:val="00E32722"/>
    <w:rsid w:val="00E33B33"/>
    <w:rsid w:val="00E34658"/>
    <w:rsid w:val="00E3526B"/>
    <w:rsid w:val="00E362BB"/>
    <w:rsid w:val="00E37047"/>
    <w:rsid w:val="00E41633"/>
    <w:rsid w:val="00E4347A"/>
    <w:rsid w:val="00E435F2"/>
    <w:rsid w:val="00E44AB4"/>
    <w:rsid w:val="00E44B09"/>
    <w:rsid w:val="00E45BEF"/>
    <w:rsid w:val="00E46012"/>
    <w:rsid w:val="00E53230"/>
    <w:rsid w:val="00E5375C"/>
    <w:rsid w:val="00E53AE5"/>
    <w:rsid w:val="00E54FA7"/>
    <w:rsid w:val="00E55EF4"/>
    <w:rsid w:val="00E568E7"/>
    <w:rsid w:val="00E57F1B"/>
    <w:rsid w:val="00E602DF"/>
    <w:rsid w:val="00E62608"/>
    <w:rsid w:val="00E63E28"/>
    <w:rsid w:val="00E6466A"/>
    <w:rsid w:val="00E65473"/>
    <w:rsid w:val="00E655A4"/>
    <w:rsid w:val="00E6566F"/>
    <w:rsid w:val="00E66299"/>
    <w:rsid w:val="00E70827"/>
    <w:rsid w:val="00E70DF7"/>
    <w:rsid w:val="00E71C7E"/>
    <w:rsid w:val="00E752BD"/>
    <w:rsid w:val="00E75D87"/>
    <w:rsid w:val="00E80D97"/>
    <w:rsid w:val="00E81A13"/>
    <w:rsid w:val="00E82F78"/>
    <w:rsid w:val="00E83647"/>
    <w:rsid w:val="00E83C53"/>
    <w:rsid w:val="00E83F3B"/>
    <w:rsid w:val="00E84AF3"/>
    <w:rsid w:val="00E84F95"/>
    <w:rsid w:val="00E850CE"/>
    <w:rsid w:val="00E855C2"/>
    <w:rsid w:val="00E918FA"/>
    <w:rsid w:val="00E94287"/>
    <w:rsid w:val="00E9483D"/>
    <w:rsid w:val="00E9527E"/>
    <w:rsid w:val="00E97693"/>
    <w:rsid w:val="00EA005D"/>
    <w:rsid w:val="00EA33A4"/>
    <w:rsid w:val="00EA3B47"/>
    <w:rsid w:val="00EA45D8"/>
    <w:rsid w:val="00EA5C24"/>
    <w:rsid w:val="00EA5F81"/>
    <w:rsid w:val="00EA7B88"/>
    <w:rsid w:val="00EB44EE"/>
    <w:rsid w:val="00EB6E7A"/>
    <w:rsid w:val="00EC1BD8"/>
    <w:rsid w:val="00EC2AB1"/>
    <w:rsid w:val="00EC423F"/>
    <w:rsid w:val="00EC63E2"/>
    <w:rsid w:val="00EC69E1"/>
    <w:rsid w:val="00EC6D2D"/>
    <w:rsid w:val="00EC713A"/>
    <w:rsid w:val="00ED2941"/>
    <w:rsid w:val="00ED4925"/>
    <w:rsid w:val="00ED65ED"/>
    <w:rsid w:val="00EE25F5"/>
    <w:rsid w:val="00EE278E"/>
    <w:rsid w:val="00EE3AEB"/>
    <w:rsid w:val="00EE4363"/>
    <w:rsid w:val="00EF0FE0"/>
    <w:rsid w:val="00EF1FF3"/>
    <w:rsid w:val="00EF2BED"/>
    <w:rsid w:val="00EF5987"/>
    <w:rsid w:val="00EF64A8"/>
    <w:rsid w:val="00F01448"/>
    <w:rsid w:val="00F01EBA"/>
    <w:rsid w:val="00F024B3"/>
    <w:rsid w:val="00F046C3"/>
    <w:rsid w:val="00F04B25"/>
    <w:rsid w:val="00F051B3"/>
    <w:rsid w:val="00F06136"/>
    <w:rsid w:val="00F215A9"/>
    <w:rsid w:val="00F21A6E"/>
    <w:rsid w:val="00F226CE"/>
    <w:rsid w:val="00F23BB1"/>
    <w:rsid w:val="00F24CCC"/>
    <w:rsid w:val="00F2643C"/>
    <w:rsid w:val="00F27DB8"/>
    <w:rsid w:val="00F3080D"/>
    <w:rsid w:val="00F31ACB"/>
    <w:rsid w:val="00F327DB"/>
    <w:rsid w:val="00F32D1A"/>
    <w:rsid w:val="00F32EE8"/>
    <w:rsid w:val="00F33BFD"/>
    <w:rsid w:val="00F36F50"/>
    <w:rsid w:val="00F410EA"/>
    <w:rsid w:val="00F413C3"/>
    <w:rsid w:val="00F44F7C"/>
    <w:rsid w:val="00F4567B"/>
    <w:rsid w:val="00F47577"/>
    <w:rsid w:val="00F513F7"/>
    <w:rsid w:val="00F5294A"/>
    <w:rsid w:val="00F533AD"/>
    <w:rsid w:val="00F534B9"/>
    <w:rsid w:val="00F5728B"/>
    <w:rsid w:val="00F61400"/>
    <w:rsid w:val="00F61B63"/>
    <w:rsid w:val="00F61E0A"/>
    <w:rsid w:val="00F671B2"/>
    <w:rsid w:val="00F673C4"/>
    <w:rsid w:val="00F7022D"/>
    <w:rsid w:val="00F70FF1"/>
    <w:rsid w:val="00F70FFA"/>
    <w:rsid w:val="00F73B1E"/>
    <w:rsid w:val="00F74BB3"/>
    <w:rsid w:val="00F76EFE"/>
    <w:rsid w:val="00F77554"/>
    <w:rsid w:val="00F8102D"/>
    <w:rsid w:val="00F81B41"/>
    <w:rsid w:val="00F82F52"/>
    <w:rsid w:val="00F83F52"/>
    <w:rsid w:val="00F84C0F"/>
    <w:rsid w:val="00F86641"/>
    <w:rsid w:val="00F87901"/>
    <w:rsid w:val="00F91945"/>
    <w:rsid w:val="00F91FCF"/>
    <w:rsid w:val="00F955CF"/>
    <w:rsid w:val="00F9673A"/>
    <w:rsid w:val="00FA0840"/>
    <w:rsid w:val="00FA0AD4"/>
    <w:rsid w:val="00FA27F5"/>
    <w:rsid w:val="00FA65B3"/>
    <w:rsid w:val="00FA681F"/>
    <w:rsid w:val="00FA7B89"/>
    <w:rsid w:val="00FB19F4"/>
    <w:rsid w:val="00FB1F36"/>
    <w:rsid w:val="00FB4732"/>
    <w:rsid w:val="00FB5355"/>
    <w:rsid w:val="00FB5CC0"/>
    <w:rsid w:val="00FB6FED"/>
    <w:rsid w:val="00FB72FC"/>
    <w:rsid w:val="00FB7F26"/>
    <w:rsid w:val="00FC3325"/>
    <w:rsid w:val="00FC4239"/>
    <w:rsid w:val="00FC45F0"/>
    <w:rsid w:val="00FC5610"/>
    <w:rsid w:val="00FD1A59"/>
    <w:rsid w:val="00FD1EF9"/>
    <w:rsid w:val="00FD7DA4"/>
    <w:rsid w:val="00FD7E01"/>
    <w:rsid w:val="00FE16FC"/>
    <w:rsid w:val="00FE21A5"/>
    <w:rsid w:val="00FE33DE"/>
    <w:rsid w:val="00FE7485"/>
    <w:rsid w:val="00FF1B46"/>
    <w:rsid w:val="00FF2067"/>
    <w:rsid w:val="00FF573B"/>
    <w:rsid w:val="00FF5A9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E36"/>
    <w:pPr>
      <w:spacing w:line="288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E7E3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Char, Char"/>
    <w:basedOn w:val="Normal"/>
    <w:next w:val="Normal"/>
    <w:link w:val="Heading2Char"/>
    <w:qFormat/>
    <w:rsid w:val="00DE7E3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E7E3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E7E3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E7E3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E7E3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E7E3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E7E3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E7E3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bg-BG" w:eastAsia="bg-BG" w:bidi="bg-BG"/>
    </w:rPr>
  </w:style>
  <w:style w:type="character" w:customStyle="1" w:styleId="Heading2Char">
    <w:name w:val="Heading 2 Char"/>
    <w:aliases w:val="Char Char,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paragraph" w:styleId="Footer">
    <w:name w:val="footer"/>
    <w:aliases w:val="Footer-odd"/>
    <w:basedOn w:val="Normal"/>
    <w:link w:val="FooterChar"/>
    <w:qFormat/>
    <w:rsid w:val="00DE7E36"/>
  </w:style>
  <w:style w:type="character" w:customStyle="1" w:styleId="FooterChar">
    <w:name w:val="Footer Char"/>
    <w:aliases w:val="Footer-odd Char"/>
    <w:basedOn w:val="DefaultParagraphFont"/>
    <w:link w:val="Footer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paragraph" w:styleId="FootnoteText">
    <w:name w:val="footnote text"/>
    <w:basedOn w:val="Normal"/>
    <w:link w:val="FootnoteTextChar"/>
    <w:qFormat/>
    <w:rsid w:val="00DE7E3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bg-BG" w:eastAsia="bg-BG" w:bidi="bg-BG"/>
    </w:rPr>
  </w:style>
  <w:style w:type="paragraph" w:styleId="Header">
    <w:name w:val="header"/>
    <w:basedOn w:val="Normal"/>
    <w:link w:val="HeaderChar"/>
    <w:qFormat/>
    <w:rsid w:val="00DE7E36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character" w:styleId="FootnoteReference">
    <w:name w:val="footnote reference"/>
    <w:aliases w:val="Footnote Reference Superscript,Footnote symbol,SUPERS,Times 10 Point,Exposant 3 Point,Footnote reference number,note TESI,-E Fußnotenzeichen,number"/>
    <w:basedOn w:val="DefaultParagraphFont"/>
    <w:unhideWhenUsed/>
    <w:qFormat/>
    <w:rsid w:val="00DE7E36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DE7E36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AF6F3E"/>
    <w:pPr>
      <w:tabs>
        <w:tab w:val="right" w:leader="dot" w:pos="9062"/>
      </w:tabs>
      <w:ind w:left="540" w:hanging="540"/>
    </w:pPr>
  </w:style>
  <w:style w:type="paragraph" w:styleId="ListParagraph">
    <w:name w:val="List Paragraph"/>
    <w:aliases w:val="Number list"/>
    <w:basedOn w:val="Normal"/>
    <w:uiPriority w:val="34"/>
    <w:qFormat/>
    <w:rsid w:val="0047417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929C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4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B28"/>
    <w:rPr>
      <w:rFonts w:ascii="Tahoma" w:hAnsi="Tahoma" w:cs="Tahoma"/>
      <w:sz w:val="16"/>
      <w:szCs w:val="16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E36"/>
    <w:pPr>
      <w:spacing w:line="288" w:lineRule="auto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E7E3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aliases w:val="Char, Char"/>
    <w:basedOn w:val="Normal"/>
    <w:next w:val="Normal"/>
    <w:link w:val="Heading2Char"/>
    <w:qFormat/>
    <w:rsid w:val="00DE7E3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E7E3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E7E3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E7E3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E7E3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E7E3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E7E3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E7E3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bg-BG" w:eastAsia="bg-BG" w:bidi="bg-BG"/>
    </w:rPr>
  </w:style>
  <w:style w:type="character" w:customStyle="1" w:styleId="Heading2Char">
    <w:name w:val="Heading 2 Char"/>
    <w:aliases w:val="Char Char,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paragraph" w:styleId="Footer">
    <w:name w:val="footer"/>
    <w:aliases w:val="Footer-odd"/>
    <w:basedOn w:val="Normal"/>
    <w:link w:val="FooterChar"/>
    <w:qFormat/>
    <w:rsid w:val="00DE7E36"/>
  </w:style>
  <w:style w:type="character" w:customStyle="1" w:styleId="FooterChar">
    <w:name w:val="Footer Char"/>
    <w:aliases w:val="Footer-odd Char"/>
    <w:basedOn w:val="DefaultParagraphFont"/>
    <w:link w:val="Footer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paragraph" w:styleId="FootnoteText">
    <w:name w:val="footnote text"/>
    <w:basedOn w:val="Normal"/>
    <w:link w:val="FootnoteTextChar"/>
    <w:qFormat/>
    <w:rsid w:val="00DE7E3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szCs w:val="22"/>
      <w:lang w:val="bg-BG" w:eastAsia="bg-BG" w:bidi="bg-BG"/>
    </w:rPr>
  </w:style>
  <w:style w:type="paragraph" w:styleId="Header">
    <w:name w:val="header"/>
    <w:basedOn w:val="Normal"/>
    <w:link w:val="HeaderChar"/>
    <w:qFormat/>
    <w:rsid w:val="00DE7E36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bg-BG" w:eastAsia="bg-BG" w:bidi="bg-BG"/>
    </w:rPr>
  </w:style>
  <w:style w:type="character" w:styleId="FootnoteReference">
    <w:name w:val="footnote reference"/>
    <w:aliases w:val="Footnote Reference Superscript,Footnote symbol,SUPERS,Times 10 Point,Exposant 3 Point,Footnote reference number,note TESI,-E Fußnotenzeichen,number"/>
    <w:basedOn w:val="DefaultParagraphFont"/>
    <w:unhideWhenUsed/>
    <w:qFormat/>
    <w:rsid w:val="00DE7E36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DE7E36"/>
    <w:pPr>
      <w:ind w:left="720"/>
    </w:pPr>
    <w:rPr>
      <w:i/>
    </w:rPr>
  </w:style>
  <w:style w:type="paragraph" w:styleId="TOC1">
    <w:name w:val="toc 1"/>
    <w:basedOn w:val="Normal"/>
    <w:next w:val="Normal"/>
    <w:autoRedefine/>
    <w:uiPriority w:val="39"/>
    <w:locked/>
    <w:rsid w:val="00AF6F3E"/>
    <w:pPr>
      <w:tabs>
        <w:tab w:val="right" w:leader="dot" w:pos="9062"/>
      </w:tabs>
      <w:ind w:left="540" w:hanging="540"/>
    </w:pPr>
  </w:style>
  <w:style w:type="paragraph" w:styleId="ListParagraph">
    <w:name w:val="List Paragraph"/>
    <w:aliases w:val="Number list"/>
    <w:basedOn w:val="Normal"/>
    <w:uiPriority w:val="34"/>
    <w:qFormat/>
    <w:rsid w:val="0047417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4929C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4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B28"/>
    <w:rPr>
      <w:rFonts w:ascii="Tahoma" w:hAnsi="Tahoma" w:cs="Tahoma"/>
      <w:sz w:val="16"/>
      <w:szCs w:val="16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Monica.Guarinoni@eesc.europa.eu" TargetMode="External"/><Relationship Id="rId26" Type="http://schemas.openxmlformats.org/officeDocument/2006/relationships/hyperlink" Target="mailto:marie-laurence.drillon@eesc.europa.e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erald.klec@eesc.europa.eu" TargetMode="External"/><Relationship Id="rId34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ana.dumitrache@eesc.europa.eu" TargetMode="External"/><Relationship Id="rId25" Type="http://schemas.openxmlformats.org/officeDocument/2006/relationships/hyperlink" Target="mailto:daniel.squerzi@eesc.europa.eu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gerald.klec@eesc.europa.eu" TargetMode="External"/><Relationship Id="rId29" Type="http://schemas.openxmlformats.org/officeDocument/2006/relationships/hyperlink" Target="mailto:Agota.Bazsik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jean-pierre.faure@eesc.europa.eu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?i=portal.bg.opinions-search" TargetMode="External"/><Relationship Id="rId23" Type="http://schemas.openxmlformats.org/officeDocument/2006/relationships/hyperlink" Target="mailto:gerald.klec@eesc.europa.eu" TargetMode="External"/><Relationship Id="rId28" Type="http://schemas.openxmlformats.org/officeDocument/2006/relationships/hyperlink" Target="mailto:Tzonka.Iotzova@eesc.europa.eu" TargetMode="External"/><Relationship Id="rId36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Helena.Polomik@eesc.europa.eu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?i=portal.bg.documents" TargetMode="External"/><Relationship Id="rId22" Type="http://schemas.openxmlformats.org/officeDocument/2006/relationships/hyperlink" Target="mailto:Helena.Polomik@eesc.europa.eu" TargetMode="External"/><Relationship Id="rId27" Type="http://schemas.openxmlformats.org/officeDocument/2006/relationships/hyperlink" Target="mailto:Laura.Ernsteina@eesc.europa.eu" TargetMode="External"/><Relationship Id="rId30" Type="http://schemas.openxmlformats.org/officeDocument/2006/relationships/header" Target="header1.xml"/><Relationship Id="rId35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51D1BDF1B59D8489738113A248D32C4" ma:contentTypeVersion="4" ma:contentTypeDescription="Defines the documents for Document Manager V2" ma:contentTypeScope="" ma:versionID="86ab1ef105b56de5c4a005982a7f640f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001fc02-2481-471c-a01d-134a91e40015" targetNamespace="http://schemas.microsoft.com/office/2006/metadata/properties" ma:root="true" ma:fieldsID="e138bbe202f2962cc1b3042f2fa18c5f" ns2:_="" ns3:_="" ns4:_="">
    <xsd:import namespace="8a3471f6-0f36-4ccf-b5ee-1ca67ea797ef"/>
    <xsd:import namespace="http://schemas.microsoft.com/sharepoint/v3/fields"/>
    <xsd:import namespace="d001fc02-2481-471c-a01d-134a91e40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fc02-2481-471c-a01d-134a91e4001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WTPCSN73YJ26-4-4862</_dlc_DocId>
    <_dlc_DocIdUrl xmlns="8a3471f6-0f36-4ccf-b5ee-1ca67ea797ef">
      <Url>http://dm/EESC/2017/_layouts/DocIdRedir.aspx?ID=WTPCSN73YJ26-4-4862</Url>
      <Description>WTPCSN73YJ26-4-4862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d001fc02-2481-471c-a01d-134a91e40015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2017-04-20T12:00:00+00:00</ProductionDate>
    <DocumentNumber xmlns="d001fc02-2481-471c-a01d-134a91e40015">1003</DocumentNumber>
    <FicheYear xmlns="8a3471f6-0f36-4ccf-b5ee-1ca67ea797ef">2017</FicheYear>
    <DocumentVersion xmlns="8a3471f6-0f36-4ccf-b5ee-1ca67ea797ef">1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>2017-03-29T12:00:00+00:00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TaxCatchAll xmlns="8a3471f6-0f36-4ccf-b5ee-1ca67ea797ef">
      <Value>35</Value>
      <Value>38</Value>
      <Value>37</Value>
      <Value>36</Value>
      <Value>27</Value>
      <Value>34</Value>
      <Value>33</Value>
      <Value>32</Value>
      <Value>31</Value>
      <Value>30</Value>
      <Value>29</Value>
      <Value>28</Value>
      <Value>25</Value>
      <Value>26</Value>
      <Value>72</Value>
      <Value>24</Value>
      <Value>23</Value>
      <Value>22</Value>
      <Value>18</Value>
      <Value>17</Value>
      <Value>15</Value>
      <Value>14</Value>
      <Value>12</Value>
      <Value>8</Value>
      <Value>6</Value>
      <Value>5</Value>
      <Value>4</Value>
      <Value>2</Value>
      <Value>1</Value>
    </TaxCatchAll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4518</FicheNumber>
    <DocumentYear xmlns="8a3471f6-0f36-4ccf-b5ee-1ca67ea797ef">2017</DocumentYear>
    <DocumentPart xmlns="8a3471f6-0f36-4ccf-b5ee-1ca67ea797ef">0</DocumentPart>
    <AdoptionDate xmlns="8a3471f6-0f36-4ccf-b5ee-1ca67ea797ef" xsi:nil="true"/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8a3471f6-0f36-4ccf-b5ee-1ca67ea797ef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B315-18A8-418C-AEDB-0DE6F18C5CA7}"/>
</file>

<file path=customXml/itemProps2.xml><?xml version="1.0" encoding="utf-8"?>
<ds:datastoreItem xmlns:ds="http://schemas.openxmlformats.org/officeDocument/2006/customXml" ds:itemID="{65C41151-A0C8-492A-9572-9867E45A8089}"/>
</file>

<file path=customXml/itemProps3.xml><?xml version="1.0" encoding="utf-8"?>
<ds:datastoreItem xmlns:ds="http://schemas.openxmlformats.org/officeDocument/2006/customXml" ds:itemID="{2CBAC4B0-615E-489E-80C1-2F9ACA0839D8}"/>
</file>

<file path=customXml/itemProps4.xml><?xml version="1.0" encoding="utf-8"?>
<ds:datastoreItem xmlns:ds="http://schemas.openxmlformats.org/officeDocument/2006/customXml" ds:itemID="{27172C6D-F210-4BCC-96B9-D59A42C1E6F5}"/>
</file>

<file path=customXml/itemProps5.xml><?xml version="1.0" encoding="utf-8"?>
<ds:datastoreItem xmlns:ds="http://schemas.openxmlformats.org/officeDocument/2006/customXml" ds:itemID="{70ED4618-3BF7-4BF8-8294-A82EEC7C70A9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3</Pages>
  <Words>3626</Words>
  <Characters>22807</Characters>
  <Application>Microsoft Office Word</Application>
  <DocSecurity>0</DocSecurity>
  <Lines>589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synthèse décembre 2016</vt:lpstr>
    </vt:vector>
  </TitlesOfParts>
  <Company>CESE-CdR</Company>
  <LinksUpToDate>false</LinksUpToDate>
  <CharactersWithSpaces>26345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на приетите становища - пленарна сесия, март 2017 г.</dc:title>
  <dc:subject>Консултативни дейности, Разни</dc:subject>
  <dc:creator/>
  <cp:keywords>EESC-2017-01003-00-01-TCD-TRA-BG</cp:keywords>
  <dc:description>Rapporteur: -_x000d_
Original language: FR, EN_x000d_
Date of document: 20/04/2017_x000d_
Date of meeting: 29/03/2017_x000d_
External documents: -_x000d_
Administrator responsible: Cosmai Domenico, telephone: +32 (0)2 546 9041_x000d_
_x000d_
Abstract:</dc:description>
  <cp:lastModifiedBy>Yulian Petrov</cp:lastModifiedBy>
  <cp:revision>18</cp:revision>
  <cp:lastPrinted>2017-04-06T07:38:00Z</cp:lastPrinted>
  <dcterms:created xsi:type="dcterms:W3CDTF">2017-04-12T14:55:00Z</dcterms:created>
  <dcterms:modified xsi:type="dcterms:W3CDTF">2017-04-20T08:42:00Z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12/04/2017, 23/03/2017, 13/12/2016, 15/09/2016, 14/09/2016, 14/09/2016, 12/07/2016, 30/06/2016, 29/06/2016, 23/05/2016, 23/05/2016, 25/04/2016, 25/04/2016, 14/03/2016, 11/03/2016, 11/03/2016, 15/02/2016, 15/02/2016, 15/02/2016, 03/02/2016, 03/02/2016, 14/</vt:lpwstr>
  </property>
  <property fmtid="{D5CDD505-2E9C-101B-9397-08002B2CF9AE}" pid="4" name="Pref_Time">
    <vt:lpwstr>16:10:17, 12:08:44, 12:23:59, 18:12:41, 09:48:43, 08:36:59, 11:43:50, 09:30:52, 17:35:55, 17:02:49, 16:30:20, 11:28:20, 09:54:52, 08:31:22, 17:08:54, 15:59:23, 12:27:50, 12:09:16, 09:49:23, 17:26:57, 16:09:02, 17:58:07, 17:32:44, 15:05:42, 11:13:53, 16:35</vt:lpwstr>
  </property>
  <property fmtid="{D5CDD505-2E9C-101B-9397-08002B2CF9AE}" pid="5" name="Pref_User">
    <vt:lpwstr>mkop, enied, mreg, jhvi, tvoc, htoo, mreg, tvoc, hnic, mreg, hnic, amett, nmcg, amett, enied, nmcg, amett, enied, ymur, tvoc, nmcg, vvos, ssex, vvos, vvos, mkop, nmcg, amett, htoo, tvoc, dtai, nmcg, amett, ymur, amett, YMUR, jhvi, gharr</vt:lpwstr>
  </property>
  <property fmtid="{D5CDD505-2E9C-101B-9397-08002B2CF9AE}" pid="6" name="Pref_FileName">
    <vt:lpwstr>EESC-2017-01003-00-01-TCD-TRA-EN-CRR.docx, EESC-2017-01003-00-00-TCD-ORI.docx, EESC-2016-05775-00-00-TCD-ORI.docx, EESC-2016-03275-00-01-TCD-ORI.docx, EESC-2016-03275-00-00-TCD-TRA-EN-CRR.docx, EESC-2016-03275-00-00-TCD-CRR-FR.docx, EESC-2016-03689-00-01-</vt:lpwstr>
  </property>
  <property fmtid="{D5CDD505-2E9C-101B-9397-08002B2CF9AE}" pid="7" name="ContentTypeId">
    <vt:lpwstr>0x010100EA97B91038054C99906057A708A1480A00F51D1BDF1B59D8489738113A248D32C4</vt:lpwstr>
  </property>
  <property fmtid="{D5CDD505-2E9C-101B-9397-08002B2CF9AE}" pid="8" name="_dlc_DocIdItemGuid">
    <vt:lpwstr>8306d42c-d6ad-4d15-b608-81923b8d59d1</vt:lpwstr>
  </property>
  <property fmtid="{D5CDD505-2E9C-101B-9397-08002B2CF9AE}" pid="9" name="AvailableTranslations">
    <vt:lpwstr>4;#EN|f2175f21-25d7-44a3-96da-d6a61b075e1b;#32;#MT|7df99101-6854-4a26-b53a-b88c0da02c26;#33;#PL|1e03da61-4678-4e07-b136-b5024ca9197b;#38;#HR|2f555653-ed1a-4fe6-8362-9082d95989e5;#12;#NL|55c6556c-b4f4-441d-9acf-c498d4f838bd;#15;#PT|50ccc04a-eadd-42ae-a0cb-acaf45f812ba;#22;#IT|0774613c-01ed-4e5d-a25d-11d2388de825;#23;#DA|5d49c027-8956-412b-aa16-e85a0f96ad0e;#36;#BG|1a1b3951-7821-4e6a-85f5-5673fc08bd2c;#14;#ES|e7a6b05b-ae16-40c8-add9-68b64b03aeba;#24;#EL|6d4f4d51-af9b-4650-94b4-4276bee85c91;#31;#LT|a7ff5ce7-6123-4f68-865a-a57c31810414;#37;#RO|feb747a2-64cd-4299-af12-4833ddc30497;#34;#SK|46d9fce0-ef79-4f71-b89b-cd6aa82426b8;#18;#DE|f6b31e5a-26fa-4935-b661-318e46daf27e;#30;#LV|46f7e311-5d9f-4663-b433-18aeccb7ace7;#29;#HU|6b229040-c589-4408-b4c1-4285663d20a8;#25;#FI|87606a43-d45f-42d6-b8c9-e1a3457db5b7;#27;#CS|72f9705b-0217-4fd3-bea2-cbc7ed80e26e;#8;#FR|d2afafd3-4c81-4f60-8f52-ee33f2f54ff3;#28;#ET|ff6c3f4c-b02c-4c3c-ab07-2c37995a7a0a;#35;#SL|98a412ae-eb01-49e9-ae3d-585a81724cfc;#26;#SV|c2ed69e7-a339-43d7-8f22-d93680a92aa0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8;#FR|d2afafd3-4c81-4f60-8f52-ee33f2f54ff3;#4;#EN|f2175f21-25d7-44a3-96da-d6a61b075e1b</vt:lpwstr>
  </property>
  <property fmtid="{D5CDD505-2E9C-101B-9397-08002B2CF9AE}" pid="14" name="MeetingName">
    <vt:lpwstr>72;#SPL-CES|32d8cb1f-c9ec-4365-95c7-8385a18618ac</vt:lpwstr>
  </property>
  <property fmtid="{D5CDD505-2E9C-101B-9397-08002B2CF9AE}" pid="15" name="VersionStatus">
    <vt:lpwstr>6;#Final|ea5e6674-7b27-4bac-b091-73adbb394efe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17;#TCD|cd9d6eb6-3f4f-424a-b2d1-57c9d450eaaf</vt:lpwstr>
  </property>
  <property fmtid="{D5CDD505-2E9C-101B-9397-08002B2CF9AE}" pid="18" name="DocumentLanguage">
    <vt:lpwstr>36;#BG|1a1b3951-7821-4e6a-85f5-5673fc08bd2c</vt:lpwstr>
  </property>
  <property fmtid="{D5CDD505-2E9C-101B-9397-08002B2CF9AE}" pid="19" name="StyleCheckSum">
    <vt:lpwstr>45163_C33020_P410_L59</vt:lpwstr>
  </property>
  <property fmtid="{D5CDD505-2E9C-101B-9397-08002B2CF9AE}" pid="20" name="DocumentType_0">
    <vt:lpwstr>TCD|cd9d6eb6-3f4f-424a-b2d1-57c9d450eaaf</vt:lpwstr>
  </property>
  <property fmtid="{D5CDD505-2E9C-101B-9397-08002B2CF9AE}" pid="21" name="MeetingNumber">
    <vt:i4>521</vt:i4>
  </property>
  <property fmtid="{D5CDD505-2E9C-101B-9397-08002B2CF9AE}" pid="22" name="DossierName_0">
    <vt:lpwstr/>
  </property>
  <property fmtid="{D5CDD505-2E9C-101B-9397-08002B2CF9AE}" pid="23" name="DocumentSource_0">
    <vt:lpwstr>EESC|422833ec-8d7e-4e65-8e4e-8bed07ffb729</vt:lpwstr>
  </property>
  <property fmtid="{D5CDD505-2E9C-101B-9397-08002B2CF9AE}" pid="24" name="ProductionDate">
    <vt:filetime>2016-07-04T12:00:00Z</vt:filetime>
  </property>
  <property fmtid="{D5CDD505-2E9C-101B-9397-08002B2CF9AE}" pid="25" name="DocumentNumber">
    <vt:i4>1003</vt:i4>
  </property>
  <property fmtid="{D5CDD505-2E9C-101B-9397-08002B2CF9AE}" pid="26" name="FicheYear">
    <vt:i4>2017</vt:i4>
  </property>
  <property fmtid="{D5CDD505-2E9C-101B-9397-08002B2CF9AE}" pid="27" name="DocumentVersion">
    <vt:i4>1</vt:i4>
  </property>
  <property fmtid="{D5CDD505-2E9C-101B-9397-08002B2CF9AE}" pid="28" name="Confidentiality_0">
    <vt:lpwstr>Unrestricted|826e22d7-d029-4ec0-a450-0c28ff673572</vt:lpwstr>
  </property>
  <property fmtid="{D5CDD505-2E9C-101B-9397-08002B2CF9AE}" pid="29" name="MeetingDate">
    <vt:filetime>2017-03-29T12:00:00Z</vt:filetime>
  </property>
  <property fmtid="{D5CDD505-2E9C-101B-9397-08002B2CF9AE}" pid="30" name="DocumentLanguage_0">
    <vt:lpwstr>FR|d2afafd3-4c81-4f60-8f52-ee33f2f54ff3</vt:lpwstr>
  </property>
  <property fmtid="{D5CDD505-2E9C-101B-9397-08002B2CF9AE}" pid="31" name="TaxCatchAll">
    <vt:lpwstr>38;#HR|2f555653-ed1a-4fe6-8362-9082d95989e5;#34;#SK|46d9fce0-ef79-4f71-b89b-cd6aa82426b8;#33;#PL|1e03da61-4678-4e07-b136-b5024ca9197b;#30;#LV|46f7e311-5d9f-4663-b433-18aeccb7ace7;#27;#CS|72f9705b-0217-4fd3-bea2-cbc7ed80e26e;#25;#FI|87606a43-d45f-42d6-b8c9-e1a3457db5b7;#72;#SPL-CES|32d8cb1f-c9ec-4365-95c7-8385a18618ac;#24;#EL|6d4f4d51-af9b-4650-94b4-4276bee85c91;#18;#DE|f6b31e5a-26fa-4935-b661-318e46daf27e;#17;#TCD|cd9d6eb6-3f4f-424a-b2d1-57c9d450eaaf;#15;#PT|50ccc04a-eadd-42ae-a0cb-acaf45f812ba;#14;#ES|e7a6b05b-ae16-40c8-add9-68b64b03aeba;#12;#NL|55c6556c-b4f4-441d-9acf-c498d4f838bd;#8;#FR|d2afafd3-4c81-4f60-8f52-ee33f2f54ff3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4518</vt:i4>
  </property>
  <property fmtid="{D5CDD505-2E9C-101B-9397-08002B2CF9AE}" pid="34" name="DocumentYear">
    <vt:i4>2017</vt:i4>
  </property>
  <property fmtid="{D5CDD505-2E9C-101B-9397-08002B2CF9AE}" pid="35" name="DocumentPart">
    <vt:i4>0</vt:i4>
  </property>
  <property fmtid="{D5CDD505-2E9C-101B-9397-08002B2CF9AE}" pid="36" name="MeetingName_0">
    <vt:lpwstr>SPL-CES|32d8cb1f-c9ec-4365-95c7-8385a18618ac</vt:lpwstr>
  </property>
  <property fmtid="{D5CDD505-2E9C-101B-9397-08002B2CF9AE}" pid="37" name="RequestingService">
    <vt:lpwstr>Greffe</vt:lpwstr>
  </property>
  <property fmtid="{D5CDD505-2E9C-101B-9397-08002B2CF9AE}" pid="38" name="DocumentStatus_0">
    <vt:lpwstr>TRA|150d2a88-1431-44e6-a8ca-0bb753ab8672</vt:lpwstr>
  </property>
  <property fmtid="{D5CDD505-2E9C-101B-9397-08002B2CF9AE}" pid="39" name="OriginalLanguage_0">
    <vt:lpwstr>FR|d2afafd3-4c81-4f60-8f52-ee33f2f54ff3;EN|f2175f21-25d7-44a3-96da-d6a61b075e1b</vt:lpwstr>
  </property>
  <property fmtid="{D5CDD505-2E9C-101B-9397-08002B2CF9AE}" pid="40" name="AvailableTranslations_0">
    <vt:lpwstr>PL|1e03da61-4678-4e07-b136-b5024ca9197b;HR|2f555653-ed1a-4fe6-8362-9082d95989e5;NL|55c6556c-b4f4-441d-9acf-c498d4f838bd;PT|50ccc04a-eadd-42ae-a0cb-acaf45f812ba;ES|e7a6b05b-ae16-40c8-add9-68b64b03aeba;EL|6d4f4d51-af9b-4650-94b4-4276bee85c91;SK|46d9fce0-ef79-4f71-b89b-cd6aa82426b8;DE|f6b31e5a-26fa-4935-b661-318e46daf27e;LV|46f7e311-5d9f-4663-b433-18aeccb7ace7;FI|87606a43-d45f-42d6-b8c9-e1a3457db5b7;CS|72f9705b-0217-4fd3-bea2-cbc7ed80e26e</vt:lpwstr>
  </property>
</Properties>
</file>