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4718" w:rsidRPr="0079292E" w:rsidRDefault="000F4718" w:rsidP="00131417">
      <w:pPr>
        <w:jc w:val="center"/>
        <w:rPr>
          <w:b/>
          <w:sz w:val="16"/>
          <w:szCs w:val="16"/>
        </w:rPr>
      </w:pPr>
      <w:r w:rsidRPr="0079292E">
        <w:rPr>
          <w:noProof/>
          <w:sz w:val="20"/>
          <w:lang w:val="fr-BE" w:eastAsia="fr-BE" w:bidi="ar-SA"/>
        </w:rPr>
        <mc:AlternateContent>
          <mc:Choice Requires="wps">
            <w:drawing>
              <wp:anchor distT="0" distB="0" distL="114300" distR="114300" simplePos="0" relativeHeight="251659264" behindDoc="1" locked="0" layoutInCell="0" allowOverlap="1" wp14:anchorId="6F41F555" wp14:editId="506DBF5B">
                <wp:simplePos x="0" y="0"/>
                <wp:positionH relativeFrom="page">
                  <wp:posOffset>6770788</wp:posOffset>
                </wp:positionH>
                <wp:positionV relativeFrom="page">
                  <wp:posOffset>10084828</wp:posOffset>
                </wp:positionV>
                <wp:extent cx="644837" cy="396416"/>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37" cy="396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4E" w:rsidRPr="00260E65" w:rsidRDefault="002B324E">
                            <w:pPr>
                              <w:jc w:val="center"/>
                              <w:rPr>
                                <w:rFonts w:ascii="Arial" w:hAnsi="Arial" w:cs="Arial"/>
                                <w:b/>
                                <w:bCs/>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15pt;margin-top:794.1pt;width:50.75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fL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" o:allowincell="f" filled="f" stroked="f">
                <v:textbox>
                  <w:txbxContent>
                    <w:p w:rsidR="002B324E" w:rsidRPr="00260E65" w:rsidRDefault="002B324E">
                      <w:pPr>
                        <w:jc w:val="center"/>
                        <w:rPr>
                          <w:rFonts w:ascii="Arial" w:hAnsi="Arial" w:cs="Arial"/>
                          <w:b/>
                          <w:bCs/>
                          <w:sz w:val="48"/>
                        </w:rPr>
                      </w:pPr>
                      <w:r>
                        <w:rPr>
                          <w:rFonts w:ascii="Arial" w:hAnsi="Arial"/>
                          <w:b/>
                          <w:sz w:val="48"/>
                        </w:rPr>
                        <w:t>SV</w:t>
                      </w:r>
                    </w:p>
                  </w:txbxContent>
                </v:textbox>
                <w10:wrap xmlns:w10="urn:schemas-microsoft-com:office:word" anchorx="page" anchory="page"/>
              </v:shape>
            </w:pict>
          </mc:Fallback>
        </mc:AlternateContent>
      </w:r>
    </w:p>
    <w:p w:rsidR="001B5D4B" w:rsidRPr="0079292E" w:rsidRDefault="00621F9D" w:rsidP="00131417">
      <w:pPr>
        <w:jc w:val="center"/>
        <w:rPr>
          <w:b/>
          <w:sz w:val="32"/>
          <w:szCs w:val="32"/>
        </w:rPr>
      </w:pPr>
      <w:r w:rsidRPr="0079292E">
        <w:rPr>
          <w:b/>
          <w:sz w:val="32"/>
        </w:rPr>
        <w:t>Konsoliderad rapport om CCMI:s rundabordsdiskussioner om det strategiska genomförandet av det europeiska innovationspartnerskapet om råvaror 2015/2016</w:t>
      </w:r>
    </w:p>
    <w:p w:rsidR="00FF33D6" w:rsidRPr="0079292E" w:rsidRDefault="00FF33D6" w:rsidP="00131417"/>
    <w:p w:rsidR="00E841CE" w:rsidRPr="0079292E" w:rsidRDefault="0078783F" w:rsidP="00131417">
      <w:r w:rsidRPr="0079292E">
        <w:t>På EU-nivå anto</w:t>
      </w:r>
      <w:r w:rsidR="00D20F70" w:rsidRPr="0079292E">
        <w:t>g Europeiska kommissionen den 4 </w:t>
      </w:r>
      <w:r w:rsidRPr="0079292E">
        <w:t xml:space="preserve">november 2008 "Råvaruinitiativet: att uppfylla våra kritiska behov av tillväxt och arbetstillfällen i Europa", som varit en milstolpe för paradigmskiftet och med sin positiva inverkan stimulerat utvecklingen i utvinningssektorn. Råvaruinitiativet har inneburit ett erkännande av att mineraltillgångarna är nödvändiga för samhället, konkurrenskraften, tillväxten och skapandet av arbetstillfällen i Europa. I initiativet erkänns också Europas beroende av andra länder när det gäller utbudet av dessa tillgångar och därmed också behovet av att vidta åtgärder för att säkerställa ett säkert och hållbart utbud, på grundval av tre pelare: </w:t>
      </w:r>
    </w:p>
    <w:p w:rsidR="00E841CE" w:rsidRPr="0079292E" w:rsidRDefault="0078783F" w:rsidP="00131417">
      <w:pPr>
        <w:pStyle w:val="ListParagraph"/>
        <w:numPr>
          <w:ilvl w:val="0"/>
          <w:numId w:val="17"/>
        </w:numPr>
      </w:pPr>
      <w:r w:rsidRPr="0079292E">
        <w:t>Ett rättvist och hållbart utbud av råvaror på de internationella marknaderna.</w:t>
      </w:r>
    </w:p>
    <w:p w:rsidR="00E841CE" w:rsidRPr="0079292E" w:rsidRDefault="0078783F" w:rsidP="00131417">
      <w:pPr>
        <w:pStyle w:val="ListParagraph"/>
        <w:numPr>
          <w:ilvl w:val="0"/>
          <w:numId w:val="17"/>
        </w:numPr>
      </w:pPr>
      <w:r w:rsidRPr="0079292E">
        <w:t>Främjande av ett hållbart utbud inom EU.</w:t>
      </w:r>
    </w:p>
    <w:p w:rsidR="00FF33D6" w:rsidRPr="0079292E" w:rsidRDefault="00E40E46" w:rsidP="00131417">
      <w:pPr>
        <w:pStyle w:val="ListParagraph"/>
        <w:numPr>
          <w:ilvl w:val="0"/>
          <w:numId w:val="17"/>
        </w:numPr>
      </w:pPr>
      <w:r w:rsidRPr="0079292E">
        <w:t>Ökad effektivitet i resursanvändningen, full användning av råvaror och främjande av återvinning.</w:t>
      </w:r>
    </w:p>
    <w:p w:rsidR="00FF33D6" w:rsidRPr="0079292E" w:rsidRDefault="00FF33D6" w:rsidP="00131417"/>
    <w:p w:rsidR="00911E04" w:rsidRPr="0079292E" w:rsidRDefault="0078783F" w:rsidP="00131417">
      <w:r w:rsidRPr="0079292E">
        <w:t xml:space="preserve">I sitt meddelande "Råvaror och råvarumarknader: </w:t>
      </w:r>
      <w:r w:rsidR="00D20F70" w:rsidRPr="0079292E">
        <w:t>att möta utmaningarna" av den 2 </w:t>
      </w:r>
      <w:r w:rsidRPr="0079292E">
        <w:t>februari 2011 förklarade kommissionen sin avsikt att stärka genomförandet av råvaruinitiativet. För detta ändamål och i syfte att främja investeringarna i utvinningsindustrin förklarade kommissionen att det är särskilt viktigt att</w:t>
      </w:r>
    </w:p>
    <w:p w:rsidR="00E40E46" w:rsidRPr="0079292E" w:rsidRDefault="0078783F" w:rsidP="00131417">
      <w:pPr>
        <w:pStyle w:val="ListParagraph"/>
        <w:numPr>
          <w:ilvl w:val="0"/>
          <w:numId w:val="15"/>
        </w:numPr>
      </w:pPr>
      <w:r w:rsidRPr="0079292E">
        <w:t xml:space="preserve">utforma en nationell politik för mineralresurser för att se till att dessa resurser utnyttjas på ett ekonomiskt bärkraftigt sätt, i harmoni med annan nationell politik och i linje med principerna om hållbar utveckling, inklusive ett åtagande att skapa en ramlagstiftning och struktur för information, </w:t>
      </w:r>
    </w:p>
    <w:p w:rsidR="00E40E46" w:rsidRPr="0079292E" w:rsidRDefault="0078783F" w:rsidP="00131417">
      <w:pPr>
        <w:pStyle w:val="ListParagraph"/>
        <w:numPr>
          <w:ilvl w:val="0"/>
          <w:numId w:val="15"/>
        </w:numPr>
      </w:pPr>
      <w:r w:rsidRPr="0079292E">
        <w:t>utforma en planeringspolicy för mineralresurser, inklusive en digital geologisk databas, en klar och tydlig metod för identifiering av mineralresurser, långsiktiga och regionala prognoser för lokal efterfrågan, samt identifiera och skydda mineralresurser (med vederbörlig hänsyn tagen till annan markanvändning), och</w:t>
      </w:r>
    </w:p>
    <w:p w:rsidR="0078783F" w:rsidRPr="0079292E" w:rsidRDefault="0078783F" w:rsidP="00131417">
      <w:pPr>
        <w:pStyle w:val="ListParagraph"/>
        <w:numPr>
          <w:ilvl w:val="0"/>
          <w:numId w:val="15"/>
        </w:numPr>
      </w:pPr>
      <w:r w:rsidRPr="0079292E">
        <w:t>skapa ett tillståndsförfarande för prospektering efter och utvinning av mineralresurser som är klart och begripligt för att erbjuda säkerhet och bidra till förenklingen av de administrativa rutinerna.</w:t>
      </w:r>
    </w:p>
    <w:p w:rsidR="00FF33D6" w:rsidRPr="0079292E" w:rsidRDefault="00FF33D6" w:rsidP="00131417"/>
    <w:p w:rsidR="00A63B3D" w:rsidRPr="0079292E" w:rsidRDefault="0078783F" w:rsidP="00131417">
      <w:r w:rsidRPr="0079292E">
        <w:t>För att skapa ett gynnsamt investeringsklimat ansåg kommissionen det också vara nödvändigt att vidta åtgärder för att öka öppenheten kring avgifter genom initiativet för öppenhet i utvinningsindustrin (Extractive Industries Transparency Initiative, EITI) och främja god förvaltning i skattefrågor.</w:t>
      </w:r>
    </w:p>
    <w:p w:rsidR="00FF33D6" w:rsidRPr="0079292E" w:rsidRDefault="00FF33D6" w:rsidP="00131417"/>
    <w:p w:rsidR="00F07370" w:rsidRPr="0079292E" w:rsidRDefault="00F07370" w:rsidP="00131417">
      <w:r w:rsidRPr="0079292E">
        <w:t>Medlemsstaterna anser att EU:s potential i fråga om mineralresurser kan påverka den ekonomiska utvecklingen. Därför måste man utforma ett samlat angreppssätt för denna sektor, som omfattar ekonomi, sociala frågor och miljöfrågor, och en lagstiftningsram och en institutionell ram för det faktiska utövandet av de olika funktionerna.</w:t>
      </w:r>
    </w:p>
    <w:p w:rsidR="00FF33D6" w:rsidRPr="0079292E" w:rsidRDefault="00FF33D6" w:rsidP="00131417"/>
    <w:p w:rsidR="00911E04" w:rsidRPr="0079292E" w:rsidRDefault="00F07370" w:rsidP="00131417">
      <w:r w:rsidRPr="0079292E">
        <w:t xml:space="preserve">Ett ansvarsfullt utnyttjande av mineralresurser är ett viktigt steg som avsevärt kan bidra till resultaten i den nationella ekonomin. Innan man gör detta måste man konsolidera en hållbar politik där man på ett </w:t>
      </w:r>
      <w:r w:rsidRPr="0079292E">
        <w:lastRenderedPageBreak/>
        <w:t xml:space="preserve">integrerat sätt tar itu med de ekonomiska, sociala och miljörelaterade aspekterna och på ett bra sätt utformar en effektiv lagstiftningsram och institutionell ram. </w:t>
      </w:r>
    </w:p>
    <w:p w:rsidR="00705A1C" w:rsidRPr="0079292E" w:rsidRDefault="001B5D4B" w:rsidP="00073ADF">
      <w:r w:rsidRPr="0079292E">
        <w:t xml:space="preserve">De olika nationella rundabordssamtalen genomfördes </w:t>
      </w:r>
      <w:r w:rsidRPr="0079292E">
        <w:rPr>
          <w:b/>
        </w:rPr>
        <w:t>2015 – Spanien (mars), Slovakien (april), Rumänien (juni), Finland (september) – och 2016 – Portugal (april), Irland (maj), Polen (juni), Tjeckien (november), Belgien (november).</w:t>
      </w:r>
    </w:p>
    <w:p w:rsidR="0082543C" w:rsidRPr="0079292E" w:rsidRDefault="0082543C" w:rsidP="00073ADF"/>
    <w:p w:rsidR="00911E04" w:rsidRPr="0079292E" w:rsidRDefault="001B5D4B" w:rsidP="00073ADF">
      <w:pPr>
        <w:rPr>
          <w:b/>
        </w:rPr>
      </w:pPr>
      <w:r w:rsidRPr="0079292E">
        <w:rPr>
          <w:b/>
        </w:rPr>
        <w:t xml:space="preserve">Följande slutsats kunde dras: Det behövs en handlingsplan på medellång sikt fram till 2030 och på lång sikt fram till 2050. I denna handlingsplan bör följande utmaningar tas upp: </w:t>
      </w:r>
    </w:p>
    <w:p w:rsidR="008140E8" w:rsidRPr="0079292E" w:rsidRDefault="008140E8" w:rsidP="00073ADF">
      <w:pPr>
        <w:pStyle w:val="ListParagraph"/>
        <w:numPr>
          <w:ilvl w:val="0"/>
          <w:numId w:val="2"/>
        </w:numPr>
        <w:rPr>
          <w:b/>
        </w:rPr>
      </w:pPr>
      <w:r w:rsidRPr="0079292E">
        <w:rPr>
          <w:b/>
        </w:rPr>
        <w:t>Säkerheten i utbudet av råvaror, där man bl.a. bör definiera grundbehovet, fastställa konkreta krav för möjliggörande teknik och behandla frågan om ekonomisk resiliens.</w:t>
      </w:r>
    </w:p>
    <w:p w:rsidR="008140E8" w:rsidRPr="0079292E" w:rsidRDefault="008140E8" w:rsidP="00073ADF">
      <w:pPr>
        <w:pStyle w:val="ListParagraph"/>
        <w:numPr>
          <w:ilvl w:val="0"/>
          <w:numId w:val="2"/>
        </w:numPr>
        <w:rPr>
          <w:b/>
        </w:rPr>
      </w:pPr>
      <w:r w:rsidRPr="0079292E">
        <w:rPr>
          <w:b/>
        </w:rPr>
        <w:t>Man bör ta upp kopplingen mellan energi och klimatförändringar, däribland utvecklingen av ren teknik, hållbarheten hos regioner med kolgruvor som ska stängas och säkerställandet av råvaror för produktion och användning av alternativ energi.</w:t>
      </w:r>
    </w:p>
    <w:p w:rsidR="001B5D4B" w:rsidRPr="0079292E" w:rsidRDefault="001B5D4B" w:rsidP="00073ADF"/>
    <w:p w:rsidR="00911E04" w:rsidRPr="0079292E" w:rsidRDefault="003A552F" w:rsidP="00073ADF">
      <w:r w:rsidRPr="0079292E">
        <w:t>Två områden behöver särskild uppmärksamhet:</w:t>
      </w:r>
    </w:p>
    <w:p w:rsidR="00F8502D" w:rsidRPr="0079292E" w:rsidRDefault="003A552F" w:rsidP="00073ADF">
      <w:pPr>
        <w:pStyle w:val="ListParagraph"/>
        <w:numPr>
          <w:ilvl w:val="0"/>
          <w:numId w:val="1"/>
        </w:numPr>
        <w:rPr>
          <w:b/>
          <w:sz w:val="24"/>
          <w:szCs w:val="24"/>
        </w:rPr>
      </w:pPr>
      <w:r w:rsidRPr="0079292E">
        <w:rPr>
          <w:b/>
          <w:sz w:val="24"/>
        </w:rPr>
        <w:t>Område A: Den nationella politiken och lagstiftningsaspekten</w:t>
      </w:r>
    </w:p>
    <w:p w:rsidR="00FF33D6" w:rsidRPr="0079292E" w:rsidRDefault="00BC7D91" w:rsidP="00073ADF">
      <w:pPr>
        <w:ind w:firstLine="360"/>
      </w:pPr>
      <w:r w:rsidRPr="0079292E">
        <w:t xml:space="preserve">I detta sammanhang bör </w:t>
      </w:r>
      <w:r w:rsidRPr="0079292E">
        <w:rPr>
          <w:b/>
        </w:rPr>
        <w:t>de nationella strategierna för råvaror</w:t>
      </w:r>
      <w:r w:rsidRPr="0079292E">
        <w:t xml:space="preserve"> syfta till att främja</w:t>
      </w:r>
    </w:p>
    <w:p w:rsidR="00FF33D6" w:rsidRPr="0079292E" w:rsidRDefault="00FF33D6" w:rsidP="00073ADF">
      <w:pPr>
        <w:ind w:firstLine="360"/>
      </w:pPr>
    </w:p>
    <w:p w:rsidR="004F4E7F" w:rsidRPr="0079292E" w:rsidRDefault="00BC7D91" w:rsidP="00073ADF">
      <w:pPr>
        <w:pStyle w:val="ListParagraph"/>
        <w:numPr>
          <w:ilvl w:val="0"/>
          <w:numId w:val="5"/>
        </w:numPr>
      </w:pPr>
      <w:r w:rsidRPr="0079292E">
        <w:t>dynamiken genom att se till att det investeras mer och varaktigt och att resurserna utnyttjas på ett korrekt sätt,</w:t>
      </w:r>
    </w:p>
    <w:p w:rsidR="00BC7D91" w:rsidRPr="0079292E" w:rsidRDefault="00BC7D91" w:rsidP="00073ADF">
      <w:pPr>
        <w:pStyle w:val="ListParagraph"/>
        <w:numPr>
          <w:ilvl w:val="0"/>
          <w:numId w:val="5"/>
        </w:numPr>
      </w:pPr>
      <w:r w:rsidRPr="0079292E">
        <w:t>hållbarheten på ekonomisk, social, miljörelaterad och territoriell nivå,</w:t>
      </w:r>
    </w:p>
    <w:p w:rsidR="00BC7D91" w:rsidRPr="0079292E" w:rsidRDefault="00BC7D91" w:rsidP="00073ADF">
      <w:pPr>
        <w:pStyle w:val="ListParagraph"/>
        <w:numPr>
          <w:ilvl w:val="0"/>
          <w:numId w:val="5"/>
        </w:numPr>
      </w:pPr>
      <w:r w:rsidRPr="0079292E">
        <w:t>den nationella ekonomins tillväxt genom att se till att det finns tillgång till viktiga råvaror och att deras andel av den nationella bruttonationalprodukten och exporten ökar, och</w:t>
      </w:r>
    </w:p>
    <w:p w:rsidR="00BC7D91" w:rsidRPr="0079292E" w:rsidRDefault="00BC7D91" w:rsidP="00073ADF">
      <w:pPr>
        <w:pStyle w:val="ListParagraph"/>
        <w:numPr>
          <w:ilvl w:val="0"/>
          <w:numId w:val="5"/>
        </w:numPr>
      </w:pPr>
      <w:r w:rsidRPr="0079292E">
        <w:t>regional utveckling, garanterad avkastning och sysselsättning för lokalbefolkningen samt utveckling av de lokalsamhällen där den verkar.</w:t>
      </w:r>
    </w:p>
    <w:p w:rsidR="00BC7D91" w:rsidRPr="0079292E" w:rsidRDefault="00BC7D91" w:rsidP="00073ADF"/>
    <w:p w:rsidR="00BC7D91" w:rsidRPr="0079292E" w:rsidRDefault="00BC7D91" w:rsidP="00073ADF">
      <w:pPr>
        <w:ind w:firstLine="360"/>
      </w:pPr>
      <w:r w:rsidRPr="0079292E">
        <w:t>I synnerhet:</w:t>
      </w:r>
    </w:p>
    <w:p w:rsidR="004F4E7F" w:rsidRPr="0079292E" w:rsidRDefault="004F4E7F" w:rsidP="00073ADF">
      <w:pPr>
        <w:pStyle w:val="ListParagraph"/>
        <w:numPr>
          <w:ilvl w:val="0"/>
          <w:numId w:val="7"/>
        </w:numPr>
        <w:ind w:left="1134" w:hanging="708"/>
        <w:rPr>
          <w:b/>
        </w:rPr>
      </w:pPr>
      <w:r w:rsidRPr="0079292E">
        <w:rPr>
          <w:b/>
        </w:rPr>
        <w:t>Myndigheternas roll</w:t>
      </w:r>
    </w:p>
    <w:p w:rsidR="00B16689" w:rsidRPr="0079292E" w:rsidRDefault="00B16689" w:rsidP="00073ADF">
      <w:pPr>
        <w:pStyle w:val="ListParagraph"/>
        <w:numPr>
          <w:ilvl w:val="1"/>
          <w:numId w:val="1"/>
        </w:numPr>
        <w:ind w:left="1701" w:hanging="567"/>
      </w:pPr>
      <w:r w:rsidRPr="0079292E">
        <w:t>Politiken för mineralresurser bör ligga i linje med landets långsiktiga industripolitik (t.ex. energipolitiken fram till 2050) och i detta sammanhang bör man identifiera vilken råvarutillgång som krävs för industrins utveckling.</w:t>
      </w:r>
    </w:p>
    <w:p w:rsidR="00F8502D" w:rsidRPr="0079292E" w:rsidRDefault="008F52A7" w:rsidP="00073ADF">
      <w:pPr>
        <w:pStyle w:val="ListParagraph"/>
        <w:numPr>
          <w:ilvl w:val="1"/>
          <w:numId w:val="1"/>
        </w:numPr>
        <w:ind w:left="1701" w:hanging="567"/>
      </w:pPr>
      <w:r w:rsidRPr="0079292E">
        <w:t>Man måste skapa en ny adekvat bas för sektorn genom att omdefiniera centralregeringens och de regionala myndigheternas roller gentemot varandra och gentemot de politiska strategier som ska genomföras. De offentliga organen måste också ges möjlighet att fullgöra sina roller på ett korrekt sätt. För att åtgärda kapacitetsproblem och minska längden på tillståndsförfarandena bör man överväga att göra det möjligt för tredjeparter (t.ex. från den akademiska världen) att delta i tillståndsförfarandet från allra första början.</w:t>
      </w:r>
    </w:p>
    <w:p w:rsidR="00F8502D" w:rsidRPr="0079292E" w:rsidRDefault="003A552F" w:rsidP="00073ADF">
      <w:pPr>
        <w:pStyle w:val="ListParagraph"/>
        <w:numPr>
          <w:ilvl w:val="1"/>
          <w:numId w:val="1"/>
        </w:numPr>
        <w:ind w:left="1701" w:hanging="567"/>
      </w:pPr>
      <w:r w:rsidRPr="0079292E">
        <w:t>Att se till att de standarder som ska tillämpas är adekvata, att uppdatera rättsliga instrument, att omdana de strukturer som ska inskärpa avtalsdisciplinen, att omdefiniera systemet med royaltyer och andra operativa kostnader och att reglera nya förhållanden.</w:t>
      </w:r>
    </w:p>
    <w:p w:rsidR="00E22EDD" w:rsidRPr="0079292E" w:rsidRDefault="00E22EDD" w:rsidP="00073ADF"/>
    <w:p w:rsidR="004F4E7F" w:rsidRPr="0079292E" w:rsidRDefault="004F4E7F" w:rsidP="00D20F70">
      <w:pPr>
        <w:pStyle w:val="ListParagraph"/>
        <w:keepNext/>
        <w:keepLines/>
        <w:numPr>
          <w:ilvl w:val="1"/>
          <w:numId w:val="8"/>
        </w:numPr>
        <w:ind w:left="1134" w:hanging="708"/>
        <w:rPr>
          <w:b/>
        </w:rPr>
      </w:pPr>
      <w:r w:rsidRPr="0079292E">
        <w:rPr>
          <w:b/>
        </w:rPr>
        <w:lastRenderedPageBreak/>
        <w:t>Planering av markanvändning</w:t>
      </w:r>
    </w:p>
    <w:p w:rsidR="00B16689" w:rsidRPr="0079292E" w:rsidRDefault="00865DFC" w:rsidP="00D20F70">
      <w:pPr>
        <w:pStyle w:val="ListParagraph"/>
        <w:keepNext/>
        <w:keepLines/>
        <w:ind w:left="1134"/>
      </w:pPr>
      <w:r w:rsidRPr="0079292E">
        <w:t>Man bör identifiera luckor och utmaningar i metoderna för planering av markanvändning samt exempel på god praxis. Vid nationell, regional och lokal planering av markanvändning bör följande miniminormer tillämpas. Man bör öka kunskapen om den nationella potentialen och först identifiera vilka resurser som kan exploateras om man vill utveckla gruvdriften. Vid planeringen av markanvändningen bör man ta hänsyn till och identifiera de strategiska mineralfyndigheterna och tillämpa bästa praxis för tillgång till geologisk information å ena sidan och till mark å andra sidan.</w:t>
      </w:r>
    </w:p>
    <w:p w:rsidR="00F21C9F" w:rsidRPr="0079292E" w:rsidRDefault="00F21C9F" w:rsidP="00073ADF"/>
    <w:p w:rsidR="00B770E3" w:rsidRPr="0079292E" w:rsidRDefault="00B770E3" w:rsidP="00073ADF">
      <w:pPr>
        <w:pStyle w:val="ListParagraph"/>
        <w:numPr>
          <w:ilvl w:val="1"/>
          <w:numId w:val="8"/>
        </w:numPr>
        <w:ind w:left="1134" w:hanging="708"/>
        <w:rPr>
          <w:b/>
        </w:rPr>
      </w:pPr>
      <w:r w:rsidRPr="0079292E">
        <w:rPr>
          <w:b/>
        </w:rPr>
        <w:t xml:space="preserve">Tillgång till råvaror </w:t>
      </w:r>
    </w:p>
    <w:p w:rsidR="00882D96" w:rsidRPr="0079292E" w:rsidRDefault="00B770E3" w:rsidP="00073ADF">
      <w:pPr>
        <w:pStyle w:val="ListParagraph"/>
        <w:numPr>
          <w:ilvl w:val="1"/>
          <w:numId w:val="1"/>
        </w:numPr>
        <w:ind w:left="1843" w:hanging="709"/>
      </w:pPr>
      <w:r w:rsidRPr="0079292E">
        <w:t>En klar och tydlig ram när det gäller prospektering och tillgång till fyndigheter är ett minimikrav för alla berörda parter och externa intressenter. Det måste vara möjligt att transportera råvaror. Detta innebär att man säkrar befintlig eller skapar ny lämplig infrastruktur i form av vägar, järnvägar eller vattenvägar för att transportera råvarorna från utvinning till bearbetning och marknad.</w:t>
      </w:r>
    </w:p>
    <w:p w:rsidR="00B770E3" w:rsidRPr="0079292E" w:rsidRDefault="00882D96" w:rsidP="00073ADF">
      <w:pPr>
        <w:pStyle w:val="ListParagraph"/>
        <w:numPr>
          <w:ilvl w:val="1"/>
          <w:numId w:val="1"/>
        </w:numPr>
        <w:ind w:left="1843" w:hanging="709"/>
      </w:pPr>
      <w:r w:rsidRPr="0079292E">
        <w:t>Behöriga myndigheter bör överväga möjligheten att rationalisera tillståndsförfarandena, tillämpa systemet med en kontaktpunkt och använda e-förvaltningslösningar, t.ex. standardformulär online. Eftersom det inte finns någon tidsplan eller tidsbegränsning i EIA-direktivet eller några andra regler som är tillämpliga på tillståndsförfarandet råder det mycket stora skillnader mellan olika medlemsstater när det gäller den exakta tidsramen. Denna bör harmoniseras och kortas ned med hjälp av en handbok för bästa praxis.</w:t>
      </w:r>
    </w:p>
    <w:p w:rsidR="00F21C9F" w:rsidRPr="0079292E" w:rsidRDefault="00F21C9F" w:rsidP="00073ADF"/>
    <w:p w:rsidR="00F8060C" w:rsidRPr="0079292E" w:rsidRDefault="00F8060C" w:rsidP="00073ADF">
      <w:pPr>
        <w:pStyle w:val="ListParagraph"/>
        <w:numPr>
          <w:ilvl w:val="1"/>
          <w:numId w:val="9"/>
        </w:numPr>
        <w:ind w:left="1134" w:hanging="708"/>
        <w:rPr>
          <w:b/>
        </w:rPr>
      </w:pPr>
      <w:r w:rsidRPr="0079292E">
        <w:rPr>
          <w:b/>
        </w:rPr>
        <w:t xml:space="preserve">Nationella politiska strategier för att locka investerare till tillgängliga områden och underlätta investeringar i prospektering och gruvdrift </w:t>
      </w:r>
    </w:p>
    <w:p w:rsidR="002908B8" w:rsidRPr="0079292E" w:rsidRDefault="00F8060C" w:rsidP="00073ADF">
      <w:pPr>
        <w:pStyle w:val="ListParagraph"/>
        <w:ind w:left="1134"/>
      </w:pPr>
      <w:r w:rsidRPr="0079292E">
        <w:t>Beslut att investera i länder grundar sig på en hel rad faktorer: tillgången till mark och möjligheterna att prospektera, regelverket, tillståndsförfarandena, statsrisken, infrastrukturen, skattesystemet och lagstiftningen om gruvdrift, kostnaden för tjänster och innehav av mark, besittningsrätten och kvaliteten på geologer och ingenjörer i landet. EU:s medlemsstater tävlar om en begränsad mängd prospekteringsdollar. Det måste finnas nationella och europeiska strategier och det krävs en jämvikt mellan mineralutvinning, miljö och lokalsamhällen.</w:t>
      </w:r>
    </w:p>
    <w:p w:rsidR="002908B8" w:rsidRPr="0079292E" w:rsidRDefault="00F8060C" w:rsidP="00073ADF">
      <w:pPr>
        <w:pStyle w:val="ListParagraph"/>
        <w:ind w:left="1134"/>
      </w:pPr>
      <w:r w:rsidRPr="0079292E">
        <w:t xml:space="preserve">Att det finns ett förtroende mellan gruvföretagen, regeringen och dess myndigheter samt lokalsamhället är en grundläggande förutsättning för varje gruvas framgång. Detta måste fastställas i prospekteringsstadiet och vara en hög prioritering under genomförbarhetsstudier och planering och fortsätta under konstruktion, drift och stängning samt efter stängning. Metaller och mineraler är grunden för vår civilisations infrastruktur. Beskattningen bör därför vara adekvat. Företagsbeskattningen för gruvor kan behöva ses över så att man fortsätter att locka prospekterings- och gruvföretag. </w:t>
      </w:r>
    </w:p>
    <w:p w:rsidR="00BC7D91" w:rsidRPr="0079292E" w:rsidRDefault="00BC7D91" w:rsidP="00073ADF">
      <w:pPr>
        <w:pStyle w:val="ListParagraph"/>
        <w:ind w:left="1134"/>
      </w:pPr>
      <w:r w:rsidRPr="0079292E">
        <w:t>Lönsamheten i nya gruvdriftsinvesteringar bör bedömas tillsammans med andra industrisektorer och deras behov eftersom dessa är beroende av gruvindustrin, och fyndigheterna bör användas på ett hållbart sätt (t.ex. genom ökad återvinning av biprodukter och delprodukter).</w:t>
      </w:r>
    </w:p>
    <w:p w:rsidR="00F21C9F" w:rsidRPr="0079292E" w:rsidRDefault="00F21C9F" w:rsidP="00073ADF"/>
    <w:p w:rsidR="004F4E7F" w:rsidRPr="0079292E" w:rsidRDefault="004F4E7F" w:rsidP="00D20F70">
      <w:pPr>
        <w:pStyle w:val="ListParagraph"/>
        <w:keepNext/>
        <w:keepLines/>
        <w:numPr>
          <w:ilvl w:val="1"/>
          <w:numId w:val="10"/>
        </w:numPr>
        <w:ind w:left="1134" w:hanging="708"/>
        <w:rPr>
          <w:b/>
        </w:rPr>
      </w:pPr>
      <w:r w:rsidRPr="0079292E">
        <w:rPr>
          <w:b/>
        </w:rPr>
        <w:t>Innovation</w:t>
      </w:r>
    </w:p>
    <w:p w:rsidR="00F8060C" w:rsidRPr="0079292E" w:rsidRDefault="00F8060C" w:rsidP="00D20F70">
      <w:pPr>
        <w:pStyle w:val="ListParagraph"/>
        <w:keepNext/>
        <w:keepLines/>
        <w:numPr>
          <w:ilvl w:val="1"/>
          <w:numId w:val="1"/>
        </w:numPr>
        <w:ind w:left="1843" w:hanging="709"/>
      </w:pPr>
      <w:r w:rsidRPr="0079292E">
        <w:t>De nationella regeringarna bör ge innovativa lösningar i gruvindustrin verksamt stöd (ett gynnsamt regelverk, ett system med incitament i flera riktningar, skatter och avgifter), eftersom gruvföretagen inte är motiverade att ta stora risker.</w:t>
      </w:r>
    </w:p>
    <w:p w:rsidR="00B770E3" w:rsidRPr="0079292E" w:rsidRDefault="00B770E3" w:rsidP="00073ADF">
      <w:pPr>
        <w:pStyle w:val="ListParagraph"/>
        <w:numPr>
          <w:ilvl w:val="1"/>
          <w:numId w:val="1"/>
        </w:numPr>
        <w:ind w:left="1843" w:hanging="709"/>
      </w:pPr>
      <w:r w:rsidRPr="0079292E">
        <w:t xml:space="preserve">För utvecklingen av en cirkulär ekonomi är det viktigt att återvinna råvaror genom ökad återanvändning (t.ex. WEEE (avfall som utgörs av eller innehåller elektriska eller elektroniska produkter) och kol), eftersom detta i många områden fortfarande inte är ekonomiskt och tekniskt konkurrenskraftigt jämfört med de primära källorna. Detta måste främjas. </w:t>
      </w:r>
    </w:p>
    <w:p w:rsidR="00B770E3" w:rsidRPr="0079292E" w:rsidRDefault="00B770E3" w:rsidP="00073ADF">
      <w:pPr>
        <w:pStyle w:val="ListParagraph"/>
        <w:numPr>
          <w:ilvl w:val="1"/>
          <w:numId w:val="1"/>
        </w:numPr>
        <w:ind w:left="1843" w:hanging="709"/>
      </w:pPr>
      <w:r w:rsidRPr="0079292E">
        <w:t>Ökad utbildning, t.ex. om återvinning, och ökad medvetenhet om råvarors betydelse i ekonomin, framför allt eftersom det för närvarande inte finns någon korrelation med utbildningssystemens utmaningar i den moderna ekonomin, däribland i fråga om företagande.</w:t>
      </w:r>
    </w:p>
    <w:p w:rsidR="00F8060C" w:rsidRPr="0079292E" w:rsidRDefault="00F8060C" w:rsidP="00073ADF"/>
    <w:p w:rsidR="00B16689" w:rsidRPr="0079292E" w:rsidRDefault="00F8502D" w:rsidP="005636C0">
      <w:pPr>
        <w:pStyle w:val="ListParagraph"/>
        <w:keepNext/>
        <w:numPr>
          <w:ilvl w:val="0"/>
          <w:numId w:val="1"/>
        </w:numPr>
        <w:rPr>
          <w:b/>
          <w:sz w:val="24"/>
          <w:szCs w:val="24"/>
        </w:rPr>
      </w:pPr>
      <w:r w:rsidRPr="0079292E">
        <w:rPr>
          <w:b/>
          <w:sz w:val="24"/>
        </w:rPr>
        <w:t>Område B: EU:s politik och lagstiftningsaspekten</w:t>
      </w:r>
    </w:p>
    <w:p w:rsidR="00E22EDD" w:rsidRPr="0079292E" w:rsidRDefault="00E22EDD" w:rsidP="005636C0">
      <w:pPr>
        <w:keepNext/>
        <w:rPr>
          <w:sz w:val="24"/>
        </w:rPr>
      </w:pPr>
    </w:p>
    <w:p w:rsidR="00C46EF5" w:rsidRPr="0079292E" w:rsidRDefault="00C46EF5" w:rsidP="00073ADF">
      <w:pPr>
        <w:pStyle w:val="ListParagraph"/>
        <w:numPr>
          <w:ilvl w:val="1"/>
          <w:numId w:val="11"/>
        </w:numPr>
        <w:ind w:left="1134" w:hanging="708"/>
        <w:rPr>
          <w:b/>
        </w:rPr>
      </w:pPr>
      <w:r w:rsidRPr="0079292E">
        <w:rPr>
          <w:b/>
        </w:rPr>
        <w:t>Att säkra det lokala energiutbudet</w:t>
      </w:r>
    </w:p>
    <w:p w:rsidR="00C46EF5" w:rsidRPr="0079292E" w:rsidRDefault="00C46EF5" w:rsidP="00073ADF">
      <w:pPr>
        <w:pStyle w:val="ListParagraph"/>
        <w:numPr>
          <w:ilvl w:val="1"/>
          <w:numId w:val="1"/>
        </w:numPr>
        <w:ind w:left="1843" w:hanging="709"/>
      </w:pPr>
      <w:r w:rsidRPr="0079292E">
        <w:t>Utveckling av alla konventionella och okonventionella energikällor, så att man möjliggör konkurrenskraftiga priser för energiintensiva industrier som gruvdrift och tillverkningsindustrin.</w:t>
      </w:r>
    </w:p>
    <w:p w:rsidR="004F4E7F" w:rsidRPr="0079292E" w:rsidRDefault="00C46EF5" w:rsidP="00073ADF">
      <w:pPr>
        <w:pStyle w:val="ListParagraph"/>
        <w:numPr>
          <w:ilvl w:val="1"/>
          <w:numId w:val="1"/>
        </w:numPr>
        <w:ind w:left="1843" w:hanging="709"/>
      </w:pPr>
      <w:r w:rsidRPr="0079292E">
        <w:t xml:space="preserve">Energipriser har stor inverkan på de övergripande kostnaderna för gruvdrift och mineralbearbetning. Många gruvföretag är helt integrerade i globala värdekedjor, där man av konkurrensskäl inte kan lägga ytterligare lokala kostnader på kunderna. I varje jurisdiktion krävs därför att gruvdriften kan dra fördel av konkurrenskraftiga energipriser för att värdsamhällena ska gynnas på lång sikt. </w:t>
      </w:r>
    </w:p>
    <w:p w:rsidR="00C46EF5" w:rsidRPr="0079292E" w:rsidRDefault="00C46EF5" w:rsidP="00073ADF">
      <w:pPr>
        <w:pStyle w:val="ListParagraph"/>
        <w:numPr>
          <w:ilvl w:val="1"/>
          <w:numId w:val="1"/>
        </w:numPr>
        <w:ind w:left="1843" w:hanging="709"/>
      </w:pPr>
      <w:r w:rsidRPr="0079292E">
        <w:t>Från energisektorns håll kan man klart och tydligt se att det går att bryta sambandet mellan ekonomisk tillväxt och utsläpp av växthusgaser och att detta förekommer där betydande gruvindustrier f</w:t>
      </w:r>
      <w:r w:rsidR="00D20F70" w:rsidRPr="0079292E">
        <w:t>inns eller till och med växer i </w:t>
      </w:r>
      <w:r w:rsidRPr="0079292E">
        <w:t>omfattning. Höga energipriser leder inte nödvändigtvis till minskade koldioxidutsläpp, om dessa exempelvis sker vid mineralbearbetningen, och de kan ändå påverka konkurrenskraften i hela värdekedjor. Långsiktiga investeringar i effektivare gruvteknik och -processer är önskvärt, men inte att gruvdriften flyttas till länder utanför EU.</w:t>
      </w:r>
    </w:p>
    <w:p w:rsidR="00F21C9F" w:rsidRPr="0079292E" w:rsidRDefault="00F21C9F" w:rsidP="00073ADF"/>
    <w:p w:rsidR="004F4E7F" w:rsidRPr="0079292E" w:rsidRDefault="004F4E7F" w:rsidP="00073ADF">
      <w:pPr>
        <w:pStyle w:val="ListParagraph"/>
        <w:numPr>
          <w:ilvl w:val="1"/>
          <w:numId w:val="12"/>
        </w:numPr>
        <w:ind w:left="1134" w:hanging="708"/>
        <w:rPr>
          <w:b/>
        </w:rPr>
      </w:pPr>
      <w:r w:rsidRPr="0079292E">
        <w:rPr>
          <w:b/>
        </w:rPr>
        <w:t>Kunskap och samverkanseffekter</w:t>
      </w:r>
    </w:p>
    <w:p w:rsidR="00BC7D91" w:rsidRPr="0079292E" w:rsidRDefault="00F8502D" w:rsidP="00073ADF">
      <w:pPr>
        <w:pStyle w:val="ListParagraph"/>
        <w:numPr>
          <w:ilvl w:val="1"/>
          <w:numId w:val="1"/>
        </w:numPr>
        <w:ind w:left="1843" w:hanging="709"/>
      </w:pPr>
      <w:r w:rsidRPr="0079292E">
        <w:t>Att utveckla kunskap, bedöma EU-medlemsstaternas nationella potential och deras potentiella samverkanseffekter i ett europeiskt sammanhang genom bättre insamlingsmetoder och systematisering av information för en bättre resursanvändning och främja samverkanseffekter mellan offentliga och privata aktörer samt övervaka den gruvverksamheten över hela EU.</w:t>
      </w:r>
    </w:p>
    <w:p w:rsidR="00BC7D91" w:rsidRPr="0079292E" w:rsidRDefault="00BC7D91" w:rsidP="00073ADF">
      <w:pPr>
        <w:pStyle w:val="ListParagraph"/>
        <w:numPr>
          <w:ilvl w:val="1"/>
          <w:numId w:val="1"/>
        </w:numPr>
        <w:ind w:left="1843" w:hanging="709"/>
      </w:pPr>
      <w:r w:rsidRPr="0079292E">
        <w:t>Staten bör i största möjliga utsträckning stödja företags och FoU-aktörers deltagande i Europeiska institutet för innovation och teknik (EIT) för råvaror och EU:s program. Nationella byråer för finansiering av forskning och teknisk utveckling bör uppmuntras att delta i ERA-NET.</w:t>
      </w:r>
    </w:p>
    <w:p w:rsidR="007C29C6" w:rsidRPr="0079292E" w:rsidRDefault="007C29C6" w:rsidP="00073ADF">
      <w:pPr>
        <w:pStyle w:val="ListParagraph"/>
        <w:numPr>
          <w:ilvl w:val="1"/>
          <w:numId w:val="1"/>
        </w:numPr>
        <w:ind w:left="1843" w:hanging="709"/>
      </w:pPr>
      <w:r w:rsidRPr="0079292E">
        <w:t>Flera länder står inför den stora utmaningen att stänga kolgruvor eller modernisera sina kraftverk och utveckla miljövänlig teknik för en bredare användning av kol inom andra sektorer än energisektorn. Kolbrytningen åsidosätts för närvarande i EU:s politik i stället för att man på ett hållbart sätt använder befintliga EU-resurser och aktivt stöder de länder och regioner som konfronteras med stängningar genom forskning och teknisk utveckling och strukturfonder för att underlätta en miljömässigt och socialt hållbar vitalisering av dessa regioner.</w:t>
      </w:r>
    </w:p>
    <w:p w:rsidR="00F21C9F" w:rsidRPr="0079292E" w:rsidRDefault="00F21C9F" w:rsidP="00073ADF"/>
    <w:p w:rsidR="000778E9" w:rsidRPr="0079292E" w:rsidRDefault="000778E9" w:rsidP="005636C0">
      <w:pPr>
        <w:pStyle w:val="ListParagraph"/>
        <w:keepNext/>
        <w:numPr>
          <w:ilvl w:val="1"/>
          <w:numId w:val="13"/>
        </w:numPr>
        <w:ind w:left="1134" w:hanging="708"/>
        <w:rPr>
          <w:b/>
        </w:rPr>
      </w:pPr>
      <w:r w:rsidRPr="0079292E">
        <w:rPr>
          <w:b/>
        </w:rPr>
        <w:t xml:space="preserve">Den sociala aspekten och arbetsmarknaden </w:t>
      </w:r>
    </w:p>
    <w:p w:rsidR="00736574" w:rsidRPr="0079292E" w:rsidRDefault="000778E9" w:rsidP="005636C0">
      <w:pPr>
        <w:pStyle w:val="ListParagraph"/>
        <w:keepNext/>
        <w:ind w:left="1134"/>
      </w:pPr>
      <w:r w:rsidRPr="0079292E">
        <w:t>Att modernisera och anpassa systemen för utbildning och fortbildning inför den tekniska utvecklingen och nya arbetsförfaranden. Det handlar också om livslångt lärande, yrkesutbildning och system för varvad utbildning, där teoretisk och praktisk undervisning kombineras; en stark och samstämmig industripolitisk agenda som stöder tryggandet och skapandet av sysselsättning inom utvinningssektorerna; underlättande av arbetskraftens rörlighet; och kapacitetsuppbyggnad inom behöriga myndigheter. Det rekommenderas starkt att man ser på sysselsättnings- och kompetensutvecklingen inom sektorn i europeisk skala för att kunna ta itu med den regionala utvecklingen och omstruktureringen i den bredare sektorn.</w:t>
      </w:r>
    </w:p>
    <w:p w:rsidR="00F21C9F" w:rsidRPr="0079292E" w:rsidRDefault="00F21C9F" w:rsidP="00073ADF"/>
    <w:p w:rsidR="00F21C9F" w:rsidRPr="0079292E" w:rsidRDefault="00325AD9" w:rsidP="00073ADF">
      <w:pPr>
        <w:pStyle w:val="ListParagraph"/>
        <w:numPr>
          <w:ilvl w:val="1"/>
          <w:numId w:val="14"/>
        </w:numPr>
        <w:ind w:left="1134" w:hanging="708"/>
        <w:rPr>
          <w:b/>
        </w:rPr>
      </w:pPr>
      <w:r w:rsidRPr="0079292E">
        <w:rPr>
          <w:b/>
        </w:rPr>
        <w:t>Konkurrens och hållbarhet</w:t>
      </w:r>
    </w:p>
    <w:p w:rsidR="00325AD9" w:rsidRPr="0079292E" w:rsidRDefault="00C46EF5" w:rsidP="00073ADF">
      <w:pPr>
        <w:pStyle w:val="ListParagraph"/>
        <w:ind w:left="1134"/>
        <w:rPr>
          <w:b/>
        </w:rPr>
      </w:pPr>
      <w:r w:rsidRPr="0079292E">
        <w:t>Med tanke på den ekonomiska tillväxten och hållbarheten i EU är det ytterst viktigt att unionen slutar att låtsas stödja hållbarhetsmålen genom att tillämpa dessa mål inom EU men inte på produkter som kommer in i EU. Man måste därför se till att regelverken är tillräckligt starka för att skydda de europeiska industrierna mot illojal konkurrens och se till att det finns ett regelverk som skyddar EU:s kunder mot illojal global konkurrens eller produktionsläckage till följd av ensidigt självpåtagna kostnader och belönar enastående produktivitet.</w:t>
      </w:r>
    </w:p>
    <w:p w:rsidR="00080C01" w:rsidRPr="0079292E" w:rsidRDefault="00080C01" w:rsidP="00073ADF"/>
    <w:p w:rsidR="003B200D" w:rsidRPr="0079292E" w:rsidRDefault="003B200D" w:rsidP="00073ADF"/>
    <w:p w:rsidR="00E22EDD" w:rsidRPr="0079292E" w:rsidRDefault="00FC0AA4" w:rsidP="00073ADF">
      <w:pPr>
        <w:pStyle w:val="ListParagraph"/>
        <w:ind w:left="1440"/>
        <w:jc w:val="center"/>
      </w:pPr>
      <w:r w:rsidRPr="0079292E">
        <w:t>*</w:t>
      </w:r>
    </w:p>
    <w:p w:rsidR="003B200D" w:rsidRPr="0079292E" w:rsidRDefault="00FC0AA4" w:rsidP="00073ADF">
      <w:pPr>
        <w:pStyle w:val="ListParagraph"/>
        <w:ind w:left="1440"/>
        <w:jc w:val="center"/>
      </w:pPr>
      <w:r w:rsidRPr="0079292E">
        <w:t>*</w:t>
      </w:r>
      <w:r w:rsidRPr="0079292E">
        <w:tab/>
        <w:t>*</w:t>
      </w:r>
    </w:p>
    <w:p w:rsidR="000F4718" w:rsidRPr="0079292E" w:rsidRDefault="000F4718">
      <w:pPr>
        <w:spacing w:after="200" w:line="276" w:lineRule="auto"/>
        <w:jc w:val="left"/>
      </w:pPr>
      <w:r w:rsidRPr="0079292E">
        <w:br w:type="page"/>
      </w:r>
    </w:p>
    <w:p w:rsidR="00080C01" w:rsidRPr="0079292E" w:rsidRDefault="00080C01" w:rsidP="00073ADF">
      <w:pPr>
        <w:rPr>
          <w:b/>
        </w:rPr>
      </w:pPr>
      <w:r w:rsidRPr="0079292E">
        <w:rPr>
          <w:b/>
        </w:rPr>
        <w:t>De främsta partnerna i dessa evenemang var Euromines, Eurocoal, IndustriAll och Europeiska kommissionen, men i varje evenemang deltog också ett antal lokala partner:</w:t>
      </w:r>
    </w:p>
    <w:p w:rsidR="00080C01" w:rsidRPr="0079292E" w:rsidRDefault="00080C01" w:rsidP="00073ADF">
      <w:pPr>
        <w:pStyle w:val="ListParagraph"/>
        <w:numPr>
          <w:ilvl w:val="0"/>
          <w:numId w:val="4"/>
        </w:numPr>
      </w:pPr>
      <w:r w:rsidRPr="0079292E">
        <w:t>Spanien: Confedem och Centro para el Desarrollo Tecnológico Industrial</w:t>
      </w:r>
    </w:p>
    <w:p w:rsidR="00080C01" w:rsidRPr="0079292E" w:rsidRDefault="00080C01" w:rsidP="00073ADF">
      <w:pPr>
        <w:pStyle w:val="ListParagraph"/>
        <w:numPr>
          <w:ilvl w:val="0"/>
          <w:numId w:val="4"/>
        </w:numPr>
      </w:pPr>
      <w:r w:rsidRPr="0079292E">
        <w:t>Slovakien: Ekonomiministeriet</w:t>
      </w:r>
    </w:p>
    <w:p w:rsidR="00080C01" w:rsidRPr="0079292E" w:rsidRDefault="00080C01" w:rsidP="00073ADF">
      <w:pPr>
        <w:pStyle w:val="ListParagraph"/>
        <w:numPr>
          <w:ilvl w:val="0"/>
          <w:numId w:val="4"/>
        </w:numPr>
      </w:pPr>
      <w:r w:rsidRPr="0079292E">
        <w:t>Rumänien: Universitatea Politehnica i Bukarest, Ekonomiministeriet, Meridian</w:t>
      </w:r>
    </w:p>
    <w:p w:rsidR="00080C01" w:rsidRPr="0079292E" w:rsidRDefault="00080C01" w:rsidP="00073ADF">
      <w:pPr>
        <w:pStyle w:val="ListParagraph"/>
        <w:numPr>
          <w:ilvl w:val="0"/>
          <w:numId w:val="4"/>
        </w:numPr>
      </w:pPr>
      <w:r w:rsidRPr="0079292E">
        <w:t>Finland: Företagarna i Finland rf, Finnmin (finländska gruvförbundet)</w:t>
      </w:r>
    </w:p>
    <w:p w:rsidR="00080C01" w:rsidRPr="0079292E" w:rsidRDefault="00080C01" w:rsidP="00073ADF">
      <w:pPr>
        <w:pStyle w:val="ListParagraph"/>
        <w:numPr>
          <w:ilvl w:val="0"/>
          <w:numId w:val="4"/>
        </w:numPr>
      </w:pPr>
      <w:r w:rsidRPr="0079292E">
        <w:t>Portugal: Laboratório Nacional de Energia e Geologia, Direção-Geral de Energia e Geologia</w:t>
      </w:r>
    </w:p>
    <w:p w:rsidR="00080C01" w:rsidRPr="0079292E" w:rsidRDefault="00080C01" w:rsidP="00073ADF">
      <w:pPr>
        <w:pStyle w:val="ListParagraph"/>
        <w:numPr>
          <w:ilvl w:val="0"/>
          <w:numId w:val="4"/>
        </w:numPr>
      </w:pPr>
      <w:r w:rsidRPr="0079292E">
        <w:t>Irland: Geological Survey of Ireland, Department of Communications, Energy and Natural resources</w:t>
      </w:r>
    </w:p>
    <w:p w:rsidR="00080C01" w:rsidRPr="0079292E" w:rsidRDefault="00080C01" w:rsidP="00073ADF">
      <w:pPr>
        <w:pStyle w:val="ListParagraph"/>
        <w:numPr>
          <w:ilvl w:val="0"/>
          <w:numId w:val="4"/>
        </w:numPr>
      </w:pPr>
      <w:r w:rsidRPr="0079292E">
        <w:t>Polen: ministeriet för ekonomisk utveckling, arbetsgivarorganisationen för den polska kopparindustrin (Polska miedź)</w:t>
      </w:r>
    </w:p>
    <w:p w:rsidR="00080C01" w:rsidRPr="0079292E" w:rsidRDefault="00080C01" w:rsidP="00073ADF">
      <w:pPr>
        <w:pStyle w:val="ListParagraph"/>
        <w:numPr>
          <w:ilvl w:val="0"/>
          <w:numId w:val="4"/>
        </w:numPr>
      </w:pPr>
      <w:r w:rsidRPr="0079292E">
        <w:t>Tjeckien: Tjeckiens gruvförbund, industri- och handelsministeriet</w:t>
      </w:r>
    </w:p>
    <w:p w:rsidR="00080C01" w:rsidRPr="0079292E" w:rsidRDefault="00080C01" w:rsidP="00073ADF"/>
    <w:p w:rsidR="00080C01" w:rsidRPr="0079292E" w:rsidRDefault="00080C01" w:rsidP="00073ADF">
      <w:pPr>
        <w:pStyle w:val="ListParagraph"/>
        <w:ind w:left="0"/>
        <w:rPr>
          <w:b/>
        </w:rPr>
      </w:pPr>
      <w:r w:rsidRPr="0079292E">
        <w:rPr>
          <w:b/>
        </w:rPr>
        <w:t>Lista över CCMI-medlemmar/delegater som deltagit i dessa rundabordssamtal</w:t>
      </w:r>
    </w:p>
    <w:p w:rsidR="005E690D" w:rsidRPr="0079292E" w:rsidRDefault="005E690D" w:rsidP="00073ADF">
      <w:pPr>
        <w:pStyle w:val="ListParagraph"/>
      </w:pPr>
      <w:r w:rsidRPr="0079292E">
        <w:t>Lucie Studničná</w:t>
      </w:r>
    </w:p>
    <w:p w:rsidR="005E690D" w:rsidRPr="0079292E" w:rsidRDefault="005E690D" w:rsidP="00073ADF">
      <w:pPr>
        <w:pStyle w:val="ListParagraph"/>
      </w:pPr>
      <w:r w:rsidRPr="0079292E">
        <w:t>Carlos Trias Pintó</w:t>
      </w:r>
    </w:p>
    <w:p w:rsidR="005E690D" w:rsidRPr="0079292E" w:rsidRDefault="005E690D" w:rsidP="00073ADF">
      <w:pPr>
        <w:pStyle w:val="ListParagraph"/>
      </w:pPr>
      <w:r w:rsidRPr="0079292E">
        <w:t>Casado Lopez Juan Manuel</w:t>
      </w:r>
    </w:p>
    <w:p w:rsidR="005E690D" w:rsidRPr="0079292E" w:rsidRDefault="005E690D" w:rsidP="00073ADF">
      <w:pPr>
        <w:pStyle w:val="ListParagraph"/>
      </w:pPr>
      <w:r w:rsidRPr="0079292E">
        <w:t>Dumitru Fornea</w:t>
      </w:r>
    </w:p>
    <w:p w:rsidR="005E690D" w:rsidRPr="0079292E" w:rsidRDefault="005E690D" w:rsidP="00073ADF">
      <w:pPr>
        <w:pStyle w:val="ListParagraph"/>
      </w:pPr>
      <w:r w:rsidRPr="0079292E">
        <w:t>Eugen Lucan</w:t>
      </w:r>
    </w:p>
    <w:p w:rsidR="005E690D" w:rsidRPr="0079292E" w:rsidRDefault="005E690D" w:rsidP="00073ADF">
      <w:pPr>
        <w:pStyle w:val="ListParagraph"/>
      </w:pPr>
      <w:r w:rsidRPr="0079292E">
        <w:t>Gerald Kreuzer</w:t>
      </w:r>
    </w:p>
    <w:p w:rsidR="005E690D" w:rsidRPr="0079292E" w:rsidRDefault="005E690D" w:rsidP="00073ADF">
      <w:pPr>
        <w:pStyle w:val="ListParagraph"/>
      </w:pPr>
      <w:r w:rsidRPr="0079292E">
        <w:t>Glorieux Jacques</w:t>
      </w:r>
    </w:p>
    <w:p w:rsidR="005E690D" w:rsidRPr="0079292E" w:rsidRDefault="005E690D" w:rsidP="00073ADF">
      <w:pPr>
        <w:pStyle w:val="ListParagraph"/>
      </w:pPr>
      <w:r w:rsidRPr="0079292E">
        <w:t>Hilde Van Laere</w:t>
      </w:r>
    </w:p>
    <w:p w:rsidR="005E690D" w:rsidRPr="0079292E" w:rsidRDefault="005E690D" w:rsidP="00073ADF">
      <w:pPr>
        <w:pStyle w:val="ListParagraph"/>
      </w:pPr>
      <w:r w:rsidRPr="0079292E">
        <w:t>Jacques Glorieux</w:t>
      </w:r>
    </w:p>
    <w:p w:rsidR="005E690D" w:rsidRPr="0079292E" w:rsidRDefault="005E690D" w:rsidP="00073ADF">
      <w:pPr>
        <w:pStyle w:val="ListParagraph"/>
      </w:pPr>
      <w:r w:rsidRPr="0079292E">
        <w:t>Josef Zboril</w:t>
      </w:r>
    </w:p>
    <w:p w:rsidR="005E690D" w:rsidRPr="0079292E" w:rsidRDefault="003B200D" w:rsidP="00073ADF">
      <w:pPr>
        <w:pStyle w:val="ListParagraph"/>
      </w:pPr>
      <w:r w:rsidRPr="0079292E">
        <w:t>Linas Lasiauskas</w:t>
      </w:r>
    </w:p>
    <w:p w:rsidR="003B200D" w:rsidRPr="0079292E" w:rsidRDefault="003B200D" w:rsidP="00073ADF">
      <w:pPr>
        <w:pStyle w:val="ListParagraph"/>
      </w:pPr>
      <w:r w:rsidRPr="0079292E">
        <w:t xml:space="preserve">Gonçalo Lobo Xavier </w:t>
      </w:r>
    </w:p>
    <w:p w:rsidR="003B200D" w:rsidRPr="0079292E" w:rsidRDefault="003B200D" w:rsidP="00073ADF">
      <w:pPr>
        <w:pStyle w:val="ListParagraph"/>
      </w:pPr>
      <w:r w:rsidRPr="0079292E">
        <w:t xml:space="preserve">Cillian Lohan </w:t>
      </w:r>
    </w:p>
    <w:p w:rsidR="005E690D" w:rsidRPr="0079292E" w:rsidRDefault="003B200D" w:rsidP="00073ADF">
      <w:pPr>
        <w:pStyle w:val="ListParagraph"/>
      </w:pPr>
      <w:r w:rsidRPr="0079292E">
        <w:t>Vladimir Novotný</w:t>
      </w:r>
    </w:p>
    <w:p w:rsidR="005E690D" w:rsidRPr="0079292E" w:rsidRDefault="003B200D" w:rsidP="00073ADF">
      <w:pPr>
        <w:pStyle w:val="ListParagraph"/>
      </w:pPr>
      <w:r w:rsidRPr="0079292E">
        <w:t xml:space="preserve">Jorge Pegado Liz </w:t>
      </w:r>
    </w:p>
    <w:p w:rsidR="003B200D" w:rsidRPr="0079292E" w:rsidRDefault="003B200D" w:rsidP="00073ADF">
      <w:pPr>
        <w:pStyle w:val="ListParagraph"/>
      </w:pPr>
      <w:r w:rsidRPr="0079292E">
        <w:t xml:space="preserve">Aurel Laurentiu Plosceanu </w:t>
      </w:r>
    </w:p>
    <w:p w:rsidR="005E690D" w:rsidRPr="0079292E" w:rsidRDefault="003B200D" w:rsidP="00073ADF">
      <w:pPr>
        <w:pStyle w:val="ListParagraph"/>
      </w:pPr>
      <w:r w:rsidRPr="0079292E">
        <w:t>Ion Pop</w:t>
      </w:r>
    </w:p>
    <w:p w:rsidR="005E690D" w:rsidRPr="0079292E" w:rsidRDefault="005E690D" w:rsidP="00073ADF">
      <w:pPr>
        <w:pStyle w:val="ListParagraph"/>
      </w:pPr>
      <w:r w:rsidRPr="0079292E">
        <w:t>Renata Eisenvortova</w:t>
      </w:r>
    </w:p>
    <w:p w:rsidR="005E690D" w:rsidRPr="0079292E" w:rsidRDefault="003B200D" w:rsidP="00073ADF">
      <w:pPr>
        <w:pStyle w:val="ListParagraph"/>
      </w:pPr>
      <w:r w:rsidRPr="0079292E">
        <w:t xml:space="preserve">Przemyslaw Rzepecki </w:t>
      </w:r>
    </w:p>
    <w:p w:rsidR="005E690D" w:rsidRPr="0079292E" w:rsidRDefault="005E690D" w:rsidP="00073ADF">
      <w:pPr>
        <w:pStyle w:val="ListParagraph"/>
      </w:pPr>
      <w:r w:rsidRPr="0079292E">
        <w:t>Sauli Vantti</w:t>
      </w:r>
    </w:p>
    <w:p w:rsidR="005E690D" w:rsidRPr="0079292E" w:rsidRDefault="005E690D" w:rsidP="00073ADF">
      <w:pPr>
        <w:pStyle w:val="ListParagraph"/>
      </w:pPr>
      <w:r w:rsidRPr="0079292E">
        <w:t>Seamus Boland</w:t>
      </w:r>
    </w:p>
    <w:p w:rsidR="005E690D" w:rsidRPr="0079292E" w:rsidRDefault="005E690D" w:rsidP="00073ADF">
      <w:pPr>
        <w:pStyle w:val="ListParagraph"/>
      </w:pPr>
      <w:r w:rsidRPr="0079292E">
        <w:t>Thomas Palmgren</w:t>
      </w:r>
    </w:p>
    <w:p w:rsidR="005E690D" w:rsidRPr="0079292E" w:rsidRDefault="005E690D" w:rsidP="00073ADF">
      <w:pPr>
        <w:pStyle w:val="ListParagraph"/>
      </w:pPr>
      <w:r w:rsidRPr="0079292E">
        <w:t>Víctor Fernández Vázquez</w:t>
      </w:r>
    </w:p>
    <w:p w:rsidR="00080C01" w:rsidRPr="0079292E" w:rsidRDefault="003B200D" w:rsidP="00073ADF">
      <w:pPr>
        <w:pStyle w:val="ListParagraph"/>
      </w:pPr>
      <w:r w:rsidRPr="0079292E">
        <w:t xml:space="preserve">Anastasis Yiapanis </w:t>
      </w:r>
    </w:p>
    <w:p w:rsidR="00FC0AA4" w:rsidRPr="0079292E" w:rsidRDefault="00FC0AA4" w:rsidP="00073ADF"/>
    <w:p w:rsidR="00FC0AA4" w:rsidRPr="0079292E" w:rsidRDefault="000F4718" w:rsidP="00073ADF">
      <w:pPr>
        <w:pStyle w:val="ListParagraph"/>
        <w:jc w:val="center"/>
      </w:pPr>
      <w:r w:rsidRPr="0079292E">
        <w:t>______________</w:t>
      </w:r>
    </w:p>
    <w:sectPr w:rsidR="00FC0AA4" w:rsidRPr="0079292E" w:rsidSect="00C53D5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5E" w:rsidRDefault="004F0D5E" w:rsidP="00354641">
      <w:pPr>
        <w:spacing w:line="240" w:lineRule="auto"/>
      </w:pPr>
      <w:r>
        <w:separator/>
      </w:r>
    </w:p>
  </w:endnote>
  <w:endnote w:type="continuationSeparator" w:id="0">
    <w:p w:rsidR="004F0D5E" w:rsidRDefault="004F0D5E" w:rsidP="00354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51" w:rsidRPr="00C53D51" w:rsidRDefault="00C53D51" w:rsidP="00C53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45" w:rsidRPr="00C53D51" w:rsidRDefault="00C53D51" w:rsidP="00C53D51">
    <w:pPr>
      <w:pStyle w:val="Footer"/>
    </w:pPr>
    <w:r>
      <w:t xml:space="preserve">EESC-2017-00099-00-00-TCD-TRA (EN) </w:t>
    </w:r>
    <w:r>
      <w:fldChar w:fldCharType="begin"/>
    </w:r>
    <w:r>
      <w:instrText xml:space="preserve"> PAGE  \* Arabic  \* MERGEFORMAT </w:instrText>
    </w:r>
    <w:r>
      <w:fldChar w:fldCharType="separate"/>
    </w:r>
    <w:r w:rsidR="00F81C46">
      <w:rPr>
        <w:noProof/>
      </w:rPr>
      <w:t>1</w:t>
    </w:r>
    <w:r>
      <w:fldChar w:fldCharType="end"/>
    </w:r>
    <w:r>
      <w:t>/</w:t>
    </w:r>
    <w:r>
      <w:fldChar w:fldCharType="begin"/>
    </w:r>
    <w:r>
      <w:instrText xml:space="preserve"> = </w:instrText>
    </w:r>
    <w:fldSimple w:instr=" NUMPAGES ">
      <w:r w:rsidR="00F81C46">
        <w:rPr>
          <w:noProof/>
        </w:rPr>
        <w:instrText>6</w:instrText>
      </w:r>
    </w:fldSimple>
    <w:r>
      <w:instrText xml:space="preserve"> -0 </w:instrText>
    </w:r>
    <w:r>
      <w:fldChar w:fldCharType="separate"/>
    </w:r>
    <w:r w:rsidR="00F81C46">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51" w:rsidRPr="00C53D51" w:rsidRDefault="00C53D51" w:rsidP="00C53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5E" w:rsidRDefault="004F0D5E" w:rsidP="00354641">
      <w:pPr>
        <w:spacing w:line="240" w:lineRule="auto"/>
      </w:pPr>
      <w:r>
        <w:separator/>
      </w:r>
    </w:p>
  </w:footnote>
  <w:footnote w:type="continuationSeparator" w:id="0">
    <w:p w:rsidR="004F0D5E" w:rsidRDefault="004F0D5E" w:rsidP="003546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51" w:rsidRPr="00C53D51" w:rsidRDefault="00C53D51" w:rsidP="00C53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51" w:rsidRPr="00C53D51" w:rsidRDefault="00C53D51" w:rsidP="00C53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51" w:rsidRPr="00C53D51" w:rsidRDefault="00C53D51" w:rsidP="00C53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962636"/>
    <w:multiLevelType w:val="hybridMultilevel"/>
    <w:tmpl w:val="5D5E7504"/>
    <w:lvl w:ilvl="0" w:tplc="0809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D23558"/>
    <w:multiLevelType w:val="hybridMultilevel"/>
    <w:tmpl w:val="3AEE309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61343"/>
    <w:multiLevelType w:val="hybridMultilevel"/>
    <w:tmpl w:val="57B0928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033571"/>
    <w:multiLevelType w:val="hybridMultilevel"/>
    <w:tmpl w:val="03704E46"/>
    <w:lvl w:ilvl="0" w:tplc="4CF48FF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14F8E"/>
    <w:multiLevelType w:val="hybridMultilevel"/>
    <w:tmpl w:val="8A06893A"/>
    <w:lvl w:ilvl="0" w:tplc="0809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9DA6501"/>
    <w:multiLevelType w:val="hybridMultilevel"/>
    <w:tmpl w:val="29E0FAF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955F84"/>
    <w:multiLevelType w:val="hybridMultilevel"/>
    <w:tmpl w:val="334EBE6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DE1B99"/>
    <w:multiLevelType w:val="hybridMultilevel"/>
    <w:tmpl w:val="0B12EFE2"/>
    <w:lvl w:ilvl="0" w:tplc="0C2677D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2FC3191"/>
    <w:multiLevelType w:val="hybridMultilevel"/>
    <w:tmpl w:val="8E189E0E"/>
    <w:lvl w:ilvl="0" w:tplc="EF02DA5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EDB20A8"/>
    <w:multiLevelType w:val="hybridMultilevel"/>
    <w:tmpl w:val="C388B044"/>
    <w:lvl w:ilvl="0" w:tplc="0809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013575E"/>
    <w:multiLevelType w:val="hybridMultilevel"/>
    <w:tmpl w:val="0588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E6BE5"/>
    <w:multiLevelType w:val="hybridMultilevel"/>
    <w:tmpl w:val="F85C732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ED32E08"/>
    <w:multiLevelType w:val="hybridMultilevel"/>
    <w:tmpl w:val="26D2C292"/>
    <w:lvl w:ilvl="0" w:tplc="0809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5F1A2C28"/>
    <w:multiLevelType w:val="hybridMultilevel"/>
    <w:tmpl w:val="5BF2E94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21E6E40"/>
    <w:multiLevelType w:val="hybridMultilevel"/>
    <w:tmpl w:val="BFCA2BB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0A1A9B"/>
    <w:multiLevelType w:val="hybridMultilevel"/>
    <w:tmpl w:val="DE309C2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03B576A"/>
    <w:multiLevelType w:val="hybridMultilevel"/>
    <w:tmpl w:val="A56470FC"/>
    <w:lvl w:ilvl="0" w:tplc="0809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31F4129"/>
    <w:multiLevelType w:val="hybridMultilevel"/>
    <w:tmpl w:val="E8DCFF7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10EDF"/>
    <w:multiLevelType w:val="hybridMultilevel"/>
    <w:tmpl w:val="556EF1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62"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12"/>
  </w:num>
  <w:num w:numId="4">
    <w:abstractNumId w:val="11"/>
  </w:num>
  <w:num w:numId="5">
    <w:abstractNumId w:val="17"/>
  </w:num>
  <w:num w:numId="6">
    <w:abstractNumId w:val="10"/>
  </w:num>
  <w:num w:numId="7">
    <w:abstractNumId w:val="13"/>
  </w:num>
  <w:num w:numId="8">
    <w:abstractNumId w:val="3"/>
  </w:num>
  <w:num w:numId="9">
    <w:abstractNumId w:val="14"/>
  </w:num>
  <w:num w:numId="10">
    <w:abstractNumId w:val="7"/>
  </w:num>
  <w:num w:numId="11">
    <w:abstractNumId w:val="6"/>
  </w:num>
  <w:num w:numId="12">
    <w:abstractNumId w:val="16"/>
  </w:num>
  <w:num w:numId="13">
    <w:abstractNumId w:val="2"/>
  </w:num>
  <w:num w:numId="14">
    <w:abstractNumId w:val="15"/>
  </w:num>
  <w:num w:numId="15">
    <w:abstractNumId w:val="5"/>
  </w:num>
  <w:num w:numId="16">
    <w:abstractNumId w:val="9"/>
  </w:num>
  <w:num w:numId="17">
    <w:abstractNumId w:val="1"/>
  </w:num>
  <w:num w:numId="18">
    <w:abstractNumId w:val="8"/>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3F"/>
    <w:rsid w:val="00047F95"/>
    <w:rsid w:val="00073ADF"/>
    <w:rsid w:val="000778E9"/>
    <w:rsid w:val="00080C01"/>
    <w:rsid w:val="00096A3F"/>
    <w:rsid w:val="000F4718"/>
    <w:rsid w:val="00131417"/>
    <w:rsid w:val="001B5D4B"/>
    <w:rsid w:val="001E0D05"/>
    <w:rsid w:val="001F72A0"/>
    <w:rsid w:val="00217CFD"/>
    <w:rsid w:val="00283C63"/>
    <w:rsid w:val="0028521C"/>
    <w:rsid w:val="002908B8"/>
    <w:rsid w:val="002B324E"/>
    <w:rsid w:val="00325AD9"/>
    <w:rsid w:val="00354641"/>
    <w:rsid w:val="003A552F"/>
    <w:rsid w:val="003B200D"/>
    <w:rsid w:val="003C3EEF"/>
    <w:rsid w:val="003F2495"/>
    <w:rsid w:val="004F0D5E"/>
    <w:rsid w:val="004F4E7F"/>
    <w:rsid w:val="004F7502"/>
    <w:rsid w:val="005636C0"/>
    <w:rsid w:val="00575D38"/>
    <w:rsid w:val="005E690D"/>
    <w:rsid w:val="00621F9D"/>
    <w:rsid w:val="006F1CF3"/>
    <w:rsid w:val="00705A1C"/>
    <w:rsid w:val="00724501"/>
    <w:rsid w:val="00736574"/>
    <w:rsid w:val="0078783F"/>
    <w:rsid w:val="0079292E"/>
    <w:rsid w:val="007C29C6"/>
    <w:rsid w:val="007E48D7"/>
    <w:rsid w:val="007F145F"/>
    <w:rsid w:val="008140E8"/>
    <w:rsid w:val="0082543C"/>
    <w:rsid w:val="00865DFC"/>
    <w:rsid w:val="00882D96"/>
    <w:rsid w:val="008E4133"/>
    <w:rsid w:val="008F52A7"/>
    <w:rsid w:val="00911E04"/>
    <w:rsid w:val="009D3396"/>
    <w:rsid w:val="00A63B3D"/>
    <w:rsid w:val="00A751A3"/>
    <w:rsid w:val="00B16689"/>
    <w:rsid w:val="00B770E3"/>
    <w:rsid w:val="00BC5304"/>
    <w:rsid w:val="00BC7D91"/>
    <w:rsid w:val="00C46EF5"/>
    <w:rsid w:val="00C53D51"/>
    <w:rsid w:val="00CC3F42"/>
    <w:rsid w:val="00D06963"/>
    <w:rsid w:val="00D20F70"/>
    <w:rsid w:val="00E22EDD"/>
    <w:rsid w:val="00E27FA6"/>
    <w:rsid w:val="00E40E46"/>
    <w:rsid w:val="00E717EB"/>
    <w:rsid w:val="00E828E2"/>
    <w:rsid w:val="00E841CE"/>
    <w:rsid w:val="00E912BE"/>
    <w:rsid w:val="00F07370"/>
    <w:rsid w:val="00F21C9F"/>
    <w:rsid w:val="00F63345"/>
    <w:rsid w:val="00F8060C"/>
    <w:rsid w:val="00F81C46"/>
    <w:rsid w:val="00F8502D"/>
    <w:rsid w:val="00FC0AA4"/>
    <w:rsid w:val="00FF33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4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B324E"/>
    <w:pPr>
      <w:numPr>
        <w:numId w:val="19"/>
      </w:numPr>
      <w:ind w:left="567" w:hanging="567"/>
      <w:outlineLvl w:val="0"/>
    </w:pPr>
    <w:rPr>
      <w:kern w:val="28"/>
    </w:rPr>
  </w:style>
  <w:style w:type="paragraph" w:styleId="Heading2">
    <w:name w:val="heading 2"/>
    <w:basedOn w:val="Normal"/>
    <w:next w:val="Normal"/>
    <w:link w:val="Heading2Char"/>
    <w:qFormat/>
    <w:rsid w:val="002B324E"/>
    <w:pPr>
      <w:numPr>
        <w:ilvl w:val="1"/>
        <w:numId w:val="19"/>
      </w:numPr>
      <w:ind w:left="567" w:hanging="567"/>
      <w:outlineLvl w:val="1"/>
    </w:pPr>
  </w:style>
  <w:style w:type="paragraph" w:styleId="Heading3">
    <w:name w:val="heading 3"/>
    <w:basedOn w:val="Normal"/>
    <w:next w:val="Normal"/>
    <w:link w:val="Heading3Char"/>
    <w:qFormat/>
    <w:rsid w:val="002B324E"/>
    <w:pPr>
      <w:numPr>
        <w:ilvl w:val="2"/>
        <w:numId w:val="19"/>
      </w:numPr>
      <w:ind w:left="567" w:hanging="567"/>
      <w:outlineLvl w:val="2"/>
    </w:pPr>
  </w:style>
  <w:style w:type="paragraph" w:styleId="Heading4">
    <w:name w:val="heading 4"/>
    <w:basedOn w:val="Normal"/>
    <w:next w:val="Normal"/>
    <w:link w:val="Heading4Char"/>
    <w:qFormat/>
    <w:rsid w:val="002B324E"/>
    <w:pPr>
      <w:numPr>
        <w:ilvl w:val="3"/>
        <w:numId w:val="19"/>
      </w:numPr>
      <w:ind w:left="567" w:hanging="567"/>
      <w:outlineLvl w:val="3"/>
    </w:pPr>
  </w:style>
  <w:style w:type="paragraph" w:styleId="Heading5">
    <w:name w:val="heading 5"/>
    <w:basedOn w:val="Normal"/>
    <w:next w:val="Normal"/>
    <w:link w:val="Heading5Char"/>
    <w:qFormat/>
    <w:rsid w:val="002B324E"/>
    <w:pPr>
      <w:numPr>
        <w:ilvl w:val="4"/>
        <w:numId w:val="19"/>
      </w:numPr>
      <w:ind w:left="567" w:hanging="567"/>
      <w:outlineLvl w:val="4"/>
    </w:pPr>
  </w:style>
  <w:style w:type="paragraph" w:styleId="Heading6">
    <w:name w:val="heading 6"/>
    <w:basedOn w:val="Normal"/>
    <w:next w:val="Normal"/>
    <w:link w:val="Heading6Char"/>
    <w:qFormat/>
    <w:rsid w:val="002B324E"/>
    <w:pPr>
      <w:numPr>
        <w:ilvl w:val="5"/>
        <w:numId w:val="19"/>
      </w:numPr>
      <w:ind w:left="567" w:hanging="567"/>
      <w:outlineLvl w:val="5"/>
    </w:pPr>
  </w:style>
  <w:style w:type="paragraph" w:styleId="Heading7">
    <w:name w:val="heading 7"/>
    <w:basedOn w:val="Normal"/>
    <w:next w:val="Normal"/>
    <w:link w:val="Heading7Char"/>
    <w:qFormat/>
    <w:rsid w:val="002B324E"/>
    <w:pPr>
      <w:numPr>
        <w:ilvl w:val="6"/>
        <w:numId w:val="19"/>
      </w:numPr>
      <w:ind w:left="567" w:hanging="567"/>
      <w:outlineLvl w:val="6"/>
    </w:pPr>
  </w:style>
  <w:style w:type="paragraph" w:styleId="Heading8">
    <w:name w:val="heading 8"/>
    <w:basedOn w:val="Normal"/>
    <w:next w:val="Normal"/>
    <w:link w:val="Heading8Char"/>
    <w:qFormat/>
    <w:rsid w:val="002B324E"/>
    <w:pPr>
      <w:numPr>
        <w:ilvl w:val="7"/>
        <w:numId w:val="19"/>
      </w:numPr>
      <w:ind w:left="567" w:hanging="567"/>
      <w:outlineLvl w:val="7"/>
    </w:pPr>
  </w:style>
  <w:style w:type="paragraph" w:styleId="Heading9">
    <w:name w:val="heading 9"/>
    <w:basedOn w:val="Normal"/>
    <w:next w:val="Normal"/>
    <w:link w:val="Heading9Char"/>
    <w:qFormat/>
    <w:rsid w:val="002B324E"/>
    <w:pPr>
      <w:numPr>
        <w:ilvl w:val="8"/>
        <w:numId w:val="19"/>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63"/>
    <w:pPr>
      <w:ind w:left="720"/>
      <w:contextualSpacing/>
    </w:pPr>
  </w:style>
  <w:style w:type="paragraph" w:styleId="Header">
    <w:name w:val="header"/>
    <w:basedOn w:val="Normal"/>
    <w:link w:val="HeaderChar"/>
    <w:qFormat/>
    <w:rsid w:val="002B324E"/>
  </w:style>
  <w:style w:type="character" w:customStyle="1" w:styleId="HeaderChar">
    <w:name w:val="Header Char"/>
    <w:basedOn w:val="DefaultParagraphFont"/>
    <w:link w:val="Header"/>
    <w:rsid w:val="00354641"/>
    <w:rPr>
      <w:rFonts w:ascii="Times New Roman" w:eastAsia="Times New Roman" w:hAnsi="Times New Roman" w:cs="Times New Roman"/>
    </w:rPr>
  </w:style>
  <w:style w:type="paragraph" w:styleId="Footer">
    <w:name w:val="footer"/>
    <w:basedOn w:val="Normal"/>
    <w:link w:val="FooterChar"/>
    <w:qFormat/>
    <w:rsid w:val="002B324E"/>
  </w:style>
  <w:style w:type="character" w:customStyle="1" w:styleId="FooterChar">
    <w:name w:val="Footer Char"/>
    <w:basedOn w:val="DefaultParagraphFont"/>
    <w:link w:val="Footer"/>
    <w:rsid w:val="00354641"/>
    <w:rPr>
      <w:rFonts w:ascii="Times New Roman" w:eastAsia="Times New Roman" w:hAnsi="Times New Roman" w:cs="Times New Roman"/>
    </w:rPr>
  </w:style>
  <w:style w:type="character" w:customStyle="1" w:styleId="Heading1Char">
    <w:name w:val="Heading 1 Char"/>
    <w:basedOn w:val="DefaultParagraphFont"/>
    <w:link w:val="Heading1"/>
    <w:rsid w:val="002B324E"/>
    <w:rPr>
      <w:rFonts w:ascii="Times New Roman" w:eastAsia="Times New Roman" w:hAnsi="Times New Roman" w:cs="Times New Roman"/>
      <w:kern w:val="28"/>
      <w:lang w:val="sv-SE"/>
    </w:rPr>
  </w:style>
  <w:style w:type="character" w:customStyle="1" w:styleId="Heading2Char">
    <w:name w:val="Heading 2 Char"/>
    <w:basedOn w:val="DefaultParagraphFont"/>
    <w:link w:val="Heading2"/>
    <w:rsid w:val="002B324E"/>
    <w:rPr>
      <w:rFonts w:ascii="Times New Roman" w:eastAsia="Times New Roman" w:hAnsi="Times New Roman" w:cs="Times New Roman"/>
      <w:lang w:val="sv-SE"/>
    </w:rPr>
  </w:style>
  <w:style w:type="character" w:customStyle="1" w:styleId="Heading3Char">
    <w:name w:val="Heading 3 Char"/>
    <w:basedOn w:val="DefaultParagraphFont"/>
    <w:link w:val="Heading3"/>
    <w:rsid w:val="002B324E"/>
    <w:rPr>
      <w:rFonts w:ascii="Times New Roman" w:eastAsia="Times New Roman" w:hAnsi="Times New Roman" w:cs="Times New Roman"/>
      <w:lang w:val="sv-SE"/>
    </w:rPr>
  </w:style>
  <w:style w:type="character" w:customStyle="1" w:styleId="Heading4Char">
    <w:name w:val="Heading 4 Char"/>
    <w:basedOn w:val="DefaultParagraphFont"/>
    <w:link w:val="Heading4"/>
    <w:rsid w:val="002B324E"/>
    <w:rPr>
      <w:rFonts w:ascii="Times New Roman" w:eastAsia="Times New Roman" w:hAnsi="Times New Roman" w:cs="Times New Roman"/>
      <w:lang w:val="sv-SE"/>
    </w:rPr>
  </w:style>
  <w:style w:type="character" w:customStyle="1" w:styleId="Heading5Char">
    <w:name w:val="Heading 5 Char"/>
    <w:basedOn w:val="DefaultParagraphFont"/>
    <w:link w:val="Heading5"/>
    <w:rsid w:val="002B324E"/>
    <w:rPr>
      <w:rFonts w:ascii="Times New Roman" w:eastAsia="Times New Roman" w:hAnsi="Times New Roman" w:cs="Times New Roman"/>
      <w:lang w:val="sv-SE"/>
    </w:rPr>
  </w:style>
  <w:style w:type="character" w:customStyle="1" w:styleId="Heading6Char">
    <w:name w:val="Heading 6 Char"/>
    <w:basedOn w:val="DefaultParagraphFont"/>
    <w:link w:val="Heading6"/>
    <w:rsid w:val="002B324E"/>
    <w:rPr>
      <w:rFonts w:ascii="Times New Roman" w:eastAsia="Times New Roman" w:hAnsi="Times New Roman" w:cs="Times New Roman"/>
      <w:lang w:val="sv-SE"/>
    </w:rPr>
  </w:style>
  <w:style w:type="character" w:customStyle="1" w:styleId="Heading7Char">
    <w:name w:val="Heading 7 Char"/>
    <w:basedOn w:val="DefaultParagraphFont"/>
    <w:link w:val="Heading7"/>
    <w:rsid w:val="002B324E"/>
    <w:rPr>
      <w:rFonts w:ascii="Times New Roman" w:eastAsia="Times New Roman" w:hAnsi="Times New Roman" w:cs="Times New Roman"/>
      <w:lang w:val="sv-SE"/>
    </w:rPr>
  </w:style>
  <w:style w:type="character" w:customStyle="1" w:styleId="Heading8Char">
    <w:name w:val="Heading 8 Char"/>
    <w:basedOn w:val="DefaultParagraphFont"/>
    <w:link w:val="Heading8"/>
    <w:rsid w:val="002B324E"/>
    <w:rPr>
      <w:rFonts w:ascii="Times New Roman" w:eastAsia="Times New Roman" w:hAnsi="Times New Roman" w:cs="Times New Roman"/>
      <w:lang w:val="sv-SE"/>
    </w:rPr>
  </w:style>
  <w:style w:type="character" w:customStyle="1" w:styleId="Heading9Char">
    <w:name w:val="Heading 9 Char"/>
    <w:basedOn w:val="DefaultParagraphFont"/>
    <w:link w:val="Heading9"/>
    <w:rsid w:val="002B324E"/>
    <w:rPr>
      <w:rFonts w:ascii="Times New Roman" w:eastAsia="Times New Roman" w:hAnsi="Times New Roman" w:cs="Times New Roman"/>
      <w:lang w:val="sv-SE"/>
    </w:rPr>
  </w:style>
  <w:style w:type="paragraph" w:styleId="FootnoteText">
    <w:name w:val="footnote text"/>
    <w:basedOn w:val="Normal"/>
    <w:link w:val="FootnoteTextChar"/>
    <w:qFormat/>
    <w:rsid w:val="002B324E"/>
    <w:pPr>
      <w:keepLines/>
      <w:spacing w:after="60" w:line="240" w:lineRule="auto"/>
      <w:ind w:left="567" w:hanging="567"/>
    </w:pPr>
    <w:rPr>
      <w:sz w:val="16"/>
    </w:rPr>
  </w:style>
  <w:style w:type="character" w:customStyle="1" w:styleId="FootnoteTextChar">
    <w:name w:val="Footnote Text Char"/>
    <w:basedOn w:val="DefaultParagraphFont"/>
    <w:link w:val="FootnoteText"/>
    <w:rsid w:val="002B324E"/>
    <w:rPr>
      <w:rFonts w:ascii="Times New Roman" w:eastAsia="Times New Roman" w:hAnsi="Times New Roman" w:cs="Times New Roman"/>
      <w:sz w:val="16"/>
      <w:lang w:val="sv-SE"/>
    </w:rPr>
  </w:style>
  <w:style w:type="paragraph" w:customStyle="1" w:styleId="quotes">
    <w:name w:val="quotes"/>
    <w:basedOn w:val="Normal"/>
    <w:next w:val="Normal"/>
    <w:rsid w:val="002B324E"/>
    <w:pPr>
      <w:ind w:left="720"/>
    </w:pPr>
    <w:rPr>
      <w:i/>
    </w:rPr>
  </w:style>
  <w:style w:type="character" w:styleId="FootnoteReference">
    <w:name w:val="footnote reference"/>
    <w:basedOn w:val="DefaultParagraphFont"/>
    <w:unhideWhenUsed/>
    <w:qFormat/>
    <w:rsid w:val="002B324E"/>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4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B324E"/>
    <w:pPr>
      <w:numPr>
        <w:numId w:val="19"/>
      </w:numPr>
      <w:ind w:left="567" w:hanging="567"/>
      <w:outlineLvl w:val="0"/>
    </w:pPr>
    <w:rPr>
      <w:kern w:val="28"/>
    </w:rPr>
  </w:style>
  <w:style w:type="paragraph" w:styleId="Heading2">
    <w:name w:val="heading 2"/>
    <w:basedOn w:val="Normal"/>
    <w:next w:val="Normal"/>
    <w:link w:val="Heading2Char"/>
    <w:qFormat/>
    <w:rsid w:val="002B324E"/>
    <w:pPr>
      <w:numPr>
        <w:ilvl w:val="1"/>
        <w:numId w:val="19"/>
      </w:numPr>
      <w:ind w:left="567" w:hanging="567"/>
      <w:outlineLvl w:val="1"/>
    </w:pPr>
  </w:style>
  <w:style w:type="paragraph" w:styleId="Heading3">
    <w:name w:val="heading 3"/>
    <w:basedOn w:val="Normal"/>
    <w:next w:val="Normal"/>
    <w:link w:val="Heading3Char"/>
    <w:qFormat/>
    <w:rsid w:val="002B324E"/>
    <w:pPr>
      <w:numPr>
        <w:ilvl w:val="2"/>
        <w:numId w:val="19"/>
      </w:numPr>
      <w:ind w:left="567" w:hanging="567"/>
      <w:outlineLvl w:val="2"/>
    </w:pPr>
  </w:style>
  <w:style w:type="paragraph" w:styleId="Heading4">
    <w:name w:val="heading 4"/>
    <w:basedOn w:val="Normal"/>
    <w:next w:val="Normal"/>
    <w:link w:val="Heading4Char"/>
    <w:qFormat/>
    <w:rsid w:val="002B324E"/>
    <w:pPr>
      <w:numPr>
        <w:ilvl w:val="3"/>
        <w:numId w:val="19"/>
      </w:numPr>
      <w:ind w:left="567" w:hanging="567"/>
      <w:outlineLvl w:val="3"/>
    </w:pPr>
  </w:style>
  <w:style w:type="paragraph" w:styleId="Heading5">
    <w:name w:val="heading 5"/>
    <w:basedOn w:val="Normal"/>
    <w:next w:val="Normal"/>
    <w:link w:val="Heading5Char"/>
    <w:qFormat/>
    <w:rsid w:val="002B324E"/>
    <w:pPr>
      <w:numPr>
        <w:ilvl w:val="4"/>
        <w:numId w:val="19"/>
      </w:numPr>
      <w:ind w:left="567" w:hanging="567"/>
      <w:outlineLvl w:val="4"/>
    </w:pPr>
  </w:style>
  <w:style w:type="paragraph" w:styleId="Heading6">
    <w:name w:val="heading 6"/>
    <w:basedOn w:val="Normal"/>
    <w:next w:val="Normal"/>
    <w:link w:val="Heading6Char"/>
    <w:qFormat/>
    <w:rsid w:val="002B324E"/>
    <w:pPr>
      <w:numPr>
        <w:ilvl w:val="5"/>
        <w:numId w:val="19"/>
      </w:numPr>
      <w:ind w:left="567" w:hanging="567"/>
      <w:outlineLvl w:val="5"/>
    </w:pPr>
  </w:style>
  <w:style w:type="paragraph" w:styleId="Heading7">
    <w:name w:val="heading 7"/>
    <w:basedOn w:val="Normal"/>
    <w:next w:val="Normal"/>
    <w:link w:val="Heading7Char"/>
    <w:qFormat/>
    <w:rsid w:val="002B324E"/>
    <w:pPr>
      <w:numPr>
        <w:ilvl w:val="6"/>
        <w:numId w:val="19"/>
      </w:numPr>
      <w:ind w:left="567" w:hanging="567"/>
      <w:outlineLvl w:val="6"/>
    </w:pPr>
  </w:style>
  <w:style w:type="paragraph" w:styleId="Heading8">
    <w:name w:val="heading 8"/>
    <w:basedOn w:val="Normal"/>
    <w:next w:val="Normal"/>
    <w:link w:val="Heading8Char"/>
    <w:qFormat/>
    <w:rsid w:val="002B324E"/>
    <w:pPr>
      <w:numPr>
        <w:ilvl w:val="7"/>
        <w:numId w:val="19"/>
      </w:numPr>
      <w:ind w:left="567" w:hanging="567"/>
      <w:outlineLvl w:val="7"/>
    </w:pPr>
  </w:style>
  <w:style w:type="paragraph" w:styleId="Heading9">
    <w:name w:val="heading 9"/>
    <w:basedOn w:val="Normal"/>
    <w:next w:val="Normal"/>
    <w:link w:val="Heading9Char"/>
    <w:qFormat/>
    <w:rsid w:val="002B324E"/>
    <w:pPr>
      <w:numPr>
        <w:ilvl w:val="8"/>
        <w:numId w:val="19"/>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63"/>
    <w:pPr>
      <w:ind w:left="720"/>
      <w:contextualSpacing/>
    </w:pPr>
  </w:style>
  <w:style w:type="paragraph" w:styleId="Header">
    <w:name w:val="header"/>
    <w:basedOn w:val="Normal"/>
    <w:link w:val="HeaderChar"/>
    <w:qFormat/>
    <w:rsid w:val="002B324E"/>
  </w:style>
  <w:style w:type="character" w:customStyle="1" w:styleId="HeaderChar">
    <w:name w:val="Header Char"/>
    <w:basedOn w:val="DefaultParagraphFont"/>
    <w:link w:val="Header"/>
    <w:rsid w:val="00354641"/>
    <w:rPr>
      <w:rFonts w:ascii="Times New Roman" w:eastAsia="Times New Roman" w:hAnsi="Times New Roman" w:cs="Times New Roman"/>
    </w:rPr>
  </w:style>
  <w:style w:type="paragraph" w:styleId="Footer">
    <w:name w:val="footer"/>
    <w:basedOn w:val="Normal"/>
    <w:link w:val="FooterChar"/>
    <w:qFormat/>
    <w:rsid w:val="002B324E"/>
  </w:style>
  <w:style w:type="character" w:customStyle="1" w:styleId="FooterChar">
    <w:name w:val="Footer Char"/>
    <w:basedOn w:val="DefaultParagraphFont"/>
    <w:link w:val="Footer"/>
    <w:rsid w:val="00354641"/>
    <w:rPr>
      <w:rFonts w:ascii="Times New Roman" w:eastAsia="Times New Roman" w:hAnsi="Times New Roman" w:cs="Times New Roman"/>
    </w:rPr>
  </w:style>
  <w:style w:type="character" w:customStyle="1" w:styleId="Heading1Char">
    <w:name w:val="Heading 1 Char"/>
    <w:basedOn w:val="DefaultParagraphFont"/>
    <w:link w:val="Heading1"/>
    <w:rsid w:val="002B324E"/>
    <w:rPr>
      <w:rFonts w:ascii="Times New Roman" w:eastAsia="Times New Roman" w:hAnsi="Times New Roman" w:cs="Times New Roman"/>
      <w:kern w:val="28"/>
      <w:lang w:val="sv-SE"/>
    </w:rPr>
  </w:style>
  <w:style w:type="character" w:customStyle="1" w:styleId="Heading2Char">
    <w:name w:val="Heading 2 Char"/>
    <w:basedOn w:val="DefaultParagraphFont"/>
    <w:link w:val="Heading2"/>
    <w:rsid w:val="002B324E"/>
    <w:rPr>
      <w:rFonts w:ascii="Times New Roman" w:eastAsia="Times New Roman" w:hAnsi="Times New Roman" w:cs="Times New Roman"/>
      <w:lang w:val="sv-SE"/>
    </w:rPr>
  </w:style>
  <w:style w:type="character" w:customStyle="1" w:styleId="Heading3Char">
    <w:name w:val="Heading 3 Char"/>
    <w:basedOn w:val="DefaultParagraphFont"/>
    <w:link w:val="Heading3"/>
    <w:rsid w:val="002B324E"/>
    <w:rPr>
      <w:rFonts w:ascii="Times New Roman" w:eastAsia="Times New Roman" w:hAnsi="Times New Roman" w:cs="Times New Roman"/>
      <w:lang w:val="sv-SE"/>
    </w:rPr>
  </w:style>
  <w:style w:type="character" w:customStyle="1" w:styleId="Heading4Char">
    <w:name w:val="Heading 4 Char"/>
    <w:basedOn w:val="DefaultParagraphFont"/>
    <w:link w:val="Heading4"/>
    <w:rsid w:val="002B324E"/>
    <w:rPr>
      <w:rFonts w:ascii="Times New Roman" w:eastAsia="Times New Roman" w:hAnsi="Times New Roman" w:cs="Times New Roman"/>
      <w:lang w:val="sv-SE"/>
    </w:rPr>
  </w:style>
  <w:style w:type="character" w:customStyle="1" w:styleId="Heading5Char">
    <w:name w:val="Heading 5 Char"/>
    <w:basedOn w:val="DefaultParagraphFont"/>
    <w:link w:val="Heading5"/>
    <w:rsid w:val="002B324E"/>
    <w:rPr>
      <w:rFonts w:ascii="Times New Roman" w:eastAsia="Times New Roman" w:hAnsi="Times New Roman" w:cs="Times New Roman"/>
      <w:lang w:val="sv-SE"/>
    </w:rPr>
  </w:style>
  <w:style w:type="character" w:customStyle="1" w:styleId="Heading6Char">
    <w:name w:val="Heading 6 Char"/>
    <w:basedOn w:val="DefaultParagraphFont"/>
    <w:link w:val="Heading6"/>
    <w:rsid w:val="002B324E"/>
    <w:rPr>
      <w:rFonts w:ascii="Times New Roman" w:eastAsia="Times New Roman" w:hAnsi="Times New Roman" w:cs="Times New Roman"/>
      <w:lang w:val="sv-SE"/>
    </w:rPr>
  </w:style>
  <w:style w:type="character" w:customStyle="1" w:styleId="Heading7Char">
    <w:name w:val="Heading 7 Char"/>
    <w:basedOn w:val="DefaultParagraphFont"/>
    <w:link w:val="Heading7"/>
    <w:rsid w:val="002B324E"/>
    <w:rPr>
      <w:rFonts w:ascii="Times New Roman" w:eastAsia="Times New Roman" w:hAnsi="Times New Roman" w:cs="Times New Roman"/>
      <w:lang w:val="sv-SE"/>
    </w:rPr>
  </w:style>
  <w:style w:type="character" w:customStyle="1" w:styleId="Heading8Char">
    <w:name w:val="Heading 8 Char"/>
    <w:basedOn w:val="DefaultParagraphFont"/>
    <w:link w:val="Heading8"/>
    <w:rsid w:val="002B324E"/>
    <w:rPr>
      <w:rFonts w:ascii="Times New Roman" w:eastAsia="Times New Roman" w:hAnsi="Times New Roman" w:cs="Times New Roman"/>
      <w:lang w:val="sv-SE"/>
    </w:rPr>
  </w:style>
  <w:style w:type="character" w:customStyle="1" w:styleId="Heading9Char">
    <w:name w:val="Heading 9 Char"/>
    <w:basedOn w:val="DefaultParagraphFont"/>
    <w:link w:val="Heading9"/>
    <w:rsid w:val="002B324E"/>
    <w:rPr>
      <w:rFonts w:ascii="Times New Roman" w:eastAsia="Times New Roman" w:hAnsi="Times New Roman" w:cs="Times New Roman"/>
      <w:lang w:val="sv-SE"/>
    </w:rPr>
  </w:style>
  <w:style w:type="paragraph" w:styleId="FootnoteText">
    <w:name w:val="footnote text"/>
    <w:basedOn w:val="Normal"/>
    <w:link w:val="FootnoteTextChar"/>
    <w:qFormat/>
    <w:rsid w:val="002B324E"/>
    <w:pPr>
      <w:keepLines/>
      <w:spacing w:after="60" w:line="240" w:lineRule="auto"/>
      <w:ind w:left="567" w:hanging="567"/>
    </w:pPr>
    <w:rPr>
      <w:sz w:val="16"/>
    </w:rPr>
  </w:style>
  <w:style w:type="character" w:customStyle="1" w:styleId="FootnoteTextChar">
    <w:name w:val="Footnote Text Char"/>
    <w:basedOn w:val="DefaultParagraphFont"/>
    <w:link w:val="FootnoteText"/>
    <w:rsid w:val="002B324E"/>
    <w:rPr>
      <w:rFonts w:ascii="Times New Roman" w:eastAsia="Times New Roman" w:hAnsi="Times New Roman" w:cs="Times New Roman"/>
      <w:sz w:val="16"/>
      <w:lang w:val="sv-SE"/>
    </w:rPr>
  </w:style>
  <w:style w:type="paragraph" w:customStyle="1" w:styleId="quotes">
    <w:name w:val="quotes"/>
    <w:basedOn w:val="Normal"/>
    <w:next w:val="Normal"/>
    <w:rsid w:val="002B324E"/>
    <w:pPr>
      <w:ind w:left="720"/>
    </w:pPr>
    <w:rPr>
      <w:i/>
    </w:rPr>
  </w:style>
  <w:style w:type="character" w:styleId="FootnoteReference">
    <w:name w:val="footnote reference"/>
    <w:basedOn w:val="DefaultParagraphFont"/>
    <w:unhideWhenUsed/>
    <w:qFormat/>
    <w:rsid w:val="002B324E"/>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WTPCSN73YJ26-3-12541</_dlc_DocId>
    <_dlc_DocIdUrl xmlns="8a3471f6-0f36-4ccf-b5ee-1ca67ea797ef">
      <Url>http://dm/EESC/2017/_layouts/DocIdRedir.aspx?ID=WTPCSN73YJ26-3-12541</Url>
      <Description>WTPCSN73YJ26-3-12541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2017-06-27T12:00:00+00:00</ProductionDate>
    <DocumentNumber xmlns="08752a15-b0a7-485d-8352-b47b34a09caa">99</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2017-01-30T12:00:00+00:00</MeetingDate>
    <TaxCatchAll xmlns="8a3471f6-0f36-4ccf-b5ee-1ca67ea797ef">
      <Value>86</Value>
      <Value>38</Value>
      <Value>37</Value>
      <Value>36</Value>
      <Value>35</Value>
      <Value>34</Value>
      <Value>33</Value>
      <Value>32</Value>
      <Value>31</Value>
      <Value>30</Value>
      <Value>29</Value>
      <Value>28</Value>
      <Value>27</Value>
      <Value>26</Value>
      <Value>25</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237</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CCMI</TermName>
          <TermId xmlns="http://schemas.microsoft.com/office/infopath/2007/PartnerControls">5795ccfc-ebb7-4e2d-a45e-09a8301b3a5c</TermId>
        </TermInfo>
      </Terms>
    </MeetingName_0>
    <RequestingService xmlns="8a3471f6-0f36-4ccf-b5ee-1ca67ea797ef">Commission consultative des mutations industrielles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AEBF0-D34B-44F1-BD0E-F9FAE4653A63}">
  <ds:schemaRefs>
    <ds:schemaRef ds:uri="http://schemas.microsoft.com/sharepoint/events"/>
  </ds:schemaRefs>
</ds:datastoreItem>
</file>

<file path=customXml/itemProps2.xml><?xml version="1.0" encoding="utf-8"?>
<ds:datastoreItem xmlns:ds="http://schemas.openxmlformats.org/officeDocument/2006/customXml" ds:itemID="{B256F07C-4141-43AE-AF62-B4F317B432BE}">
  <ds:schemaRefs>
    <ds:schemaRef ds:uri="http://schemas.microsoft.com/sharepoint/v3/contenttype/forms"/>
  </ds:schemaRefs>
</ds:datastoreItem>
</file>

<file path=customXml/itemProps3.xml><?xml version="1.0" encoding="utf-8"?>
<ds:datastoreItem xmlns:ds="http://schemas.openxmlformats.org/officeDocument/2006/customXml" ds:itemID="{DDCAF0DE-282E-4633-B873-E488C7E869C4}">
  <ds:schemaRefs>
    <ds:schemaRef ds:uri="http://purl.org/dc/dcmitype/"/>
    <ds:schemaRef ds:uri="8a3471f6-0f36-4ccf-b5ee-1ca67ea797ef"/>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08752a15-b0a7-485d-8352-b47b34a09caa"/>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00F7B6BB-A697-4CD7-AB7A-0E1E0A456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6</Pages>
  <Words>2276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Konsoliderad rapport om CCMI:s rundabordsdiskussioner om det strategiska genomförandet av det europeiska innovationspartnerskapet om råvaror</vt:lpstr>
    </vt:vector>
  </TitlesOfParts>
  <Company>CESE-CdR</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Konsoliderad rapport om CCMI:s rundabordsdiskussioner om det strategiska genomförandet av det europeiska innovationspartnerskapet om råvaror</dc:title>
  <dc:subject>Diverse dokument i samband med yttranden m.m.</dc:subject>
  <dc:creator>Kyriaki Anastasaki</dc:creator>
  <cp:keywords>EESC-2017-00099-00-00-TCD-TRA-SV</cp:keywords>
  <dc:description>Föredragande: -_x000d_
Originalspråk: EN_x000d_
Dokumentets datum: 27/06/2017_x000d_
Sammanträdesdatum: 30/01/2017_x000d_
Externa dokument: -_x000d_
Ansvarig tjänsteman: Hick Alan, tfn: +32 (0)2 546 9302_x000d_
_x000d_
Sammanfattning:</dc:description>
  <cp:lastModifiedBy>Kyriaki Anastasaki</cp:lastModifiedBy>
  <cp:revision>2</cp:revision>
  <cp:lastPrinted>2017-01-19T11:43:00Z</cp:lastPrinted>
  <dcterms:created xsi:type="dcterms:W3CDTF">2017-07-03T06:24:00Z</dcterms:created>
  <dcterms:modified xsi:type="dcterms:W3CDTF">2017-07-03T06:24:00Z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20/01/2017</vt:lpwstr>
  </property>
  <property fmtid="{D5CDD505-2E9C-101B-9397-08002B2CF9AE}" pid="4" name="Pref_Time">
    <vt:lpwstr>09:42:40</vt:lpwstr>
  </property>
  <property fmtid="{D5CDD505-2E9C-101B-9397-08002B2CF9AE}" pid="5" name="Pref_User">
    <vt:lpwstr>enied</vt:lpwstr>
  </property>
  <property fmtid="{D5CDD505-2E9C-101B-9397-08002B2CF9AE}" pid="6" name="Pref_FileName">
    <vt:lpwstr>EESC-2017-00099-00-00-TCD-TRA-EN-CRR.docx</vt:lpwstr>
  </property>
  <property fmtid="{D5CDD505-2E9C-101B-9397-08002B2CF9AE}" pid="7" name="ContentTypeId">
    <vt:lpwstr>0x010100EA97B91038054C99906057A708A1480A00366332C33BA7D34CB4DCF73B0F12F076</vt:lpwstr>
  </property>
  <property fmtid="{D5CDD505-2E9C-101B-9397-08002B2CF9AE}" pid="8" name="_dlc_DocIdItemGuid">
    <vt:lpwstr>941590a3-393f-492c-bb28-66808ddd9604</vt:lpwstr>
  </property>
  <property fmtid="{D5CDD505-2E9C-101B-9397-08002B2CF9AE}" pid="9" name="DocumentType_0">
    <vt:lpwstr>TCD|cd9d6eb6-3f4f-424a-b2d1-57c9d450eaaf</vt:lpwstr>
  </property>
  <property fmtid="{D5CDD505-2E9C-101B-9397-08002B2CF9AE}" pid="10" name="AvailableTranslations">
    <vt:lpwstr>22;#IT|0774613c-01ed-4e5d-a25d-11d2388de825;#34;#SK|46d9fce0-ef79-4f71-b89b-cd6aa82426b8;#36;#BG|1a1b3951-7821-4e6a-85f5-5673fc08bd2c;#24;#EL|6d4f4d51-af9b-4650-94b4-4276bee85c91;#25;#FI|87606a43-d45f-42d6-b8c9-e1a3457db5b7;#4;#EN|f2175f21-25d7-44a3-96da-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99</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Commission consultative des mutations industrielles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CCMI|5795ccfc-ebb7-4e2d-a45e-09a8301b3a5c</vt:lpwstr>
  </property>
  <property fmtid="{D5CDD505-2E9C-101B-9397-08002B2CF9AE}" pid="25" name="OriginalLanguage">
    <vt:lpwstr>4;#EN|f2175f21-25d7-44a3-96da-d6a61b075e1b</vt:lpwstr>
  </property>
  <property fmtid="{D5CDD505-2E9C-101B-9397-08002B2CF9AE}" pid="26" name="MeetingName">
    <vt:lpwstr>86;#CCMI|5795ccfc-ebb7-4e2d-a45e-09a8301b3a5c</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2017-01-30T12:00:00Z</vt:filetime>
  </property>
  <property fmtid="{D5CDD505-2E9C-101B-9397-08002B2CF9AE}" pid="30" name="TaxCatchAll">
    <vt:lpwstr>86;#CCMI|5795ccfc-ebb7-4e2d-a45e-09a8301b3a5c;#38;#HR|2f555653-ed1a-4fe6-8362-9082d95989e5;#37;#RO|feb747a2-64cd-4299-af12-4833ddc30497;#36;#BG|1a1b3951-7821-4e6a-85f5-5673fc08bd2c;#35;#SL|98a412ae-eb01-49e9-ae3d-585a81724cfc;#34;#SK|46d9fce0-ef79-4f71-b8</vt:lpwstr>
  </property>
  <property fmtid="{D5CDD505-2E9C-101B-9397-08002B2CF9AE}" pid="31" name="AvailableTranslations_0">
    <vt:lpwstr>IT|0774613c-01ed-4e5d-a25d-11d2388de825;SK|46d9fce0-ef79-4f71-b89b-cd6aa82426b8;BG|1a1b3951-7821-4e6a-85f5-5673fc08bd2c;EL|6d4f4d51-af9b-4650-94b4-4276bee85c91;FI|87606a43-d45f-42d6-b8c9-e1a3457db5b7;EN|f2175f21-25d7-44a3-96da-d6a61b075e1b;PL|1e03da61-467</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237</vt:i4>
  </property>
  <property fmtid="{D5CDD505-2E9C-101B-9397-08002B2CF9AE}" pid="35" name="DocumentYear">
    <vt:i4>2017</vt:i4>
  </property>
  <property fmtid="{D5CDD505-2E9C-101B-9397-08002B2CF9AE}" pid="36" name="DocumentLanguage">
    <vt:lpwstr>26;#SV|c2ed69e7-a339-43d7-8f22-d93680a92aa0</vt:lpwstr>
  </property>
</Properties>
</file>