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4718" w:rsidRPr="00303872" w:rsidRDefault="000F4718" w:rsidP="00131417">
      <w:pPr>
        <w:jc w:val="center"/>
        <w:rPr>
          <w:b/>
          <w:sz w:val="16"/>
          <w:szCs w:val="16"/>
        </w:rPr>
      </w:pPr>
      <w:r w:rsidRPr="00303872">
        <w:rPr>
          <w:noProof/>
          <w:sz w:val="20"/>
          <w:lang w:val="fr-BE" w:eastAsia="fr-BE" w:bidi="ar-SA"/>
        </w:rPr>
        <mc:AlternateContent>
          <mc:Choice Requires="wps">
            <w:drawing>
              <wp:anchor distT="0" distB="0" distL="114300" distR="114300" simplePos="0" relativeHeight="251659264" behindDoc="1" locked="0" layoutInCell="0" allowOverlap="1" wp14:anchorId="79D1EB34" wp14:editId="0539272D">
                <wp:simplePos x="0" y="0"/>
                <wp:positionH relativeFrom="page">
                  <wp:posOffset>6770788</wp:posOffset>
                </wp:positionH>
                <wp:positionV relativeFrom="page">
                  <wp:posOffset>10084828</wp:posOffset>
                </wp:positionV>
                <wp:extent cx="644837" cy="396416"/>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37" cy="396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4E" w:rsidRPr="001B3A6C" w:rsidRDefault="002B324E">
                            <w:pPr>
                              <w:jc w:val="center"/>
                              <w:rPr>
                                <w:rFonts w:ascii="Arial" w:hAnsi="Arial" w:cs="Arial"/>
                                <w:b/>
                                <w:bCs/>
                                <w:sz w:val="48"/>
                              </w:rPr>
                            </w:pPr>
                            <w:r w:rsidRPr="001B3A6C">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15pt;margin-top:794.1pt;width:50.75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fL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yiNoDz16YHuDbuUehXNbn3HQGbjdD+Bo9nAOfXZc9XAnq68aCblsqdiwG6Xk2DJaQ36hvemf&#10;XZ1wtAVZjx9kDXHo1kgHtG9Ub4sH5UCADok8nnpjc6ngMCYkuZxjVIHpMo1JGLsINDteHpQ275js&#10;kV3kWEHrHTjd3Wljk6HZ0cXGErLkXefa34lnB+A4nUBouGptNgnXzR9pkK6SVUI8EsUrjwRF4d2U&#10;S+LFZTifFZfFclmEP23ckGQtr2smbJijskLyZ507aHzSxElbWna8tnA2Ja0262Wn0I6Cskv3HQpy&#10;5uY/T8MVAbi8oBRGJLiNUq+Mk7lHSjLz0nmQeEGY3qZxQFJSlM8p3XHB/p0SGnOczqLZpKXfcgvc&#10;95obzXpuYHZ0vM9xcnKimVXgStSutYbyblqflcKm/1QKaPex0U6vVqKTWM1+vQcUK+K1rB9BuUqC&#10;skCeMPBg0Ur1HaMRhkeO9bctVQyj7r0A9achIXbauA2Zze3bUueW9bmFigqgcmwwmpZLM02o7aD4&#10;poVI03sT8gZeTMOdmp+yOrwzGBCO1GGY2Ql0vndeTyN38QsAAP//AwBQSwMEFAAGAAgAAAAhAFoA&#10;58/gAAAADwEAAA8AAABkcnMvZG93bnJldi54bWxMj81OwzAQhO9IvIO1SNyo3UJMCHEqBOIKavmR&#10;uLnxNomI11HsNuHt2Z7gNqP9NDtTrmffiyOOsQtkYLlQIJDq4DpqDLy/PV/lIGKy5GwfCA38YIR1&#10;dX5W2sKFiTZ43KZGcAjFwhpoUxoKKWPdordxEQYkvu3D6G1iOzbSjXbicN/LlVJaetsRf2jtgI8t&#10;1t/bgzfw8bL/+rxRr82Tz4YpzEqSv5PGXF7MD/cgEs7pD4ZTfa4OFXfahQO5KHr2SutrZllleb4C&#10;cWKW+pb37FjpTGmQVSn/76h+AQAA//8DAFBLAQItABQABgAIAAAAIQC2gziS/gAAAOEBAAATAAAA&#10;AAAAAAAAAAAAAAAAAABbQ29udGVudF9UeXBlc10ueG1sUEsBAi0AFAAGAAgAAAAhADj9If/WAAAA&#10;lAEAAAsAAAAAAAAAAAAAAAAALwEAAF9yZWxzLy5yZWxzUEsBAi0AFAAGAAgAAAAhAJ5eN8u1AgAA&#10;ugUAAA4AAAAAAAAAAAAAAAAALgIAAGRycy9lMm9Eb2MueG1sUEsBAi0AFAAGAAgAAAAhAFoA58/g&#10;AAAADwEAAA8AAAAAAAAAAAAAAAAADwUAAGRycy9kb3ducmV2LnhtbFBLBQYAAAAABAAEAPMAAAAc&#10;BgAAAAA=&#10;" o:allowincell="f" filled="f" stroked="f">
                <v:textbox>
                  <w:txbxContent>
                    <w:p w:rsidR="002B324E" w:rsidRPr="001B3A6C" w:rsidRDefault="002B324E">
                      <w:pPr>
                        <w:jc w:val="center"/>
                        <w:rPr>
                          <w:rFonts w:ascii="Arial" w:hAnsi="Arial" w:cs="Arial"/>
                          <w:b/>
                          <w:bCs/>
                          <w:sz w:val="48"/>
                        </w:rPr>
                      </w:pPr>
                      <w:r w:rsidRPr="001B3A6C">
                        <w:rPr>
                          <w:rFonts w:ascii="Arial" w:hAnsi="Arial"/>
                          <w:b/>
                          <w:sz w:val="48"/>
                        </w:rPr>
                        <w:t>RO</w:t>
                      </w:r>
                    </w:p>
                  </w:txbxContent>
                </v:textbox>
                <w10:wrap anchorx="page" anchory="page"/>
              </v:shape>
            </w:pict>
          </mc:Fallback>
        </mc:AlternateContent>
      </w:r>
    </w:p>
    <w:p w:rsidR="001B5D4B" w:rsidRPr="00303872" w:rsidRDefault="00621F9D" w:rsidP="00131417">
      <w:pPr>
        <w:jc w:val="center"/>
        <w:rPr>
          <w:b/>
          <w:sz w:val="32"/>
          <w:szCs w:val="32"/>
        </w:rPr>
      </w:pPr>
      <w:r w:rsidRPr="00303872">
        <w:rPr>
          <w:b/>
          <w:sz w:val="32"/>
        </w:rPr>
        <w:t>Raport consolidat referitor la mesele rotunde ale CCMI privind punerea în aplicare strategică a parteneriatului UE pentru inovare privind materiile prime 2015/2016</w:t>
      </w:r>
    </w:p>
    <w:p w:rsidR="00FF33D6" w:rsidRPr="00303872" w:rsidRDefault="00FF33D6" w:rsidP="00131417"/>
    <w:p w:rsidR="00E841CE" w:rsidRPr="00303872" w:rsidRDefault="0078783F" w:rsidP="00131417">
      <w:r w:rsidRPr="00303872">
        <w:t xml:space="preserve">La nivel european, Comisia Europeană a adoptat, la 4 noiembrie 2008, </w:t>
      </w:r>
      <w:r w:rsidRPr="00303872">
        <w:rPr>
          <w:i/>
        </w:rPr>
        <w:t>Inițiativa privind materiile prime – satisfacerea necesităților noastre esențiale pentru asigurarea creșterii economice și locurilor de muncă în Europa</w:t>
      </w:r>
      <w:r w:rsidRPr="00303872">
        <w:t xml:space="preserve"> (RMI), care a reprezentat un punct de reper pentru schimbarea de paradigmă cu impact pozitiv asupra dinamizării evoluțiilor din sectorul extractiv. Într-adevăr, RMI a consfințit natura indispensabilă a resurselor minerale pentru societate, competitivitate, creștere și creare de locuri de muncă în Europa. De asemenea, RMI a recunoscut dependența Europei de alte țări în ceea ce privește aprovizionarea cu aceste resurse și necesitatea implicită de a pune în aplicare măsuri care să asigure o aprovizionare sigură și durabilă, bazată pe trei piloni: </w:t>
      </w:r>
    </w:p>
    <w:p w:rsidR="00E841CE" w:rsidRPr="00303872" w:rsidRDefault="0078783F" w:rsidP="00131417">
      <w:pPr>
        <w:pStyle w:val="ListParagraph"/>
        <w:numPr>
          <w:ilvl w:val="0"/>
          <w:numId w:val="17"/>
        </w:numPr>
      </w:pPr>
      <w:r w:rsidRPr="00303872">
        <w:t>aprovizionarea echitabilă și durabilă cu materii prime de pe piețele internaționale;</w:t>
      </w:r>
    </w:p>
    <w:p w:rsidR="00E841CE" w:rsidRPr="00303872" w:rsidRDefault="0078783F" w:rsidP="00131417">
      <w:pPr>
        <w:pStyle w:val="ListParagraph"/>
        <w:numPr>
          <w:ilvl w:val="0"/>
          <w:numId w:val="17"/>
        </w:numPr>
      </w:pPr>
      <w:r w:rsidRPr="00303872">
        <w:t>promovarea aprovizionării durabile la nivelul UE; și</w:t>
      </w:r>
    </w:p>
    <w:p w:rsidR="00FF33D6" w:rsidRPr="00303872" w:rsidRDefault="00E40E46" w:rsidP="00131417">
      <w:pPr>
        <w:pStyle w:val="ListParagraph"/>
        <w:numPr>
          <w:ilvl w:val="0"/>
          <w:numId w:val="17"/>
        </w:numPr>
      </w:pPr>
      <w:r w:rsidRPr="00303872">
        <w:t>creșterea eficienței în utilizarea resurselor, utilizarea integrală a materiilor prime și promovarea reciclării.</w:t>
      </w:r>
    </w:p>
    <w:p w:rsidR="00FF33D6" w:rsidRPr="00303872" w:rsidRDefault="00FF33D6" w:rsidP="00131417"/>
    <w:p w:rsidR="00911E04" w:rsidRPr="00303872" w:rsidRDefault="0078783F" w:rsidP="00131417">
      <w:r w:rsidRPr="00303872">
        <w:t xml:space="preserve">În comunicarea sa, intitulată </w:t>
      </w:r>
      <w:r w:rsidRPr="00303872">
        <w:rPr>
          <w:i/>
        </w:rPr>
        <w:t>Abordarea provocărilor de pe piețele de mărfuri și privind materiile prime</w:t>
      </w:r>
      <w:r w:rsidRPr="00303872">
        <w:t>, din 2 februarie 2011, Comisia și-a afirmat intenția de a consolida punerea în aplicare a IMP. În</w:t>
      </w:r>
      <w:r w:rsidR="007B037A" w:rsidRPr="00303872">
        <w:t> </w:t>
      </w:r>
      <w:r w:rsidRPr="00303872">
        <w:t>acest scop și pentru a promova investițiile în industriile extractive, Comisia a acordat o importanță deosebită următoarelor aspecte:</w:t>
      </w:r>
    </w:p>
    <w:p w:rsidR="00E40E46" w:rsidRPr="00303872" w:rsidRDefault="0078783F" w:rsidP="00131417">
      <w:pPr>
        <w:pStyle w:val="ListParagraph"/>
        <w:numPr>
          <w:ilvl w:val="0"/>
          <w:numId w:val="15"/>
        </w:numPr>
      </w:pPr>
      <w:r w:rsidRPr="00303872">
        <w:t xml:space="preserve">definirea unei politici naționale privind mineralele prin care să se asigure că aceste resursele sunt exploatate într-un mod viabil din punct de vedere economic, armonizat cu alte politici naționale, pe baza principiilor dezvoltării durabile și care să includă angajamentul de a institui un cadru juridic și un cadru de informare adecvat; </w:t>
      </w:r>
    </w:p>
    <w:p w:rsidR="00E40E46" w:rsidRPr="00303872" w:rsidRDefault="0078783F" w:rsidP="00131417">
      <w:pPr>
        <w:pStyle w:val="ListParagraph"/>
        <w:numPr>
          <w:ilvl w:val="0"/>
          <w:numId w:val="15"/>
        </w:numPr>
      </w:pPr>
      <w:r w:rsidRPr="00303872">
        <w:t>elaborarea unei politici de planificare privind mineralele, care să cuprindă o bază de informații geologice digitale, o metodologie transparentă pentru identificarea resurselor minerale, estimări pe termen lung privind cererea la nivel local, precum și identificarea și conservarea resurselor minerale, luând în considerare alte utilizări ale solului; și</w:t>
      </w:r>
    </w:p>
    <w:p w:rsidR="0078783F" w:rsidRPr="00303872" w:rsidRDefault="0078783F" w:rsidP="00131417">
      <w:pPr>
        <w:pStyle w:val="ListParagraph"/>
        <w:numPr>
          <w:ilvl w:val="0"/>
          <w:numId w:val="15"/>
        </w:numPr>
      </w:pPr>
      <w:r w:rsidRPr="00303872">
        <w:t>instituirea unui proces de autorizare a explorării și extracției de minerale, care să fie clar și ușor de înțeles, să ofere certitudine și să contribuie la simplificarea procesului administrativ.</w:t>
      </w:r>
    </w:p>
    <w:p w:rsidR="00FF33D6" w:rsidRPr="00303872" w:rsidRDefault="00FF33D6" w:rsidP="00131417"/>
    <w:p w:rsidR="00A63B3D" w:rsidRPr="00303872" w:rsidRDefault="0078783F" w:rsidP="00131417">
      <w:r w:rsidRPr="00303872">
        <w:t>De asemenea, pentru crearea unui climat propice investițiilor, Comisia a considerat esențială adoptarea de măsuri în vederea îmbunătățirii transparenței taxelor, prin intermediul inițiativei pentru transparență în industriile extractive (EITI), precum și prin promovarea unei bunei guvernanțe în materie fiscală.</w:t>
      </w:r>
    </w:p>
    <w:p w:rsidR="00FF33D6" w:rsidRPr="00303872" w:rsidRDefault="00FF33D6" w:rsidP="00131417"/>
    <w:p w:rsidR="00F07370" w:rsidRPr="00303872" w:rsidRDefault="00F07370" w:rsidP="00131417">
      <w:r w:rsidRPr="00303872">
        <w:t>Statele membre consideră că potențialul resurselor minerale din UE este un factor de dezvoltare economică, prin urmare, este necesară definirea unei abordări integrate față de acest sector, care să acopere aspectele economice, sociale și de mediu, precum și definirea unui cadru juridic și instituțional pentru derularea efectivă a diverselor activități.</w:t>
      </w:r>
    </w:p>
    <w:p w:rsidR="00FF33D6" w:rsidRPr="00303872" w:rsidRDefault="00FF33D6" w:rsidP="00131417"/>
    <w:p w:rsidR="00911E04" w:rsidRPr="00303872" w:rsidRDefault="00F07370" w:rsidP="006A76C4">
      <w:pPr>
        <w:keepNext/>
        <w:keepLines/>
      </w:pPr>
      <w:r w:rsidRPr="00303872">
        <w:lastRenderedPageBreak/>
        <w:t xml:space="preserve">Exploatarea responsabilă a resurselor minerale constituie o evoluție importantă, care poate contribui în mod semnificativ la performanța economiei naționale. Pentru a realiza acest lucru, se impune consolidarea prealabilă a unei politici durabile, care să abordeze aspectele economice, sociale și de mediu într-un mod integrat și care să definească bine un cadru juridic și instituțional eficient. </w:t>
      </w:r>
    </w:p>
    <w:p w:rsidR="00705A1C" w:rsidRPr="00303872" w:rsidRDefault="001B5D4B" w:rsidP="006A76C4">
      <w:pPr>
        <w:keepNext/>
        <w:keepLines/>
      </w:pPr>
      <w:r w:rsidRPr="00303872">
        <w:t xml:space="preserve">O serie de mese rotunde la nivel național au avut loc în 2015: </w:t>
      </w:r>
      <w:r w:rsidRPr="00303872">
        <w:rPr>
          <w:b/>
        </w:rPr>
        <w:t>Spania (martie), Slovacia (aprilie), România (iunie), Finlanda (septembrie) și în 2016: Portugalia (aprilie), Irlanda (mai), Polonia (iunie), Republica Cehă (noiembrie), Belgia (noiembrie).</w:t>
      </w:r>
    </w:p>
    <w:p w:rsidR="0082543C" w:rsidRPr="00303872" w:rsidRDefault="0082543C" w:rsidP="00073ADF"/>
    <w:p w:rsidR="00911E04" w:rsidRPr="00303872" w:rsidRDefault="001B5D4B" w:rsidP="00073ADF">
      <w:pPr>
        <w:rPr>
          <w:b/>
        </w:rPr>
      </w:pPr>
      <w:r w:rsidRPr="00303872">
        <w:rPr>
          <w:b/>
        </w:rPr>
        <w:t>S</w:t>
      </w:r>
      <w:r w:rsidR="00D22075" w:rsidRPr="00303872">
        <w:rPr>
          <w:b/>
        </w:rPr>
        <w:t>˗</w:t>
      </w:r>
      <w:r w:rsidRPr="00303872">
        <w:rPr>
          <w:b/>
        </w:rPr>
        <w:t xml:space="preserve">ar putea trage următoarele concluzii: sunt necesare un plan de acțiune pe termen mediu, până în 2030 și unul pe termen lung, până în 2050. Acest plan de acțiune trebuie să abordeze următoarele provocări: </w:t>
      </w:r>
    </w:p>
    <w:p w:rsidR="008140E8" w:rsidRPr="00303872" w:rsidRDefault="008140E8" w:rsidP="00073ADF">
      <w:pPr>
        <w:pStyle w:val="ListParagraph"/>
        <w:numPr>
          <w:ilvl w:val="0"/>
          <w:numId w:val="2"/>
        </w:numPr>
        <w:rPr>
          <w:b/>
        </w:rPr>
      </w:pPr>
      <w:r w:rsidRPr="00303872">
        <w:rPr>
          <w:b/>
        </w:rPr>
        <w:t>securitatea aprovizionării cu materii prime, inclusiv definirea alimentării de bază, cerințele specifice pentru tehnologiile generice și abordarea rezilienței economice;</w:t>
      </w:r>
    </w:p>
    <w:p w:rsidR="008140E8" w:rsidRPr="00303872" w:rsidRDefault="008140E8" w:rsidP="00073ADF">
      <w:pPr>
        <w:pStyle w:val="ListParagraph"/>
        <w:numPr>
          <w:ilvl w:val="0"/>
          <w:numId w:val="2"/>
        </w:numPr>
        <w:rPr>
          <w:b/>
        </w:rPr>
      </w:pPr>
      <w:r w:rsidRPr="00303872">
        <w:rPr>
          <w:b/>
        </w:rPr>
        <w:t>abordarea legăturii dintre energie și schimbările climatice, inclusiv dezvoltarea tehnologiilor curate, durabilitatea regiunilor care se confruntă cu închiderea minelor de cărbune și asigurarea de materii prime pentru modalități de generare și utilizări alternative ale energiei.</w:t>
      </w:r>
    </w:p>
    <w:p w:rsidR="001B5D4B" w:rsidRPr="00303872" w:rsidRDefault="001B5D4B" w:rsidP="00073ADF"/>
    <w:p w:rsidR="00911E04" w:rsidRPr="00303872" w:rsidRDefault="003A552F" w:rsidP="00073ADF">
      <w:r w:rsidRPr="00303872">
        <w:t>Trebuie acordată o atenție sporită următoarelor două axe:</w:t>
      </w:r>
    </w:p>
    <w:p w:rsidR="00F8502D" w:rsidRPr="00303872" w:rsidRDefault="003A552F" w:rsidP="00073ADF">
      <w:pPr>
        <w:pStyle w:val="ListParagraph"/>
        <w:numPr>
          <w:ilvl w:val="0"/>
          <w:numId w:val="1"/>
        </w:numPr>
        <w:rPr>
          <w:b/>
          <w:sz w:val="24"/>
          <w:szCs w:val="24"/>
        </w:rPr>
      </w:pPr>
      <w:r w:rsidRPr="00303872">
        <w:rPr>
          <w:b/>
          <w:sz w:val="24"/>
        </w:rPr>
        <w:t>Axa A: Politica națională și dimensiunea legislativă</w:t>
      </w:r>
    </w:p>
    <w:p w:rsidR="00FF33D6" w:rsidRPr="00303872" w:rsidRDefault="00BC7D91" w:rsidP="00073ADF">
      <w:pPr>
        <w:ind w:firstLine="360"/>
      </w:pPr>
      <w:r w:rsidRPr="00303872">
        <w:t xml:space="preserve">În acest context, </w:t>
      </w:r>
      <w:r w:rsidRPr="00303872">
        <w:rPr>
          <w:b/>
        </w:rPr>
        <w:t>strategiile naționale pentru materiile prime</w:t>
      </w:r>
      <w:r w:rsidRPr="00303872">
        <w:t xml:space="preserve"> ar trebui să aibă drept scop promovarea:</w:t>
      </w:r>
    </w:p>
    <w:p w:rsidR="00FF33D6" w:rsidRPr="00303872" w:rsidRDefault="00FF33D6" w:rsidP="00073ADF">
      <w:pPr>
        <w:ind w:firstLine="360"/>
      </w:pPr>
    </w:p>
    <w:p w:rsidR="004F4E7F" w:rsidRPr="00303872" w:rsidRDefault="00BC7D91" w:rsidP="00073ADF">
      <w:pPr>
        <w:pStyle w:val="ListParagraph"/>
        <w:numPr>
          <w:ilvl w:val="0"/>
          <w:numId w:val="5"/>
        </w:numPr>
      </w:pPr>
      <w:r w:rsidRPr="00303872">
        <w:t>caracterului dinamic, care să asigure inițierea și menținerea investițiilor, precum și exploatarea adecvată a resurselor;</w:t>
      </w:r>
    </w:p>
    <w:p w:rsidR="00BC7D91" w:rsidRPr="00303872" w:rsidRDefault="00BC7D91" w:rsidP="00073ADF">
      <w:pPr>
        <w:pStyle w:val="ListParagraph"/>
        <w:numPr>
          <w:ilvl w:val="0"/>
          <w:numId w:val="5"/>
        </w:numPr>
      </w:pPr>
      <w:r w:rsidRPr="00303872">
        <w:t>durabilității, la nivel economic, social, de mediu și teritorial;</w:t>
      </w:r>
    </w:p>
    <w:p w:rsidR="00BC7D91" w:rsidRPr="00303872" w:rsidRDefault="00BC7D91" w:rsidP="00073ADF">
      <w:pPr>
        <w:pStyle w:val="ListParagraph"/>
        <w:numPr>
          <w:ilvl w:val="0"/>
          <w:numId w:val="5"/>
        </w:numPr>
      </w:pPr>
      <w:r w:rsidRPr="00303872">
        <w:t>creșterii economiei naționale, prin asigurarea alimentării cu materii prime esențiale și consolidarea importanței acesteia în produsul intern brut și în exporturile naționale; și</w:t>
      </w:r>
    </w:p>
    <w:p w:rsidR="00BC7D91" w:rsidRPr="00303872" w:rsidRDefault="00BC7D91" w:rsidP="00073ADF">
      <w:pPr>
        <w:pStyle w:val="ListParagraph"/>
        <w:numPr>
          <w:ilvl w:val="0"/>
          <w:numId w:val="5"/>
        </w:numPr>
      </w:pPr>
      <w:r w:rsidRPr="00303872">
        <w:t>dezvoltării regionale, rentabilității și ocupării forței de muncă garantate pentru populația locală, ceea ce asigură dezvoltarea comunităților în care se întâmplă acest lucru.</w:t>
      </w:r>
    </w:p>
    <w:p w:rsidR="00BC7D91" w:rsidRPr="00303872" w:rsidRDefault="00BC7D91" w:rsidP="00073ADF"/>
    <w:p w:rsidR="00BC7D91" w:rsidRPr="00303872" w:rsidRDefault="00BC7D91" w:rsidP="00073ADF">
      <w:pPr>
        <w:ind w:firstLine="360"/>
      </w:pPr>
      <w:r w:rsidRPr="00303872">
        <w:t>În special:</w:t>
      </w:r>
    </w:p>
    <w:p w:rsidR="004F4E7F" w:rsidRPr="00303872" w:rsidRDefault="004F4E7F" w:rsidP="00073ADF">
      <w:pPr>
        <w:pStyle w:val="ListParagraph"/>
        <w:numPr>
          <w:ilvl w:val="0"/>
          <w:numId w:val="7"/>
        </w:numPr>
        <w:ind w:left="1134" w:hanging="708"/>
        <w:rPr>
          <w:b/>
        </w:rPr>
      </w:pPr>
      <w:r w:rsidRPr="00303872">
        <w:rPr>
          <w:b/>
        </w:rPr>
        <w:t>Rolul administrației publice</w:t>
      </w:r>
    </w:p>
    <w:p w:rsidR="00B16689" w:rsidRPr="00303872" w:rsidRDefault="00B16689" w:rsidP="00073ADF">
      <w:pPr>
        <w:pStyle w:val="ListParagraph"/>
        <w:numPr>
          <w:ilvl w:val="1"/>
          <w:numId w:val="1"/>
        </w:numPr>
        <w:ind w:left="1701" w:hanging="567"/>
      </w:pPr>
      <w:r w:rsidRPr="00303872">
        <w:t>Politica privind mineralele ar trebuie să fie aliniată politicii industriale pe termen lung a țării (de exemplu, politica energetică până în anul 2050) și, în acest sens, ar trebui definită disponibilitatea materiilor prime esențiale pentru dezvoltarea industriei.</w:t>
      </w:r>
    </w:p>
    <w:p w:rsidR="00F8502D" w:rsidRPr="00303872" w:rsidRDefault="008F52A7" w:rsidP="00073ADF">
      <w:pPr>
        <w:pStyle w:val="ListParagraph"/>
        <w:numPr>
          <w:ilvl w:val="1"/>
          <w:numId w:val="1"/>
        </w:numPr>
        <w:ind w:left="1701" w:hanging="567"/>
      </w:pPr>
      <w:r w:rsidRPr="00303872">
        <w:t>Trebuie restabilită o bază adecvată pentru acest sector, prin redefinirea rolurilor administrației centrale și autorităților regionale, în relațiile dintre ele și în relație cu politicile care urmează să fie puse în aplicare; organismele publice respective trebuie abilitate în vederea executării corecte a rolurilor lor. Pentru a surmonta deficiențele de capacitate și pentru a reduce termenele necesare autorizărilor, administrația publică ar trebui să ia în considerare posibilitatea ca anumite părți terțe (de exemplu, mediul academic) să ia parte de la început la procesul de autorizare.</w:t>
      </w:r>
    </w:p>
    <w:p w:rsidR="00F8502D" w:rsidRPr="00303872" w:rsidRDefault="003A552F" w:rsidP="00073ADF">
      <w:pPr>
        <w:pStyle w:val="ListParagraph"/>
        <w:numPr>
          <w:ilvl w:val="1"/>
          <w:numId w:val="1"/>
        </w:numPr>
        <w:ind w:left="1701" w:hanging="567"/>
      </w:pPr>
      <w:r w:rsidRPr="00303872">
        <w:lastRenderedPageBreak/>
        <w:t>De asemenea, sunt necesare asigurarea caracterului adecvat al standardelor aplicabile, actualizarea instrumentelor juridice, restructurarea disciplinei juridice contractuale, redefinirea sistemului de redevențe și a altor cheltuieli de exploatare, precum și reglementarea noilor realități.</w:t>
      </w:r>
    </w:p>
    <w:p w:rsidR="00E22EDD" w:rsidRPr="00303872" w:rsidRDefault="00E22EDD" w:rsidP="00073ADF"/>
    <w:p w:rsidR="004F4E7F" w:rsidRPr="00303872" w:rsidRDefault="004F4E7F" w:rsidP="00073ADF">
      <w:pPr>
        <w:pStyle w:val="ListParagraph"/>
        <w:numPr>
          <w:ilvl w:val="1"/>
          <w:numId w:val="8"/>
        </w:numPr>
        <w:ind w:left="1134" w:hanging="708"/>
        <w:rPr>
          <w:b/>
        </w:rPr>
      </w:pPr>
      <w:r w:rsidRPr="00303872">
        <w:rPr>
          <w:b/>
        </w:rPr>
        <w:t>Amenajarea teritoriului</w:t>
      </w:r>
    </w:p>
    <w:p w:rsidR="00B16689" w:rsidRPr="00303872" w:rsidRDefault="00865DFC" w:rsidP="00073ADF">
      <w:pPr>
        <w:pStyle w:val="ListParagraph"/>
        <w:ind w:left="1134"/>
      </w:pPr>
      <w:r w:rsidRPr="00303872">
        <w:t>Ar trebui identificate lacunele și provocările, dar și exemplele de bune practici în ceea ce privește practicile de amenajare a teritoriului. Amenajarea teritoriului la nivel național, regional și local ar trebui să aplice următoarele standarde minime: sporirea cunoștințelor cu privire la potențialul național, cu identificarea în prealabil a resurselor exploatabile, din perspectiva dezvoltării miniere. Este necesar să se ia în considerare și să se identifice depozitele strategice de resurse minerale în amenajarea teritoriului și să se aplice cele mai bune practici pentru accesul la informația geologică, pe de o parte, și la teren, pe de altă parte.</w:t>
      </w:r>
    </w:p>
    <w:p w:rsidR="00F21C9F" w:rsidRPr="00303872" w:rsidRDefault="00F21C9F" w:rsidP="00073ADF"/>
    <w:p w:rsidR="00B770E3" w:rsidRPr="00303872" w:rsidRDefault="00B770E3" w:rsidP="00073ADF">
      <w:pPr>
        <w:pStyle w:val="ListParagraph"/>
        <w:numPr>
          <w:ilvl w:val="1"/>
          <w:numId w:val="8"/>
        </w:numPr>
        <w:ind w:left="1134" w:hanging="708"/>
        <w:rPr>
          <w:b/>
        </w:rPr>
      </w:pPr>
      <w:r w:rsidRPr="00303872">
        <w:rPr>
          <w:b/>
        </w:rPr>
        <w:t xml:space="preserve">Accesul la resursele de materii prime </w:t>
      </w:r>
    </w:p>
    <w:p w:rsidR="00882D96" w:rsidRPr="00303872" w:rsidRDefault="00B770E3" w:rsidP="00073ADF">
      <w:pPr>
        <w:pStyle w:val="ListParagraph"/>
        <w:numPr>
          <w:ilvl w:val="1"/>
          <w:numId w:val="1"/>
        </w:numPr>
        <w:ind w:left="1843" w:hanging="709"/>
      </w:pPr>
      <w:r w:rsidRPr="00303872">
        <w:t>Un cadru transparent și clar în ceea ce privește explorarea depozitelor și accesul la acestea este o cerință minimă, în beneficiul tuturor părților implicate și al părților interesate externe. Materiile prime trebuie să poată fi transportate. Aceasta înseamnă protejarea infrastructurii rutiere, feroviare și de navigație existente sau furnizarea altei infrastructuri adecvate pentru transportul materiilor prime de la locul de extracție la punctele de prelucrare și la piețe.</w:t>
      </w:r>
    </w:p>
    <w:p w:rsidR="00B770E3" w:rsidRPr="00303872" w:rsidRDefault="00882D96" w:rsidP="00073ADF">
      <w:pPr>
        <w:pStyle w:val="ListParagraph"/>
        <w:numPr>
          <w:ilvl w:val="1"/>
          <w:numId w:val="1"/>
        </w:numPr>
        <w:ind w:left="1843" w:hanging="709"/>
      </w:pPr>
      <w:r w:rsidRPr="00303872">
        <w:t>Autoritățile competente ar trebui să ia în calcul simplificarea procedurilor de autorizare, aplicarea modelului ghișeului unic și utilizarea soluțiilor de guvernare electronică, cum ar fi formularele standard online. Având în vedere că nu există termene sau restricții privitoare la timp incluse în Directiva EIA și nici alte norme aplicabile autorizării, calendarul exact diferă considerabil de la un stat membru la altul și ar trebui armonizat și redus printr-un ghid de bune practici.</w:t>
      </w:r>
    </w:p>
    <w:p w:rsidR="00F21C9F" w:rsidRPr="00303872" w:rsidRDefault="00F21C9F" w:rsidP="00073ADF"/>
    <w:p w:rsidR="00F8060C" w:rsidRPr="00303872" w:rsidRDefault="00F8060C" w:rsidP="00073ADF">
      <w:pPr>
        <w:pStyle w:val="ListParagraph"/>
        <w:numPr>
          <w:ilvl w:val="1"/>
          <w:numId w:val="9"/>
        </w:numPr>
        <w:ind w:left="1134" w:hanging="708"/>
        <w:rPr>
          <w:b/>
        </w:rPr>
      </w:pPr>
      <w:r w:rsidRPr="00303872">
        <w:rPr>
          <w:b/>
        </w:rPr>
        <w:t xml:space="preserve">Politici naționale de atragere a investitorilor către zonele disponibile și de facilitare a investițiilor în explorare și minerit </w:t>
      </w:r>
    </w:p>
    <w:p w:rsidR="002908B8" w:rsidRPr="00303872" w:rsidRDefault="00F8060C" w:rsidP="00073ADF">
      <w:pPr>
        <w:pStyle w:val="ListParagraph"/>
        <w:ind w:left="1134"/>
      </w:pPr>
      <w:r w:rsidRPr="00303872">
        <w:t>Deciziile de a investi într-o țară anume se bazează pe o serie de criterii: potențialul de prospectare a terenului și disponibilitatea acestuia, sistemul de reglementare, autorizarea, riscul suveran, infrastructura, regimul fiscal și legea mineritului, costul serviciilor și al deținerii terenului, securitatea titlului asupra terenului, calitatea geologilor și a inginerilor din țara respectivă. Statele membre ale UE concurează pentru o sumă limitată de bani care se poate obține în urma explorării. Politicile europene și cele ale administrației publice trebuie să fie funcționale și să asigure echilibrul între extracția mineralelor, mediul înconjurător și comunități.</w:t>
      </w:r>
    </w:p>
    <w:p w:rsidR="002908B8" w:rsidRPr="00303872" w:rsidRDefault="00F8060C" w:rsidP="00073ADF">
      <w:pPr>
        <w:pStyle w:val="ListParagraph"/>
        <w:ind w:left="1134"/>
      </w:pPr>
      <w:r w:rsidRPr="00303872">
        <w:t xml:space="preserve">Triunghiul de încredere creat între societățile miniere, administrația publică și agențiile sale, precum și comunitatea locală este un element esențial pentru succesul oricărei mine. Acesta trebuie să fie instituit în etapa de explorare, să devină o prioritate majoră în timpul etapei de fezabilitate și planificare și să continue în etapele de construcție, exploatare, închidere și post-închidere. Metalele și mineralele susțin infrastructura civilizației noastre. Prin urmare, impozitarea ar trebui să fie corespunzătoare. Ar putea fi necesară revizuirea impozitării societăților comerciale miniere, pentru a continua atragerea de societăți de explorare și minerit. </w:t>
      </w:r>
    </w:p>
    <w:p w:rsidR="00BC7D91" w:rsidRPr="00303872" w:rsidRDefault="00BC7D91" w:rsidP="00073ADF">
      <w:pPr>
        <w:pStyle w:val="ListParagraph"/>
        <w:ind w:left="1134"/>
      </w:pPr>
      <w:r w:rsidRPr="00303872">
        <w:t>Profitabilitatea noilor investiții miniere ar trebui evaluată comparativ cu alte industrii și cu nevoile lor, întrucât acestea depind de industria minieră, iar depozitele ar trebui utilizate într-un mod durabil (de exemplu, prin recuperarea intensificată a produselor secundare și derivate).</w:t>
      </w:r>
    </w:p>
    <w:p w:rsidR="00F21C9F" w:rsidRPr="00303872" w:rsidRDefault="00F21C9F" w:rsidP="00073ADF"/>
    <w:p w:rsidR="004F4E7F" w:rsidRPr="00303872" w:rsidRDefault="004F4E7F" w:rsidP="00073ADF">
      <w:pPr>
        <w:pStyle w:val="ListParagraph"/>
        <w:numPr>
          <w:ilvl w:val="1"/>
          <w:numId w:val="10"/>
        </w:numPr>
        <w:ind w:left="1134" w:hanging="708"/>
        <w:rPr>
          <w:b/>
        </w:rPr>
      </w:pPr>
      <w:r w:rsidRPr="00303872">
        <w:rPr>
          <w:b/>
        </w:rPr>
        <w:t>Inovarea</w:t>
      </w:r>
    </w:p>
    <w:p w:rsidR="00F8060C" w:rsidRPr="00303872" w:rsidRDefault="00F8060C" w:rsidP="00073ADF">
      <w:pPr>
        <w:pStyle w:val="ListParagraph"/>
        <w:numPr>
          <w:ilvl w:val="1"/>
          <w:numId w:val="1"/>
        </w:numPr>
        <w:ind w:left="1843" w:hanging="709"/>
      </w:pPr>
      <w:r w:rsidRPr="00303872">
        <w:t>Soluțiile inovatoare în industria minieră ar trebui să fie sprijinite în mod eficient de autoritățile național (cadru juridic favorabil, sistem multivalent de stimulente, impozite și taxe), întrucât societățile miniere nu sunt motivate să își asume riscuri însemnate.</w:t>
      </w:r>
    </w:p>
    <w:p w:rsidR="00B770E3" w:rsidRPr="00303872" w:rsidRDefault="00B770E3" w:rsidP="00073ADF">
      <w:pPr>
        <w:pStyle w:val="ListParagraph"/>
        <w:numPr>
          <w:ilvl w:val="1"/>
          <w:numId w:val="1"/>
        </w:numPr>
        <w:ind w:left="1843" w:hanging="709"/>
      </w:pPr>
      <w:r w:rsidRPr="00303872">
        <w:t xml:space="preserve">Recuperarea materiilor prime printr-o reciclare mai intensă (de exemplu DEEE, carbon) este esențială pentru dezvoltarea economică a economiei circulare, întrucât în multe zone acest proces nu este încă competitiv din punct de vedere economic și tehnologic, în comparație cu sursele primare și trebuie stimulat. </w:t>
      </w:r>
    </w:p>
    <w:p w:rsidR="00B770E3" w:rsidRPr="00303872" w:rsidRDefault="00B770E3" w:rsidP="00073ADF">
      <w:pPr>
        <w:pStyle w:val="ListParagraph"/>
        <w:numPr>
          <w:ilvl w:val="1"/>
          <w:numId w:val="1"/>
        </w:numPr>
        <w:ind w:left="1843" w:hanging="709"/>
      </w:pPr>
      <w:r w:rsidRPr="00303872">
        <w:t>Consolidarea educației (de exemplu, în ceea ce privește reciclarea) și o mai mare sensibilizare a opiniei publice cu privire la importanța materiilor prime în economie, în special deoarece în prezent nu există nicio corelare cu provocările sistemelor educaționale în economia modernă, inclusiv în domeniul antreprenoriatului.</w:t>
      </w:r>
    </w:p>
    <w:p w:rsidR="00F8060C" w:rsidRPr="00303872" w:rsidRDefault="00F8060C" w:rsidP="00073ADF"/>
    <w:p w:rsidR="00B16689" w:rsidRPr="00303872" w:rsidRDefault="00F8502D" w:rsidP="005636C0">
      <w:pPr>
        <w:pStyle w:val="ListParagraph"/>
        <w:keepNext/>
        <w:numPr>
          <w:ilvl w:val="0"/>
          <w:numId w:val="1"/>
        </w:numPr>
        <w:rPr>
          <w:b/>
          <w:sz w:val="24"/>
          <w:szCs w:val="24"/>
        </w:rPr>
      </w:pPr>
      <w:r w:rsidRPr="00303872">
        <w:rPr>
          <w:b/>
          <w:sz w:val="24"/>
        </w:rPr>
        <w:t>Axa B: Politicile UE și dimensiunea legislativă</w:t>
      </w:r>
    </w:p>
    <w:p w:rsidR="00E22EDD" w:rsidRPr="00303872" w:rsidRDefault="00E22EDD" w:rsidP="005636C0">
      <w:pPr>
        <w:keepNext/>
        <w:rPr>
          <w:sz w:val="24"/>
        </w:rPr>
      </w:pPr>
    </w:p>
    <w:p w:rsidR="00C46EF5" w:rsidRPr="00303872" w:rsidRDefault="00C46EF5" w:rsidP="00073ADF">
      <w:pPr>
        <w:pStyle w:val="ListParagraph"/>
        <w:numPr>
          <w:ilvl w:val="1"/>
          <w:numId w:val="11"/>
        </w:numPr>
        <w:ind w:left="1134" w:hanging="708"/>
        <w:rPr>
          <w:b/>
        </w:rPr>
      </w:pPr>
      <w:r w:rsidRPr="00303872">
        <w:rPr>
          <w:b/>
        </w:rPr>
        <w:t>Protejarea alimentării locale cu energie</w:t>
      </w:r>
    </w:p>
    <w:p w:rsidR="00C46EF5" w:rsidRPr="00303872" w:rsidRDefault="00C46EF5" w:rsidP="00073ADF">
      <w:pPr>
        <w:pStyle w:val="ListParagraph"/>
        <w:numPr>
          <w:ilvl w:val="1"/>
          <w:numId w:val="1"/>
        </w:numPr>
        <w:ind w:left="1843" w:hanging="709"/>
      </w:pPr>
      <w:r w:rsidRPr="00303872">
        <w:t>Utilizarea tuturor surselor convenționale și neconvenționale de energie, asigurarea unor prețuri competitive pentru industriile energointensive, cum sunt mineritul și industriile de prelucrare în aval.</w:t>
      </w:r>
    </w:p>
    <w:p w:rsidR="004F4E7F" w:rsidRPr="00303872" w:rsidRDefault="00C46EF5" w:rsidP="00073ADF">
      <w:pPr>
        <w:pStyle w:val="ListParagraph"/>
        <w:numPr>
          <w:ilvl w:val="1"/>
          <w:numId w:val="1"/>
        </w:numPr>
        <w:ind w:left="1843" w:hanging="709"/>
      </w:pPr>
      <w:r w:rsidRPr="00303872">
        <w:t xml:space="preserve">Prețurile la energie au o mare influență asupra costurilor globale în minerit și procesarea mineralelor. Multe societăți miniere sunt integrate pe deplin în lanțuri valorice care funcționează la nivel global, în care costurile locale suplimentare nu pot fi transferate clienților, din motive legate de competitivitate. Prin urmare, în orice jurisdicție, mineritul necesită energie la prețuri competitive, pentru a aduce beneficii pe termen lung comunităților-gazdă. </w:t>
      </w:r>
    </w:p>
    <w:p w:rsidR="00C46EF5" w:rsidRPr="00303872" w:rsidRDefault="00C46EF5" w:rsidP="00073ADF">
      <w:pPr>
        <w:pStyle w:val="ListParagraph"/>
        <w:numPr>
          <w:ilvl w:val="1"/>
          <w:numId w:val="1"/>
        </w:numPr>
        <w:ind w:left="1843" w:hanging="709"/>
      </w:pPr>
      <w:r w:rsidRPr="00303872">
        <w:t>În ceea ce privește sectorul energetic, se poate afirma în mod clar că decuplarea creșterii economice de emisia de gaze cu efect de seră se poate întâmpla și se întâmplă efectiv acolo unde sunt prezente sau chiar sunt în creștere industriile miniere semnificative. Prețurile ridicate la energie nu implică în mod necesar scăderi ale emisiilor de dioxid de carbon, întrucât acestea sunt inerente, de exemplu, în procesarea mineralelor; totuși, acestea pot afecta competitivitatea lanțurilor valorice în integralitatea lor. Investițiile în tehnologii și procese miniere mai eficiente sunt de dorit, în detrimentul relocării mineritului spre țări terțe.</w:t>
      </w:r>
    </w:p>
    <w:p w:rsidR="00F21C9F" w:rsidRPr="00303872" w:rsidRDefault="00F21C9F" w:rsidP="00073ADF"/>
    <w:p w:rsidR="004F4E7F" w:rsidRPr="00303872" w:rsidRDefault="004F4E7F" w:rsidP="00073ADF">
      <w:pPr>
        <w:pStyle w:val="ListParagraph"/>
        <w:numPr>
          <w:ilvl w:val="1"/>
          <w:numId w:val="12"/>
        </w:numPr>
        <w:ind w:left="1134" w:hanging="708"/>
        <w:rPr>
          <w:b/>
        </w:rPr>
      </w:pPr>
      <w:r w:rsidRPr="00303872">
        <w:rPr>
          <w:b/>
        </w:rPr>
        <w:t>Cunoștințele și crearea de sinergii</w:t>
      </w:r>
    </w:p>
    <w:p w:rsidR="00BC7D91" w:rsidRPr="00303872" w:rsidRDefault="00F8502D" w:rsidP="00073ADF">
      <w:pPr>
        <w:pStyle w:val="ListParagraph"/>
        <w:numPr>
          <w:ilvl w:val="1"/>
          <w:numId w:val="1"/>
        </w:numPr>
        <w:ind w:left="1843" w:hanging="709"/>
      </w:pPr>
      <w:r w:rsidRPr="00303872">
        <w:t>Dezvoltarea cunoștințelor și aprecierea potențialului național al statelor membre ale UE și a sinergiilor potențiale dintre acestea într-un context european, prin îmbunătățirea metodelor de colectare și sistematizarea informațiilor, pentru o mai bună utilizare a resurselor și promovarea sinergiilor între entitățile publice și private, precum și monitorizarea activităților miniere dezvoltate pe întregul teritoriu al UE.</w:t>
      </w:r>
    </w:p>
    <w:p w:rsidR="00BC7D91" w:rsidRPr="00303872" w:rsidRDefault="00BC7D91" w:rsidP="00073ADF">
      <w:pPr>
        <w:pStyle w:val="ListParagraph"/>
        <w:numPr>
          <w:ilvl w:val="1"/>
          <w:numId w:val="1"/>
        </w:numPr>
        <w:ind w:left="1843" w:hanging="709"/>
      </w:pPr>
      <w:r w:rsidRPr="00303872">
        <w:t>Participarea societăților și a organismelor de C&amp;D la inițiativa pentru transparență privind materiile prime, precum și programele UE ar trebui sprijinite de stat într-o măsură cât mai mare; participarea agențiilor naționale de finanțare din cadrul DG RTD în sistemele ERA-NET ar trebui încurajată.</w:t>
      </w:r>
    </w:p>
    <w:p w:rsidR="007C29C6" w:rsidRPr="00303872" w:rsidRDefault="007C29C6" w:rsidP="00073ADF">
      <w:pPr>
        <w:pStyle w:val="ListParagraph"/>
        <w:numPr>
          <w:ilvl w:val="1"/>
          <w:numId w:val="1"/>
        </w:numPr>
        <w:ind w:left="1843" w:hanging="709"/>
      </w:pPr>
      <w:r w:rsidRPr="00303872">
        <w:t>Mai multe țări se confruntă cu provocări considerabile, legate de închiderea minelor de cărbune sau de modernizarea centralelor electrice și de dezvoltarea tehnologiilor ecologice pentru utilizarea mai extinsă a cărbunelui în alte sectoare decât în sectorul energetic. În prezent, politica UE discriminează extracția cărbunelui, dar ar trebui, în schimb, să utilizeze în mod durabil resursele existente ale UE și să sprijine activ acele țări și regiuni care se confruntă cu închideri, prin fonduri ale DG RTD și prin fonduri structurale, pentru a facilita revitalizarea durabilă din punct de vedere social și de mediu a respectivelor regiuni.</w:t>
      </w:r>
    </w:p>
    <w:p w:rsidR="00F21C9F" w:rsidRPr="00303872" w:rsidRDefault="00F21C9F" w:rsidP="00073ADF"/>
    <w:p w:rsidR="000778E9" w:rsidRPr="00303872" w:rsidRDefault="000778E9" w:rsidP="005636C0">
      <w:pPr>
        <w:pStyle w:val="ListParagraph"/>
        <w:keepNext/>
        <w:numPr>
          <w:ilvl w:val="1"/>
          <w:numId w:val="13"/>
        </w:numPr>
        <w:ind w:left="1134" w:hanging="708"/>
        <w:rPr>
          <w:b/>
        </w:rPr>
      </w:pPr>
      <w:r w:rsidRPr="00303872">
        <w:rPr>
          <w:b/>
        </w:rPr>
        <w:t xml:space="preserve">Dimensiunea socială și piața muncii </w:t>
      </w:r>
    </w:p>
    <w:p w:rsidR="00736574" w:rsidRPr="00303872" w:rsidRDefault="000778E9" w:rsidP="005636C0">
      <w:pPr>
        <w:pStyle w:val="ListParagraph"/>
        <w:keepNext/>
        <w:ind w:left="1134"/>
      </w:pPr>
      <w:r w:rsidRPr="00303872">
        <w:t>Modernizarea și adaptarea sistemelor de educație și formare în funcție de dezvoltările tehnologice și de noile procese de muncă. Aceasta include învățarea pe tot parcursul vieții, formarea profesională și sisteme de învățare duală, care combină formarea teoretică cu cea practică; o agendă solidă și coerentă privind politica industrială, care să sprijine garantarea și crearea locurilor de muncă în sectoarele extractive; facilitarea mobilității forței de muncă; și consolidarea capacităților în cadrul autorităților competente. Se</w:t>
      </w:r>
      <w:r w:rsidR="005432CF" w:rsidRPr="00303872">
        <w:t> </w:t>
      </w:r>
      <w:r w:rsidRPr="00303872">
        <w:t>recomandă cu fermitate luarea în considerare a ocupării forței de muncă și a dezvoltării competențelor în cadrul sectorului la nivel european, pentru a aborda dezvoltarea regională și restructurarea în ansamblul sectorului.</w:t>
      </w:r>
    </w:p>
    <w:p w:rsidR="00F21C9F" w:rsidRPr="00303872" w:rsidRDefault="00F21C9F" w:rsidP="00073ADF"/>
    <w:p w:rsidR="00F21C9F" w:rsidRPr="00303872" w:rsidRDefault="00325AD9" w:rsidP="00073ADF">
      <w:pPr>
        <w:pStyle w:val="ListParagraph"/>
        <w:numPr>
          <w:ilvl w:val="1"/>
          <w:numId w:val="14"/>
        </w:numPr>
        <w:ind w:left="1134" w:hanging="708"/>
        <w:rPr>
          <w:b/>
        </w:rPr>
      </w:pPr>
      <w:r w:rsidRPr="00303872">
        <w:rPr>
          <w:b/>
        </w:rPr>
        <w:t>Concurența și durabilitatea</w:t>
      </w:r>
    </w:p>
    <w:p w:rsidR="00325AD9" w:rsidRPr="00303872" w:rsidRDefault="00C46EF5" w:rsidP="00073ADF">
      <w:pPr>
        <w:pStyle w:val="ListParagraph"/>
        <w:ind w:left="1134"/>
        <w:rPr>
          <w:b/>
        </w:rPr>
      </w:pPr>
      <w:r w:rsidRPr="00303872">
        <w:t>În interesul creșterii economice și durabilității în UE, este de o importanță covârșitoare ca UE să nu trateze la nivel superficial obiectivele de durabilitate, punând în aplicare aceste obiective pe teritoriul UE, dar nu și pentru produsele care intră în UE. Prin urmare, UE</w:t>
      </w:r>
      <w:r w:rsidR="005432CF" w:rsidRPr="00303872">
        <w:t> </w:t>
      </w:r>
      <w:r w:rsidRPr="00303872">
        <w:t>trebuie să se asigure că cadrele juridice sunt suficient de solide pentru a proteja industriile europene de concurența neloială și să garanteze un cadru juridic care să protejeze clienții din UE de concurența neloială de la nivel global sau de relocarea producției din cauza costurilor autoimpuse în mod unilateral și să răsplătească productivitatea deosebită.</w:t>
      </w:r>
    </w:p>
    <w:p w:rsidR="00080C01" w:rsidRPr="00303872" w:rsidRDefault="00080C01" w:rsidP="00073ADF"/>
    <w:p w:rsidR="003B200D" w:rsidRPr="00303872" w:rsidRDefault="003B200D" w:rsidP="00073ADF"/>
    <w:p w:rsidR="00E22EDD" w:rsidRPr="00303872" w:rsidRDefault="00FC0AA4" w:rsidP="00073ADF">
      <w:pPr>
        <w:pStyle w:val="ListParagraph"/>
        <w:ind w:left="1440"/>
        <w:jc w:val="center"/>
      </w:pPr>
      <w:r w:rsidRPr="00303872">
        <w:t>*</w:t>
      </w:r>
    </w:p>
    <w:p w:rsidR="003B200D" w:rsidRPr="00303872" w:rsidRDefault="00FC0AA4" w:rsidP="00073ADF">
      <w:pPr>
        <w:pStyle w:val="ListParagraph"/>
        <w:ind w:left="1440"/>
        <w:jc w:val="center"/>
      </w:pPr>
      <w:r w:rsidRPr="00303872">
        <w:t>*</w:t>
      </w:r>
      <w:r w:rsidRPr="00303872">
        <w:tab/>
        <w:t>*</w:t>
      </w:r>
    </w:p>
    <w:p w:rsidR="000F4718" w:rsidRPr="00303872" w:rsidRDefault="000F4718">
      <w:pPr>
        <w:spacing w:after="200" w:line="276" w:lineRule="auto"/>
        <w:jc w:val="left"/>
      </w:pPr>
      <w:r w:rsidRPr="00303872">
        <w:br w:type="page"/>
      </w:r>
    </w:p>
    <w:p w:rsidR="00080C01" w:rsidRPr="00303872" w:rsidRDefault="00080C01" w:rsidP="00073ADF">
      <w:pPr>
        <w:rPr>
          <w:b/>
        </w:rPr>
      </w:pPr>
      <w:r w:rsidRPr="00303872">
        <w:rPr>
          <w:b/>
        </w:rPr>
        <w:t>Partenerii principali ai acestor evenimente au fost Euromines, Eurocoal, IndustriAll și Comisia</w:t>
      </w:r>
      <w:r w:rsidR="007B037A" w:rsidRPr="00303872">
        <w:rPr>
          <w:b/>
        </w:rPr>
        <w:t> </w:t>
      </w:r>
      <w:r w:rsidRPr="00303872">
        <w:rPr>
          <w:b/>
        </w:rPr>
        <w:t>Europeană, cărora li s-au adăugat, pentru fiecare eveniment, o serie de parteneri locali:</w:t>
      </w:r>
    </w:p>
    <w:p w:rsidR="00080C01" w:rsidRPr="00303872" w:rsidRDefault="00080C01" w:rsidP="00073ADF">
      <w:pPr>
        <w:pStyle w:val="ListParagraph"/>
        <w:numPr>
          <w:ilvl w:val="0"/>
          <w:numId w:val="4"/>
        </w:numPr>
      </w:pPr>
      <w:r w:rsidRPr="00303872">
        <w:t>Spania: Confedem și Centro para el Desarrollo Tecnológico Industrial;</w:t>
      </w:r>
    </w:p>
    <w:p w:rsidR="00080C01" w:rsidRPr="00303872" w:rsidRDefault="00080C01" w:rsidP="00073ADF">
      <w:pPr>
        <w:pStyle w:val="ListParagraph"/>
        <w:numPr>
          <w:ilvl w:val="0"/>
          <w:numId w:val="4"/>
        </w:numPr>
      </w:pPr>
      <w:r w:rsidRPr="00303872">
        <w:t>Slovacia: Ministerul Economiei;</w:t>
      </w:r>
    </w:p>
    <w:p w:rsidR="00080C01" w:rsidRPr="00303872" w:rsidRDefault="00080C01" w:rsidP="00073ADF">
      <w:pPr>
        <w:pStyle w:val="ListParagraph"/>
        <w:numPr>
          <w:ilvl w:val="0"/>
          <w:numId w:val="4"/>
        </w:numPr>
      </w:pPr>
      <w:r w:rsidRPr="00303872">
        <w:t>România: Universitatea Politehnică din București, Ministerul Economiei, Meridian;</w:t>
      </w:r>
    </w:p>
    <w:p w:rsidR="00080C01" w:rsidRPr="00303872" w:rsidRDefault="00080C01" w:rsidP="00073ADF">
      <w:pPr>
        <w:pStyle w:val="ListParagraph"/>
        <w:numPr>
          <w:ilvl w:val="0"/>
          <w:numId w:val="4"/>
        </w:numPr>
      </w:pPr>
      <w:r w:rsidRPr="00303872">
        <w:t>Finlanda: Federația societăților finlandeze, Asociația finlandeză pentru minerit (Finnmin);</w:t>
      </w:r>
    </w:p>
    <w:p w:rsidR="00080C01" w:rsidRPr="00303872" w:rsidRDefault="00080C01" w:rsidP="00073ADF">
      <w:pPr>
        <w:pStyle w:val="ListParagraph"/>
        <w:numPr>
          <w:ilvl w:val="0"/>
          <w:numId w:val="4"/>
        </w:numPr>
      </w:pPr>
      <w:r w:rsidRPr="00303872">
        <w:t>Portugalia: Laboratório Nacional de Energia e Geologia, Direção-Geral de Energia e Geologia;</w:t>
      </w:r>
    </w:p>
    <w:p w:rsidR="00080C01" w:rsidRPr="00303872" w:rsidRDefault="00080C01" w:rsidP="00073ADF">
      <w:pPr>
        <w:pStyle w:val="ListParagraph"/>
        <w:numPr>
          <w:ilvl w:val="0"/>
          <w:numId w:val="4"/>
        </w:numPr>
      </w:pPr>
      <w:r w:rsidRPr="00303872">
        <w:t>Irlanda: Geological Survey of Ireland, Departamentul pentru comunicații, energie și resurse naturale;</w:t>
      </w:r>
    </w:p>
    <w:p w:rsidR="00080C01" w:rsidRPr="00303872" w:rsidRDefault="00080C01" w:rsidP="00073ADF">
      <w:pPr>
        <w:pStyle w:val="ListParagraph"/>
        <w:numPr>
          <w:ilvl w:val="0"/>
          <w:numId w:val="4"/>
        </w:numPr>
      </w:pPr>
      <w:r w:rsidRPr="00303872">
        <w:t>Polonia: Ministerul dezvoltării economice, Organizația angajatorilor polonezi din sectorul cuprului;</w:t>
      </w:r>
    </w:p>
    <w:p w:rsidR="00080C01" w:rsidRPr="00303872" w:rsidRDefault="00080C01" w:rsidP="00073ADF">
      <w:pPr>
        <w:pStyle w:val="ListParagraph"/>
        <w:numPr>
          <w:ilvl w:val="0"/>
          <w:numId w:val="4"/>
        </w:numPr>
      </w:pPr>
      <w:r w:rsidRPr="00303872">
        <w:t>Republica Cehă: Asociația pentru minerit din Republica Cehă, Ministerul industriei și comerțului.</w:t>
      </w:r>
    </w:p>
    <w:p w:rsidR="00080C01" w:rsidRPr="00303872" w:rsidRDefault="00080C01" w:rsidP="00073ADF"/>
    <w:p w:rsidR="00080C01" w:rsidRPr="00303872" w:rsidRDefault="00080C01" w:rsidP="00073ADF">
      <w:pPr>
        <w:pStyle w:val="ListParagraph"/>
        <w:ind w:left="0"/>
        <w:rPr>
          <w:b/>
        </w:rPr>
      </w:pPr>
      <w:r w:rsidRPr="00303872">
        <w:rPr>
          <w:b/>
        </w:rPr>
        <w:t>Lista membrilor/delegaților CCMI implicați în aceste mese rotunde:</w:t>
      </w:r>
    </w:p>
    <w:p w:rsidR="005E690D" w:rsidRPr="00303872" w:rsidRDefault="005E690D" w:rsidP="00073ADF">
      <w:pPr>
        <w:pStyle w:val="ListParagraph"/>
      </w:pPr>
      <w:r w:rsidRPr="00303872">
        <w:t>Lucie Studničná</w:t>
      </w:r>
    </w:p>
    <w:p w:rsidR="005E690D" w:rsidRPr="00303872" w:rsidRDefault="005E690D" w:rsidP="00073ADF">
      <w:pPr>
        <w:pStyle w:val="ListParagraph"/>
      </w:pPr>
      <w:r w:rsidRPr="00303872">
        <w:t>Carlos Trias Pintó</w:t>
      </w:r>
    </w:p>
    <w:p w:rsidR="005E690D" w:rsidRPr="00303872" w:rsidRDefault="005E690D" w:rsidP="00073ADF">
      <w:pPr>
        <w:pStyle w:val="ListParagraph"/>
      </w:pPr>
      <w:r w:rsidRPr="00303872">
        <w:t>Casado Lopez Juan Manuel</w:t>
      </w:r>
    </w:p>
    <w:p w:rsidR="005E690D" w:rsidRPr="00303872" w:rsidRDefault="005E690D" w:rsidP="00073ADF">
      <w:pPr>
        <w:pStyle w:val="ListParagraph"/>
      </w:pPr>
      <w:r w:rsidRPr="00303872">
        <w:t>Dumitru Fornea</w:t>
      </w:r>
    </w:p>
    <w:p w:rsidR="005E690D" w:rsidRPr="00303872" w:rsidRDefault="005E690D" w:rsidP="00073ADF">
      <w:pPr>
        <w:pStyle w:val="ListParagraph"/>
      </w:pPr>
      <w:r w:rsidRPr="00303872">
        <w:t>Eugen Lucan</w:t>
      </w:r>
    </w:p>
    <w:p w:rsidR="005E690D" w:rsidRPr="00303872" w:rsidRDefault="005E690D" w:rsidP="00073ADF">
      <w:pPr>
        <w:pStyle w:val="ListParagraph"/>
      </w:pPr>
      <w:r w:rsidRPr="00303872">
        <w:t>Gerald Kreuzer</w:t>
      </w:r>
    </w:p>
    <w:p w:rsidR="005E690D" w:rsidRPr="00303872" w:rsidRDefault="005E690D" w:rsidP="00073ADF">
      <w:pPr>
        <w:pStyle w:val="ListParagraph"/>
      </w:pPr>
      <w:r w:rsidRPr="00303872">
        <w:t>Glorieux Jacques</w:t>
      </w:r>
    </w:p>
    <w:p w:rsidR="005E690D" w:rsidRPr="00303872" w:rsidRDefault="005E690D" w:rsidP="00073ADF">
      <w:pPr>
        <w:pStyle w:val="ListParagraph"/>
      </w:pPr>
      <w:r w:rsidRPr="00303872">
        <w:t>Hilde Van Laere</w:t>
      </w:r>
    </w:p>
    <w:p w:rsidR="005E690D" w:rsidRPr="00303872" w:rsidRDefault="005E690D" w:rsidP="00073ADF">
      <w:pPr>
        <w:pStyle w:val="ListParagraph"/>
      </w:pPr>
      <w:r w:rsidRPr="00303872">
        <w:t>Jacques Glorieux</w:t>
      </w:r>
    </w:p>
    <w:p w:rsidR="005E690D" w:rsidRPr="00303872" w:rsidRDefault="005E690D" w:rsidP="00073ADF">
      <w:pPr>
        <w:pStyle w:val="ListParagraph"/>
      </w:pPr>
      <w:r w:rsidRPr="00303872">
        <w:t>Josef Zboril</w:t>
      </w:r>
    </w:p>
    <w:p w:rsidR="005E690D" w:rsidRPr="00303872" w:rsidRDefault="003B200D" w:rsidP="00073ADF">
      <w:pPr>
        <w:pStyle w:val="ListParagraph"/>
      </w:pPr>
      <w:r w:rsidRPr="00303872">
        <w:t>Linas Lasiauskas</w:t>
      </w:r>
    </w:p>
    <w:p w:rsidR="003B200D" w:rsidRPr="00303872" w:rsidRDefault="003B200D" w:rsidP="00073ADF">
      <w:pPr>
        <w:pStyle w:val="ListParagraph"/>
      </w:pPr>
      <w:r w:rsidRPr="00303872">
        <w:t xml:space="preserve">Gonçalo Lobo Xavier </w:t>
      </w:r>
    </w:p>
    <w:p w:rsidR="003B200D" w:rsidRPr="00303872" w:rsidRDefault="003B200D" w:rsidP="00073ADF">
      <w:pPr>
        <w:pStyle w:val="ListParagraph"/>
      </w:pPr>
      <w:r w:rsidRPr="00303872">
        <w:t xml:space="preserve">Cillian Lohan </w:t>
      </w:r>
    </w:p>
    <w:p w:rsidR="005E690D" w:rsidRPr="00303872" w:rsidRDefault="003B200D" w:rsidP="00073ADF">
      <w:pPr>
        <w:pStyle w:val="ListParagraph"/>
      </w:pPr>
      <w:r w:rsidRPr="00303872">
        <w:t>Vladimir Novotný</w:t>
      </w:r>
    </w:p>
    <w:p w:rsidR="005E690D" w:rsidRPr="00303872" w:rsidRDefault="003B200D" w:rsidP="00073ADF">
      <w:pPr>
        <w:pStyle w:val="ListParagraph"/>
      </w:pPr>
      <w:r w:rsidRPr="00303872">
        <w:t xml:space="preserve">Jorge Pegado Liz </w:t>
      </w:r>
    </w:p>
    <w:p w:rsidR="003B200D" w:rsidRPr="00303872" w:rsidRDefault="003B200D" w:rsidP="00073ADF">
      <w:pPr>
        <w:pStyle w:val="ListParagraph"/>
      </w:pPr>
      <w:r w:rsidRPr="00303872">
        <w:t xml:space="preserve">Aurel Laurentiu Plosceanu </w:t>
      </w:r>
    </w:p>
    <w:p w:rsidR="005E690D" w:rsidRPr="00303872" w:rsidRDefault="003B200D" w:rsidP="00073ADF">
      <w:pPr>
        <w:pStyle w:val="ListParagraph"/>
      </w:pPr>
      <w:r w:rsidRPr="00303872">
        <w:t>Ion Pop</w:t>
      </w:r>
    </w:p>
    <w:p w:rsidR="005E690D" w:rsidRPr="00303872" w:rsidRDefault="005E690D" w:rsidP="00073ADF">
      <w:pPr>
        <w:pStyle w:val="ListParagraph"/>
      </w:pPr>
      <w:r w:rsidRPr="00303872">
        <w:t>Renata Eisenvortova</w:t>
      </w:r>
    </w:p>
    <w:p w:rsidR="005E690D" w:rsidRPr="00303872" w:rsidRDefault="003B200D" w:rsidP="00073ADF">
      <w:pPr>
        <w:pStyle w:val="ListParagraph"/>
      </w:pPr>
      <w:r w:rsidRPr="00303872">
        <w:t xml:space="preserve">Przemyslaw Rzepecki </w:t>
      </w:r>
    </w:p>
    <w:p w:rsidR="005E690D" w:rsidRPr="00303872" w:rsidRDefault="005E690D" w:rsidP="00073ADF">
      <w:pPr>
        <w:pStyle w:val="ListParagraph"/>
      </w:pPr>
      <w:r w:rsidRPr="00303872">
        <w:t>Sauli Vantti</w:t>
      </w:r>
    </w:p>
    <w:p w:rsidR="005E690D" w:rsidRPr="00303872" w:rsidRDefault="005E690D" w:rsidP="00073ADF">
      <w:pPr>
        <w:pStyle w:val="ListParagraph"/>
      </w:pPr>
      <w:r w:rsidRPr="00303872">
        <w:t>Seamus Boland</w:t>
      </w:r>
    </w:p>
    <w:p w:rsidR="005E690D" w:rsidRPr="00303872" w:rsidRDefault="005E690D" w:rsidP="00073ADF">
      <w:pPr>
        <w:pStyle w:val="ListParagraph"/>
      </w:pPr>
      <w:r w:rsidRPr="00303872">
        <w:t>Thomas Palmgren</w:t>
      </w:r>
    </w:p>
    <w:p w:rsidR="005E690D" w:rsidRPr="00303872" w:rsidRDefault="005E690D" w:rsidP="00073ADF">
      <w:pPr>
        <w:pStyle w:val="ListParagraph"/>
      </w:pPr>
      <w:r w:rsidRPr="00303872">
        <w:t>Víctor Fernández Vázquez</w:t>
      </w:r>
    </w:p>
    <w:p w:rsidR="00080C01" w:rsidRPr="00303872" w:rsidRDefault="003B200D" w:rsidP="00073ADF">
      <w:pPr>
        <w:pStyle w:val="ListParagraph"/>
      </w:pPr>
      <w:r w:rsidRPr="00303872">
        <w:t xml:space="preserve">Anastasis Yiapanis </w:t>
      </w:r>
    </w:p>
    <w:p w:rsidR="00FC0AA4" w:rsidRPr="00303872" w:rsidRDefault="00FC0AA4" w:rsidP="00073ADF"/>
    <w:p w:rsidR="00FC0AA4" w:rsidRPr="00303872" w:rsidRDefault="000F4718" w:rsidP="00073ADF">
      <w:pPr>
        <w:pStyle w:val="ListParagraph"/>
        <w:jc w:val="center"/>
      </w:pPr>
      <w:r w:rsidRPr="00303872">
        <w:t>______________</w:t>
      </w:r>
    </w:p>
    <w:sectPr w:rsidR="00FC0AA4" w:rsidRPr="00303872" w:rsidSect="001B3A6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5E" w:rsidRDefault="004F0D5E" w:rsidP="00354641">
      <w:pPr>
        <w:spacing w:line="240" w:lineRule="auto"/>
      </w:pPr>
      <w:r>
        <w:separator/>
      </w:r>
    </w:p>
  </w:endnote>
  <w:endnote w:type="continuationSeparator" w:id="0">
    <w:p w:rsidR="004F0D5E" w:rsidRDefault="004F0D5E" w:rsidP="00354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4E" w:rsidRPr="001B3A6C" w:rsidRDefault="002B324E" w:rsidP="001B3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45" w:rsidRPr="001B3A6C" w:rsidRDefault="001B3A6C" w:rsidP="001B3A6C">
    <w:pPr>
      <w:pStyle w:val="Footer"/>
    </w:pPr>
    <w:r>
      <w:t xml:space="preserve">EESC-2017-00099-00-00-TCD-TRA (EN) </w:t>
    </w:r>
    <w:r>
      <w:fldChar w:fldCharType="begin"/>
    </w:r>
    <w:r>
      <w:instrText xml:space="preserve"> PAGE  \* Arabic  \* MERGEFORMAT </w:instrText>
    </w:r>
    <w:r>
      <w:fldChar w:fldCharType="separate"/>
    </w:r>
    <w:r w:rsidR="00B55D46">
      <w:rPr>
        <w:noProof/>
      </w:rPr>
      <w:t>1</w:t>
    </w:r>
    <w:r>
      <w:fldChar w:fldCharType="end"/>
    </w:r>
    <w:r>
      <w:t>/</w:t>
    </w:r>
    <w:r>
      <w:fldChar w:fldCharType="begin"/>
    </w:r>
    <w:r>
      <w:instrText xml:space="preserve"> = </w:instrText>
    </w:r>
    <w:fldSimple w:instr=" NUMPAGES ">
      <w:r w:rsidR="00B55D46">
        <w:rPr>
          <w:noProof/>
        </w:rPr>
        <w:instrText>6</w:instrText>
      </w:r>
    </w:fldSimple>
    <w:r>
      <w:instrText xml:space="preserve"> -0 </w:instrText>
    </w:r>
    <w:r>
      <w:fldChar w:fldCharType="separate"/>
    </w:r>
    <w:r w:rsidR="00B55D46">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4E" w:rsidRPr="001B3A6C" w:rsidRDefault="002B324E" w:rsidP="001B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5E" w:rsidRDefault="004F0D5E" w:rsidP="00354641">
      <w:pPr>
        <w:spacing w:line="240" w:lineRule="auto"/>
      </w:pPr>
      <w:r>
        <w:separator/>
      </w:r>
    </w:p>
  </w:footnote>
  <w:footnote w:type="continuationSeparator" w:id="0">
    <w:p w:rsidR="004F0D5E" w:rsidRDefault="004F0D5E" w:rsidP="003546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4E" w:rsidRPr="001B3A6C" w:rsidRDefault="002B324E" w:rsidP="001B3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41" w:rsidRPr="001B3A6C" w:rsidRDefault="00354641" w:rsidP="001B3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4E" w:rsidRPr="001B3A6C" w:rsidRDefault="002B324E" w:rsidP="001B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962636"/>
    <w:multiLevelType w:val="hybridMultilevel"/>
    <w:tmpl w:val="5D5E7504"/>
    <w:lvl w:ilvl="0" w:tplc="0809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D23558"/>
    <w:multiLevelType w:val="hybridMultilevel"/>
    <w:tmpl w:val="3AEE309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61343"/>
    <w:multiLevelType w:val="hybridMultilevel"/>
    <w:tmpl w:val="57B0928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033571"/>
    <w:multiLevelType w:val="hybridMultilevel"/>
    <w:tmpl w:val="03704E46"/>
    <w:lvl w:ilvl="0" w:tplc="4CF48FF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14F8E"/>
    <w:multiLevelType w:val="hybridMultilevel"/>
    <w:tmpl w:val="8A06893A"/>
    <w:lvl w:ilvl="0" w:tplc="0809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9DA6501"/>
    <w:multiLevelType w:val="hybridMultilevel"/>
    <w:tmpl w:val="29E0FAF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955F84"/>
    <w:multiLevelType w:val="hybridMultilevel"/>
    <w:tmpl w:val="334EBE6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DE1B99"/>
    <w:multiLevelType w:val="hybridMultilevel"/>
    <w:tmpl w:val="0B12EFE2"/>
    <w:lvl w:ilvl="0" w:tplc="0C2677D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2FC3191"/>
    <w:multiLevelType w:val="hybridMultilevel"/>
    <w:tmpl w:val="8E189E0E"/>
    <w:lvl w:ilvl="0" w:tplc="EF02DA5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EDB20A8"/>
    <w:multiLevelType w:val="hybridMultilevel"/>
    <w:tmpl w:val="C388B044"/>
    <w:lvl w:ilvl="0" w:tplc="0809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013575E"/>
    <w:multiLevelType w:val="hybridMultilevel"/>
    <w:tmpl w:val="0588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E6BE5"/>
    <w:multiLevelType w:val="hybridMultilevel"/>
    <w:tmpl w:val="F85C732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ED32E08"/>
    <w:multiLevelType w:val="hybridMultilevel"/>
    <w:tmpl w:val="26D2C292"/>
    <w:lvl w:ilvl="0" w:tplc="0809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5F1A2C28"/>
    <w:multiLevelType w:val="hybridMultilevel"/>
    <w:tmpl w:val="5BF2E94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1E6E40"/>
    <w:multiLevelType w:val="hybridMultilevel"/>
    <w:tmpl w:val="BFCA2BB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0A1A9B"/>
    <w:multiLevelType w:val="hybridMultilevel"/>
    <w:tmpl w:val="DE309C2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3B576A"/>
    <w:multiLevelType w:val="hybridMultilevel"/>
    <w:tmpl w:val="A56470FC"/>
    <w:lvl w:ilvl="0" w:tplc="08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31F4129"/>
    <w:multiLevelType w:val="hybridMultilevel"/>
    <w:tmpl w:val="E8DCFF7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10EDF"/>
    <w:multiLevelType w:val="hybridMultilevel"/>
    <w:tmpl w:val="556EF1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62"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12"/>
  </w:num>
  <w:num w:numId="4">
    <w:abstractNumId w:val="11"/>
  </w:num>
  <w:num w:numId="5">
    <w:abstractNumId w:val="17"/>
  </w:num>
  <w:num w:numId="6">
    <w:abstractNumId w:val="10"/>
  </w:num>
  <w:num w:numId="7">
    <w:abstractNumId w:val="13"/>
  </w:num>
  <w:num w:numId="8">
    <w:abstractNumId w:val="3"/>
  </w:num>
  <w:num w:numId="9">
    <w:abstractNumId w:val="14"/>
  </w:num>
  <w:num w:numId="10">
    <w:abstractNumId w:val="7"/>
  </w:num>
  <w:num w:numId="11">
    <w:abstractNumId w:val="6"/>
  </w:num>
  <w:num w:numId="12">
    <w:abstractNumId w:val="16"/>
  </w:num>
  <w:num w:numId="13">
    <w:abstractNumId w:val="2"/>
  </w:num>
  <w:num w:numId="14">
    <w:abstractNumId w:val="15"/>
  </w:num>
  <w:num w:numId="15">
    <w:abstractNumId w:val="5"/>
  </w:num>
  <w:num w:numId="16">
    <w:abstractNumId w:val="9"/>
  </w:num>
  <w:num w:numId="17">
    <w:abstractNumId w:val="1"/>
  </w:num>
  <w:num w:numId="18">
    <w:abstractNumId w:val="8"/>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3F"/>
    <w:rsid w:val="00047F95"/>
    <w:rsid w:val="00073ADF"/>
    <w:rsid w:val="000778E9"/>
    <w:rsid w:val="00080C01"/>
    <w:rsid w:val="00096A3F"/>
    <w:rsid w:val="000F4718"/>
    <w:rsid w:val="00131417"/>
    <w:rsid w:val="001B3A6C"/>
    <w:rsid w:val="001B5D4B"/>
    <w:rsid w:val="001E0D05"/>
    <w:rsid w:val="001F72A0"/>
    <w:rsid w:val="00217CFD"/>
    <w:rsid w:val="00283C63"/>
    <w:rsid w:val="0028521C"/>
    <w:rsid w:val="002908B8"/>
    <w:rsid w:val="002B324E"/>
    <w:rsid w:val="00303872"/>
    <w:rsid w:val="00325AD9"/>
    <w:rsid w:val="00354641"/>
    <w:rsid w:val="003A552F"/>
    <w:rsid w:val="003B200D"/>
    <w:rsid w:val="003C3EEF"/>
    <w:rsid w:val="003F2495"/>
    <w:rsid w:val="004F0D5E"/>
    <w:rsid w:val="004F4E7F"/>
    <w:rsid w:val="004F7502"/>
    <w:rsid w:val="005432CF"/>
    <w:rsid w:val="005636C0"/>
    <w:rsid w:val="00575D38"/>
    <w:rsid w:val="005E690D"/>
    <w:rsid w:val="00621F9D"/>
    <w:rsid w:val="006A76C4"/>
    <w:rsid w:val="006F1CF3"/>
    <w:rsid w:val="00705A1C"/>
    <w:rsid w:val="00724501"/>
    <w:rsid w:val="00736574"/>
    <w:rsid w:val="0078783F"/>
    <w:rsid w:val="007B037A"/>
    <w:rsid w:val="007C29C6"/>
    <w:rsid w:val="007E48D7"/>
    <w:rsid w:val="007F145F"/>
    <w:rsid w:val="008140E8"/>
    <w:rsid w:val="0082543C"/>
    <w:rsid w:val="00865DFC"/>
    <w:rsid w:val="00882D96"/>
    <w:rsid w:val="008E4133"/>
    <w:rsid w:val="008F52A7"/>
    <w:rsid w:val="00911E04"/>
    <w:rsid w:val="009D3396"/>
    <w:rsid w:val="00A63B3D"/>
    <w:rsid w:val="00A751A3"/>
    <w:rsid w:val="00B16689"/>
    <w:rsid w:val="00B55D46"/>
    <w:rsid w:val="00B770E3"/>
    <w:rsid w:val="00BC5304"/>
    <w:rsid w:val="00BC7D91"/>
    <w:rsid w:val="00C46EF5"/>
    <w:rsid w:val="00CC3F42"/>
    <w:rsid w:val="00D06963"/>
    <w:rsid w:val="00D22075"/>
    <w:rsid w:val="00E22EDD"/>
    <w:rsid w:val="00E27FA6"/>
    <w:rsid w:val="00E40E46"/>
    <w:rsid w:val="00E717EB"/>
    <w:rsid w:val="00E828E2"/>
    <w:rsid w:val="00E841CE"/>
    <w:rsid w:val="00E912BE"/>
    <w:rsid w:val="00F07370"/>
    <w:rsid w:val="00F21C9F"/>
    <w:rsid w:val="00F63345"/>
    <w:rsid w:val="00F8060C"/>
    <w:rsid w:val="00F8502D"/>
    <w:rsid w:val="00FC0AA4"/>
    <w:rsid w:val="00FE2B6D"/>
    <w:rsid w:val="00FF33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4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B324E"/>
    <w:pPr>
      <w:numPr>
        <w:numId w:val="19"/>
      </w:numPr>
      <w:ind w:left="567" w:hanging="567"/>
      <w:outlineLvl w:val="0"/>
    </w:pPr>
    <w:rPr>
      <w:kern w:val="28"/>
    </w:rPr>
  </w:style>
  <w:style w:type="paragraph" w:styleId="Heading2">
    <w:name w:val="heading 2"/>
    <w:basedOn w:val="Normal"/>
    <w:next w:val="Normal"/>
    <w:link w:val="Heading2Char"/>
    <w:qFormat/>
    <w:rsid w:val="002B324E"/>
    <w:pPr>
      <w:numPr>
        <w:ilvl w:val="1"/>
        <w:numId w:val="19"/>
      </w:numPr>
      <w:ind w:left="567" w:hanging="567"/>
      <w:outlineLvl w:val="1"/>
    </w:pPr>
  </w:style>
  <w:style w:type="paragraph" w:styleId="Heading3">
    <w:name w:val="heading 3"/>
    <w:basedOn w:val="Normal"/>
    <w:next w:val="Normal"/>
    <w:link w:val="Heading3Char"/>
    <w:qFormat/>
    <w:rsid w:val="002B324E"/>
    <w:pPr>
      <w:numPr>
        <w:ilvl w:val="2"/>
        <w:numId w:val="19"/>
      </w:numPr>
      <w:ind w:left="567" w:hanging="567"/>
      <w:outlineLvl w:val="2"/>
    </w:pPr>
  </w:style>
  <w:style w:type="paragraph" w:styleId="Heading4">
    <w:name w:val="heading 4"/>
    <w:basedOn w:val="Normal"/>
    <w:next w:val="Normal"/>
    <w:link w:val="Heading4Char"/>
    <w:qFormat/>
    <w:rsid w:val="002B324E"/>
    <w:pPr>
      <w:numPr>
        <w:ilvl w:val="3"/>
        <w:numId w:val="19"/>
      </w:numPr>
      <w:ind w:left="567" w:hanging="567"/>
      <w:outlineLvl w:val="3"/>
    </w:pPr>
  </w:style>
  <w:style w:type="paragraph" w:styleId="Heading5">
    <w:name w:val="heading 5"/>
    <w:basedOn w:val="Normal"/>
    <w:next w:val="Normal"/>
    <w:link w:val="Heading5Char"/>
    <w:qFormat/>
    <w:rsid w:val="002B324E"/>
    <w:pPr>
      <w:numPr>
        <w:ilvl w:val="4"/>
        <w:numId w:val="19"/>
      </w:numPr>
      <w:ind w:left="567" w:hanging="567"/>
      <w:outlineLvl w:val="4"/>
    </w:pPr>
  </w:style>
  <w:style w:type="paragraph" w:styleId="Heading6">
    <w:name w:val="heading 6"/>
    <w:basedOn w:val="Normal"/>
    <w:next w:val="Normal"/>
    <w:link w:val="Heading6Char"/>
    <w:qFormat/>
    <w:rsid w:val="002B324E"/>
    <w:pPr>
      <w:numPr>
        <w:ilvl w:val="5"/>
        <w:numId w:val="19"/>
      </w:numPr>
      <w:ind w:left="567" w:hanging="567"/>
      <w:outlineLvl w:val="5"/>
    </w:pPr>
  </w:style>
  <w:style w:type="paragraph" w:styleId="Heading7">
    <w:name w:val="heading 7"/>
    <w:basedOn w:val="Normal"/>
    <w:next w:val="Normal"/>
    <w:link w:val="Heading7Char"/>
    <w:qFormat/>
    <w:rsid w:val="002B324E"/>
    <w:pPr>
      <w:numPr>
        <w:ilvl w:val="6"/>
        <w:numId w:val="19"/>
      </w:numPr>
      <w:ind w:left="567" w:hanging="567"/>
      <w:outlineLvl w:val="6"/>
    </w:pPr>
  </w:style>
  <w:style w:type="paragraph" w:styleId="Heading8">
    <w:name w:val="heading 8"/>
    <w:basedOn w:val="Normal"/>
    <w:next w:val="Normal"/>
    <w:link w:val="Heading8Char"/>
    <w:qFormat/>
    <w:rsid w:val="002B324E"/>
    <w:pPr>
      <w:numPr>
        <w:ilvl w:val="7"/>
        <w:numId w:val="19"/>
      </w:numPr>
      <w:ind w:left="567" w:hanging="567"/>
      <w:outlineLvl w:val="7"/>
    </w:pPr>
  </w:style>
  <w:style w:type="paragraph" w:styleId="Heading9">
    <w:name w:val="heading 9"/>
    <w:basedOn w:val="Normal"/>
    <w:next w:val="Normal"/>
    <w:link w:val="Heading9Char"/>
    <w:qFormat/>
    <w:rsid w:val="002B324E"/>
    <w:pPr>
      <w:numPr>
        <w:ilvl w:val="8"/>
        <w:numId w:val="19"/>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63"/>
    <w:pPr>
      <w:ind w:left="720"/>
      <w:contextualSpacing/>
    </w:pPr>
  </w:style>
  <w:style w:type="paragraph" w:styleId="Header">
    <w:name w:val="header"/>
    <w:basedOn w:val="Normal"/>
    <w:link w:val="HeaderChar"/>
    <w:qFormat/>
    <w:rsid w:val="002B324E"/>
  </w:style>
  <w:style w:type="character" w:customStyle="1" w:styleId="HeaderChar">
    <w:name w:val="Header Char"/>
    <w:basedOn w:val="DefaultParagraphFont"/>
    <w:link w:val="Header"/>
    <w:rsid w:val="00354641"/>
    <w:rPr>
      <w:rFonts w:ascii="Times New Roman" w:eastAsia="Times New Roman" w:hAnsi="Times New Roman" w:cs="Times New Roman"/>
    </w:rPr>
  </w:style>
  <w:style w:type="paragraph" w:styleId="Footer">
    <w:name w:val="footer"/>
    <w:basedOn w:val="Normal"/>
    <w:link w:val="FooterChar"/>
    <w:qFormat/>
    <w:rsid w:val="002B324E"/>
  </w:style>
  <w:style w:type="character" w:customStyle="1" w:styleId="FooterChar">
    <w:name w:val="Footer Char"/>
    <w:basedOn w:val="DefaultParagraphFont"/>
    <w:link w:val="Footer"/>
    <w:rsid w:val="00354641"/>
    <w:rPr>
      <w:rFonts w:ascii="Times New Roman" w:eastAsia="Times New Roman" w:hAnsi="Times New Roman" w:cs="Times New Roman"/>
    </w:rPr>
  </w:style>
  <w:style w:type="character" w:customStyle="1" w:styleId="Heading1Char">
    <w:name w:val="Heading 1 Char"/>
    <w:basedOn w:val="DefaultParagraphFont"/>
    <w:link w:val="Heading1"/>
    <w:rsid w:val="002B324E"/>
    <w:rPr>
      <w:rFonts w:ascii="Times New Roman" w:eastAsia="Times New Roman" w:hAnsi="Times New Roman" w:cs="Times New Roman"/>
      <w:kern w:val="28"/>
      <w:lang w:val="ro-RO"/>
    </w:rPr>
  </w:style>
  <w:style w:type="character" w:customStyle="1" w:styleId="Heading2Char">
    <w:name w:val="Heading 2 Char"/>
    <w:basedOn w:val="DefaultParagraphFont"/>
    <w:link w:val="Heading2"/>
    <w:rsid w:val="002B324E"/>
    <w:rPr>
      <w:rFonts w:ascii="Times New Roman" w:eastAsia="Times New Roman" w:hAnsi="Times New Roman" w:cs="Times New Roman"/>
      <w:lang w:val="ro-RO"/>
    </w:rPr>
  </w:style>
  <w:style w:type="character" w:customStyle="1" w:styleId="Heading3Char">
    <w:name w:val="Heading 3 Char"/>
    <w:basedOn w:val="DefaultParagraphFont"/>
    <w:link w:val="Heading3"/>
    <w:rsid w:val="002B324E"/>
    <w:rPr>
      <w:rFonts w:ascii="Times New Roman" w:eastAsia="Times New Roman" w:hAnsi="Times New Roman" w:cs="Times New Roman"/>
      <w:lang w:val="ro-RO"/>
    </w:rPr>
  </w:style>
  <w:style w:type="character" w:customStyle="1" w:styleId="Heading4Char">
    <w:name w:val="Heading 4 Char"/>
    <w:basedOn w:val="DefaultParagraphFont"/>
    <w:link w:val="Heading4"/>
    <w:rsid w:val="002B324E"/>
    <w:rPr>
      <w:rFonts w:ascii="Times New Roman" w:eastAsia="Times New Roman" w:hAnsi="Times New Roman" w:cs="Times New Roman"/>
      <w:lang w:val="ro-RO"/>
    </w:rPr>
  </w:style>
  <w:style w:type="character" w:customStyle="1" w:styleId="Heading5Char">
    <w:name w:val="Heading 5 Char"/>
    <w:basedOn w:val="DefaultParagraphFont"/>
    <w:link w:val="Heading5"/>
    <w:rsid w:val="002B324E"/>
    <w:rPr>
      <w:rFonts w:ascii="Times New Roman" w:eastAsia="Times New Roman" w:hAnsi="Times New Roman" w:cs="Times New Roman"/>
      <w:lang w:val="ro-RO"/>
    </w:rPr>
  </w:style>
  <w:style w:type="character" w:customStyle="1" w:styleId="Heading6Char">
    <w:name w:val="Heading 6 Char"/>
    <w:basedOn w:val="DefaultParagraphFont"/>
    <w:link w:val="Heading6"/>
    <w:rsid w:val="002B324E"/>
    <w:rPr>
      <w:rFonts w:ascii="Times New Roman" w:eastAsia="Times New Roman" w:hAnsi="Times New Roman" w:cs="Times New Roman"/>
      <w:lang w:val="ro-RO"/>
    </w:rPr>
  </w:style>
  <w:style w:type="character" w:customStyle="1" w:styleId="Heading7Char">
    <w:name w:val="Heading 7 Char"/>
    <w:basedOn w:val="DefaultParagraphFont"/>
    <w:link w:val="Heading7"/>
    <w:rsid w:val="002B324E"/>
    <w:rPr>
      <w:rFonts w:ascii="Times New Roman" w:eastAsia="Times New Roman" w:hAnsi="Times New Roman" w:cs="Times New Roman"/>
      <w:lang w:val="ro-RO"/>
    </w:rPr>
  </w:style>
  <w:style w:type="character" w:customStyle="1" w:styleId="Heading8Char">
    <w:name w:val="Heading 8 Char"/>
    <w:basedOn w:val="DefaultParagraphFont"/>
    <w:link w:val="Heading8"/>
    <w:rsid w:val="002B324E"/>
    <w:rPr>
      <w:rFonts w:ascii="Times New Roman" w:eastAsia="Times New Roman" w:hAnsi="Times New Roman" w:cs="Times New Roman"/>
      <w:lang w:val="ro-RO"/>
    </w:rPr>
  </w:style>
  <w:style w:type="character" w:customStyle="1" w:styleId="Heading9Char">
    <w:name w:val="Heading 9 Char"/>
    <w:basedOn w:val="DefaultParagraphFont"/>
    <w:link w:val="Heading9"/>
    <w:rsid w:val="002B324E"/>
    <w:rPr>
      <w:rFonts w:ascii="Times New Roman" w:eastAsia="Times New Roman" w:hAnsi="Times New Roman" w:cs="Times New Roman"/>
      <w:lang w:val="ro-RO"/>
    </w:rPr>
  </w:style>
  <w:style w:type="paragraph" w:styleId="FootnoteText">
    <w:name w:val="footnote text"/>
    <w:basedOn w:val="Normal"/>
    <w:link w:val="FootnoteTextChar"/>
    <w:qFormat/>
    <w:rsid w:val="002B324E"/>
    <w:pPr>
      <w:keepLines/>
      <w:spacing w:after="60" w:line="240" w:lineRule="auto"/>
      <w:ind w:left="567" w:hanging="567"/>
    </w:pPr>
    <w:rPr>
      <w:sz w:val="16"/>
    </w:rPr>
  </w:style>
  <w:style w:type="character" w:customStyle="1" w:styleId="FootnoteTextChar">
    <w:name w:val="Footnote Text Char"/>
    <w:basedOn w:val="DefaultParagraphFont"/>
    <w:link w:val="FootnoteText"/>
    <w:rsid w:val="002B324E"/>
    <w:rPr>
      <w:rFonts w:ascii="Times New Roman" w:eastAsia="Times New Roman" w:hAnsi="Times New Roman" w:cs="Times New Roman"/>
      <w:sz w:val="16"/>
      <w:lang w:val="ro-RO"/>
    </w:rPr>
  </w:style>
  <w:style w:type="paragraph" w:customStyle="1" w:styleId="quotes">
    <w:name w:val="quotes"/>
    <w:basedOn w:val="Normal"/>
    <w:next w:val="Normal"/>
    <w:rsid w:val="002B324E"/>
    <w:pPr>
      <w:ind w:left="720"/>
    </w:pPr>
    <w:rPr>
      <w:i/>
    </w:rPr>
  </w:style>
  <w:style w:type="character" w:styleId="FootnoteReference">
    <w:name w:val="footnote reference"/>
    <w:basedOn w:val="DefaultParagraphFont"/>
    <w:unhideWhenUsed/>
    <w:qFormat/>
    <w:rsid w:val="002B324E"/>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4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B324E"/>
    <w:pPr>
      <w:numPr>
        <w:numId w:val="19"/>
      </w:numPr>
      <w:ind w:left="567" w:hanging="567"/>
      <w:outlineLvl w:val="0"/>
    </w:pPr>
    <w:rPr>
      <w:kern w:val="28"/>
    </w:rPr>
  </w:style>
  <w:style w:type="paragraph" w:styleId="Heading2">
    <w:name w:val="heading 2"/>
    <w:basedOn w:val="Normal"/>
    <w:next w:val="Normal"/>
    <w:link w:val="Heading2Char"/>
    <w:qFormat/>
    <w:rsid w:val="002B324E"/>
    <w:pPr>
      <w:numPr>
        <w:ilvl w:val="1"/>
        <w:numId w:val="19"/>
      </w:numPr>
      <w:ind w:left="567" w:hanging="567"/>
      <w:outlineLvl w:val="1"/>
    </w:pPr>
  </w:style>
  <w:style w:type="paragraph" w:styleId="Heading3">
    <w:name w:val="heading 3"/>
    <w:basedOn w:val="Normal"/>
    <w:next w:val="Normal"/>
    <w:link w:val="Heading3Char"/>
    <w:qFormat/>
    <w:rsid w:val="002B324E"/>
    <w:pPr>
      <w:numPr>
        <w:ilvl w:val="2"/>
        <w:numId w:val="19"/>
      </w:numPr>
      <w:ind w:left="567" w:hanging="567"/>
      <w:outlineLvl w:val="2"/>
    </w:pPr>
  </w:style>
  <w:style w:type="paragraph" w:styleId="Heading4">
    <w:name w:val="heading 4"/>
    <w:basedOn w:val="Normal"/>
    <w:next w:val="Normal"/>
    <w:link w:val="Heading4Char"/>
    <w:qFormat/>
    <w:rsid w:val="002B324E"/>
    <w:pPr>
      <w:numPr>
        <w:ilvl w:val="3"/>
        <w:numId w:val="19"/>
      </w:numPr>
      <w:ind w:left="567" w:hanging="567"/>
      <w:outlineLvl w:val="3"/>
    </w:pPr>
  </w:style>
  <w:style w:type="paragraph" w:styleId="Heading5">
    <w:name w:val="heading 5"/>
    <w:basedOn w:val="Normal"/>
    <w:next w:val="Normal"/>
    <w:link w:val="Heading5Char"/>
    <w:qFormat/>
    <w:rsid w:val="002B324E"/>
    <w:pPr>
      <w:numPr>
        <w:ilvl w:val="4"/>
        <w:numId w:val="19"/>
      </w:numPr>
      <w:ind w:left="567" w:hanging="567"/>
      <w:outlineLvl w:val="4"/>
    </w:pPr>
  </w:style>
  <w:style w:type="paragraph" w:styleId="Heading6">
    <w:name w:val="heading 6"/>
    <w:basedOn w:val="Normal"/>
    <w:next w:val="Normal"/>
    <w:link w:val="Heading6Char"/>
    <w:qFormat/>
    <w:rsid w:val="002B324E"/>
    <w:pPr>
      <w:numPr>
        <w:ilvl w:val="5"/>
        <w:numId w:val="19"/>
      </w:numPr>
      <w:ind w:left="567" w:hanging="567"/>
      <w:outlineLvl w:val="5"/>
    </w:pPr>
  </w:style>
  <w:style w:type="paragraph" w:styleId="Heading7">
    <w:name w:val="heading 7"/>
    <w:basedOn w:val="Normal"/>
    <w:next w:val="Normal"/>
    <w:link w:val="Heading7Char"/>
    <w:qFormat/>
    <w:rsid w:val="002B324E"/>
    <w:pPr>
      <w:numPr>
        <w:ilvl w:val="6"/>
        <w:numId w:val="19"/>
      </w:numPr>
      <w:ind w:left="567" w:hanging="567"/>
      <w:outlineLvl w:val="6"/>
    </w:pPr>
  </w:style>
  <w:style w:type="paragraph" w:styleId="Heading8">
    <w:name w:val="heading 8"/>
    <w:basedOn w:val="Normal"/>
    <w:next w:val="Normal"/>
    <w:link w:val="Heading8Char"/>
    <w:qFormat/>
    <w:rsid w:val="002B324E"/>
    <w:pPr>
      <w:numPr>
        <w:ilvl w:val="7"/>
        <w:numId w:val="19"/>
      </w:numPr>
      <w:ind w:left="567" w:hanging="567"/>
      <w:outlineLvl w:val="7"/>
    </w:pPr>
  </w:style>
  <w:style w:type="paragraph" w:styleId="Heading9">
    <w:name w:val="heading 9"/>
    <w:basedOn w:val="Normal"/>
    <w:next w:val="Normal"/>
    <w:link w:val="Heading9Char"/>
    <w:qFormat/>
    <w:rsid w:val="002B324E"/>
    <w:pPr>
      <w:numPr>
        <w:ilvl w:val="8"/>
        <w:numId w:val="19"/>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63"/>
    <w:pPr>
      <w:ind w:left="720"/>
      <w:contextualSpacing/>
    </w:pPr>
  </w:style>
  <w:style w:type="paragraph" w:styleId="Header">
    <w:name w:val="header"/>
    <w:basedOn w:val="Normal"/>
    <w:link w:val="HeaderChar"/>
    <w:qFormat/>
    <w:rsid w:val="002B324E"/>
  </w:style>
  <w:style w:type="character" w:customStyle="1" w:styleId="HeaderChar">
    <w:name w:val="Header Char"/>
    <w:basedOn w:val="DefaultParagraphFont"/>
    <w:link w:val="Header"/>
    <w:rsid w:val="00354641"/>
    <w:rPr>
      <w:rFonts w:ascii="Times New Roman" w:eastAsia="Times New Roman" w:hAnsi="Times New Roman" w:cs="Times New Roman"/>
    </w:rPr>
  </w:style>
  <w:style w:type="paragraph" w:styleId="Footer">
    <w:name w:val="footer"/>
    <w:basedOn w:val="Normal"/>
    <w:link w:val="FooterChar"/>
    <w:qFormat/>
    <w:rsid w:val="002B324E"/>
  </w:style>
  <w:style w:type="character" w:customStyle="1" w:styleId="FooterChar">
    <w:name w:val="Footer Char"/>
    <w:basedOn w:val="DefaultParagraphFont"/>
    <w:link w:val="Footer"/>
    <w:rsid w:val="00354641"/>
    <w:rPr>
      <w:rFonts w:ascii="Times New Roman" w:eastAsia="Times New Roman" w:hAnsi="Times New Roman" w:cs="Times New Roman"/>
    </w:rPr>
  </w:style>
  <w:style w:type="character" w:customStyle="1" w:styleId="Heading1Char">
    <w:name w:val="Heading 1 Char"/>
    <w:basedOn w:val="DefaultParagraphFont"/>
    <w:link w:val="Heading1"/>
    <w:rsid w:val="002B324E"/>
    <w:rPr>
      <w:rFonts w:ascii="Times New Roman" w:eastAsia="Times New Roman" w:hAnsi="Times New Roman" w:cs="Times New Roman"/>
      <w:kern w:val="28"/>
      <w:lang w:val="ro-RO"/>
    </w:rPr>
  </w:style>
  <w:style w:type="character" w:customStyle="1" w:styleId="Heading2Char">
    <w:name w:val="Heading 2 Char"/>
    <w:basedOn w:val="DefaultParagraphFont"/>
    <w:link w:val="Heading2"/>
    <w:rsid w:val="002B324E"/>
    <w:rPr>
      <w:rFonts w:ascii="Times New Roman" w:eastAsia="Times New Roman" w:hAnsi="Times New Roman" w:cs="Times New Roman"/>
      <w:lang w:val="ro-RO"/>
    </w:rPr>
  </w:style>
  <w:style w:type="character" w:customStyle="1" w:styleId="Heading3Char">
    <w:name w:val="Heading 3 Char"/>
    <w:basedOn w:val="DefaultParagraphFont"/>
    <w:link w:val="Heading3"/>
    <w:rsid w:val="002B324E"/>
    <w:rPr>
      <w:rFonts w:ascii="Times New Roman" w:eastAsia="Times New Roman" w:hAnsi="Times New Roman" w:cs="Times New Roman"/>
      <w:lang w:val="ro-RO"/>
    </w:rPr>
  </w:style>
  <w:style w:type="character" w:customStyle="1" w:styleId="Heading4Char">
    <w:name w:val="Heading 4 Char"/>
    <w:basedOn w:val="DefaultParagraphFont"/>
    <w:link w:val="Heading4"/>
    <w:rsid w:val="002B324E"/>
    <w:rPr>
      <w:rFonts w:ascii="Times New Roman" w:eastAsia="Times New Roman" w:hAnsi="Times New Roman" w:cs="Times New Roman"/>
      <w:lang w:val="ro-RO"/>
    </w:rPr>
  </w:style>
  <w:style w:type="character" w:customStyle="1" w:styleId="Heading5Char">
    <w:name w:val="Heading 5 Char"/>
    <w:basedOn w:val="DefaultParagraphFont"/>
    <w:link w:val="Heading5"/>
    <w:rsid w:val="002B324E"/>
    <w:rPr>
      <w:rFonts w:ascii="Times New Roman" w:eastAsia="Times New Roman" w:hAnsi="Times New Roman" w:cs="Times New Roman"/>
      <w:lang w:val="ro-RO"/>
    </w:rPr>
  </w:style>
  <w:style w:type="character" w:customStyle="1" w:styleId="Heading6Char">
    <w:name w:val="Heading 6 Char"/>
    <w:basedOn w:val="DefaultParagraphFont"/>
    <w:link w:val="Heading6"/>
    <w:rsid w:val="002B324E"/>
    <w:rPr>
      <w:rFonts w:ascii="Times New Roman" w:eastAsia="Times New Roman" w:hAnsi="Times New Roman" w:cs="Times New Roman"/>
      <w:lang w:val="ro-RO"/>
    </w:rPr>
  </w:style>
  <w:style w:type="character" w:customStyle="1" w:styleId="Heading7Char">
    <w:name w:val="Heading 7 Char"/>
    <w:basedOn w:val="DefaultParagraphFont"/>
    <w:link w:val="Heading7"/>
    <w:rsid w:val="002B324E"/>
    <w:rPr>
      <w:rFonts w:ascii="Times New Roman" w:eastAsia="Times New Roman" w:hAnsi="Times New Roman" w:cs="Times New Roman"/>
      <w:lang w:val="ro-RO"/>
    </w:rPr>
  </w:style>
  <w:style w:type="character" w:customStyle="1" w:styleId="Heading8Char">
    <w:name w:val="Heading 8 Char"/>
    <w:basedOn w:val="DefaultParagraphFont"/>
    <w:link w:val="Heading8"/>
    <w:rsid w:val="002B324E"/>
    <w:rPr>
      <w:rFonts w:ascii="Times New Roman" w:eastAsia="Times New Roman" w:hAnsi="Times New Roman" w:cs="Times New Roman"/>
      <w:lang w:val="ro-RO"/>
    </w:rPr>
  </w:style>
  <w:style w:type="character" w:customStyle="1" w:styleId="Heading9Char">
    <w:name w:val="Heading 9 Char"/>
    <w:basedOn w:val="DefaultParagraphFont"/>
    <w:link w:val="Heading9"/>
    <w:rsid w:val="002B324E"/>
    <w:rPr>
      <w:rFonts w:ascii="Times New Roman" w:eastAsia="Times New Roman" w:hAnsi="Times New Roman" w:cs="Times New Roman"/>
      <w:lang w:val="ro-RO"/>
    </w:rPr>
  </w:style>
  <w:style w:type="paragraph" w:styleId="FootnoteText">
    <w:name w:val="footnote text"/>
    <w:basedOn w:val="Normal"/>
    <w:link w:val="FootnoteTextChar"/>
    <w:qFormat/>
    <w:rsid w:val="002B324E"/>
    <w:pPr>
      <w:keepLines/>
      <w:spacing w:after="60" w:line="240" w:lineRule="auto"/>
      <w:ind w:left="567" w:hanging="567"/>
    </w:pPr>
    <w:rPr>
      <w:sz w:val="16"/>
    </w:rPr>
  </w:style>
  <w:style w:type="character" w:customStyle="1" w:styleId="FootnoteTextChar">
    <w:name w:val="Footnote Text Char"/>
    <w:basedOn w:val="DefaultParagraphFont"/>
    <w:link w:val="FootnoteText"/>
    <w:rsid w:val="002B324E"/>
    <w:rPr>
      <w:rFonts w:ascii="Times New Roman" w:eastAsia="Times New Roman" w:hAnsi="Times New Roman" w:cs="Times New Roman"/>
      <w:sz w:val="16"/>
      <w:lang w:val="ro-RO"/>
    </w:rPr>
  </w:style>
  <w:style w:type="paragraph" w:customStyle="1" w:styleId="quotes">
    <w:name w:val="quotes"/>
    <w:basedOn w:val="Normal"/>
    <w:next w:val="Normal"/>
    <w:rsid w:val="002B324E"/>
    <w:pPr>
      <w:ind w:left="720"/>
    </w:pPr>
    <w:rPr>
      <w:i/>
    </w:rPr>
  </w:style>
  <w:style w:type="character" w:styleId="FootnoteReference">
    <w:name w:val="footnote reference"/>
    <w:basedOn w:val="DefaultParagraphFont"/>
    <w:unhideWhenUsed/>
    <w:qFormat/>
    <w:rsid w:val="002B324E"/>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WTPCSN73YJ26-3-12494</_dlc_DocId>
    <_dlc_DocIdUrl xmlns="8a3471f6-0f36-4ccf-b5ee-1ca67ea797ef">
      <Url>http://dm/EESC/2017/_layouts/DocIdRedir.aspx?ID=WTPCSN73YJ26-3-12494</Url>
      <Description>WTPCSN73YJ26-3-12494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2017-06-27T12:00:00+00:00</ProductionDate>
    <DocumentNumber xmlns="08752a15-b0a7-485d-8352-b47b34a09caa">99</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2017-01-30T12:00:00+00:00</MeetingDate>
    <TaxCatchAll xmlns="8a3471f6-0f36-4ccf-b5ee-1ca67ea797ef">
      <Value>86</Value>
      <Value>38</Value>
      <Value>37</Value>
      <Value>36</Value>
      <Value>35</Value>
      <Value>34</Value>
      <Value>33</Value>
      <Value>32</Value>
      <Value>31</Value>
      <Value>30</Value>
      <Value>29</Value>
      <Value>28</Value>
      <Value>27</Value>
      <Value>26</Value>
      <Value>25</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237</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CCMI</TermName>
          <TermId xmlns="http://schemas.microsoft.com/office/infopath/2007/PartnerControls">5795ccfc-ebb7-4e2d-a45e-09a8301b3a5c</TermId>
        </TermInfo>
      </Terms>
    </MeetingName_0>
    <RequestingService xmlns="8a3471f6-0f36-4ccf-b5ee-1ca67ea797ef">Commission consultative des mutations industrielles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DDBB2-7DCE-4434-8597-0806CF56ABB0}">
  <ds:schemaRefs>
    <ds:schemaRef ds:uri="http://schemas.microsoft.com/sharepoint/events"/>
  </ds:schemaRefs>
</ds:datastoreItem>
</file>

<file path=customXml/itemProps2.xml><?xml version="1.0" encoding="utf-8"?>
<ds:datastoreItem xmlns:ds="http://schemas.openxmlformats.org/officeDocument/2006/customXml" ds:itemID="{564A2568-F33D-4074-BA20-E7E194589A7F}">
  <ds:schemaRefs>
    <ds:schemaRef ds:uri="http://schemas.microsoft.com/sharepoint/v3/contenttype/forms"/>
  </ds:schemaRefs>
</ds:datastoreItem>
</file>

<file path=customXml/itemProps3.xml><?xml version="1.0" encoding="utf-8"?>
<ds:datastoreItem xmlns:ds="http://schemas.openxmlformats.org/officeDocument/2006/customXml" ds:itemID="{5374F8E8-DD0F-4B0E-B55F-C5CF5A656C99}">
  <ds:schemaRefs>
    <ds:schemaRef ds:uri="http://purl.org/dc/dcmitype/"/>
    <ds:schemaRef ds:uri="http://schemas.microsoft.com/office/2006/documentManagement/types"/>
    <ds:schemaRef ds:uri="http://purl.org/dc/elements/1.1/"/>
    <ds:schemaRef ds:uri="http://www.w3.org/XML/1998/namespace"/>
    <ds:schemaRef ds:uri="http://schemas.microsoft.com/sharepoint/v3/fields"/>
    <ds:schemaRef ds:uri="http://purl.org/dc/terms/"/>
    <ds:schemaRef ds:uri="http://schemas.microsoft.com/office/infopath/2007/PartnerControls"/>
    <ds:schemaRef ds:uri="http://schemas.openxmlformats.org/package/2006/metadata/core-properties"/>
    <ds:schemaRef ds:uri="08752a15-b0a7-485d-8352-b47b34a09caa"/>
    <ds:schemaRef ds:uri="8a3471f6-0f36-4ccf-b5ee-1ca67ea797ef"/>
    <ds:schemaRef ds:uri="http://schemas.microsoft.com/office/2006/metadata/properties"/>
  </ds:schemaRefs>
</ds:datastoreItem>
</file>

<file path=customXml/itemProps4.xml><?xml version="1.0" encoding="utf-8"?>
<ds:datastoreItem xmlns:ds="http://schemas.openxmlformats.org/officeDocument/2006/customXml" ds:itemID="{C6466485-AD76-4715-AE32-3F700EBF9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6</Pages>
  <Words>2516</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Raport consolidat referitor la mesele rotunde ale CCMI privind punerea în aplicare strategică a parteneriatului UE pentru inovare privind materiile prime 2015/2016</vt:lpstr>
    </vt:vector>
  </TitlesOfParts>
  <Company>CESE-CdR</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consolidat referitor la mesele rotunde ale CCMI privind punerea în aplicare strategică a parteneriatului UE pentru inovare privind materiile prime 2015/2016</dc:title>
  <dc:subject>Lucrări consultative - diverse</dc:subject>
  <dc:creator>Kyriaki Anastasaki</dc:creator>
  <cp:keywords>EESC-2017-00099-00-00-TCD-TRA-RO</cp:keywords>
  <dc:description>Rapporteur: -_x000d_
Original language: EN_x000d_
Date of document: 27/06/2017_x000d_
Date of meeting: 30/01/2017_x000d_
External documents: -_x000d_
Administrator responsible: Hick Alan, telephone: +32 (0)2 546 9302_x000d_
_x000d_
Abstract:</dc:description>
  <cp:lastModifiedBy>Kyriaki Anastasaki</cp:lastModifiedBy>
  <cp:revision>2</cp:revision>
  <cp:lastPrinted>2017-01-19T11:43:00Z</cp:lastPrinted>
  <dcterms:created xsi:type="dcterms:W3CDTF">2017-07-03T06:30:00Z</dcterms:created>
  <dcterms:modified xsi:type="dcterms:W3CDTF">2017-07-03T06:30:00Z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20/01/2017</vt:lpwstr>
  </property>
  <property fmtid="{D5CDD505-2E9C-101B-9397-08002B2CF9AE}" pid="4" name="Pref_Time">
    <vt:lpwstr>09:42:40</vt:lpwstr>
  </property>
  <property fmtid="{D5CDD505-2E9C-101B-9397-08002B2CF9AE}" pid="5" name="Pref_User">
    <vt:lpwstr>enied</vt:lpwstr>
  </property>
  <property fmtid="{D5CDD505-2E9C-101B-9397-08002B2CF9AE}" pid="6" name="Pref_FileName">
    <vt:lpwstr>EESC-2017-00099-00-00-TCD-TRA-EN-CRR.docx</vt:lpwstr>
  </property>
  <property fmtid="{D5CDD505-2E9C-101B-9397-08002B2CF9AE}" pid="7" name="ContentTypeId">
    <vt:lpwstr>0x010100EA97B91038054C99906057A708A1480A00366332C33BA7D34CB4DCF73B0F12F076</vt:lpwstr>
  </property>
  <property fmtid="{D5CDD505-2E9C-101B-9397-08002B2CF9AE}" pid="8" name="_dlc_DocIdItemGuid">
    <vt:lpwstr>dc65dc9e-1ba0-41ee-aaa6-5fb1b61855fc</vt:lpwstr>
  </property>
  <property fmtid="{D5CDD505-2E9C-101B-9397-08002B2CF9AE}" pid="9" name="DocumentType_0">
    <vt:lpwstr>TCD|cd9d6eb6-3f4f-424a-b2d1-57c9d450eaaf</vt:lpwstr>
  </property>
  <property fmtid="{D5CDD505-2E9C-101B-9397-08002B2CF9AE}" pid="10" name="AvailableTranslations">
    <vt:lpwstr>22;#IT|0774613c-01ed-4e5d-a25d-11d2388de825;#34;#SK|46d9fce0-ef79-4f71-b89b-cd6aa82426b8;#36;#BG|1a1b3951-7821-4e6a-85f5-5673fc08bd2c;#24;#EL|6d4f4d51-af9b-4650-94b4-4276bee85c91;#25;#FI|87606a43-d45f-42d6-b8c9-e1a3457db5b7;#4;#EN|f2175f21-25d7-44a3-96da-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99</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Commission consultative des mutations industrielles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CCMI|5795ccfc-ebb7-4e2d-a45e-09a8301b3a5c</vt:lpwstr>
  </property>
  <property fmtid="{D5CDD505-2E9C-101B-9397-08002B2CF9AE}" pid="25" name="OriginalLanguage">
    <vt:lpwstr>4;#EN|f2175f21-25d7-44a3-96da-d6a61b075e1b</vt:lpwstr>
  </property>
  <property fmtid="{D5CDD505-2E9C-101B-9397-08002B2CF9AE}" pid="26" name="MeetingName">
    <vt:lpwstr>86;#CCMI|5795ccfc-ebb7-4e2d-a45e-09a8301b3a5c</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2017-01-30T12:00:00Z</vt:filetime>
  </property>
  <property fmtid="{D5CDD505-2E9C-101B-9397-08002B2CF9AE}" pid="30" name="TaxCatchAll">
    <vt:lpwstr>86;#CCMI|5795ccfc-ebb7-4e2d-a45e-09a8301b3a5c;#18;#DE|f6b31e5a-26fa-4935-b661-318e46daf27e;#17;#TCD|cd9d6eb6-3f4f-424a-b2d1-57c9d450eaaf;#38;#HR|2f555653-ed1a-4fe6-8362-9082d95989e5;#14;#ES|e7a6b05b-ae16-40c8-add9-68b64b03aeba;#35;#SL|98a412ae-eb01-49e9-a</vt:lpwstr>
  </property>
  <property fmtid="{D5CDD505-2E9C-101B-9397-08002B2CF9AE}" pid="31" name="AvailableTranslations_0">
    <vt:lpwstr>SK|46d9fce0-ef79-4f71-b89b-cd6aa82426b8;FI|87606a43-d45f-42d6-b8c9-e1a3457db5b7;EN|f2175f21-25d7-44a3-96da-d6a61b075e1b;DE|f6b31e5a-26fa-4935-b661-318e46daf27e;SL|98a412ae-eb01-49e9-ae3d-585a81724cfc;HR|2f555653-ed1a-4fe6-8362-9082d95989e5;FR|d2afafd3-4c8</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237</vt:i4>
  </property>
  <property fmtid="{D5CDD505-2E9C-101B-9397-08002B2CF9AE}" pid="35" name="DocumentYear">
    <vt:i4>2017</vt:i4>
  </property>
  <property fmtid="{D5CDD505-2E9C-101B-9397-08002B2CF9AE}" pid="36" name="DocumentLanguage">
    <vt:lpwstr>37;#RO|feb747a2-64cd-4299-af12-4833ddc30497</vt:lpwstr>
  </property>
</Properties>
</file>