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5D4B" w:rsidRPr="00E41875" w:rsidRDefault="000F4718" w:rsidP="00131417">
      <w:pPr>
        <w:jc w:val="center"/>
        <w:rPr>
          <w:b/>
          <w:sz w:val="32"/>
          <w:szCs w:val="32"/>
        </w:rPr>
      </w:pPr>
      <w:r w:rsidRPr="00E41875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331F4D" wp14:editId="6844CC20">
                <wp:simplePos x="0" y="0"/>
                <wp:positionH relativeFrom="page">
                  <wp:posOffset>6770788</wp:posOffset>
                </wp:positionH>
                <wp:positionV relativeFrom="page">
                  <wp:posOffset>10084828</wp:posOffset>
                </wp:positionV>
                <wp:extent cx="644837" cy="396416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37" cy="396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24E" w:rsidRPr="00996E37" w:rsidRDefault="002B32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996E37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.15pt;margin-top:794.1pt;width:50.75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fL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" o:allowincell="f" filled="f" stroked="f">
                <v:textbox>
                  <w:txbxContent>
                    <w:p w:rsidR="002B324E" w:rsidRPr="00996E37" w:rsidRDefault="002B32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996E37"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1F9D" w:rsidRPr="00E41875">
        <w:rPr>
          <w:b/>
          <w:sz w:val="32"/>
        </w:rPr>
        <w:t>Skonsolidowane sprawozdanie dotyczące debat CCMI w sprawie strategicznej realizacji unijnego partnerstwa innowacji w</w:t>
      </w:r>
      <w:r w:rsidR="00996E37" w:rsidRPr="00E41875">
        <w:rPr>
          <w:b/>
          <w:sz w:val="32"/>
        </w:rPr>
        <w:t> </w:t>
      </w:r>
      <w:r w:rsidR="00621F9D" w:rsidRPr="00E41875">
        <w:rPr>
          <w:b/>
          <w:sz w:val="32"/>
        </w:rPr>
        <w:t>dziedzinie surowców 2015/2016</w:t>
      </w:r>
    </w:p>
    <w:p w:rsidR="00FF33D6" w:rsidRPr="00E41875" w:rsidRDefault="00FF33D6" w:rsidP="00131417"/>
    <w:p w:rsidR="00E841CE" w:rsidRPr="00E41875" w:rsidRDefault="0078783F" w:rsidP="00131417">
      <w:r w:rsidRPr="00E41875">
        <w:t xml:space="preserve">Na szczeblu europejskim Komisja przyjęła w dniu 4 listopada 2008 r. inicjatywę na rzecz surowców </w:t>
      </w:r>
      <w:r w:rsidRPr="00E41875">
        <w:rPr>
          <w:i/>
        </w:rPr>
        <w:t>– zaspokajanie naszych kluczowych potrzeb w celu stymulowania wzrostu i tworzenia miejsc pracy w</w:t>
      </w:r>
      <w:r w:rsidR="0073601C" w:rsidRPr="00E41875">
        <w:rPr>
          <w:i/>
        </w:rPr>
        <w:t> </w:t>
      </w:r>
      <w:r w:rsidRPr="00E41875">
        <w:rPr>
          <w:i/>
        </w:rPr>
        <w:t>Europie</w:t>
      </w:r>
      <w:r w:rsidRPr="00E41875">
        <w:t>, która w zasadniczy sposób wpłynęła na zmianę paradygmatu i stała się motorem pozytywnych zmian w sektorze wydobywczym. W rzeczy samej uznano w niej, że zasoby mineralne są niezbędne z punktu widzenia społeczeństwa, konkurencyjności, wzrostu i tworzenia miejsc pracy w</w:t>
      </w:r>
      <w:r w:rsidR="0073601C" w:rsidRPr="00E41875">
        <w:t> </w:t>
      </w:r>
      <w:r w:rsidRPr="00E41875">
        <w:t xml:space="preserve">Europie. W strategii dostrzeżono także zależność Europy od innych krajów w odniesieniu do dostaw takich zasobów, a także wypływającą stąd potrzebę wdrożenia środków pozwalających zapewnić bezpieczeństwo i stabilność dostaw, które byłyby oparte na trzech filarach: </w:t>
      </w:r>
    </w:p>
    <w:p w:rsidR="0073601C" w:rsidRPr="00E41875" w:rsidRDefault="0073601C" w:rsidP="00131417"/>
    <w:p w:rsidR="00E841CE" w:rsidRPr="00E41875" w:rsidRDefault="0078783F" w:rsidP="00131417">
      <w:pPr>
        <w:pStyle w:val="ListParagraph"/>
        <w:numPr>
          <w:ilvl w:val="0"/>
          <w:numId w:val="17"/>
        </w:numPr>
      </w:pPr>
      <w:r w:rsidRPr="00E41875">
        <w:t>sprawiedliwa i stabilna podaż surowców na rynkach międzynarodowych;</w:t>
      </w:r>
    </w:p>
    <w:p w:rsidR="00E841CE" w:rsidRPr="00E41875" w:rsidRDefault="0078783F" w:rsidP="00131417">
      <w:pPr>
        <w:pStyle w:val="ListParagraph"/>
        <w:numPr>
          <w:ilvl w:val="0"/>
          <w:numId w:val="17"/>
        </w:numPr>
      </w:pPr>
      <w:r w:rsidRPr="00E41875">
        <w:t>promowanie stabilnych dostaw w obrębie UE; oraz</w:t>
      </w:r>
    </w:p>
    <w:p w:rsidR="00FF33D6" w:rsidRPr="00E41875" w:rsidRDefault="00E40E46" w:rsidP="00131417">
      <w:pPr>
        <w:pStyle w:val="ListParagraph"/>
        <w:numPr>
          <w:ilvl w:val="0"/>
          <w:numId w:val="17"/>
        </w:numPr>
      </w:pPr>
      <w:r w:rsidRPr="00E41875">
        <w:t>zwiększenie efektywności wykorzystania zasobów, pełne wykorzystanie surowców i</w:t>
      </w:r>
      <w:r w:rsidR="0073601C" w:rsidRPr="00E41875">
        <w:t> </w:t>
      </w:r>
      <w:r w:rsidRPr="00E41875">
        <w:t>promowanie recyklingu.</w:t>
      </w:r>
    </w:p>
    <w:p w:rsidR="00FF33D6" w:rsidRPr="00E41875" w:rsidRDefault="00FF33D6" w:rsidP="00131417"/>
    <w:p w:rsidR="00911E04" w:rsidRPr="00E41875" w:rsidRDefault="0078783F" w:rsidP="00131417">
      <w:r w:rsidRPr="00E41875">
        <w:t>W komunikacie z dnia 2 lutego 2011 r. zatytułowanym „</w:t>
      </w:r>
      <w:r w:rsidRPr="00E41875">
        <w:rPr>
          <w:i/>
        </w:rPr>
        <w:t>Stawianie czoła wyzwaniom związanym z</w:t>
      </w:r>
      <w:r w:rsidR="0073601C" w:rsidRPr="00E41875">
        <w:rPr>
          <w:i/>
        </w:rPr>
        <w:t> </w:t>
      </w:r>
      <w:r w:rsidRPr="00E41875">
        <w:rPr>
          <w:i/>
        </w:rPr>
        <w:t>rynkami towarowymi i surowcami</w:t>
      </w:r>
      <w:r w:rsidRPr="00E41875">
        <w:t>” Komisja zadeklarowała zamiar wzmocnienia procesu wdrażania inicjatywy na rzecz surowców. W związku z tym, a także w celu promowania inwestycji w przemyśle wydobywczym, Komisja uznała, że szczególnie duże znaczenie mają poniższe praktyki:</w:t>
      </w:r>
    </w:p>
    <w:p w:rsidR="0073601C" w:rsidRPr="00E41875" w:rsidRDefault="0073601C" w:rsidP="00131417"/>
    <w:p w:rsidR="00E40E46" w:rsidRPr="00E41875" w:rsidRDefault="0078783F" w:rsidP="00131417">
      <w:pPr>
        <w:pStyle w:val="ListParagraph"/>
        <w:numPr>
          <w:ilvl w:val="0"/>
          <w:numId w:val="15"/>
        </w:numPr>
      </w:pPr>
      <w:r w:rsidRPr="00E41875">
        <w:t xml:space="preserve">zdefiniowanie krajowej polityki w dziedzinie surowców mineralnych, która zapewni ekonomicznie opłacalne, ujednolicone z polityką krajową w innych dziedzinach i oparte na zasadach zrównoważonego rozwoju wykorzystanie tych surowców, z uwzględnieniem zobowiązania do stworzenia ram prawnych i przekazywania odpowiednich informacji; </w:t>
      </w:r>
    </w:p>
    <w:p w:rsidR="00E40E46" w:rsidRPr="00E41875" w:rsidRDefault="0078783F" w:rsidP="00131417">
      <w:pPr>
        <w:pStyle w:val="ListParagraph"/>
        <w:numPr>
          <w:ilvl w:val="0"/>
          <w:numId w:val="15"/>
        </w:numPr>
      </w:pPr>
      <w:r w:rsidRPr="00E41875">
        <w:t>zdefiniowanie polityki zagospodarowania dla surowców mineralnych, które obejmuje cyfrową bazę danych geologicznych, przejrzyste metody identyfikacji surowców mineralnych, długoterminowe i prowadzone na szczeblu regionalnym szacunki dotyczące popytu lokalnego oraz identyfikację i ochronę surowców mineralnych, z uwzględnieniem innych sposobów użytkowania gruntów; oraz</w:t>
      </w:r>
    </w:p>
    <w:p w:rsidR="0078783F" w:rsidRPr="00E41875" w:rsidRDefault="0078783F" w:rsidP="00131417">
      <w:pPr>
        <w:pStyle w:val="ListParagraph"/>
        <w:numPr>
          <w:ilvl w:val="0"/>
          <w:numId w:val="15"/>
        </w:numPr>
      </w:pPr>
      <w:r w:rsidRPr="00E41875">
        <w:t>stworzenie procedury udzielania pozwoleń na poszukiwanie i wydobycie surowców mineralnych, która byłaby jasna i zrozumiała, zapewniałaby bezpieczeństwo i przyczyniałaby się do uproszczenia procesu administracyjnego.</w:t>
      </w:r>
    </w:p>
    <w:p w:rsidR="00FF33D6" w:rsidRPr="00E41875" w:rsidRDefault="00FF33D6" w:rsidP="00131417"/>
    <w:p w:rsidR="00A63B3D" w:rsidRPr="00E41875" w:rsidRDefault="0078783F" w:rsidP="00131417">
      <w:r w:rsidRPr="00E41875">
        <w:t>Komisja, mając na względzie chęć ustanowienia sprzyjającego klimatu inwestycyjnego, uznała także za niezbędne przyjęcie środków zmierzających do zapewnienia większej przejrzystości opłat w</w:t>
      </w:r>
      <w:r w:rsidR="0073601C" w:rsidRPr="00E41875">
        <w:t> </w:t>
      </w:r>
      <w:r w:rsidRPr="00E41875">
        <w:t>ramach Inicjatywy przejrzystości w branżach wydobywczych i wspierania dobrych rządów w</w:t>
      </w:r>
      <w:r w:rsidR="0073601C" w:rsidRPr="00E41875">
        <w:t> </w:t>
      </w:r>
      <w:r w:rsidRPr="00E41875">
        <w:t>dziedzinie opodatkowania.</w:t>
      </w:r>
    </w:p>
    <w:p w:rsidR="00FF33D6" w:rsidRPr="00E41875" w:rsidRDefault="00FF33D6" w:rsidP="00131417"/>
    <w:p w:rsidR="00F07370" w:rsidRPr="00E41875" w:rsidRDefault="00F07370" w:rsidP="00131417">
      <w:r w:rsidRPr="00E41875">
        <w:t xml:space="preserve">Państwa członkowskie traktują unijny potencjał w zakresie zasobów mineralnych jako czynnik rozwoju gospodarczego; w związku z tym konieczne jest zdefiniowanie zintegrowanego podejścia do tego sektora, które obejmować będzie kwestie natury gospodarczej, społecznej i środowiskowej, </w:t>
      </w:r>
      <w:r w:rsidRPr="00E41875">
        <w:lastRenderedPageBreak/>
        <w:t>a</w:t>
      </w:r>
      <w:r w:rsidR="0073601C" w:rsidRPr="00E41875">
        <w:t> </w:t>
      </w:r>
      <w:r w:rsidRPr="00E41875">
        <w:t>także opracowanie definicji ram prawnych i instytucjonalnych pozwalających na skuteczne prowadzenie poszczególnych działań.</w:t>
      </w:r>
    </w:p>
    <w:p w:rsidR="00FF33D6" w:rsidRPr="00E41875" w:rsidRDefault="00FF33D6" w:rsidP="00131417"/>
    <w:p w:rsidR="00911E04" w:rsidRPr="00E41875" w:rsidRDefault="00F07370" w:rsidP="00131417">
      <w:r w:rsidRPr="00E41875">
        <w:t>Odpowiedzialne wykorzystywanie zasobów mineralnych stanowi istotny postęp, który może w</w:t>
      </w:r>
      <w:r w:rsidR="0073601C" w:rsidRPr="00E41875">
        <w:t> </w:t>
      </w:r>
      <w:r w:rsidRPr="00E41875">
        <w:t>znaczącym stopniu wpłynąć na wyniki gospodarki narodowej. W tym celu konieczna jest uprzednia konsolidacja zrównoważonej polityki uwzględniającej w sposób zintegrowany aspekty gospodarcze, społeczne i środowiskowe oraz w należyty sposób definiującej skuteczne ramy prawne i</w:t>
      </w:r>
      <w:r w:rsidR="0073601C" w:rsidRPr="00E41875">
        <w:t> instytucjonalne.</w:t>
      </w:r>
    </w:p>
    <w:p w:rsidR="0073601C" w:rsidRPr="00E41875" w:rsidRDefault="0073601C" w:rsidP="00131417"/>
    <w:p w:rsidR="00705A1C" w:rsidRPr="00E41875" w:rsidRDefault="001B5D4B" w:rsidP="00073ADF">
      <w:r w:rsidRPr="00E41875">
        <w:t xml:space="preserve">Debaty krajowe zorganizowano </w:t>
      </w:r>
      <w:r w:rsidRPr="00E41875">
        <w:rPr>
          <w:b/>
        </w:rPr>
        <w:t>w 2015 r. w Hiszpanii (marzec), na Słowacji (kwiecień), w</w:t>
      </w:r>
      <w:r w:rsidR="0073601C" w:rsidRPr="00E41875">
        <w:rPr>
          <w:b/>
        </w:rPr>
        <w:t> </w:t>
      </w:r>
      <w:r w:rsidRPr="00E41875">
        <w:rPr>
          <w:b/>
        </w:rPr>
        <w:t>Rumunii (czerwiec) oraz w Finlandii (wrzesień), natomiast w 2016 r. – w Portugalii (kwiecień), Irlandii (maj), Polsce (czerwiec), Czechach (listopad) i Belgii (listopad).</w:t>
      </w:r>
    </w:p>
    <w:p w:rsidR="0082543C" w:rsidRPr="00E41875" w:rsidRDefault="0082543C" w:rsidP="00073ADF"/>
    <w:p w:rsidR="00911E04" w:rsidRPr="00E41875" w:rsidRDefault="001B5D4B" w:rsidP="00073ADF">
      <w:pPr>
        <w:rPr>
          <w:b/>
        </w:rPr>
      </w:pPr>
      <w:r w:rsidRPr="00E41875">
        <w:rPr>
          <w:b/>
        </w:rPr>
        <w:t>Można z nich wysnuć następujący wniosek: istnieje potrzeba opracowania średniookresowego planu działania do roku 2030 oraz długookresowego planu działania do roku 2050. W planie działania należy się zaj</w:t>
      </w:r>
      <w:r w:rsidR="0073601C" w:rsidRPr="00E41875">
        <w:rPr>
          <w:b/>
        </w:rPr>
        <w:t>ąć następującymi zagadnieniami:</w:t>
      </w:r>
    </w:p>
    <w:p w:rsidR="0073601C" w:rsidRPr="00E41875" w:rsidRDefault="0073601C" w:rsidP="00073ADF">
      <w:pPr>
        <w:rPr>
          <w:b/>
        </w:rPr>
      </w:pPr>
    </w:p>
    <w:p w:rsidR="008140E8" w:rsidRPr="00E41875" w:rsidRDefault="008140E8" w:rsidP="0073601C">
      <w:pPr>
        <w:pStyle w:val="ListParagraph"/>
        <w:numPr>
          <w:ilvl w:val="0"/>
          <w:numId w:val="21"/>
        </w:numPr>
        <w:tabs>
          <w:tab w:val="clear" w:pos="0"/>
        </w:tabs>
        <w:ind w:left="850"/>
        <w:rPr>
          <w:b/>
        </w:rPr>
      </w:pPr>
      <w:r w:rsidRPr="00E41875">
        <w:rPr>
          <w:b/>
        </w:rPr>
        <w:t>bezpieczeństwo dostaw surowców, w tym zdefiniowanie obciążenia podstawowego, konkretne wymogi umożliwiające stosowanie technologii i uwzględniające odporność gospodarczą;</w:t>
      </w:r>
    </w:p>
    <w:p w:rsidR="008140E8" w:rsidRPr="00E41875" w:rsidRDefault="008140E8" w:rsidP="0073601C">
      <w:pPr>
        <w:pStyle w:val="ListParagraph"/>
        <w:numPr>
          <w:ilvl w:val="0"/>
          <w:numId w:val="21"/>
        </w:numPr>
        <w:tabs>
          <w:tab w:val="clear" w:pos="0"/>
        </w:tabs>
        <w:ind w:left="850"/>
        <w:rPr>
          <w:b/>
        </w:rPr>
      </w:pPr>
      <w:r w:rsidRPr="00E41875">
        <w:rPr>
          <w:b/>
        </w:rPr>
        <w:t>uwzględnienie związku między energią a zmianą klimatu, w tym rozwój czystych technologii, zrównoważony rozwój regionów, w których zamykane są kopalnie węgla, a</w:t>
      </w:r>
      <w:r w:rsidR="0073601C" w:rsidRPr="00E41875">
        <w:rPr>
          <w:b/>
        </w:rPr>
        <w:t> </w:t>
      </w:r>
      <w:r w:rsidRPr="00E41875">
        <w:rPr>
          <w:b/>
        </w:rPr>
        <w:t>także zapewnienie surowców pozwalających na alternatywne generowanie i</w:t>
      </w:r>
      <w:r w:rsidR="0073601C" w:rsidRPr="00E41875">
        <w:rPr>
          <w:b/>
        </w:rPr>
        <w:t> </w:t>
      </w:r>
      <w:r w:rsidRPr="00E41875">
        <w:rPr>
          <w:b/>
        </w:rPr>
        <w:t>wykorzystywanie energii.</w:t>
      </w:r>
    </w:p>
    <w:p w:rsidR="001B5D4B" w:rsidRPr="00E41875" w:rsidRDefault="001B5D4B" w:rsidP="00073ADF"/>
    <w:p w:rsidR="00911E04" w:rsidRPr="00E41875" w:rsidRDefault="003A552F" w:rsidP="00073ADF">
      <w:r w:rsidRPr="00E41875">
        <w:t>Szczególnej uwagi wymagają dwie osie:</w:t>
      </w:r>
    </w:p>
    <w:p w:rsidR="0073601C" w:rsidRPr="00E41875" w:rsidRDefault="0073601C" w:rsidP="00073ADF"/>
    <w:p w:rsidR="00F8502D" w:rsidRPr="00E41875" w:rsidRDefault="003A552F" w:rsidP="00073A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1875">
        <w:rPr>
          <w:b/>
          <w:sz w:val="24"/>
        </w:rPr>
        <w:t>Oś A: polityka krajowa i wymiar prawodawczy</w:t>
      </w:r>
    </w:p>
    <w:p w:rsidR="0073601C" w:rsidRPr="00E41875" w:rsidRDefault="0073601C" w:rsidP="00073ADF">
      <w:pPr>
        <w:ind w:firstLine="360"/>
      </w:pPr>
    </w:p>
    <w:p w:rsidR="00FF33D6" w:rsidRPr="00E41875" w:rsidRDefault="00BC7D91" w:rsidP="00073ADF">
      <w:pPr>
        <w:ind w:firstLine="360"/>
      </w:pPr>
      <w:r w:rsidRPr="00E41875">
        <w:t xml:space="preserve">W tym kontekście </w:t>
      </w:r>
      <w:r w:rsidRPr="00E41875">
        <w:rPr>
          <w:b/>
        </w:rPr>
        <w:t>krajowe strategie w dziedzinie surowców</w:t>
      </w:r>
      <w:r w:rsidRPr="00E41875">
        <w:t xml:space="preserve"> powinny mieć na celu wspieranie:</w:t>
      </w:r>
    </w:p>
    <w:p w:rsidR="00FF33D6" w:rsidRPr="00E41875" w:rsidRDefault="00FF33D6" w:rsidP="00073ADF">
      <w:pPr>
        <w:ind w:firstLine="360"/>
      </w:pPr>
    </w:p>
    <w:p w:rsidR="004F4E7F" w:rsidRPr="00E41875" w:rsidRDefault="00BC7D91" w:rsidP="00073ADF">
      <w:pPr>
        <w:pStyle w:val="ListParagraph"/>
        <w:numPr>
          <w:ilvl w:val="0"/>
          <w:numId w:val="5"/>
        </w:numPr>
      </w:pPr>
      <w:r w:rsidRPr="00E41875">
        <w:t>dynamiki, przy zapewnieniu absorpcji i utrzymania inwestycji oraz prawidłowego wykorzystywania zasobów;</w:t>
      </w:r>
    </w:p>
    <w:p w:rsidR="00BC7D91" w:rsidRPr="00E41875" w:rsidRDefault="00BC7D91" w:rsidP="00073ADF">
      <w:pPr>
        <w:pStyle w:val="ListParagraph"/>
        <w:numPr>
          <w:ilvl w:val="0"/>
          <w:numId w:val="5"/>
        </w:numPr>
      </w:pPr>
      <w:r w:rsidRPr="00E41875">
        <w:t>zrównoważonego rozwoju w aspekcie gospodarczym, społecznym, środowiskowym i</w:t>
      </w:r>
      <w:r w:rsidR="0073601C" w:rsidRPr="00E41875">
        <w:t> </w:t>
      </w:r>
      <w:r w:rsidRPr="00E41875">
        <w:t>terytorialnym;</w:t>
      </w:r>
    </w:p>
    <w:p w:rsidR="00BC7D91" w:rsidRPr="00E41875" w:rsidRDefault="00BC7D91" w:rsidP="00073ADF">
      <w:pPr>
        <w:pStyle w:val="ListParagraph"/>
        <w:numPr>
          <w:ilvl w:val="0"/>
          <w:numId w:val="5"/>
        </w:numPr>
      </w:pPr>
      <w:r w:rsidRPr="00E41875">
        <w:t>rozwoju gospodarki narodowej poprzez zapewnienie dostaw niezbędnych surowców i</w:t>
      </w:r>
      <w:r w:rsidR="0073601C" w:rsidRPr="00E41875">
        <w:t> </w:t>
      </w:r>
      <w:r w:rsidRPr="00E41875">
        <w:t>wzmocnienia ich znaczenia dla produktu krajowego brutto i eksportu; oraz</w:t>
      </w:r>
    </w:p>
    <w:p w:rsidR="00BC7D91" w:rsidRPr="00E41875" w:rsidRDefault="00BC7D91" w:rsidP="00073ADF">
      <w:pPr>
        <w:pStyle w:val="ListParagraph"/>
        <w:numPr>
          <w:ilvl w:val="0"/>
          <w:numId w:val="5"/>
        </w:numPr>
      </w:pPr>
      <w:r w:rsidRPr="00E41875">
        <w:t>rozwoju regionalnego, gwarancji zwrotu i zatrudnienia dla ludności lokalnej oraz rozwoju społeczności, na obszarach których prowadzona jest działalność wydobywcza.</w:t>
      </w:r>
    </w:p>
    <w:p w:rsidR="00BC7D91" w:rsidRPr="00E41875" w:rsidRDefault="00BC7D91" w:rsidP="00073ADF"/>
    <w:p w:rsidR="00BC7D91" w:rsidRPr="00E41875" w:rsidRDefault="00BC7D91" w:rsidP="00073ADF">
      <w:pPr>
        <w:ind w:firstLine="360"/>
      </w:pPr>
      <w:r w:rsidRPr="00E41875">
        <w:t>W szczególności:</w:t>
      </w:r>
    </w:p>
    <w:p w:rsidR="0073601C" w:rsidRPr="00E41875" w:rsidRDefault="0073601C" w:rsidP="00073ADF">
      <w:pPr>
        <w:ind w:firstLine="360"/>
      </w:pPr>
    </w:p>
    <w:p w:rsidR="004F4E7F" w:rsidRPr="00E41875" w:rsidRDefault="004F4E7F" w:rsidP="00073ADF">
      <w:pPr>
        <w:pStyle w:val="ListParagraph"/>
        <w:numPr>
          <w:ilvl w:val="0"/>
          <w:numId w:val="7"/>
        </w:numPr>
        <w:ind w:left="1134" w:hanging="708"/>
        <w:rPr>
          <w:b/>
        </w:rPr>
      </w:pPr>
      <w:r w:rsidRPr="00E41875">
        <w:rPr>
          <w:b/>
        </w:rPr>
        <w:t>Rola rządu</w:t>
      </w:r>
    </w:p>
    <w:p w:rsidR="00B16689" w:rsidRPr="00E41875" w:rsidRDefault="00B16689" w:rsidP="00073ADF">
      <w:pPr>
        <w:pStyle w:val="ListParagraph"/>
        <w:numPr>
          <w:ilvl w:val="1"/>
          <w:numId w:val="1"/>
        </w:numPr>
        <w:ind w:left="1701" w:hanging="567"/>
      </w:pPr>
      <w:r w:rsidRPr="00E41875">
        <w:t>Polityka w dziedzinie surowców mineralnych powinna być spójna z</w:t>
      </w:r>
      <w:r w:rsidR="0073601C" w:rsidRPr="00E41875">
        <w:t> </w:t>
      </w:r>
      <w:r w:rsidRPr="00E41875">
        <w:t xml:space="preserve">długoterminową polityką przemysłową kraju (np. z polityką energetyczną do </w:t>
      </w:r>
      <w:r w:rsidRPr="00E41875">
        <w:lastRenderedPageBreak/>
        <w:t>roku 2050); w tym zakresie należy zdefiniować dostępność surowców niezbędnych do rozwoju przemysłu.</w:t>
      </w:r>
    </w:p>
    <w:p w:rsidR="00F8502D" w:rsidRPr="00E41875" w:rsidRDefault="008F52A7" w:rsidP="00073ADF">
      <w:pPr>
        <w:pStyle w:val="ListParagraph"/>
        <w:numPr>
          <w:ilvl w:val="1"/>
          <w:numId w:val="1"/>
        </w:numPr>
        <w:ind w:left="1701" w:hanging="567"/>
      </w:pPr>
      <w:r w:rsidRPr="00E41875">
        <w:t>Należy ponownie określić odpowiednią podstawę działalności sektora poprzez ponowne zdefiniowanie zadań rządu centralnego i władz regionalnych w stosunku do siebie nawzajem oraz w stosunku do polityki, która ma zostać wdrożona; odpowiednim organom publicznym należy umożliwić prawidłowe wykonywanie powierzonych im zadań. Administracja powinna rozważyć, z myślą o</w:t>
      </w:r>
      <w:r w:rsidR="0073601C" w:rsidRPr="00E41875">
        <w:t> </w:t>
      </w:r>
      <w:r w:rsidRPr="00E41875">
        <w:t>przezwyciężeniu trudności związanych ze zdolnościami oraz skróceniu czasu wydawania pozwoleń, umożliwienie od samego początku uczestnictwa osób trzecich (np. uczelni) w procesie wydawania pozwoleń.</w:t>
      </w:r>
    </w:p>
    <w:p w:rsidR="00F8502D" w:rsidRPr="00E41875" w:rsidRDefault="003A552F" w:rsidP="00073ADF">
      <w:pPr>
        <w:pStyle w:val="ListParagraph"/>
        <w:numPr>
          <w:ilvl w:val="1"/>
          <w:numId w:val="1"/>
        </w:numPr>
        <w:ind w:left="1701" w:hanging="567"/>
      </w:pPr>
      <w:r w:rsidRPr="00E41875">
        <w:t>Dopilnowanie, aby odpowiednie normy były wystarczające, uaktualnianie instrumentów prawnych, przebudowa rygorów prawnych dotyczących kontraktów, stworzenie na nowo systemu opłat licencyjnych i innych kosztów operacyjnych oraz ujęcie nowych zjawisk w ramy prawne.</w:t>
      </w:r>
    </w:p>
    <w:p w:rsidR="00E22EDD" w:rsidRPr="00E41875" w:rsidRDefault="00E22EDD" w:rsidP="00073ADF"/>
    <w:p w:rsidR="004F4E7F" w:rsidRPr="00E41875" w:rsidRDefault="004F4E7F" w:rsidP="00073ADF">
      <w:pPr>
        <w:pStyle w:val="ListParagraph"/>
        <w:numPr>
          <w:ilvl w:val="1"/>
          <w:numId w:val="8"/>
        </w:numPr>
        <w:ind w:left="1134" w:hanging="708"/>
        <w:rPr>
          <w:b/>
        </w:rPr>
      </w:pPr>
      <w:r w:rsidRPr="00E41875">
        <w:rPr>
          <w:b/>
        </w:rPr>
        <w:t>Zagospodarowanie przestrzenne</w:t>
      </w:r>
    </w:p>
    <w:p w:rsidR="0073601C" w:rsidRPr="00E41875" w:rsidRDefault="0073601C" w:rsidP="00073ADF">
      <w:pPr>
        <w:pStyle w:val="ListParagraph"/>
        <w:ind w:left="1134"/>
      </w:pPr>
    </w:p>
    <w:p w:rsidR="00B16689" w:rsidRPr="00E41875" w:rsidRDefault="00865DFC" w:rsidP="00073ADF">
      <w:pPr>
        <w:pStyle w:val="ListParagraph"/>
        <w:ind w:left="1134"/>
      </w:pPr>
      <w:r w:rsidRPr="00E41875">
        <w:t>Należy zidentyfikować zarówno niedociągnięcia i wyzwania związane z praktykami w</w:t>
      </w:r>
      <w:r w:rsidR="0073601C" w:rsidRPr="00E41875">
        <w:t> </w:t>
      </w:r>
      <w:r w:rsidRPr="00E41875">
        <w:t>zakresie zagospodarowania przestrzennego, jak i przykłady dobrych praktyk. W</w:t>
      </w:r>
      <w:r w:rsidR="0073601C" w:rsidRPr="00E41875">
        <w:t> </w:t>
      </w:r>
      <w:r w:rsidRPr="00E41875">
        <w:t>ramach procesów dotyczących zagospodarowania przestrzennego na szczeblu krajowym, regionalnym i lokalnym należy stosować wskazane poniżej minimalne standardy. Zwiększenie wiedzy na temat potencjału krajowego obejmujące wstępną identyfikację zasobów nadających się do wykorzystania z perspektywy rozwoju górnictwa. Istnieje potrzeba rozważenia i określenia strategicznych złóż surowców mineralnych w ramach procesów dotyczących zagospodarowania przestrzennego, a także zastosowania najlepszych praktyk w odniesieniu do dostępu do informacji geologicznych z jednej strony oraz do gruntów z drugiej strony.</w:t>
      </w:r>
    </w:p>
    <w:p w:rsidR="00F21C9F" w:rsidRPr="00E41875" w:rsidRDefault="00F21C9F" w:rsidP="00073ADF"/>
    <w:p w:rsidR="00B770E3" w:rsidRPr="00E41875" w:rsidRDefault="0073601C" w:rsidP="00073ADF">
      <w:pPr>
        <w:pStyle w:val="ListParagraph"/>
        <w:numPr>
          <w:ilvl w:val="1"/>
          <w:numId w:val="8"/>
        </w:numPr>
        <w:ind w:left="1134" w:hanging="708"/>
        <w:rPr>
          <w:b/>
        </w:rPr>
      </w:pPr>
      <w:r w:rsidRPr="00E41875">
        <w:rPr>
          <w:b/>
        </w:rPr>
        <w:t>Dostęp do zasobów surowców</w:t>
      </w:r>
    </w:p>
    <w:p w:rsidR="0073601C" w:rsidRPr="00E41875" w:rsidRDefault="0073601C" w:rsidP="0073601C">
      <w:pPr>
        <w:rPr>
          <w:b/>
        </w:rPr>
      </w:pPr>
    </w:p>
    <w:p w:rsidR="00882D96" w:rsidRPr="00E41875" w:rsidRDefault="00B770E3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Przejrzyste i jasne ramy dotyczące poszukiwania złóż oraz dostępu do nich stanowią minimalny wymóg przez wzgląd na wszystkie zaangażowane strony i</w:t>
      </w:r>
      <w:r w:rsidR="0073601C" w:rsidRPr="00E41875">
        <w:t> </w:t>
      </w:r>
      <w:r w:rsidRPr="00E41875">
        <w:t>partnerów zewnętrznych. Powinna istnieć możliwość transportu surowców. Oznacza to zabezpieczenie istniejącej lub stworzenie odpowiedniej infrastruktury drogowej, kolejowej lub wodnej, która umożliwiałaby przewóz surowców z</w:t>
      </w:r>
      <w:r w:rsidR="0073601C" w:rsidRPr="00E41875">
        <w:t> </w:t>
      </w:r>
      <w:r w:rsidRPr="00E41875">
        <w:t>miejsca wydobycia do miejsca przetworzenia oraz na rynki.</w:t>
      </w:r>
    </w:p>
    <w:p w:rsidR="00B770E3" w:rsidRPr="00E41875" w:rsidRDefault="00882D96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Właściwe władze powinny rozważyć uproszczenie procedur wydawania pozwoleń, zastosowanie modelu pojedynczego punktu kontaktowego, a także wykorzystanie rozwiązań z zakresu administracji elektronicznej, takich jak standardowe formularze online. Z uwag na fakt, że w dyrektywie w sprawie OOŚ nie uwzględniono żadnych harmonogramów i terminów, a także żadnych innych zasad dotyczących wydawania pozwoleń, konkretne ramy czasowe bardzo różnią się od siebie w poszczególnych państwach członkowskich i powinny zostać ujednolicone oraz skrócone z wykorzystaniem podręcznika najlepszych praktyk.</w:t>
      </w:r>
    </w:p>
    <w:p w:rsidR="00F21C9F" w:rsidRPr="00E41875" w:rsidRDefault="00F21C9F" w:rsidP="00073ADF"/>
    <w:p w:rsidR="00F8060C" w:rsidRPr="00E41875" w:rsidRDefault="00F8060C" w:rsidP="00073ADF">
      <w:pPr>
        <w:pStyle w:val="ListParagraph"/>
        <w:numPr>
          <w:ilvl w:val="1"/>
          <w:numId w:val="9"/>
        </w:numPr>
        <w:ind w:left="1134" w:hanging="708"/>
        <w:rPr>
          <w:b/>
        </w:rPr>
      </w:pPr>
      <w:r w:rsidRPr="00E41875">
        <w:rPr>
          <w:b/>
        </w:rPr>
        <w:t xml:space="preserve">Krajowa polityka przyciągania inwestorów na dostępne obszary i ułatwiania inwestycji w dziedzinie poszukiwania i wydobycia </w:t>
      </w:r>
    </w:p>
    <w:p w:rsidR="0073601C" w:rsidRPr="00E41875" w:rsidRDefault="0073601C" w:rsidP="00073ADF">
      <w:pPr>
        <w:pStyle w:val="ListParagraph"/>
        <w:ind w:left="1134"/>
      </w:pPr>
    </w:p>
    <w:p w:rsidR="002908B8" w:rsidRPr="00E41875" w:rsidRDefault="00F8060C" w:rsidP="00073ADF">
      <w:pPr>
        <w:pStyle w:val="ListParagraph"/>
        <w:ind w:left="1134"/>
      </w:pPr>
      <w:r w:rsidRPr="00E41875">
        <w:t>Decyzje o inwestowaniu w konkretnych krajach są podejmowane w oparciu o cały szereg czynników: perspektywiczność i dostępność gruntów, system regulacyjny, pozwolenia, ryzyko związane z niewypłacalnością państwa, infrastruktura, system podatkowy i prawo górnicze, koszty usług i koszty związane z posiadaniem gruntu, bezpieczeństwo tytułów prawnych oraz kwalifikacje krajowych geologów i inżynierów. Państwa członkowskie UE konkurują o ograniczone środki na poszukiwania złóż. Wymagane jest wdrożenie polityki na szczeblu krajowym i europejskim, która musi zapewniać równowagę aspektów dotyczących wydobycia surowców mineralnych, środowiska i społeczności.</w:t>
      </w:r>
    </w:p>
    <w:p w:rsidR="0073601C" w:rsidRPr="00E41875" w:rsidRDefault="0073601C" w:rsidP="00073ADF">
      <w:pPr>
        <w:pStyle w:val="ListParagraph"/>
        <w:ind w:left="1134"/>
      </w:pPr>
    </w:p>
    <w:p w:rsidR="002908B8" w:rsidRPr="00E41875" w:rsidRDefault="00F8060C" w:rsidP="00073ADF">
      <w:pPr>
        <w:pStyle w:val="ListParagraph"/>
        <w:ind w:left="1134"/>
      </w:pPr>
      <w:r w:rsidRPr="00E41875">
        <w:t>Zaufanie między przedsiębiorstwami wydobywczymi, rządami i ich agencjami oraz społecznością lokalną stanowi kluczowy element sukcesu każdej kopalni. Prace nad jego budową należy rozpocząć na etapie poszukiwań oraz umieścić wysoko na liście priorytetów na etapie badania wykonalności i planowania. Zaufanie musi zostać utrzymane także w fazie budowy, eksploatacji i zamknięcia oraz w fazie po zamknięciu. Metale i surowce mineralne pozwalają utrzymać infrastrukturę dla naszej cywilizacji. W</w:t>
      </w:r>
      <w:r w:rsidR="0073601C" w:rsidRPr="00E41875">
        <w:t> </w:t>
      </w:r>
      <w:r w:rsidRPr="00E41875">
        <w:t>związku z tym opodatkowanie również powinno być odpowiednie. Może zajść potrzeba dokonania przeglądu podatków od prowadzenia działalności wydobywczej w</w:t>
      </w:r>
      <w:r w:rsidR="0073601C" w:rsidRPr="00E41875">
        <w:t> </w:t>
      </w:r>
      <w:r w:rsidRPr="00E41875">
        <w:t>celu dalszego przyciągania przedsiębiorstw zajmujących się poszukiwaniem i</w:t>
      </w:r>
      <w:r w:rsidR="0073601C" w:rsidRPr="00E41875">
        <w:t> </w:t>
      </w:r>
      <w:r w:rsidRPr="00E41875">
        <w:t xml:space="preserve">wydobyciem. </w:t>
      </w:r>
    </w:p>
    <w:p w:rsidR="0073601C" w:rsidRPr="00E41875" w:rsidRDefault="0073601C" w:rsidP="00073ADF">
      <w:pPr>
        <w:pStyle w:val="ListParagraph"/>
        <w:ind w:left="1134"/>
      </w:pPr>
    </w:p>
    <w:p w:rsidR="00BC7D91" w:rsidRPr="00E41875" w:rsidRDefault="00BC7D91" w:rsidP="00073ADF">
      <w:pPr>
        <w:pStyle w:val="ListParagraph"/>
        <w:ind w:left="1134"/>
      </w:pPr>
      <w:r w:rsidRPr="00E41875">
        <w:t>Opłacalność nowych inwestycji w dziedzinie górnictwa powinna być szacowana z</w:t>
      </w:r>
      <w:r w:rsidR="0073601C" w:rsidRPr="00E41875">
        <w:t> </w:t>
      </w:r>
      <w:r w:rsidRPr="00E41875">
        <w:t>uwzględnieniem innych sektorów oraz ich potrzeb, ponieważ są one uzależnione od przemysłu wydobywczego, natomiast złoża powinny być eksploatowane zgodnie z</w:t>
      </w:r>
      <w:r w:rsidR="0073601C" w:rsidRPr="00E41875">
        <w:t> </w:t>
      </w:r>
      <w:r w:rsidRPr="00E41875">
        <w:t>zasadami zrównoważonego rozwoju (tj. z intensywniejszym wykorzystaniem technik odzyskiwania produktów ubocznych i równoległych).</w:t>
      </w:r>
    </w:p>
    <w:p w:rsidR="00F21C9F" w:rsidRPr="00E41875" w:rsidRDefault="00F21C9F" w:rsidP="00073ADF"/>
    <w:p w:rsidR="004F4E7F" w:rsidRPr="00E41875" w:rsidRDefault="004F4E7F" w:rsidP="00073ADF">
      <w:pPr>
        <w:pStyle w:val="ListParagraph"/>
        <w:numPr>
          <w:ilvl w:val="1"/>
          <w:numId w:val="10"/>
        </w:numPr>
        <w:ind w:left="1134" w:hanging="708"/>
        <w:rPr>
          <w:b/>
        </w:rPr>
      </w:pPr>
      <w:r w:rsidRPr="00E41875">
        <w:rPr>
          <w:b/>
        </w:rPr>
        <w:t>Innowacyjność</w:t>
      </w:r>
    </w:p>
    <w:p w:rsidR="0073601C" w:rsidRPr="00E41875" w:rsidRDefault="0073601C" w:rsidP="0073601C">
      <w:pPr>
        <w:rPr>
          <w:b/>
        </w:rPr>
      </w:pPr>
    </w:p>
    <w:p w:rsidR="00F8060C" w:rsidRPr="00E41875" w:rsidRDefault="00F8060C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Innowacyjne rozwiązania w przemyśle wydobywczym powinny być w efektywny sposób wspierane przez rządy krajowe (korzystne ramy prawne, wielowektorowy system zachęt, podatków i opłat), ponieważ przedsiębiorstwa wydobywcze nie są zmotywowane do podejmowania dużego ryzyka.</w:t>
      </w:r>
    </w:p>
    <w:p w:rsidR="00B770E3" w:rsidRPr="00E41875" w:rsidRDefault="00B770E3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 xml:space="preserve">Istotne dla rozwoju gospodarki o obiegu zamkniętym jest odzyskiwanie surowców w drodze intensywniejszego recyklingu (np. WEEE, węgiel), ponieważ na wielu obszarach praktyki te wciąż nie stanowią konkurencji pod względem ekonomicznym i technologicznym dla korzystania ze źródeł pierwotnych i muszą być wspierane. </w:t>
      </w:r>
    </w:p>
    <w:p w:rsidR="00B770E3" w:rsidRPr="00E41875" w:rsidRDefault="00B770E3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Promowanie edukacji (np. dotyczącej recyklingu) oraz zwiększanie świadomości publicznej w zakresie znaczenia surowców dla gospodarki, zwłaszcza z uwagi na fakt, że obecnie brakuje korelacji z wyzwaniami napotykanymi przez systemy kształcenia w nowoczesnej gospodarce, w tym w dziedzinie przedsiębiorczości.</w:t>
      </w:r>
    </w:p>
    <w:p w:rsidR="00F8060C" w:rsidRPr="00E41875" w:rsidRDefault="00F8060C" w:rsidP="00073ADF"/>
    <w:p w:rsidR="00B16689" w:rsidRPr="00E41875" w:rsidRDefault="00F8502D" w:rsidP="005636C0">
      <w:pPr>
        <w:pStyle w:val="ListParagraph"/>
        <w:keepNext/>
        <w:numPr>
          <w:ilvl w:val="0"/>
          <w:numId w:val="1"/>
        </w:numPr>
        <w:rPr>
          <w:b/>
          <w:sz w:val="24"/>
          <w:szCs w:val="24"/>
        </w:rPr>
      </w:pPr>
      <w:r w:rsidRPr="00E41875">
        <w:rPr>
          <w:b/>
          <w:sz w:val="24"/>
        </w:rPr>
        <w:t>Oś B: polityka UE i wymiar prawodawczy</w:t>
      </w:r>
    </w:p>
    <w:p w:rsidR="00E22EDD" w:rsidRPr="00E41875" w:rsidRDefault="00E22EDD" w:rsidP="005636C0">
      <w:pPr>
        <w:keepNext/>
        <w:rPr>
          <w:sz w:val="24"/>
        </w:rPr>
      </w:pPr>
    </w:p>
    <w:p w:rsidR="00C46EF5" w:rsidRPr="00E41875" w:rsidRDefault="00C46EF5" w:rsidP="00073ADF">
      <w:pPr>
        <w:pStyle w:val="ListParagraph"/>
        <w:numPr>
          <w:ilvl w:val="1"/>
          <w:numId w:val="11"/>
        </w:numPr>
        <w:ind w:left="1134" w:hanging="708"/>
        <w:rPr>
          <w:b/>
        </w:rPr>
      </w:pPr>
      <w:r w:rsidRPr="00E41875">
        <w:rPr>
          <w:b/>
        </w:rPr>
        <w:t>Zapewnienie dostaw energii na szczeblu lokalnym</w:t>
      </w:r>
    </w:p>
    <w:p w:rsidR="0073601C" w:rsidRPr="00E41875" w:rsidRDefault="0073601C" w:rsidP="0073601C">
      <w:pPr>
        <w:rPr>
          <w:b/>
        </w:rPr>
      </w:pPr>
    </w:p>
    <w:p w:rsidR="00C46EF5" w:rsidRPr="00E41875" w:rsidRDefault="00C46EF5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Wykorzystanie wszystkich konwencjonalnych i niekonwencjonalnych źródeł energii, zaoferowanie konkurencyjnych cen dla energochłonnych sektorów, takich jak przemysł wydobywczy i przetwórczy.</w:t>
      </w:r>
    </w:p>
    <w:p w:rsidR="004F4E7F" w:rsidRPr="00E41875" w:rsidRDefault="00C46EF5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 xml:space="preserve">Ceny energii w ogromnym stopniu wpływają na ogólne koszty prowadzenia działalności w zakresie wydobycia i przetwarzania surowców mineralnych. Wiele przedsiębiorstw wydobywczych jest w pełni zintegrowanych z globalnymi łańcuchami wartości, w obrębie których ze względu na konkurencyjność nie da się przerzucić na klientów dodatkowych kosztów ponoszonych na szczeblu lokalnym. W związku z tym w każdym kraju górnictwo potrzebuje wycenianej konkurencyjnie energii, jeśli ma w długiej perspektywie czasowej przynieść korzyści społecznościom przyjmującym. </w:t>
      </w:r>
    </w:p>
    <w:p w:rsidR="00C46EF5" w:rsidRPr="00E41875" w:rsidRDefault="00C46EF5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Doświadczenia przemysłu energetycznego jasno pokazują, że zlikwidowanie zależności wzrostu gospodarczego od emisji gazów cieplarnianych może mieć miejsce i rzeczywiście ma miejsce w warunkach funkcjonowania, a nawet rozwoju dużego przemysłu wydobywczego. Wysokie ceny energii niekoniecznie pociągają ze sobą ograniczenie emisji CO2; taka sytuacja ma miejsce chociażby wówczas, gdy emisje te są nieodłącznym elementem procesu przetwarzania surowca mineralnego, a mimo to mogą wpływać na konkurencyjność całych łańcuchów wartości. Bardziej pożądane niż przenoszenie działalności wydobywczej do krajów spoza UE jest inwestowanie w efektywniejsze technologie i procesy wydobywcze.</w:t>
      </w:r>
    </w:p>
    <w:p w:rsidR="00F21C9F" w:rsidRPr="00E41875" w:rsidRDefault="00F21C9F" w:rsidP="00073ADF"/>
    <w:p w:rsidR="004F4E7F" w:rsidRPr="00E41875" w:rsidRDefault="004F4E7F" w:rsidP="00073ADF">
      <w:pPr>
        <w:pStyle w:val="ListParagraph"/>
        <w:numPr>
          <w:ilvl w:val="1"/>
          <w:numId w:val="12"/>
        </w:numPr>
        <w:ind w:left="1134" w:hanging="708"/>
        <w:rPr>
          <w:b/>
        </w:rPr>
      </w:pPr>
      <w:r w:rsidRPr="00E41875">
        <w:rPr>
          <w:b/>
        </w:rPr>
        <w:t>Wiedza i tworzenie synergii</w:t>
      </w:r>
    </w:p>
    <w:p w:rsidR="0073601C" w:rsidRPr="00E41875" w:rsidRDefault="0073601C" w:rsidP="0073601C">
      <w:pPr>
        <w:rPr>
          <w:b/>
        </w:rPr>
      </w:pPr>
    </w:p>
    <w:p w:rsidR="00BC7D91" w:rsidRPr="00E41875" w:rsidRDefault="00F8502D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Rozwój wiedzy i docenienie krajowych potencjałów państw członkowskich UE, a</w:t>
      </w:r>
      <w:r w:rsidR="0073601C" w:rsidRPr="00E41875">
        <w:t> </w:t>
      </w:r>
      <w:r w:rsidRPr="00E41875">
        <w:t>także ich potencjalnych synergii w kontekście europejskim poprzez usprawnienie metod zbierania i systematyzowania informacji z myślą o lepszym wykorzystaniu zasobów i promowaniu synergii między podmiotami publicznymi i prywatnymi oraz monitorowaniu rozwiniętej działalności wydobywczej w całej UE.</w:t>
      </w:r>
    </w:p>
    <w:p w:rsidR="00BC7D91" w:rsidRPr="00E41875" w:rsidRDefault="00BC7D91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Uczestnictwo przedsiębiorstw i jednostek badawczo-rozwojowych we wspólnocie wiedzy i innowacji EIT w obszarze surowców, a także w programach unijnych powinno być wspierane przez państwo w maksymalnym możliwym zakresie; należy też zachęcać do uczestnictwa krajowych agencji finansujących badania i rozwój technologiczny w projektach ERA-NET.</w:t>
      </w:r>
    </w:p>
    <w:p w:rsidR="007C29C6" w:rsidRPr="00E41875" w:rsidRDefault="007C29C6" w:rsidP="00073ADF">
      <w:pPr>
        <w:pStyle w:val="ListParagraph"/>
        <w:numPr>
          <w:ilvl w:val="1"/>
          <w:numId w:val="1"/>
        </w:numPr>
        <w:ind w:left="1843" w:hanging="709"/>
      </w:pPr>
      <w:r w:rsidRPr="00E41875">
        <w:t>Niektóre kraje mierzą się z poważnym wyzwaniem związanym z zamykaniem kopalni węgla lub modernizowaniem elektrowni oraz rozwojem ekologicznych technologii zakładających szersze wykorzystanie węgla w innych sektorach niż w</w:t>
      </w:r>
      <w:r w:rsidR="0073601C" w:rsidRPr="00E41875">
        <w:t> </w:t>
      </w:r>
      <w:r w:rsidRPr="00E41875">
        <w:t>sektorze energii. Obecna polityka UE dyskryminuje górnictwo węglowe, natomiast powinna w sposób zrównoważony wykorzystywać unijne zasoby oraz aktywnie wspierać kraje i regiony, w których dochodzi do zamykania kopalni, poprzez badania i rozwój oraz fundusze strukturalne w celu umożliwienia zrównoważonej pod względem środowiskowym i społecznym rewitalizacji tych regionów.</w:t>
      </w:r>
    </w:p>
    <w:p w:rsidR="00F21C9F" w:rsidRPr="00E41875" w:rsidRDefault="00F21C9F" w:rsidP="00073ADF"/>
    <w:p w:rsidR="000778E9" w:rsidRPr="00E41875" w:rsidRDefault="000778E9" w:rsidP="005636C0">
      <w:pPr>
        <w:pStyle w:val="ListParagraph"/>
        <w:keepNext/>
        <w:numPr>
          <w:ilvl w:val="1"/>
          <w:numId w:val="13"/>
        </w:numPr>
        <w:ind w:left="1134" w:hanging="708"/>
        <w:rPr>
          <w:b/>
        </w:rPr>
      </w:pPr>
      <w:r w:rsidRPr="00E41875">
        <w:rPr>
          <w:b/>
        </w:rPr>
        <w:t xml:space="preserve">Wymiar społeczny i rynek pracy </w:t>
      </w:r>
    </w:p>
    <w:p w:rsidR="0073601C" w:rsidRPr="00E41875" w:rsidRDefault="0073601C" w:rsidP="005636C0">
      <w:pPr>
        <w:pStyle w:val="ListParagraph"/>
        <w:keepNext/>
        <w:ind w:left="1134"/>
      </w:pPr>
    </w:p>
    <w:p w:rsidR="00736574" w:rsidRPr="00E41875" w:rsidRDefault="000778E9" w:rsidP="005636C0">
      <w:pPr>
        <w:pStyle w:val="ListParagraph"/>
        <w:keepNext/>
        <w:ind w:left="1134"/>
      </w:pPr>
      <w:r w:rsidRPr="00E41875">
        <w:t>Unowocześnianie i dostosowywanie systemów kształcenia i szkolenia w świetle rozwoju technicznego i nowych procesów pracy. Obejmuje to także uczenie się przez całe życie, szkolenie zawodowe i systemy podwójnego szkolenia, które łączą teorię z praktyką; silna i spójna agenda polityki przemysłowej wspierająca ochronę i tworzenie miejsc pracy w</w:t>
      </w:r>
      <w:r w:rsidR="0073601C" w:rsidRPr="00E41875">
        <w:t> </w:t>
      </w:r>
      <w:r w:rsidRPr="00E41875">
        <w:t>sektorze wydobywczym; ułatwianie mobilności pracowników i budowanie zdolności właściwych organów. Usilnie zaleca się skupienie uwagi na zatrudnieniu i rozwoju umiejętności w sektorze na skalę europejską w celu zajęcia się rozwojem regionalnym i</w:t>
      </w:r>
      <w:r w:rsidR="0073601C" w:rsidRPr="00E41875">
        <w:t> </w:t>
      </w:r>
      <w:r w:rsidRPr="00E41875">
        <w:t>szerszą restrukturyzacją sektora.</w:t>
      </w:r>
    </w:p>
    <w:p w:rsidR="00F21C9F" w:rsidRPr="00E41875" w:rsidRDefault="00F21C9F" w:rsidP="00073ADF"/>
    <w:p w:rsidR="00F21C9F" w:rsidRPr="00E41875" w:rsidRDefault="00325AD9" w:rsidP="00073ADF">
      <w:pPr>
        <w:pStyle w:val="ListParagraph"/>
        <w:numPr>
          <w:ilvl w:val="1"/>
          <w:numId w:val="14"/>
        </w:numPr>
        <w:ind w:left="1134" w:hanging="708"/>
        <w:rPr>
          <w:b/>
        </w:rPr>
      </w:pPr>
      <w:r w:rsidRPr="00E41875">
        <w:rPr>
          <w:b/>
        </w:rPr>
        <w:t>Konkurencja i zrównoważony rozwój</w:t>
      </w:r>
    </w:p>
    <w:p w:rsidR="0073601C" w:rsidRPr="00E41875" w:rsidRDefault="0073601C" w:rsidP="00073ADF">
      <w:pPr>
        <w:pStyle w:val="ListParagraph"/>
        <w:ind w:left="1134"/>
      </w:pPr>
    </w:p>
    <w:p w:rsidR="00325AD9" w:rsidRPr="00E41875" w:rsidRDefault="00C46EF5" w:rsidP="00073ADF">
      <w:pPr>
        <w:pStyle w:val="ListParagraph"/>
        <w:ind w:left="1134"/>
        <w:rPr>
          <w:b/>
        </w:rPr>
      </w:pPr>
      <w:r w:rsidRPr="00E41875">
        <w:t>W interesie wzrostu gospodarczego i zrównoważonego rozwoju UE niezwykle ważne jest, aby UE przestała składać obietnice bez pokrycia dotyczące celów w zakresie zrównoważonego rozwoju poprzez ich realizowanie w ramach UE, ale nie w odniesieniu do produktów wprowadzanych na rynek UE. W związku z tym musi ona zapewnić, aby ramy prawne były na tyle stabilne, by chronić europejski przemysł przed nieuczciwą konkurencją, a także zapewnić takie ramy prawne, które ochronią klientów z UE przed nieuczciwą globalną konkurencją lub wyprowadzaniem produkcji ze względu na nakładane na siebie w sposób jednostronny koszty oraz będą nagradzać wyjątkową wydajność produkcji.</w:t>
      </w:r>
    </w:p>
    <w:p w:rsidR="00080C01" w:rsidRPr="00E41875" w:rsidRDefault="00080C01" w:rsidP="00073ADF"/>
    <w:p w:rsidR="003B200D" w:rsidRPr="00E41875" w:rsidRDefault="003B200D" w:rsidP="00073ADF"/>
    <w:p w:rsidR="0073601C" w:rsidRPr="00E41875" w:rsidRDefault="0073601C">
      <w:pPr>
        <w:jc w:val="center"/>
      </w:pPr>
      <w:r w:rsidRPr="00E41875">
        <w:t>*</w:t>
      </w:r>
    </w:p>
    <w:p w:rsidR="0073601C" w:rsidRPr="00E41875" w:rsidRDefault="0073601C">
      <w:pPr>
        <w:jc w:val="center"/>
      </w:pPr>
    </w:p>
    <w:p w:rsidR="0073601C" w:rsidRPr="00E41875" w:rsidRDefault="0073601C">
      <w:pPr>
        <w:jc w:val="center"/>
      </w:pPr>
      <w:r w:rsidRPr="00E41875">
        <w:t>*</w:t>
      </w:r>
      <w:r w:rsidRPr="00E41875">
        <w:tab/>
        <w:t>*</w:t>
      </w:r>
    </w:p>
    <w:p w:rsidR="003B200D" w:rsidRPr="00E41875" w:rsidRDefault="003B200D" w:rsidP="00073ADF">
      <w:pPr>
        <w:pStyle w:val="ListParagraph"/>
        <w:ind w:left="1440"/>
        <w:jc w:val="center"/>
      </w:pPr>
    </w:p>
    <w:p w:rsidR="000F4718" w:rsidRPr="00E41875" w:rsidRDefault="000F4718">
      <w:pPr>
        <w:spacing w:after="200" w:line="276" w:lineRule="auto"/>
        <w:jc w:val="left"/>
      </w:pPr>
      <w:r w:rsidRPr="00E41875">
        <w:br w:type="page"/>
      </w:r>
    </w:p>
    <w:p w:rsidR="00080C01" w:rsidRPr="00E41875" w:rsidRDefault="00080C01" w:rsidP="00073ADF">
      <w:pPr>
        <w:rPr>
          <w:b/>
        </w:rPr>
      </w:pPr>
      <w:r w:rsidRPr="00E41875">
        <w:rPr>
          <w:b/>
        </w:rPr>
        <w:t>Głównymi partnerami tych wydarzeń były następujące podmioty: Euromines, Eurocoal, IndustriAll i Komisja Europejska. W każdym z nich brali jednak udział także partnerzy lokalni:</w:t>
      </w:r>
    </w:p>
    <w:p w:rsidR="00920384" w:rsidRPr="00E41875" w:rsidRDefault="00920384" w:rsidP="00073ADF">
      <w:pPr>
        <w:rPr>
          <w:b/>
        </w:rPr>
      </w:pP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Hiszpania: Confedem i Centro para el Desarrollo Tecnológico Industrial</w:t>
      </w: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Słowacja: Ministerstwo Gospodarki</w:t>
      </w: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Rumunia: Politechnika w Bukareszcie, Ministerstwo Gospodarki, Meridian</w:t>
      </w: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Finlandia: Federacja Fińskich Przedsiębiorstw, Fińskie Zrzeszenie Górnicze (Finnmin)</w:t>
      </w: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Portugalia: Laboratório Nacional de Energia e Geologia, Direção-Geral de Energia e Geologia</w:t>
      </w: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Irlandia: Irlandzka Służba Geologiczna, Ministerstwo Komunikacji, Energii i Zasobów Naturalnych</w:t>
      </w: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Polska: Ministerstwo Rozwoju Regionalnego, Związek Pracodawców Polska Miedź</w:t>
      </w:r>
    </w:p>
    <w:p w:rsidR="00080C01" w:rsidRPr="00E41875" w:rsidRDefault="00080C01" w:rsidP="00073ADF">
      <w:pPr>
        <w:pStyle w:val="ListParagraph"/>
        <w:numPr>
          <w:ilvl w:val="0"/>
          <w:numId w:val="4"/>
        </w:numPr>
      </w:pPr>
      <w:r w:rsidRPr="00E41875">
        <w:t>Czechy: Czeskie Zrzeszenie Górnicze, Ministerstwo Przemysłu i Handlu</w:t>
      </w:r>
    </w:p>
    <w:p w:rsidR="00080C01" w:rsidRPr="00E41875" w:rsidRDefault="00080C01" w:rsidP="00073ADF"/>
    <w:p w:rsidR="00080C01" w:rsidRPr="00E41875" w:rsidRDefault="00080C01" w:rsidP="00073ADF">
      <w:pPr>
        <w:pStyle w:val="ListParagraph"/>
        <w:ind w:left="0"/>
        <w:rPr>
          <w:b/>
        </w:rPr>
      </w:pPr>
      <w:r w:rsidRPr="00E41875">
        <w:rPr>
          <w:b/>
        </w:rPr>
        <w:t>Wykaz członków/delegatów CCMI biorących udział w tych debatach:</w:t>
      </w:r>
    </w:p>
    <w:p w:rsidR="00920384" w:rsidRPr="00E41875" w:rsidRDefault="00920384" w:rsidP="00073ADF">
      <w:pPr>
        <w:pStyle w:val="ListParagraph"/>
        <w:ind w:left="0"/>
        <w:rPr>
          <w:b/>
        </w:rPr>
      </w:pPr>
    </w:p>
    <w:p w:rsidR="005E690D" w:rsidRPr="00E41875" w:rsidRDefault="005E690D" w:rsidP="00073ADF">
      <w:pPr>
        <w:pStyle w:val="ListParagraph"/>
      </w:pPr>
      <w:r w:rsidRPr="00E41875">
        <w:t>Lucie Studničná</w:t>
      </w:r>
    </w:p>
    <w:p w:rsidR="005E690D" w:rsidRPr="00E41875" w:rsidRDefault="005E690D" w:rsidP="00073ADF">
      <w:pPr>
        <w:pStyle w:val="ListParagraph"/>
      </w:pPr>
      <w:r w:rsidRPr="00E41875">
        <w:t>Carlos Trias Pintó</w:t>
      </w:r>
    </w:p>
    <w:p w:rsidR="005E690D" w:rsidRPr="00E41875" w:rsidRDefault="005E690D" w:rsidP="00073ADF">
      <w:pPr>
        <w:pStyle w:val="ListParagraph"/>
      </w:pPr>
      <w:r w:rsidRPr="00E41875">
        <w:t>Casado Lopez Juan Manuel</w:t>
      </w:r>
    </w:p>
    <w:p w:rsidR="005E690D" w:rsidRPr="00E41875" w:rsidRDefault="005E690D" w:rsidP="00073ADF">
      <w:pPr>
        <w:pStyle w:val="ListParagraph"/>
      </w:pPr>
      <w:r w:rsidRPr="00E41875">
        <w:t>Dumitru Fornea</w:t>
      </w:r>
    </w:p>
    <w:p w:rsidR="005E690D" w:rsidRPr="00E41875" w:rsidRDefault="005E690D" w:rsidP="00073ADF">
      <w:pPr>
        <w:pStyle w:val="ListParagraph"/>
      </w:pPr>
      <w:r w:rsidRPr="00E41875">
        <w:t>Eugen Lucan</w:t>
      </w:r>
    </w:p>
    <w:p w:rsidR="005E690D" w:rsidRPr="00E41875" w:rsidRDefault="005E690D" w:rsidP="00073ADF">
      <w:pPr>
        <w:pStyle w:val="ListParagraph"/>
      </w:pPr>
      <w:r w:rsidRPr="00E41875">
        <w:t>Gerald Kreuzer</w:t>
      </w:r>
    </w:p>
    <w:p w:rsidR="005E690D" w:rsidRPr="00E41875" w:rsidRDefault="005E690D" w:rsidP="00073ADF">
      <w:pPr>
        <w:pStyle w:val="ListParagraph"/>
      </w:pPr>
      <w:r w:rsidRPr="00E41875">
        <w:t>Glorieux Jacques</w:t>
      </w:r>
    </w:p>
    <w:p w:rsidR="005E690D" w:rsidRPr="00E41875" w:rsidRDefault="005E690D" w:rsidP="00073ADF">
      <w:pPr>
        <w:pStyle w:val="ListParagraph"/>
      </w:pPr>
      <w:r w:rsidRPr="00E41875">
        <w:t>Hilde Van Laere</w:t>
      </w:r>
    </w:p>
    <w:p w:rsidR="005E690D" w:rsidRPr="00E41875" w:rsidRDefault="005E690D" w:rsidP="00073ADF">
      <w:pPr>
        <w:pStyle w:val="ListParagraph"/>
      </w:pPr>
      <w:r w:rsidRPr="00E41875">
        <w:t>Jacques Glorieux</w:t>
      </w:r>
    </w:p>
    <w:p w:rsidR="005E690D" w:rsidRPr="00E41875" w:rsidRDefault="005E690D" w:rsidP="00073ADF">
      <w:pPr>
        <w:pStyle w:val="ListParagraph"/>
      </w:pPr>
      <w:r w:rsidRPr="00E41875">
        <w:t>Josef Zboril</w:t>
      </w:r>
    </w:p>
    <w:p w:rsidR="005E690D" w:rsidRPr="00E41875" w:rsidRDefault="003B200D" w:rsidP="00073ADF">
      <w:pPr>
        <w:pStyle w:val="ListParagraph"/>
      </w:pPr>
      <w:r w:rsidRPr="00E41875">
        <w:t>Linas Lasiauskas</w:t>
      </w:r>
    </w:p>
    <w:p w:rsidR="003B200D" w:rsidRPr="00E41875" w:rsidRDefault="003B200D" w:rsidP="00073ADF">
      <w:pPr>
        <w:pStyle w:val="ListParagraph"/>
      </w:pPr>
      <w:r w:rsidRPr="00E41875">
        <w:t xml:space="preserve">Gonçalo Lobo Xavier </w:t>
      </w:r>
    </w:p>
    <w:p w:rsidR="003B200D" w:rsidRPr="00E41875" w:rsidRDefault="003B200D" w:rsidP="00073ADF">
      <w:pPr>
        <w:pStyle w:val="ListParagraph"/>
      </w:pPr>
      <w:r w:rsidRPr="00E41875">
        <w:t xml:space="preserve">Cillian Lohan </w:t>
      </w:r>
    </w:p>
    <w:p w:rsidR="005E690D" w:rsidRPr="00E41875" w:rsidRDefault="003B200D" w:rsidP="00073ADF">
      <w:pPr>
        <w:pStyle w:val="ListParagraph"/>
      </w:pPr>
      <w:r w:rsidRPr="00E41875">
        <w:t>Vladimir Novotný</w:t>
      </w:r>
    </w:p>
    <w:p w:rsidR="005E690D" w:rsidRPr="00E41875" w:rsidRDefault="003B200D" w:rsidP="00073ADF">
      <w:pPr>
        <w:pStyle w:val="ListParagraph"/>
      </w:pPr>
      <w:r w:rsidRPr="00E41875">
        <w:t xml:space="preserve">Jorge Pegado Liz </w:t>
      </w:r>
    </w:p>
    <w:p w:rsidR="003B200D" w:rsidRPr="00E41875" w:rsidRDefault="003B200D" w:rsidP="00073ADF">
      <w:pPr>
        <w:pStyle w:val="ListParagraph"/>
      </w:pPr>
      <w:r w:rsidRPr="00E41875">
        <w:t xml:space="preserve">Aurel Laurentiu Plosceanu </w:t>
      </w:r>
    </w:p>
    <w:p w:rsidR="005E690D" w:rsidRPr="00E41875" w:rsidRDefault="003B200D" w:rsidP="00073ADF">
      <w:pPr>
        <w:pStyle w:val="ListParagraph"/>
      </w:pPr>
      <w:r w:rsidRPr="00E41875">
        <w:t>Ion Pop</w:t>
      </w:r>
    </w:p>
    <w:p w:rsidR="005E690D" w:rsidRPr="00E41875" w:rsidRDefault="005E690D" w:rsidP="00073ADF">
      <w:pPr>
        <w:pStyle w:val="ListParagraph"/>
      </w:pPr>
      <w:r w:rsidRPr="00E41875">
        <w:t>Renata Eisenvortova</w:t>
      </w:r>
    </w:p>
    <w:p w:rsidR="005E690D" w:rsidRPr="00E41875" w:rsidRDefault="003B200D" w:rsidP="00073ADF">
      <w:pPr>
        <w:pStyle w:val="ListParagraph"/>
      </w:pPr>
      <w:r w:rsidRPr="00E41875">
        <w:t xml:space="preserve">Przemyslaw Rzepecki </w:t>
      </w:r>
    </w:p>
    <w:p w:rsidR="005E690D" w:rsidRPr="00E41875" w:rsidRDefault="005E690D" w:rsidP="00073ADF">
      <w:pPr>
        <w:pStyle w:val="ListParagraph"/>
      </w:pPr>
      <w:r w:rsidRPr="00E41875">
        <w:t>Sauli Vantti</w:t>
      </w:r>
    </w:p>
    <w:p w:rsidR="005E690D" w:rsidRPr="00E41875" w:rsidRDefault="005E690D" w:rsidP="00073ADF">
      <w:pPr>
        <w:pStyle w:val="ListParagraph"/>
      </w:pPr>
      <w:r w:rsidRPr="00E41875">
        <w:t>Seamus Boland</w:t>
      </w:r>
    </w:p>
    <w:p w:rsidR="005E690D" w:rsidRPr="00E41875" w:rsidRDefault="005E690D" w:rsidP="00073ADF">
      <w:pPr>
        <w:pStyle w:val="ListParagraph"/>
      </w:pPr>
      <w:r w:rsidRPr="00E41875">
        <w:t>Thomas Palmgren</w:t>
      </w:r>
    </w:p>
    <w:p w:rsidR="005E690D" w:rsidRPr="00E41875" w:rsidRDefault="005E690D" w:rsidP="00073ADF">
      <w:pPr>
        <w:pStyle w:val="ListParagraph"/>
      </w:pPr>
      <w:r w:rsidRPr="00E41875">
        <w:t>Víctor Fernández Vázquez</w:t>
      </w:r>
    </w:p>
    <w:p w:rsidR="00080C01" w:rsidRPr="00E41875" w:rsidRDefault="003B200D" w:rsidP="00073ADF">
      <w:pPr>
        <w:pStyle w:val="ListParagraph"/>
      </w:pPr>
      <w:r w:rsidRPr="00E41875">
        <w:t xml:space="preserve">Anastasis Yiapanis </w:t>
      </w:r>
    </w:p>
    <w:p w:rsidR="00FC0AA4" w:rsidRPr="00E41875" w:rsidRDefault="00FC0AA4" w:rsidP="00073ADF"/>
    <w:p w:rsidR="00FC0AA4" w:rsidRPr="00E41875" w:rsidRDefault="000F4718" w:rsidP="00073ADF">
      <w:pPr>
        <w:pStyle w:val="ListParagraph"/>
        <w:jc w:val="center"/>
      </w:pPr>
      <w:r w:rsidRPr="00E41875">
        <w:t>______________</w:t>
      </w:r>
    </w:p>
    <w:sectPr w:rsidR="00FC0AA4" w:rsidRPr="00E41875" w:rsidSect="00536C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5E" w:rsidRDefault="004F0D5E" w:rsidP="00354641">
      <w:pPr>
        <w:spacing w:line="240" w:lineRule="auto"/>
      </w:pPr>
      <w:r>
        <w:separator/>
      </w:r>
    </w:p>
  </w:endnote>
  <w:endnote w:type="continuationSeparator" w:id="0">
    <w:p w:rsidR="004F0D5E" w:rsidRDefault="004F0D5E" w:rsidP="00354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4E" w:rsidRPr="00536CAD" w:rsidRDefault="002B324E" w:rsidP="00536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45" w:rsidRPr="00536CAD" w:rsidRDefault="00536CAD" w:rsidP="00536CAD">
    <w:pPr>
      <w:pStyle w:val="Footer"/>
    </w:pPr>
    <w:r>
      <w:t xml:space="preserve">EESC-2017-00099-00-00-TCD-TRA (EN) tłumaczenie i weryfikacja – agencja zewnętrzna </w:t>
    </w:r>
    <w:r>
      <w:fldChar w:fldCharType="begin"/>
    </w:r>
    <w:r>
      <w:instrText xml:space="preserve"> PAGE  \* Arabic  \* MERGEFORMAT </w:instrText>
    </w:r>
    <w:r>
      <w:fldChar w:fldCharType="separate"/>
    </w:r>
    <w:r w:rsidR="005B0FA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B0FA4">
        <w:rPr>
          <w:noProof/>
        </w:rPr>
        <w:instrText>7</w:instrText>
      </w:r>
    </w:fldSimple>
    <w:r>
      <w:instrText xml:space="preserve"> </w:instrText>
    </w:r>
    <w:r>
      <w:fldChar w:fldCharType="separate"/>
    </w:r>
    <w:r w:rsidR="005B0FA4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4E" w:rsidRPr="00536CAD" w:rsidRDefault="002B324E" w:rsidP="00536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5E" w:rsidRDefault="004F0D5E" w:rsidP="00354641">
      <w:pPr>
        <w:spacing w:line="240" w:lineRule="auto"/>
      </w:pPr>
      <w:r>
        <w:separator/>
      </w:r>
    </w:p>
  </w:footnote>
  <w:footnote w:type="continuationSeparator" w:id="0">
    <w:p w:rsidR="004F0D5E" w:rsidRDefault="004F0D5E" w:rsidP="00354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4E" w:rsidRPr="00536CAD" w:rsidRDefault="002B324E" w:rsidP="00536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41" w:rsidRPr="00536CAD" w:rsidRDefault="00354641" w:rsidP="00536C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4E" w:rsidRPr="00536CAD" w:rsidRDefault="002B324E" w:rsidP="00536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962636"/>
    <w:multiLevelType w:val="hybridMultilevel"/>
    <w:tmpl w:val="5D5E75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3558"/>
    <w:multiLevelType w:val="hybridMultilevel"/>
    <w:tmpl w:val="3AEE3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61343"/>
    <w:multiLevelType w:val="hybridMultilevel"/>
    <w:tmpl w:val="57B0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B5DEA"/>
    <w:multiLevelType w:val="hybridMultilevel"/>
    <w:tmpl w:val="2936626A"/>
    <w:lvl w:ilvl="0" w:tplc="C70A8142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3571"/>
    <w:multiLevelType w:val="hybridMultilevel"/>
    <w:tmpl w:val="03704E46"/>
    <w:lvl w:ilvl="0" w:tplc="4CF48F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4F8E"/>
    <w:multiLevelType w:val="hybridMultilevel"/>
    <w:tmpl w:val="8A0689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6501"/>
    <w:multiLevelType w:val="hybridMultilevel"/>
    <w:tmpl w:val="29E0F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55F84"/>
    <w:multiLevelType w:val="hybridMultilevel"/>
    <w:tmpl w:val="334EB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DE1B99"/>
    <w:multiLevelType w:val="hybridMultilevel"/>
    <w:tmpl w:val="0B12EFE2"/>
    <w:lvl w:ilvl="0" w:tplc="0C267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3191"/>
    <w:multiLevelType w:val="hybridMultilevel"/>
    <w:tmpl w:val="8E189E0E"/>
    <w:lvl w:ilvl="0" w:tplc="EF02DA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20A8"/>
    <w:multiLevelType w:val="hybridMultilevel"/>
    <w:tmpl w:val="C388B0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575E"/>
    <w:multiLevelType w:val="hybridMultilevel"/>
    <w:tmpl w:val="058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E6BE5"/>
    <w:multiLevelType w:val="hybridMultilevel"/>
    <w:tmpl w:val="F85C732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D32E08"/>
    <w:multiLevelType w:val="hybridMultilevel"/>
    <w:tmpl w:val="26D2C29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A2C28"/>
    <w:multiLevelType w:val="hybridMultilevel"/>
    <w:tmpl w:val="5BF2E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1E6E40"/>
    <w:multiLevelType w:val="hybridMultilevel"/>
    <w:tmpl w:val="BFCA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0A1A9B"/>
    <w:multiLevelType w:val="hybridMultilevel"/>
    <w:tmpl w:val="DE30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3B576A"/>
    <w:multiLevelType w:val="hybridMultilevel"/>
    <w:tmpl w:val="A56470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F4129"/>
    <w:multiLevelType w:val="hybridMultilevel"/>
    <w:tmpl w:val="E8DCFF7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10EDF"/>
    <w:multiLevelType w:val="hybridMultilevel"/>
    <w:tmpl w:val="556E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2"/>
  </w:num>
  <w:num w:numId="5">
    <w:abstractNumId w:val="18"/>
  </w:num>
  <w:num w:numId="6">
    <w:abstractNumId w:val="11"/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10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3F"/>
    <w:rsid w:val="00047F95"/>
    <w:rsid w:val="00073ADF"/>
    <w:rsid w:val="000778E9"/>
    <w:rsid w:val="00080C01"/>
    <w:rsid w:val="00096A3F"/>
    <w:rsid w:val="000F4718"/>
    <w:rsid w:val="00131417"/>
    <w:rsid w:val="001B5D4B"/>
    <w:rsid w:val="001E0D05"/>
    <w:rsid w:val="001F72A0"/>
    <w:rsid w:val="00217CFD"/>
    <w:rsid w:val="00283C63"/>
    <w:rsid w:val="0028521C"/>
    <w:rsid w:val="002908B8"/>
    <w:rsid w:val="002B324E"/>
    <w:rsid w:val="00325AD9"/>
    <w:rsid w:val="00354641"/>
    <w:rsid w:val="003A552F"/>
    <w:rsid w:val="003B200D"/>
    <w:rsid w:val="003C3EEF"/>
    <w:rsid w:val="003F2495"/>
    <w:rsid w:val="004F0D5E"/>
    <w:rsid w:val="004F4E7F"/>
    <w:rsid w:val="004F7502"/>
    <w:rsid w:val="00536CAD"/>
    <w:rsid w:val="005636C0"/>
    <w:rsid w:val="00575D38"/>
    <w:rsid w:val="005B0FA4"/>
    <w:rsid w:val="005E690D"/>
    <w:rsid w:val="00621F9D"/>
    <w:rsid w:val="006F1CF3"/>
    <w:rsid w:val="00705A1C"/>
    <w:rsid w:val="00724501"/>
    <w:rsid w:val="0073601C"/>
    <w:rsid w:val="00736574"/>
    <w:rsid w:val="0078783F"/>
    <w:rsid w:val="007C29C6"/>
    <w:rsid w:val="007E48D7"/>
    <w:rsid w:val="007F145F"/>
    <w:rsid w:val="008140E8"/>
    <w:rsid w:val="0082543C"/>
    <w:rsid w:val="00865DFC"/>
    <w:rsid w:val="00882D96"/>
    <w:rsid w:val="008E4133"/>
    <w:rsid w:val="008F52A7"/>
    <w:rsid w:val="00911E04"/>
    <w:rsid w:val="00920384"/>
    <w:rsid w:val="00996E37"/>
    <w:rsid w:val="009D3396"/>
    <w:rsid w:val="00A63B3D"/>
    <w:rsid w:val="00A751A3"/>
    <w:rsid w:val="00B16689"/>
    <w:rsid w:val="00B770E3"/>
    <w:rsid w:val="00BC5304"/>
    <w:rsid w:val="00BC7D91"/>
    <w:rsid w:val="00C46EF5"/>
    <w:rsid w:val="00CC3F42"/>
    <w:rsid w:val="00D06963"/>
    <w:rsid w:val="00E22EDD"/>
    <w:rsid w:val="00E27FA6"/>
    <w:rsid w:val="00E40E46"/>
    <w:rsid w:val="00E41875"/>
    <w:rsid w:val="00E717EB"/>
    <w:rsid w:val="00E828E2"/>
    <w:rsid w:val="00E841CE"/>
    <w:rsid w:val="00E912BE"/>
    <w:rsid w:val="00F07370"/>
    <w:rsid w:val="00F21C9F"/>
    <w:rsid w:val="00F63345"/>
    <w:rsid w:val="00F8060C"/>
    <w:rsid w:val="00F8502D"/>
    <w:rsid w:val="00FC0AA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4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B324E"/>
    <w:pPr>
      <w:numPr>
        <w:numId w:val="19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B324E"/>
    <w:pPr>
      <w:numPr>
        <w:ilvl w:val="1"/>
        <w:numId w:val="19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B324E"/>
    <w:pPr>
      <w:numPr>
        <w:ilvl w:val="2"/>
        <w:numId w:val="19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B324E"/>
    <w:pPr>
      <w:numPr>
        <w:ilvl w:val="3"/>
        <w:numId w:val="19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B324E"/>
    <w:pPr>
      <w:numPr>
        <w:ilvl w:val="4"/>
        <w:numId w:val="19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B324E"/>
    <w:pPr>
      <w:numPr>
        <w:ilvl w:val="5"/>
        <w:numId w:val="19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B324E"/>
    <w:pPr>
      <w:numPr>
        <w:ilvl w:val="6"/>
        <w:numId w:val="19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B324E"/>
    <w:pPr>
      <w:numPr>
        <w:ilvl w:val="7"/>
        <w:numId w:val="19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B324E"/>
    <w:pPr>
      <w:numPr>
        <w:ilvl w:val="8"/>
        <w:numId w:val="19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63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2B324E"/>
  </w:style>
  <w:style w:type="character" w:customStyle="1" w:styleId="HeaderChar">
    <w:name w:val="Header Char"/>
    <w:basedOn w:val="DefaultParagraphFont"/>
    <w:link w:val="Header"/>
    <w:rsid w:val="00354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2B324E"/>
  </w:style>
  <w:style w:type="character" w:customStyle="1" w:styleId="FooterChar">
    <w:name w:val="Footer Char"/>
    <w:basedOn w:val="DefaultParagraphFont"/>
    <w:link w:val="Footer"/>
    <w:rsid w:val="0035464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B324E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2B324E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2B324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B324E"/>
    <w:rPr>
      <w:rFonts w:ascii="Times New Roman" w:eastAsia="Times New Roman" w:hAnsi="Times New Roman" w:cs="Times New Roman"/>
      <w:sz w:val="16"/>
      <w:lang w:val="pl-PL"/>
    </w:rPr>
  </w:style>
  <w:style w:type="paragraph" w:customStyle="1" w:styleId="quotes">
    <w:name w:val="quotes"/>
    <w:basedOn w:val="Normal"/>
    <w:next w:val="Normal"/>
    <w:rsid w:val="002B324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2B324E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4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B324E"/>
    <w:pPr>
      <w:numPr>
        <w:numId w:val="19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B324E"/>
    <w:pPr>
      <w:numPr>
        <w:ilvl w:val="1"/>
        <w:numId w:val="19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B324E"/>
    <w:pPr>
      <w:numPr>
        <w:ilvl w:val="2"/>
        <w:numId w:val="19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B324E"/>
    <w:pPr>
      <w:numPr>
        <w:ilvl w:val="3"/>
        <w:numId w:val="19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B324E"/>
    <w:pPr>
      <w:numPr>
        <w:ilvl w:val="4"/>
        <w:numId w:val="19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B324E"/>
    <w:pPr>
      <w:numPr>
        <w:ilvl w:val="5"/>
        <w:numId w:val="19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B324E"/>
    <w:pPr>
      <w:numPr>
        <w:ilvl w:val="6"/>
        <w:numId w:val="19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B324E"/>
    <w:pPr>
      <w:numPr>
        <w:ilvl w:val="7"/>
        <w:numId w:val="19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B324E"/>
    <w:pPr>
      <w:numPr>
        <w:ilvl w:val="8"/>
        <w:numId w:val="19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C63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2B324E"/>
  </w:style>
  <w:style w:type="character" w:customStyle="1" w:styleId="HeaderChar">
    <w:name w:val="Header Char"/>
    <w:basedOn w:val="DefaultParagraphFont"/>
    <w:link w:val="Header"/>
    <w:rsid w:val="00354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2B324E"/>
  </w:style>
  <w:style w:type="character" w:customStyle="1" w:styleId="FooterChar">
    <w:name w:val="Footer Char"/>
    <w:basedOn w:val="DefaultParagraphFont"/>
    <w:link w:val="Footer"/>
    <w:rsid w:val="00354641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B324E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2B324E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2B324E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2B324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B324E"/>
    <w:rPr>
      <w:rFonts w:ascii="Times New Roman" w:eastAsia="Times New Roman" w:hAnsi="Times New Roman" w:cs="Times New Roman"/>
      <w:sz w:val="16"/>
      <w:lang w:val="pl-PL"/>
    </w:rPr>
  </w:style>
  <w:style w:type="paragraph" w:customStyle="1" w:styleId="quotes">
    <w:name w:val="quotes"/>
    <w:basedOn w:val="Normal"/>
    <w:next w:val="Normal"/>
    <w:rsid w:val="002B324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2B324E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WTPCSN73YJ26-3-12523</_dlc_DocId>
    <_dlc_DocIdUrl xmlns="8a3471f6-0f36-4ccf-b5ee-1ca67ea797ef">
      <Url>http://dm/EESC/2017/_layouts/DocIdRedir.aspx?ID=WTPCSN73YJ26-3-12523</Url>
      <Description>WTPCSN73YJ26-3-12523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08752a15-b0a7-485d-8352-b47b34a09caa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2017-06-27T12:00:00+00:00</ProductionDate>
    <DocumentNumber xmlns="08752a15-b0a7-485d-8352-b47b34a09caa">99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2017-01-30T12:00:00+00:00</MeetingDate>
    <TaxCatchAll xmlns="8a3471f6-0f36-4ccf-b5ee-1ca67ea797ef">
      <Value>86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237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CCMI</TermName>
          <TermId xmlns="http://schemas.microsoft.com/office/infopath/2007/PartnerControls">5795ccfc-ebb7-4e2d-a45e-09a8301b3a5c</TermId>
        </TermInfo>
      </Terms>
    </MeetingName_0>
    <RequestingService xmlns="8a3471f6-0f36-4ccf-b5ee-1ca67ea797ef">Commission consultative des mutations industrielles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66332C33BA7D34CB4DCF73B0F12F076" ma:contentTypeVersion="4" ma:contentTypeDescription="Defines the documents for Document Manager V2" ma:contentTypeScope="" ma:versionID="a98a9e947f9f8bbdde3237b199d59b69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08752a15-b0a7-485d-8352-b47b34a09caa" targetNamespace="http://schemas.microsoft.com/office/2006/metadata/properties" ma:root="true" ma:fieldsID="8b2941d09668438ab480b3eca5d60a5e" ns2:_="" ns3:_="" ns4:_="">
    <xsd:import namespace="8a3471f6-0f36-4ccf-b5ee-1ca67ea797ef"/>
    <xsd:import namespace="http://schemas.microsoft.com/sharepoint/v3/fields"/>
    <xsd:import namespace="08752a15-b0a7-485d-8352-b47b34a0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2a15-b0a7-485d-8352-b47b34a09ca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3E372-449B-4135-9A91-7935CBE39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C76FC1-0F8E-474F-B67B-9E1B88B25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5286D-A99A-48E1-A84E-BBCFAC847A76}">
  <ds:schemaRefs>
    <ds:schemaRef ds:uri="http://purl.org/dc/dcmitype/"/>
    <ds:schemaRef ds:uri="8a3471f6-0f36-4ccf-b5ee-1ca67ea797ef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8752a15-b0a7-485d-8352-b47b34a09caa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946232-3F30-43B3-AB53-A3161069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08752a15-b0a7-485d-8352-b47b34a0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7</Pages>
  <Words>2504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Skonsolidowane sprawozdanie dotyczące debat CCMI w sprawie strategicznej realizacji unijnego partnerstwa innowacji w dziedzinie surowców 2015/2016</vt:lpstr>
    </vt:vector>
  </TitlesOfParts>
  <Company>CESE-CdR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Skonsolidowane sprawozdanie dotyczące debat CCMI w sprawie strategicznej realizacji unijnego partnerstwa innowacji w dziedzinie surowców 2015/2016</dc:title>
  <dc:subject>Prace konsultacyjne – dokumenty różne</dc:subject>
  <dc:creator>Kyriaki Anastasaki</dc:creator>
  <cp:keywords>EESC-2017-00099-00-00-TCD-TRA-PL</cp:keywords>
  <dc:description>Rapporteur: -_x000d_
Original language: EN_x000d_
Date of document: 27/06/2017_x000d_
Date of meeting: 30/01/2017_x000d_
External documents: -_x000d_
Administrator responsible: Hick Alan, telephone: +32 (0)2 546 9302_x000d_
_x000d_
Abstract:</dc:description>
  <cp:lastModifiedBy>Kyriaki Anastasaki</cp:lastModifiedBy>
  <cp:revision>2</cp:revision>
  <cp:lastPrinted>2017-01-19T11:43:00Z</cp:lastPrinted>
  <dcterms:created xsi:type="dcterms:W3CDTF">2017-07-03T06:28:00Z</dcterms:created>
  <dcterms:modified xsi:type="dcterms:W3CDTF">2017-07-03T06:28:00Z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20/01/2017</vt:lpwstr>
  </property>
  <property fmtid="{D5CDD505-2E9C-101B-9397-08002B2CF9AE}" pid="4" name="Pref_Time">
    <vt:lpwstr>09:42:40</vt:lpwstr>
  </property>
  <property fmtid="{D5CDD505-2E9C-101B-9397-08002B2CF9AE}" pid="5" name="Pref_User">
    <vt:lpwstr>enied</vt:lpwstr>
  </property>
  <property fmtid="{D5CDD505-2E9C-101B-9397-08002B2CF9AE}" pid="6" name="Pref_FileName">
    <vt:lpwstr>EESC-2017-00099-00-00-TCD-TRA-EN-CRR.docx</vt:lpwstr>
  </property>
  <property fmtid="{D5CDD505-2E9C-101B-9397-08002B2CF9AE}" pid="7" name="ContentTypeId">
    <vt:lpwstr>0x010100EA97B91038054C99906057A708A1480A00366332C33BA7D34CB4DCF73B0F12F076</vt:lpwstr>
  </property>
  <property fmtid="{D5CDD505-2E9C-101B-9397-08002B2CF9AE}" pid="8" name="_dlc_DocIdItemGuid">
    <vt:lpwstr>cc84bf6d-8967-4ad4-aaa6-198e1c5ba697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22;#IT|0774613c-01ed-4e5d-a25d-11d2388de825;#34;#SK|46d9fce0-ef79-4f71-b89b-cd6aa82426b8;#36;#BG|1a1b3951-7821-4e6a-85f5-5673fc08bd2c;#24;#EL|6d4f4d51-af9b-4650-94b4-4276bee85c91;#25;#FI|87606a43-d45f-42d6-b8c9-e1a3457db5b7;#4;#EN|f2175f21-25d7-44a3-96da-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99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Commission consultative des mutations industrielles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CCMI|5795ccfc-ebb7-4e2d-a45e-09a8301b3a5c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86;#CCMI|5795ccfc-ebb7-4e2d-a45e-09a8301b3a5c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2017-01-30T12:00:00Z</vt:filetime>
  </property>
  <property fmtid="{D5CDD505-2E9C-101B-9397-08002B2CF9AE}" pid="30" name="TaxCatchAll">
    <vt:lpwstr>86;#CCMI|5795ccfc-ebb7-4e2d-a45e-09a8301b3a5c;#38;#HR|2f555653-ed1a-4fe6-8362-9082d95989e5;#37;#RO|feb747a2-64cd-4299-af12-4833ddc30497;#36;#BG|1a1b3951-7821-4e6a-85f5-5673fc08bd2c;#35;#SL|98a412ae-eb01-49e9-ae3d-585a81724cfc;#34;#SK|46d9fce0-ef79-4f71-b8</vt:lpwstr>
  </property>
  <property fmtid="{D5CDD505-2E9C-101B-9397-08002B2CF9AE}" pid="31" name="AvailableTranslations_0">
    <vt:lpwstr>IT|0774613c-01ed-4e5d-a25d-11d2388de825;SK|46d9fce0-ef79-4f71-b89b-cd6aa82426b8;BG|1a1b3951-7821-4e6a-85f5-5673fc08bd2c;EL|6d4f4d51-af9b-4650-94b4-4276bee85c91;FI|87606a43-d45f-42d6-b8c9-e1a3457db5b7;EN|f2175f21-25d7-44a3-96da-d6a61b075e1b;DE|f6b31e5a-26f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237</vt:i4>
  </property>
  <property fmtid="{D5CDD505-2E9C-101B-9397-08002B2CF9AE}" pid="35" name="DocumentYear">
    <vt:i4>2017</vt:i4>
  </property>
  <property fmtid="{D5CDD505-2E9C-101B-9397-08002B2CF9AE}" pid="36" name="DocumentLanguage">
    <vt:lpwstr>33;#PL|1e03da61-4678-4e07-b136-b5024ca9197b</vt:lpwstr>
  </property>
</Properties>
</file>