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4718" w:rsidRPr="00526C21" w:rsidRDefault="000F4718" w:rsidP="00131417">
      <w:pPr>
        <w:jc w:val="center"/>
        <w:rPr>
          <w:b/>
          <w:sz w:val="16"/>
          <w:szCs w:val="16"/>
        </w:rPr>
      </w:pPr>
      <w:r w:rsidRPr="00526C21">
        <w:rPr>
          <w:noProof/>
          <w:sz w:val="20"/>
          <w:lang w:val="fr-BE" w:eastAsia="fr-BE" w:bidi="ar-SA"/>
        </w:rPr>
        <mc:AlternateContent>
          <mc:Choice Requires="wps">
            <w:drawing>
              <wp:anchor distT="0" distB="0" distL="114300" distR="114300" simplePos="0" relativeHeight="251659264" behindDoc="1" locked="0" layoutInCell="0" allowOverlap="1" wp14:anchorId="45222632" wp14:editId="4A2034D7">
                <wp:simplePos x="0" y="0"/>
                <wp:positionH relativeFrom="page">
                  <wp:posOffset>6770788</wp:posOffset>
                </wp:positionH>
                <wp:positionV relativeFrom="page">
                  <wp:posOffset>10084828</wp:posOffset>
                </wp:positionV>
                <wp:extent cx="644837" cy="396416"/>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37" cy="396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4E" w:rsidRPr="00260E65" w:rsidRDefault="002B324E">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15pt;margin-top:794.1pt;width:50.75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fL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" o:allowincell="f" filled="f" stroked="f">
                <v:textbox>
                  <w:txbxContent>
                    <w:p w:rsidR="002B324E" w:rsidRPr="00260E65" w:rsidRDefault="002B324E">
                      <w:pPr>
                        <w:jc w:val="center"/>
                        <w:rPr>
                          <w:rFonts w:ascii="Arial" w:hAnsi="Arial" w:cs="Arial"/>
                          <w:b/>
                          <w:bCs/>
                          <w:sz w:val="48"/>
                        </w:rPr>
                      </w:pPr>
                      <w:r>
                        <w:rPr>
                          <w:rFonts w:ascii="Arial" w:hAnsi="Arial"/>
                          <w:b/>
                          <w:sz w:val="48"/>
                        </w:rPr>
                        <w:t>LT</w:t>
                      </w:r>
                    </w:p>
                  </w:txbxContent>
                </v:textbox>
                <w10:wrap xmlns:w10="urn:schemas-microsoft-com:office:word" anchorx="page" anchory="page"/>
              </v:shape>
            </w:pict>
          </mc:Fallback>
        </mc:AlternateContent>
      </w:r>
    </w:p>
    <w:p w:rsidR="001B5D4B" w:rsidRPr="00526C21" w:rsidRDefault="00621F9D" w:rsidP="00131417">
      <w:pPr>
        <w:jc w:val="center"/>
        <w:rPr>
          <w:b/>
          <w:sz w:val="32"/>
          <w:szCs w:val="32"/>
        </w:rPr>
      </w:pPr>
      <w:r w:rsidRPr="00526C21">
        <w:rPr>
          <w:b/>
          <w:sz w:val="32"/>
        </w:rPr>
        <w:t>Suvestinė ataskaita, apibendrinanti CCMI apskritojo stalo diskusijas dėl 2015–2016 m. Europos inovacijų partnerystės žaliavų srityje strateginio įgyvendinimo</w:t>
      </w:r>
    </w:p>
    <w:p w:rsidR="00FF33D6" w:rsidRPr="00526C21" w:rsidRDefault="00FF33D6" w:rsidP="00131417"/>
    <w:p w:rsidR="00E841CE" w:rsidRPr="00526C21" w:rsidRDefault="0078783F" w:rsidP="00131417">
      <w:r w:rsidRPr="00526C21">
        <w:t xml:space="preserve">2008 m. lapkričio 4 d. Europos Komisija Europos lygmeniu priėmė komunikatą </w:t>
      </w:r>
      <w:r w:rsidRPr="00526C21">
        <w:rPr>
          <w:i/>
        </w:rPr>
        <w:t>Žaliavų iniciatyva: įgyvendinant svarbiausius poreikius užtikrinti ekonomikos augimą ir darbo vietų kūrimą Europoje</w:t>
      </w:r>
      <w:r w:rsidRPr="00526C21">
        <w:t xml:space="preserve">, pradėdama svarbų etapą esminių pokyčių procese, sustiprinusiame teigiamą poveikį permainoms gavybos sektoriuje. Iš tiesų paskelbiant Žaliavų iniciatyvą buvo pripažinta, kad visuomenei, konkurencingumui, augimui ir darbo vietų kūrimui Europoje būtinos naudingosios iškasenos. Komisija taip pat pripažino, kad Europa yra priklausoma nuo šių išteklių tiekimo iš kitų šalių, todėl reikia įgyvendinti priemones, kad būtų užtikrintas saugus ir ilgalaikis tiekimas, paremtas trimis ramsčiais: </w:t>
      </w:r>
    </w:p>
    <w:p w:rsidR="00E841CE" w:rsidRPr="00526C21" w:rsidRDefault="0078783F" w:rsidP="00131417">
      <w:pPr>
        <w:pStyle w:val="ListParagraph"/>
        <w:numPr>
          <w:ilvl w:val="0"/>
          <w:numId w:val="17"/>
        </w:numPr>
      </w:pPr>
      <w:r w:rsidRPr="00526C21">
        <w:t>sąžiningu ir tvariu žaliavų tiekimu tarptautinėse rinkose;</w:t>
      </w:r>
    </w:p>
    <w:p w:rsidR="00E841CE" w:rsidRPr="00526C21" w:rsidRDefault="0078783F" w:rsidP="00131417">
      <w:pPr>
        <w:pStyle w:val="ListParagraph"/>
        <w:numPr>
          <w:ilvl w:val="0"/>
          <w:numId w:val="17"/>
        </w:numPr>
      </w:pPr>
      <w:r w:rsidRPr="00526C21">
        <w:t xml:space="preserve">nenutrūkstamo tiekimo Europos Sąjungoje skatinimu; </w:t>
      </w:r>
    </w:p>
    <w:p w:rsidR="00FF33D6" w:rsidRPr="00526C21" w:rsidRDefault="00E40E46" w:rsidP="00131417">
      <w:pPr>
        <w:pStyle w:val="ListParagraph"/>
        <w:numPr>
          <w:ilvl w:val="0"/>
          <w:numId w:val="17"/>
        </w:numPr>
      </w:pPr>
      <w:r w:rsidRPr="00526C21">
        <w:t>išteklių panaudojimo efektyvumo didinimu,</w:t>
      </w:r>
      <w:r w:rsidR="007662A8" w:rsidRPr="00526C21">
        <w:t xml:space="preserve"> </w:t>
      </w:r>
      <w:r w:rsidRPr="00526C21">
        <w:t>beatliekiniu žaliavų panaudojimu ir atliekų perdirbimo skatinimu.</w:t>
      </w:r>
    </w:p>
    <w:p w:rsidR="00FF33D6" w:rsidRPr="00526C21" w:rsidRDefault="00FF33D6" w:rsidP="00131417"/>
    <w:p w:rsidR="00911E04" w:rsidRPr="00526C21" w:rsidRDefault="0078783F" w:rsidP="00131417">
      <w:r w:rsidRPr="00526C21">
        <w:t xml:space="preserve">2011 m. vasario 2 d. </w:t>
      </w:r>
      <w:r w:rsidRPr="00526C21">
        <w:rPr>
          <w:i/>
        </w:rPr>
        <w:t>Komunikate dėl uždavinių, susijusių su biržos prekių rinkomis ir žaliavomis, sprendimo</w:t>
      </w:r>
      <w:r w:rsidRPr="00526C21">
        <w:t xml:space="preserve"> Komisija pareiškė ketinanti stiprinti Žaliavų iniciatyvos įgyvendinimą. Tuo tikslu ir norėdama skatinti investicijas į gavybos pramonės šakas Komisija pareiškė, kad ypač svarbu:</w:t>
      </w:r>
    </w:p>
    <w:p w:rsidR="00E40E46" w:rsidRPr="00526C21" w:rsidRDefault="0078783F" w:rsidP="00131417">
      <w:pPr>
        <w:pStyle w:val="ListParagraph"/>
        <w:numPr>
          <w:ilvl w:val="0"/>
          <w:numId w:val="15"/>
        </w:numPr>
      </w:pPr>
      <w:r w:rsidRPr="00526C21">
        <w:t xml:space="preserve">nustatyti nacionalinę naudingųjų iškasenų politiką, kad būtų užtikrinta, jog ištekliai būtų naudojami kuo ekonomiškiau, atsižvelgiant į kitas nacionalinės politikos kryptis, remiantis darnaus vystymosi principais ir laikantis įsipareigojimo sukurti teisinę sistemą ir informacinę bazę; </w:t>
      </w:r>
    </w:p>
    <w:p w:rsidR="00E40E46" w:rsidRPr="00526C21" w:rsidRDefault="0078783F" w:rsidP="00131417">
      <w:pPr>
        <w:pStyle w:val="ListParagraph"/>
        <w:numPr>
          <w:ilvl w:val="0"/>
          <w:numId w:val="15"/>
        </w:numPr>
      </w:pPr>
      <w:r w:rsidRPr="00526C21">
        <w:t>suformuluoti žemės naudojimo naudingųjų iškasenų gavybos tikslais planavimo politiką, kuri apimtų skaitmeninę geologinių duomenų bazę, skaidrią naudingųjų iškasenų išteklių nustatymo metodiką, ilgalaikės regioninio ir vietinio masto paklausos įverčius, naudingųjų iškasenų išteklių nustatymo ir apsaugos priemones (atsižvelgiant į kitokią žemės naudojimo paskirtį);</w:t>
      </w:r>
    </w:p>
    <w:p w:rsidR="0078783F" w:rsidRPr="00526C21" w:rsidRDefault="0078783F" w:rsidP="00131417">
      <w:pPr>
        <w:pStyle w:val="ListParagraph"/>
        <w:numPr>
          <w:ilvl w:val="0"/>
          <w:numId w:val="15"/>
        </w:numPr>
      </w:pPr>
      <w:r w:rsidRPr="00526C21">
        <w:t>nustatyti naudingųjų iškasenų žvalgymo ir gavybos leidimų išdavimo procedūrą, kuri būtų aiški ir suprantama, kad suteiktų patikimumo ir prisidėtų prie administracinio proceso supaprastinimo.</w:t>
      </w:r>
    </w:p>
    <w:p w:rsidR="00FF33D6" w:rsidRPr="00526C21" w:rsidRDefault="00FF33D6" w:rsidP="00131417"/>
    <w:p w:rsidR="00A63B3D" w:rsidRPr="00526C21" w:rsidRDefault="0078783F" w:rsidP="00131417">
      <w:r w:rsidRPr="00526C21">
        <w:t>Siekdama sukurti palankų investicinį klimatą Komisija taip pat nusprendė, kad būtina priimti priemones, kuriomis būtų užtikrintas didesnis įplaukų skaidrumas įgyvendinant Gavybos pramonės skaidrumo iniciatyvą ir skatinant gerą valdymą mokesčių srityje.</w:t>
      </w:r>
    </w:p>
    <w:p w:rsidR="00FF33D6" w:rsidRPr="00526C21" w:rsidRDefault="00FF33D6" w:rsidP="00131417"/>
    <w:p w:rsidR="00F07370" w:rsidRPr="00526C21" w:rsidRDefault="00F07370" w:rsidP="00131417">
      <w:r w:rsidRPr="00526C21">
        <w:t>Valstybės narės ES naudingųjų iškasenų potencialą laiko ekonomikos vystymosi veiksniu, todėl būtina pasirinkti kompleksišką šio sektoriaus strategiją, kuri aprėptų ekonominius, socialinius ir aplinkos aspektus, taip pat apibrėžiant teisinę ir institucinę sistemą efektyviam įvairios veiklos vykdymui.</w:t>
      </w:r>
    </w:p>
    <w:p w:rsidR="00FF33D6" w:rsidRPr="00526C21" w:rsidRDefault="00FF33D6" w:rsidP="00131417"/>
    <w:p w:rsidR="00911E04" w:rsidRPr="00526C21" w:rsidRDefault="00F07370" w:rsidP="00131417">
      <w:r w:rsidRPr="00526C21">
        <w:t xml:space="preserve">Atsakingas naudingųjų iškasenų eksploatavimas yra svarbus veiksnys, galintis ženkliai pagerinti nacionalinės ekonomikos rezultatus. Tam būtina konsoliduoti darnią politiką, kuria būtų </w:t>
      </w:r>
      <w:r w:rsidRPr="00526C21">
        <w:lastRenderedPageBreak/>
        <w:t xml:space="preserve">kompleksiškai sprendžiami ekonominiai, socialiniai ir aplinkosaugos klausimai ir aiškiai apibrėžta teisinė ir institucinė sistema. </w:t>
      </w:r>
    </w:p>
    <w:p w:rsidR="00705A1C" w:rsidRPr="00526C21" w:rsidRDefault="001B5D4B" w:rsidP="00073ADF">
      <w:r w:rsidRPr="00526C21">
        <w:rPr>
          <w:b/>
        </w:rPr>
        <w:t xml:space="preserve">2015 m. </w:t>
      </w:r>
      <w:r w:rsidRPr="00526C21">
        <w:t>buvo surengtos įvairios nacionalinės apskritojo stalo diskusijos</w:t>
      </w:r>
      <w:r w:rsidRPr="00526C21">
        <w:rPr>
          <w:b/>
        </w:rPr>
        <w:t>: Ispanijoje (kovo mėn.), Slovakijoje (balandžio mėn.), Rumunijoje (birželio mėn.), Suomijoje (rugsėjo mėn.), o 2016 m.</w:t>
      </w:r>
      <w:r w:rsidR="007662A8" w:rsidRPr="00526C21">
        <w:rPr>
          <w:b/>
        </w:rPr>
        <w:t xml:space="preserve"> </w:t>
      </w:r>
      <w:r w:rsidRPr="00526C21">
        <w:rPr>
          <w:b/>
        </w:rPr>
        <w:t>– Portugalijoje (balandžio mėn.), Airijoje (gegužės mėn.), Lenkijoje (birželio mėn.), Čekijos Respublikoje (lapkričio mėn.) ir Belgijoje (lapkričio mėn.)</w:t>
      </w:r>
      <w:r w:rsidRPr="00526C21">
        <w:t>.</w:t>
      </w:r>
    </w:p>
    <w:p w:rsidR="0082543C" w:rsidRPr="00526C21" w:rsidRDefault="0082543C" w:rsidP="00073ADF"/>
    <w:p w:rsidR="00911E04" w:rsidRPr="00526C21" w:rsidRDefault="001B5D4B" w:rsidP="00073ADF">
      <w:pPr>
        <w:rPr>
          <w:b/>
        </w:rPr>
      </w:pPr>
      <w:r w:rsidRPr="00526C21">
        <w:rPr>
          <w:b/>
        </w:rPr>
        <w:t xml:space="preserve">Galima padaryti tokią išvadą: reikia veiksmų plano vidutinės trukmės laikotarpiui iki 2030 m. ir ilgalaikio veiksmų plano iki 2050 m. Šiame veiksmų plane reikia numatyti su šiais iššūkiais susijusį sprendimą: </w:t>
      </w:r>
    </w:p>
    <w:p w:rsidR="008140E8" w:rsidRPr="00526C21" w:rsidRDefault="008140E8" w:rsidP="00073ADF">
      <w:pPr>
        <w:pStyle w:val="ListParagraph"/>
        <w:numPr>
          <w:ilvl w:val="0"/>
          <w:numId w:val="2"/>
        </w:numPr>
        <w:rPr>
          <w:b/>
        </w:rPr>
      </w:pPr>
      <w:r w:rsidRPr="00526C21">
        <w:rPr>
          <w:b/>
        </w:rPr>
        <w:t>užtikrinti žaliavų tiekimo saugumą, įskaitant bazinio rezervo nustatymą, konkrečius reikalavimus didelio poveikio technologijoms ir ekonominio atsparumo klausimo sprendimą;</w:t>
      </w:r>
    </w:p>
    <w:p w:rsidR="008140E8" w:rsidRPr="00526C21" w:rsidRDefault="008140E8" w:rsidP="00073ADF">
      <w:pPr>
        <w:pStyle w:val="ListParagraph"/>
        <w:numPr>
          <w:ilvl w:val="0"/>
          <w:numId w:val="2"/>
        </w:numPr>
        <w:rPr>
          <w:b/>
        </w:rPr>
      </w:pPr>
      <w:r w:rsidRPr="00526C21">
        <w:rPr>
          <w:b/>
        </w:rPr>
        <w:t>spręsti energetikos ir klimato kaitos ryšio klausimą, įskaitant švarių technologijų vystymą, regionų, kuriuose tenka uždaryti anglies kasyklas, tvarumą ir žaliavų alternatyvios energijos gamybai ir naudojimui užtikrinimą.</w:t>
      </w:r>
    </w:p>
    <w:p w:rsidR="001B5D4B" w:rsidRPr="00526C21" w:rsidRDefault="001B5D4B" w:rsidP="00073ADF"/>
    <w:p w:rsidR="00911E04" w:rsidRPr="00526C21" w:rsidRDefault="003A552F" w:rsidP="00073ADF">
      <w:r w:rsidRPr="00526C21">
        <w:t>Ypatingą dėmesį reikia skirti dviem kryptims:</w:t>
      </w:r>
    </w:p>
    <w:p w:rsidR="00F8502D" w:rsidRPr="00526C21" w:rsidRDefault="003A552F" w:rsidP="00073ADF">
      <w:pPr>
        <w:pStyle w:val="ListParagraph"/>
        <w:numPr>
          <w:ilvl w:val="0"/>
          <w:numId w:val="1"/>
        </w:numPr>
        <w:rPr>
          <w:b/>
          <w:sz w:val="24"/>
          <w:szCs w:val="24"/>
        </w:rPr>
      </w:pPr>
      <w:r w:rsidRPr="00526C21">
        <w:rPr>
          <w:b/>
          <w:sz w:val="24"/>
        </w:rPr>
        <w:t>A kryptis. Nacionalinė politika ir teisėkūros matmuo</w:t>
      </w:r>
    </w:p>
    <w:p w:rsidR="00FF33D6" w:rsidRPr="00526C21" w:rsidRDefault="00BC7D91" w:rsidP="00073ADF">
      <w:pPr>
        <w:ind w:firstLine="360"/>
      </w:pPr>
      <w:r w:rsidRPr="00526C21">
        <w:t xml:space="preserve">Šiame kontekste </w:t>
      </w:r>
      <w:r w:rsidRPr="00526C21">
        <w:rPr>
          <w:b/>
        </w:rPr>
        <w:t>nacionalinėmis žaliavų strategijomis</w:t>
      </w:r>
      <w:r w:rsidRPr="00526C21">
        <w:t xml:space="preserve"> reikėtų siekti skatinti:</w:t>
      </w:r>
    </w:p>
    <w:p w:rsidR="00FF33D6" w:rsidRPr="00526C21" w:rsidRDefault="00FF33D6" w:rsidP="00073ADF">
      <w:pPr>
        <w:ind w:firstLine="360"/>
      </w:pPr>
    </w:p>
    <w:p w:rsidR="004F4E7F" w:rsidRPr="00526C21" w:rsidRDefault="00BC7D91" w:rsidP="00073ADF">
      <w:pPr>
        <w:pStyle w:val="ListParagraph"/>
        <w:numPr>
          <w:ilvl w:val="0"/>
          <w:numId w:val="5"/>
        </w:numPr>
      </w:pPr>
      <w:r w:rsidRPr="00526C21">
        <w:t>investicijų panaudojimą ir išsaugojimą bei tinkamą išteklių panaudojimą užtikrinančią dinamiką;</w:t>
      </w:r>
    </w:p>
    <w:p w:rsidR="00BC7D91" w:rsidRPr="00526C21" w:rsidRDefault="00BC7D91" w:rsidP="00073ADF">
      <w:pPr>
        <w:pStyle w:val="ListParagraph"/>
        <w:numPr>
          <w:ilvl w:val="0"/>
          <w:numId w:val="5"/>
        </w:numPr>
      </w:pPr>
      <w:r w:rsidRPr="00526C21">
        <w:t>darnumą ekonominiu, socialiniu, aplinkosaugos ir teritoriniu lygmenimis;</w:t>
      </w:r>
    </w:p>
    <w:p w:rsidR="00BC7D91" w:rsidRPr="00526C21" w:rsidRDefault="00BC7D91" w:rsidP="00073ADF">
      <w:pPr>
        <w:pStyle w:val="ListParagraph"/>
        <w:numPr>
          <w:ilvl w:val="0"/>
          <w:numId w:val="5"/>
        </w:numPr>
      </w:pPr>
      <w:r w:rsidRPr="00526C21">
        <w:t>nacionalinės ekonomikos augimą, užtikrinant būtinų žaliavų tiekimą ir padidinant jų svarbą nacionaliniam bendram vidaus produktui ir eksportui;</w:t>
      </w:r>
    </w:p>
    <w:p w:rsidR="00BC7D91" w:rsidRPr="00526C21" w:rsidRDefault="00BC7D91" w:rsidP="00073ADF">
      <w:pPr>
        <w:pStyle w:val="ListParagraph"/>
        <w:numPr>
          <w:ilvl w:val="0"/>
          <w:numId w:val="5"/>
        </w:numPr>
      </w:pPr>
      <w:r w:rsidRPr="00526C21">
        <w:t>regioninį vystymąsi, garantuotą grąžą ir užimtumą vietos žmonėms, užtikrinant bendruomenių, kuriose vykdoma žaliavų gavyba, vystymąsi.</w:t>
      </w:r>
    </w:p>
    <w:p w:rsidR="00BC7D91" w:rsidRPr="00526C21" w:rsidRDefault="00BC7D91" w:rsidP="00073ADF"/>
    <w:p w:rsidR="00BC7D91" w:rsidRPr="00526C21" w:rsidRDefault="00BC7D91" w:rsidP="00073ADF">
      <w:pPr>
        <w:ind w:firstLine="360"/>
      </w:pPr>
      <w:r w:rsidRPr="00526C21">
        <w:t>Ypač reikėtų pabrėžti šiuos dalykus:</w:t>
      </w:r>
    </w:p>
    <w:p w:rsidR="004F4E7F" w:rsidRPr="00526C21" w:rsidRDefault="004F4E7F" w:rsidP="00073ADF">
      <w:pPr>
        <w:pStyle w:val="ListParagraph"/>
        <w:numPr>
          <w:ilvl w:val="0"/>
          <w:numId w:val="7"/>
        </w:numPr>
        <w:ind w:left="1134" w:hanging="708"/>
        <w:rPr>
          <w:b/>
        </w:rPr>
      </w:pPr>
      <w:r w:rsidRPr="00526C21">
        <w:rPr>
          <w:b/>
        </w:rPr>
        <w:t>Vyriausybės vaidmuo</w:t>
      </w:r>
    </w:p>
    <w:p w:rsidR="00B16689" w:rsidRPr="00526C21" w:rsidRDefault="00B16689" w:rsidP="00073ADF">
      <w:pPr>
        <w:pStyle w:val="ListParagraph"/>
        <w:numPr>
          <w:ilvl w:val="1"/>
          <w:numId w:val="1"/>
        </w:numPr>
        <w:ind w:left="1701" w:hanging="567"/>
      </w:pPr>
      <w:r w:rsidRPr="00526C21">
        <w:t>Naudingųjų iškasenų politika turėtų atitikti ilgalaikę šalies pramonės politiką (pavyzdžiui, energetikos politiką iki 2050 m.), ir šiuo požiūriu būtina nustatyti galimybes apsirūpinti pramonės vystymui būtinomis žaliavomis;</w:t>
      </w:r>
    </w:p>
    <w:p w:rsidR="00F8502D" w:rsidRPr="00526C21" w:rsidRDefault="008F52A7" w:rsidP="00073ADF">
      <w:pPr>
        <w:pStyle w:val="ListParagraph"/>
        <w:numPr>
          <w:ilvl w:val="1"/>
          <w:numId w:val="1"/>
        </w:numPr>
        <w:ind w:left="1701" w:hanging="567"/>
      </w:pPr>
      <w:r w:rsidRPr="00526C21">
        <w:t>Reikia atkurti patikimą sektoriaus veiklos pagrindą, naujai apibrėžiant centrinės vyriausybės ir regioninių valdžios institucijų vaidmenis viena kitos atžvilgiu ir politikos priemonių, kurias reikės įgyvendinti, atžvilgiu; atitinkamoms viešosioms institucijoms reikia sudaryti sąlygas teisingai atlikti savo užduotis. Norint išspręsti pajėgumų problemas ir sutrumpinti laiką, kurio reikia leidimams gauti, valdžios institucijos turėtų apsvarstyti galimybę leisti trečiosioms šalims (pavyzdžiui, mokslininkams) nuo pat pradžių dalyvauti leidimų išdavimo procese;</w:t>
      </w:r>
    </w:p>
    <w:p w:rsidR="00F8502D" w:rsidRPr="00526C21" w:rsidRDefault="003A552F" w:rsidP="00073ADF">
      <w:pPr>
        <w:pStyle w:val="ListParagraph"/>
        <w:numPr>
          <w:ilvl w:val="1"/>
          <w:numId w:val="1"/>
        </w:numPr>
        <w:ind w:left="1701" w:hanging="567"/>
      </w:pPr>
      <w:r w:rsidRPr="00526C21">
        <w:t>Reikėtų užtikrinti pakankamai aukštus taikytinus standartus, atnaujinti teisines priemones, pertvarkyti sutarčių vykdymo drausmę užtikrinančias nuostatas, iš naujo apibrėžti naudojimosi turtu mokesčių sistemą ir kitus eksploatavimo mokesčius bei reglamentuoti naujas realijas.</w:t>
      </w:r>
    </w:p>
    <w:p w:rsidR="00E22EDD" w:rsidRPr="00526C21" w:rsidRDefault="00E22EDD" w:rsidP="00073ADF"/>
    <w:p w:rsidR="004F4E7F" w:rsidRPr="00526C21" w:rsidRDefault="004F4E7F" w:rsidP="00073ADF">
      <w:pPr>
        <w:pStyle w:val="ListParagraph"/>
        <w:numPr>
          <w:ilvl w:val="1"/>
          <w:numId w:val="8"/>
        </w:numPr>
        <w:ind w:left="1134" w:hanging="708"/>
        <w:rPr>
          <w:b/>
        </w:rPr>
      </w:pPr>
      <w:r w:rsidRPr="00526C21">
        <w:rPr>
          <w:b/>
        </w:rPr>
        <w:lastRenderedPageBreak/>
        <w:t>Žemėtvarka</w:t>
      </w:r>
    </w:p>
    <w:p w:rsidR="00B16689" w:rsidRPr="00526C21" w:rsidRDefault="00865DFC" w:rsidP="00073ADF">
      <w:pPr>
        <w:pStyle w:val="ListParagraph"/>
        <w:ind w:left="1134"/>
      </w:pPr>
      <w:r w:rsidRPr="00526C21">
        <w:t>Reikia nustatyti žemėtvarkos praktikos spragas bei problemas, taip pat gerosios praktikos pavyzdžius. Nacionalinei, regioninei ir vietos žemėtvarkai reikėtų taikyti šiuos būtiniausius standartus: geriau pažinti nacionalinį potencialą, preliminariai nustatant, kokius išteklius būtų galima ateityje eksploatuoti vystant kasybos veiklą; žemėtvarkos procese reikia įvertinti ir nustatyti strateginius naudingųjų iškasenų telkinius ir taikyti geriausią prieigos prie geologinės informacijos ir žemės praktiką.</w:t>
      </w:r>
    </w:p>
    <w:p w:rsidR="00F21C9F" w:rsidRPr="00526C21" w:rsidRDefault="00F21C9F" w:rsidP="00073ADF"/>
    <w:p w:rsidR="00B770E3" w:rsidRPr="00526C21" w:rsidRDefault="00B770E3" w:rsidP="00073ADF">
      <w:pPr>
        <w:pStyle w:val="ListParagraph"/>
        <w:numPr>
          <w:ilvl w:val="1"/>
          <w:numId w:val="8"/>
        </w:numPr>
        <w:ind w:left="1134" w:hanging="708"/>
        <w:rPr>
          <w:b/>
        </w:rPr>
      </w:pPr>
      <w:r w:rsidRPr="00526C21">
        <w:rPr>
          <w:b/>
        </w:rPr>
        <w:t xml:space="preserve">Prieiga prie žaliavų išteklių </w:t>
      </w:r>
    </w:p>
    <w:p w:rsidR="00882D96" w:rsidRPr="00526C21" w:rsidRDefault="00B770E3" w:rsidP="00073ADF">
      <w:pPr>
        <w:pStyle w:val="ListParagraph"/>
        <w:numPr>
          <w:ilvl w:val="1"/>
          <w:numId w:val="1"/>
        </w:numPr>
        <w:ind w:left="1843" w:hanging="709"/>
      </w:pPr>
      <w:r w:rsidRPr="00526C21">
        <w:t>Žvalgymo požiūriu skaidri ir aiški sistema ir prieiga prie telkinių yra būtiniausias reikalavimas, kuris svarbus visoms suinteresuotosioms šalims ir išorės suinteresuotiems subjektams. Reikia galimybės transportuoti žaliavas. Tai reiškia, kad reikia išsaugoti esamą arba pasirūpinti nauja kelių, geležinkelių ar vandens kelių infrastruktūra žaliavoms gabenti iš gavybos vietos į perdirbimo vietas ir rinkas.</w:t>
      </w:r>
    </w:p>
    <w:p w:rsidR="00B770E3" w:rsidRPr="00526C21" w:rsidRDefault="00882D96" w:rsidP="00073ADF">
      <w:pPr>
        <w:pStyle w:val="ListParagraph"/>
        <w:numPr>
          <w:ilvl w:val="1"/>
          <w:numId w:val="1"/>
        </w:numPr>
        <w:ind w:left="1843" w:hanging="709"/>
      </w:pPr>
      <w:r w:rsidRPr="00526C21">
        <w:t>Kompetentingos institucijos turėtų apsvarstyti galimybę supaprastinti leidimų išdavimo procedūras, taikyti pagal „vieno langelio“ principą veikiantį modelį ir naudoti e. valdžios priemones, pavyzdžiui, standartines elektronines formas. Kadangi Poveikio aplinkai vertinimo direktyvoje nėra numatyto grafiko ar terminų ir nėra kitų taisyklių, taikytinų leidimų išdavimui, tikslus laikotarpis skirtingose valstybėse narėse labai skirsis ir turėtų būti suderintas ir sutrumpintas taikant geriausios praktikos vadovą.</w:t>
      </w:r>
    </w:p>
    <w:p w:rsidR="00F21C9F" w:rsidRPr="00526C21" w:rsidRDefault="00F21C9F" w:rsidP="00073ADF"/>
    <w:p w:rsidR="00F8060C" w:rsidRPr="00526C21" w:rsidRDefault="00F8060C" w:rsidP="00073ADF">
      <w:pPr>
        <w:pStyle w:val="ListParagraph"/>
        <w:numPr>
          <w:ilvl w:val="1"/>
          <w:numId w:val="9"/>
        </w:numPr>
        <w:ind w:left="1134" w:hanging="708"/>
        <w:rPr>
          <w:b/>
        </w:rPr>
      </w:pPr>
      <w:r w:rsidRPr="00526C21">
        <w:rPr>
          <w:b/>
        </w:rPr>
        <w:t xml:space="preserve">Nacionalinė politika investuotojams pritraukti į esamas vietoves ir palengvinti investavimą į žvalgymą ir kasybą </w:t>
      </w:r>
    </w:p>
    <w:p w:rsidR="002908B8" w:rsidRPr="00526C21" w:rsidRDefault="00F8060C" w:rsidP="00073ADF">
      <w:pPr>
        <w:pStyle w:val="ListParagraph"/>
        <w:ind w:left="1134"/>
      </w:pPr>
      <w:r w:rsidRPr="00526C21">
        <w:t>Sprendimai investuoti vienoje ar kitoje šalyje remiasi pačiais įvairiausiais sumetimais: perspektyvumu ir žemės prieinamumu, reguliavimo sistema, leidimais, valstybės rizika, infrastruktūra, fiskaline tvarka ir kasybos įstatymais, paslaugų kaina ir žemės nuosavybės kaina, žemės valdymo teisės užtikrinimu, šalies geologų ir inžinierių kvalifikacijos lygiu. ES valstybės narės konkuruoja dėl riboto investicijų į žvalgymą kiekio. Reikia vyriausybinės ir Europos politikos ir naudingųjų iškasenų gavybos, aplinkos ir bendruomenės poreikių pusiausvyros.</w:t>
      </w:r>
    </w:p>
    <w:p w:rsidR="002908B8" w:rsidRPr="00526C21" w:rsidRDefault="00F8060C" w:rsidP="00073ADF">
      <w:pPr>
        <w:pStyle w:val="ListParagraph"/>
        <w:ind w:left="1134"/>
      </w:pPr>
      <w:r w:rsidRPr="00526C21">
        <w:t xml:space="preserve">„Pasitikėjimo trikampis“, jungiantis kasybos bendroves, vyriausybę su jos tarnybomis ir vietos bendruomenę, yra svarbus sėkmingos veiklos bet kokioje kasykloje komponentas. Tai reikia užtikrinti dar žvalgymo etapu ir tai turi tapti svarbiu prioritetu galimybių vertinimo ir planavimo etapu ir turi būti tęsiama statybos, eksploatavimo, uždarymo etapais ir etapu po uždarymo. Metalai ir mineralai yra mūsų civilizacijos infrastruktūros atrama. Todėl apmokestinimas taip pat turėtų būti adekvatus. Įmonių apmokestinimą kasybos srityje reikia peržiūrėti, kad būtų galima ir toliau pritraukti žvalgymo ir kasybos bendroves. </w:t>
      </w:r>
    </w:p>
    <w:p w:rsidR="00BC7D91" w:rsidRPr="00526C21" w:rsidRDefault="00BC7D91" w:rsidP="00073ADF">
      <w:pPr>
        <w:pStyle w:val="ListParagraph"/>
        <w:ind w:left="1134"/>
      </w:pPr>
      <w:r w:rsidRPr="00526C21">
        <w:t>Naujų kasybos investicijų pelningumą reikėtų vertinti kartu su kitoms pramonės šakomis ir jų poreikiais, nes jie priklauso nuo kasybos pramonės, o išteklius reikėtų naudoti tausiai (pavyzdžiui, stengiantis regeneruoti daugiau šalutinių ir gretutinių produktų);</w:t>
      </w:r>
    </w:p>
    <w:p w:rsidR="00F21C9F" w:rsidRPr="00526C21" w:rsidRDefault="00F21C9F" w:rsidP="00073ADF"/>
    <w:p w:rsidR="004F4E7F" w:rsidRPr="00526C21" w:rsidRDefault="004F4E7F" w:rsidP="00F43704">
      <w:pPr>
        <w:pStyle w:val="ListParagraph"/>
        <w:keepNext/>
        <w:keepLines/>
        <w:numPr>
          <w:ilvl w:val="1"/>
          <w:numId w:val="10"/>
        </w:numPr>
        <w:ind w:left="1134" w:hanging="708"/>
        <w:rPr>
          <w:b/>
        </w:rPr>
      </w:pPr>
      <w:r w:rsidRPr="00526C21">
        <w:rPr>
          <w:b/>
        </w:rPr>
        <w:t>Inovacijos</w:t>
      </w:r>
    </w:p>
    <w:p w:rsidR="00F8060C" w:rsidRPr="00526C21" w:rsidRDefault="00F8060C" w:rsidP="00F43704">
      <w:pPr>
        <w:pStyle w:val="ListParagraph"/>
        <w:keepNext/>
        <w:keepLines/>
        <w:numPr>
          <w:ilvl w:val="1"/>
          <w:numId w:val="1"/>
        </w:numPr>
        <w:ind w:left="1843" w:hanging="709"/>
      </w:pPr>
      <w:r w:rsidRPr="00526C21">
        <w:t>Valstybių narių vyriausybės turėtų veiksmingai remti novatoriškus kasybos pramonės sprendimus (palankia teisine sistema, daugialype paskatų sistema, mokesčiais), nes kasybos bendrovės neturi motyvacijos prisiimti didelės rizikos.</w:t>
      </w:r>
    </w:p>
    <w:p w:rsidR="00B770E3" w:rsidRPr="00526C21" w:rsidRDefault="00B770E3" w:rsidP="00F43704">
      <w:pPr>
        <w:pStyle w:val="ListParagraph"/>
        <w:keepNext/>
        <w:keepLines/>
        <w:numPr>
          <w:ilvl w:val="1"/>
          <w:numId w:val="1"/>
        </w:numPr>
        <w:ind w:left="1843" w:hanging="709"/>
      </w:pPr>
      <w:r w:rsidRPr="00526C21">
        <w:t xml:space="preserve">Žiedinės ekonomikos vystymuisi yra svarbus žaliavų regeneravimas sustiprinus perdirbimą (pavyzdžiui, elektros ir elektroninės įrangos atliekų ir anglies), nes daugelyje sričių ekonominiu ir technologiniu požiūriu tai tebėra nekonkurencinga, palyginti su pirminiais šaltiniais, todėl šią sritį reikia stiprinti. </w:t>
      </w:r>
    </w:p>
    <w:p w:rsidR="00B770E3" w:rsidRPr="00526C21" w:rsidRDefault="00B770E3" w:rsidP="00073ADF">
      <w:pPr>
        <w:pStyle w:val="ListParagraph"/>
        <w:numPr>
          <w:ilvl w:val="1"/>
          <w:numId w:val="1"/>
        </w:numPr>
        <w:ind w:left="1843" w:hanging="709"/>
      </w:pPr>
      <w:r w:rsidRPr="00526C21">
        <w:t>Reikia stiprinti švietimą, pavyzdžiui, perdirbimo klausimais, ir didinti visuomenės informuotumą apie žaliavų svarbą ekonomikai, ypač todėl, kad šiuo metu nėra ryšio su švietimo sistemų iššūkiais šiuolaikinėje ekonomikoje, įskaitant ir verslumo srityje;</w:t>
      </w:r>
    </w:p>
    <w:p w:rsidR="00F8060C" w:rsidRPr="00526C21" w:rsidRDefault="00F8060C" w:rsidP="00073ADF"/>
    <w:p w:rsidR="00B16689" w:rsidRPr="00526C21" w:rsidRDefault="00F8502D" w:rsidP="005636C0">
      <w:pPr>
        <w:pStyle w:val="ListParagraph"/>
        <w:keepNext/>
        <w:numPr>
          <w:ilvl w:val="0"/>
          <w:numId w:val="1"/>
        </w:numPr>
        <w:rPr>
          <w:b/>
          <w:sz w:val="24"/>
          <w:szCs w:val="24"/>
        </w:rPr>
      </w:pPr>
      <w:r w:rsidRPr="00526C21">
        <w:rPr>
          <w:b/>
          <w:sz w:val="24"/>
        </w:rPr>
        <w:t>B kryptis. ES politika ir teisėkūros matmuo</w:t>
      </w:r>
    </w:p>
    <w:p w:rsidR="00E22EDD" w:rsidRPr="00526C21" w:rsidRDefault="00E22EDD" w:rsidP="005636C0">
      <w:pPr>
        <w:keepNext/>
        <w:rPr>
          <w:sz w:val="24"/>
        </w:rPr>
      </w:pPr>
    </w:p>
    <w:p w:rsidR="00C46EF5" w:rsidRPr="00526C21" w:rsidRDefault="00C46EF5" w:rsidP="00073ADF">
      <w:pPr>
        <w:pStyle w:val="ListParagraph"/>
        <w:numPr>
          <w:ilvl w:val="1"/>
          <w:numId w:val="11"/>
        </w:numPr>
        <w:ind w:left="1134" w:hanging="708"/>
        <w:rPr>
          <w:b/>
        </w:rPr>
      </w:pPr>
      <w:r w:rsidRPr="00526C21">
        <w:rPr>
          <w:b/>
        </w:rPr>
        <w:t>Vietos energijos tiekimo užtikrinimas</w:t>
      </w:r>
    </w:p>
    <w:p w:rsidR="00C46EF5" w:rsidRPr="00526C21" w:rsidRDefault="00C46EF5" w:rsidP="00073ADF">
      <w:pPr>
        <w:pStyle w:val="ListParagraph"/>
        <w:numPr>
          <w:ilvl w:val="1"/>
          <w:numId w:val="1"/>
        </w:numPr>
        <w:ind w:left="1843" w:hanging="709"/>
      </w:pPr>
      <w:r w:rsidRPr="00526C21">
        <w:t>Visų tradicinių ir netradicinių energijos šaltinių panaudojimas, užtikrinant konkurencingas kainas energijai imlioms pramonės šakoms, pavyzdžiui, kasybai ir tolesnio apdorojimo pramonės šakoms.</w:t>
      </w:r>
    </w:p>
    <w:p w:rsidR="004F4E7F" w:rsidRPr="00526C21" w:rsidRDefault="00C46EF5" w:rsidP="00073ADF">
      <w:pPr>
        <w:pStyle w:val="ListParagraph"/>
        <w:numPr>
          <w:ilvl w:val="1"/>
          <w:numId w:val="1"/>
        </w:numPr>
        <w:ind w:left="1843" w:hanging="709"/>
      </w:pPr>
      <w:r w:rsidRPr="00526C21">
        <w:t xml:space="preserve">Energijos kainos turi didelę įtaką bendroms kasybos ir naudingųjų iškasenų perdirbimo kainoms. Daug kasybos įmonių yra visiškai integruotos į pasaulinio lygmens vertės grandines, kuriose dėl konkurencinių priežasčių vartotojams negali būti perkeltos papildomos vietos sąnaudos. Todėl bet kokioje šalyje kasybai reikia konkurencijos pagrindu nustatytų energijos kainų, kad ilgainiui ši veikla taptų naudinga priimančiosioms bendruomenėms. </w:t>
      </w:r>
    </w:p>
    <w:p w:rsidR="00C46EF5" w:rsidRPr="00526C21" w:rsidRDefault="00C46EF5" w:rsidP="00073ADF">
      <w:pPr>
        <w:pStyle w:val="ListParagraph"/>
        <w:numPr>
          <w:ilvl w:val="1"/>
          <w:numId w:val="1"/>
        </w:numPr>
        <w:ind w:left="1843" w:hanging="709"/>
      </w:pPr>
      <w:r w:rsidRPr="00526C21">
        <w:t>Remiantis energetikos sektoriumi, galima aiškiai konstatuoti, kad ekonomikos augimo atsiejimas nuo šiltnamio efektą sukeliančių dujų išmetimo yra galimas ir vyksta ten, kur veiklą vykdo ar netgi plečia stambios kasybos įmonės. Aukštos energijos kainos ne visada skatina mažinti išmetamą CO</w:t>
      </w:r>
      <w:r w:rsidRPr="00526C21">
        <w:rPr>
          <w:vertAlign w:val="subscript"/>
        </w:rPr>
        <w:t>2</w:t>
      </w:r>
      <w:r w:rsidRPr="00526C21">
        <w:t xml:space="preserve"> kiekį tais atvejais, kai, pavyzdžiui, tai neišvengiama apdorojant naudingąsias iškasenas, tačiau jos gali paveikti visų vertės grandinių konkurencingumą. Pageidautinos ilgalaikės investicijos į našesnes kasybos technologijas ir procesus, o ne kasybos veiklos perkėlimas į ES nepriklausančias šalis.</w:t>
      </w:r>
    </w:p>
    <w:p w:rsidR="00F21C9F" w:rsidRPr="00526C21" w:rsidRDefault="00F21C9F" w:rsidP="00073ADF"/>
    <w:p w:rsidR="004F4E7F" w:rsidRPr="00526C21" w:rsidRDefault="004F4E7F" w:rsidP="00073ADF">
      <w:pPr>
        <w:pStyle w:val="ListParagraph"/>
        <w:numPr>
          <w:ilvl w:val="1"/>
          <w:numId w:val="12"/>
        </w:numPr>
        <w:ind w:left="1134" w:hanging="708"/>
        <w:rPr>
          <w:b/>
        </w:rPr>
      </w:pPr>
      <w:r w:rsidRPr="00526C21">
        <w:rPr>
          <w:b/>
        </w:rPr>
        <w:t>Žinios ir sinergijų kūrimas</w:t>
      </w:r>
    </w:p>
    <w:p w:rsidR="00BC7D91" w:rsidRPr="00526C21" w:rsidRDefault="00F8502D" w:rsidP="00073ADF">
      <w:pPr>
        <w:pStyle w:val="ListParagraph"/>
        <w:numPr>
          <w:ilvl w:val="1"/>
          <w:numId w:val="1"/>
        </w:numPr>
        <w:ind w:left="1843" w:hanging="709"/>
      </w:pPr>
      <w:r w:rsidRPr="00526C21">
        <w:t>Žinių plėtojimas ir ES valstybių narių nacionalinio potencialo įvertinimas ir jų galima sinergija Europos lygmeniu, gerinant informacijos rinkimo metodus ir sisteminimą, siekiant geriau panaudoti išteklius ir skatinti viešųjų ir privačių subjektų sinergiją bei visos ES lygmeniu stebėti išvystytą kasybos veiklą.</w:t>
      </w:r>
    </w:p>
    <w:p w:rsidR="00BC7D91" w:rsidRPr="00526C21" w:rsidRDefault="00BC7D91" w:rsidP="00073ADF">
      <w:pPr>
        <w:pStyle w:val="ListParagraph"/>
        <w:numPr>
          <w:ilvl w:val="1"/>
          <w:numId w:val="1"/>
        </w:numPr>
        <w:ind w:left="1843" w:hanging="709"/>
      </w:pPr>
      <w:r w:rsidRPr="00526C21">
        <w:t>Valstybė kiek galima labiau turėtų remti įmonių ir mokslinių tyrimų ir technologinės plėtros subjektų dalyvavimą Europos inovacijų ir technologijų instituto žaliavų projekte („EIT Raw materials“) ir ES programose; reikėtų skatinti nacionalinių mokslinių tyrimų ir technologinės plėtros finansavimo agentūrų dalyvavimą ERA-NETS.</w:t>
      </w:r>
    </w:p>
    <w:p w:rsidR="007C29C6" w:rsidRPr="00526C21" w:rsidRDefault="007C29C6" w:rsidP="00073ADF">
      <w:pPr>
        <w:pStyle w:val="ListParagraph"/>
        <w:numPr>
          <w:ilvl w:val="1"/>
          <w:numId w:val="1"/>
        </w:numPr>
        <w:ind w:left="1843" w:hanging="709"/>
      </w:pPr>
      <w:r w:rsidRPr="00526C21">
        <w:t>Keletas šalių susiduria su nemažais iššūkiais, susijusiais su anglies kasyklų uždarymu arba savo elektrinių modernizavimu ar ekologiškų technologijų vystymu, siekiant plačiau, o ne vien energetikos sektoriuje, panaudoti anglį. ES politika šiuo metu diskriminuoja angliakasybą, tačiau vietoje to turėtų skatinti tausiai naudoti turimus ES išteklius ir aktyviai moksliniams tyrimams ir technologinei plėtrai skiriamomis lėšomis bei struktūriniais fondais remti tas šalis ir regionus, kurie susiduria su uždarymu, kad būtų skatinamas ekologiniu ir socialiniu požiūriu darnus šių regionų atgaivinimas.</w:t>
      </w:r>
    </w:p>
    <w:p w:rsidR="00F21C9F" w:rsidRPr="00526C21" w:rsidRDefault="00F21C9F" w:rsidP="00073ADF"/>
    <w:p w:rsidR="000778E9" w:rsidRPr="00526C21" w:rsidRDefault="000778E9" w:rsidP="005636C0">
      <w:pPr>
        <w:pStyle w:val="ListParagraph"/>
        <w:keepNext/>
        <w:numPr>
          <w:ilvl w:val="1"/>
          <w:numId w:val="13"/>
        </w:numPr>
        <w:ind w:left="1134" w:hanging="708"/>
        <w:rPr>
          <w:b/>
        </w:rPr>
      </w:pPr>
      <w:r w:rsidRPr="00526C21">
        <w:rPr>
          <w:b/>
        </w:rPr>
        <w:t xml:space="preserve">Socialinė dimensija ir darbo rinka </w:t>
      </w:r>
    </w:p>
    <w:p w:rsidR="00736574" w:rsidRPr="00526C21" w:rsidRDefault="000778E9" w:rsidP="005636C0">
      <w:pPr>
        <w:pStyle w:val="ListParagraph"/>
        <w:keepNext/>
        <w:ind w:left="1134"/>
      </w:pPr>
      <w:r w:rsidRPr="00526C21">
        <w:t>Švietimo ir mokymo sistemų modernizavimas ir pritaikymas atsižvelgiant į technologinę raidą ir naujus darbo procesus. Tai taip pat apima mokymosi visą gyvenimą, profesinio mokymo ir dualinio mokymo programas, kurios derina teorinį ir praktinį mokymą; stipri ir nuosekli pramonės politikos darbotvarkė turėtų remti darbo vietų apsaugą ir kūrimą gavybos sektoriuose; reikėtų skatinti darbo jėgos mobilumą ir stiprinti gebėjimus kompetentingose valdžios institucijose. Primygtinai rekomenduojama pagalvoti apie užimtumo ir įgūdžių vystymą šiame sektoriuje Europos mastu, siekiant regioninio vystymosi ir platesnio sektoriaus restruktūrizavimo.</w:t>
      </w:r>
    </w:p>
    <w:p w:rsidR="00F21C9F" w:rsidRPr="00526C21" w:rsidRDefault="00F21C9F" w:rsidP="00073ADF"/>
    <w:p w:rsidR="00F21C9F" w:rsidRPr="00526C21" w:rsidRDefault="00325AD9" w:rsidP="00073ADF">
      <w:pPr>
        <w:pStyle w:val="ListParagraph"/>
        <w:numPr>
          <w:ilvl w:val="1"/>
          <w:numId w:val="14"/>
        </w:numPr>
        <w:ind w:left="1134" w:hanging="708"/>
        <w:rPr>
          <w:b/>
        </w:rPr>
      </w:pPr>
      <w:r w:rsidRPr="00526C21">
        <w:rPr>
          <w:b/>
        </w:rPr>
        <w:t>Konkurencija ir darnumas</w:t>
      </w:r>
    </w:p>
    <w:p w:rsidR="00325AD9" w:rsidRPr="00526C21" w:rsidRDefault="00C46EF5" w:rsidP="00073ADF">
      <w:pPr>
        <w:pStyle w:val="ListParagraph"/>
        <w:ind w:left="1134"/>
        <w:rPr>
          <w:b/>
        </w:rPr>
      </w:pPr>
      <w:r w:rsidRPr="00526C21">
        <w:t>Siekiant Europos ekonomikos augimo ir darnumo nepaprastai svarbu, kad ES apie darnumo tikslus imtų ne tik kalbėti, bet ir jų siekti, nes dabar tokie tikslai įgyvendinami ES, bet ne gaminiams, kurie atvežami į ES. Todėl būtina užtikrinti, kad teisinis pagrindas būtų pakankamai tvirtas, kad apsaugotų Europos pramonę nuo nesąžiningos konkurencijos, ir pasirūpinti tokia teisine sistema, kuri apsaugotų ES vartotojus nuo nesąžiningos pasaulinės konkurencijos arba gamybos perkėlimo dėl vienašališkai pačių nusistatomų kaštų ir atlygio už išskirtinius našumo rezultatus.</w:t>
      </w:r>
    </w:p>
    <w:p w:rsidR="00080C01" w:rsidRPr="00526C21" w:rsidRDefault="00080C01" w:rsidP="00073ADF"/>
    <w:p w:rsidR="003B200D" w:rsidRPr="00526C21" w:rsidRDefault="003B200D" w:rsidP="00073ADF"/>
    <w:p w:rsidR="00E22EDD" w:rsidRPr="00526C21" w:rsidRDefault="00FC0AA4" w:rsidP="00073ADF">
      <w:pPr>
        <w:pStyle w:val="ListParagraph"/>
        <w:ind w:left="1440"/>
        <w:jc w:val="center"/>
      </w:pPr>
      <w:r w:rsidRPr="00526C21">
        <w:t>*</w:t>
      </w:r>
    </w:p>
    <w:p w:rsidR="003B200D" w:rsidRPr="00526C21" w:rsidRDefault="00FC0AA4" w:rsidP="00073ADF">
      <w:pPr>
        <w:pStyle w:val="ListParagraph"/>
        <w:ind w:left="1440"/>
        <w:jc w:val="center"/>
      </w:pPr>
      <w:r w:rsidRPr="00526C21">
        <w:t>*</w:t>
      </w:r>
      <w:r w:rsidRPr="00526C21">
        <w:tab/>
        <w:t>*</w:t>
      </w:r>
    </w:p>
    <w:p w:rsidR="000F4718" w:rsidRPr="00526C21" w:rsidRDefault="000F4718">
      <w:pPr>
        <w:spacing w:after="200" w:line="276" w:lineRule="auto"/>
        <w:jc w:val="left"/>
      </w:pPr>
      <w:r w:rsidRPr="00526C21">
        <w:br w:type="page"/>
      </w:r>
    </w:p>
    <w:p w:rsidR="00080C01" w:rsidRPr="00526C21" w:rsidRDefault="00080C01" w:rsidP="00073ADF">
      <w:pPr>
        <w:rPr>
          <w:b/>
        </w:rPr>
      </w:pPr>
      <w:r w:rsidRPr="00526C21">
        <w:rPr>
          <w:b/>
        </w:rPr>
        <w:t>Pagrindiniai šių renginių partneriai buvo „Euromines“, „Eurocoal“, „IndustriAll“ ir Europos Komisija, tačiau kiekviename renginyje dalyvavo ir keletas vietos partnerių:</w:t>
      </w:r>
    </w:p>
    <w:p w:rsidR="00080C01" w:rsidRPr="00526C21" w:rsidRDefault="00080C01" w:rsidP="00073ADF">
      <w:pPr>
        <w:pStyle w:val="ListParagraph"/>
        <w:numPr>
          <w:ilvl w:val="0"/>
          <w:numId w:val="4"/>
        </w:numPr>
      </w:pPr>
      <w:r w:rsidRPr="00526C21">
        <w:t xml:space="preserve">Ispanija: </w:t>
      </w:r>
      <w:r w:rsidRPr="00526C21">
        <w:rPr>
          <w:i/>
        </w:rPr>
        <w:t>Confedem</w:t>
      </w:r>
      <w:r w:rsidRPr="00526C21">
        <w:t xml:space="preserve"> ir </w:t>
      </w:r>
      <w:r w:rsidRPr="00526C21">
        <w:rPr>
          <w:i/>
        </w:rPr>
        <w:t>Centro para el Desarrollo Tecnológico Industrial</w:t>
      </w:r>
    </w:p>
    <w:p w:rsidR="00080C01" w:rsidRPr="00526C21" w:rsidRDefault="00080C01" w:rsidP="00073ADF">
      <w:pPr>
        <w:pStyle w:val="ListParagraph"/>
        <w:numPr>
          <w:ilvl w:val="0"/>
          <w:numId w:val="4"/>
        </w:numPr>
      </w:pPr>
      <w:r w:rsidRPr="00526C21">
        <w:t>Slovakija: Ekonomikos ministerija</w:t>
      </w:r>
    </w:p>
    <w:p w:rsidR="00080C01" w:rsidRPr="00526C21" w:rsidRDefault="00080C01" w:rsidP="00073ADF">
      <w:pPr>
        <w:pStyle w:val="ListParagraph"/>
        <w:numPr>
          <w:ilvl w:val="0"/>
          <w:numId w:val="4"/>
        </w:numPr>
      </w:pPr>
      <w:r w:rsidRPr="00526C21">
        <w:t xml:space="preserve">Rumunija: Bukarešto politechnikos universitetas, Ekonomikos ministerija, </w:t>
      </w:r>
      <w:r w:rsidRPr="00526C21">
        <w:rPr>
          <w:i/>
        </w:rPr>
        <w:t>Meridian</w:t>
      </w:r>
    </w:p>
    <w:p w:rsidR="00080C01" w:rsidRPr="00526C21" w:rsidRDefault="00080C01" w:rsidP="00073ADF">
      <w:pPr>
        <w:pStyle w:val="ListParagraph"/>
        <w:numPr>
          <w:ilvl w:val="0"/>
          <w:numId w:val="4"/>
        </w:numPr>
      </w:pPr>
      <w:r w:rsidRPr="00526C21">
        <w:t>Suomija: Suomijos įmonių federacija, Suomijos kasybos asociacija (</w:t>
      </w:r>
      <w:r w:rsidRPr="00526C21">
        <w:rPr>
          <w:i/>
        </w:rPr>
        <w:t>Finnmin</w:t>
      </w:r>
      <w:r w:rsidRPr="00526C21">
        <w:t>)</w:t>
      </w:r>
    </w:p>
    <w:p w:rsidR="00080C01" w:rsidRPr="00526C21" w:rsidRDefault="00080C01" w:rsidP="00073ADF">
      <w:pPr>
        <w:pStyle w:val="ListParagraph"/>
        <w:numPr>
          <w:ilvl w:val="0"/>
          <w:numId w:val="4"/>
        </w:numPr>
      </w:pPr>
      <w:r w:rsidRPr="00526C21">
        <w:t xml:space="preserve">Portugalija: </w:t>
      </w:r>
      <w:r w:rsidRPr="00526C21">
        <w:rPr>
          <w:i/>
        </w:rPr>
        <w:t>Laboratório Nacional de Energia e Geologia, Direção-Geral de Energia e Geologia</w:t>
      </w:r>
    </w:p>
    <w:p w:rsidR="00080C01" w:rsidRPr="00526C21" w:rsidRDefault="00080C01" w:rsidP="00073ADF">
      <w:pPr>
        <w:pStyle w:val="ListParagraph"/>
        <w:numPr>
          <w:ilvl w:val="0"/>
          <w:numId w:val="4"/>
        </w:numPr>
      </w:pPr>
      <w:r w:rsidRPr="00526C21">
        <w:t xml:space="preserve">Airija: </w:t>
      </w:r>
      <w:r w:rsidRPr="00526C21">
        <w:rPr>
          <w:i/>
        </w:rPr>
        <w:t>Geological Survey of Ireland,</w:t>
      </w:r>
      <w:r w:rsidRPr="00526C21">
        <w:t xml:space="preserve"> </w:t>
      </w:r>
      <w:r w:rsidRPr="00526C21">
        <w:rPr>
          <w:i/>
        </w:rPr>
        <w:t>Department of Communications, Energy and Natural resources</w:t>
      </w:r>
    </w:p>
    <w:p w:rsidR="00080C01" w:rsidRPr="00526C21" w:rsidRDefault="00080C01" w:rsidP="00073ADF">
      <w:pPr>
        <w:pStyle w:val="ListParagraph"/>
        <w:numPr>
          <w:ilvl w:val="0"/>
          <w:numId w:val="4"/>
        </w:numPr>
      </w:pPr>
      <w:r w:rsidRPr="00526C21">
        <w:t>Lenkija: Ekonominio vystymosi ministerija, Lenkijos vario darbdavių organizacija</w:t>
      </w:r>
    </w:p>
    <w:p w:rsidR="00080C01" w:rsidRPr="00526C21" w:rsidRDefault="00080C01" w:rsidP="00073ADF">
      <w:pPr>
        <w:pStyle w:val="ListParagraph"/>
        <w:numPr>
          <w:ilvl w:val="0"/>
          <w:numId w:val="4"/>
        </w:numPr>
      </w:pPr>
      <w:r w:rsidRPr="00526C21">
        <w:t>Čekijos Respublika: Čekijos kasybos asociacija, Pramonės ir prekybos ministerija</w:t>
      </w:r>
    </w:p>
    <w:p w:rsidR="00080C01" w:rsidRPr="00526C21" w:rsidRDefault="00080C01" w:rsidP="00073ADF"/>
    <w:p w:rsidR="00080C01" w:rsidRPr="00526C21" w:rsidRDefault="00080C01" w:rsidP="00073ADF">
      <w:pPr>
        <w:pStyle w:val="ListParagraph"/>
        <w:ind w:left="0"/>
        <w:rPr>
          <w:b/>
        </w:rPr>
      </w:pPr>
      <w:r w:rsidRPr="00526C21">
        <w:rPr>
          <w:b/>
        </w:rPr>
        <w:t>CCMI narių ir pakaitinių narių, dalyvavusių šiose apskritojo stalo diskusijose, sąrašas</w:t>
      </w:r>
    </w:p>
    <w:p w:rsidR="005E690D" w:rsidRPr="00526C21" w:rsidRDefault="005E690D" w:rsidP="00073ADF">
      <w:pPr>
        <w:pStyle w:val="ListParagraph"/>
      </w:pPr>
      <w:r w:rsidRPr="00526C21">
        <w:t>Lucie Studničná</w:t>
      </w:r>
    </w:p>
    <w:p w:rsidR="005E690D" w:rsidRPr="00526C21" w:rsidRDefault="005E690D" w:rsidP="00073ADF">
      <w:pPr>
        <w:pStyle w:val="ListParagraph"/>
      </w:pPr>
      <w:r w:rsidRPr="00526C21">
        <w:t>Carlos Trias Pintó</w:t>
      </w:r>
    </w:p>
    <w:p w:rsidR="005E690D" w:rsidRPr="00526C21" w:rsidRDefault="005E690D" w:rsidP="00073ADF">
      <w:pPr>
        <w:pStyle w:val="ListParagraph"/>
      </w:pPr>
      <w:r w:rsidRPr="00526C21">
        <w:t>Casado Lopez Juan Manuel</w:t>
      </w:r>
    </w:p>
    <w:p w:rsidR="005E690D" w:rsidRPr="00526C21" w:rsidRDefault="005E690D" w:rsidP="00073ADF">
      <w:pPr>
        <w:pStyle w:val="ListParagraph"/>
      </w:pPr>
      <w:r w:rsidRPr="00526C21">
        <w:t>Dumitru Fornea</w:t>
      </w:r>
    </w:p>
    <w:p w:rsidR="005E690D" w:rsidRPr="00526C21" w:rsidRDefault="005E690D" w:rsidP="00073ADF">
      <w:pPr>
        <w:pStyle w:val="ListParagraph"/>
      </w:pPr>
      <w:r w:rsidRPr="00526C21">
        <w:t>Eugen Lucan</w:t>
      </w:r>
    </w:p>
    <w:p w:rsidR="005E690D" w:rsidRPr="00526C21" w:rsidRDefault="005E690D" w:rsidP="00073ADF">
      <w:pPr>
        <w:pStyle w:val="ListParagraph"/>
      </w:pPr>
      <w:r w:rsidRPr="00526C21">
        <w:t>Gerald Kreuzer</w:t>
      </w:r>
    </w:p>
    <w:p w:rsidR="005E690D" w:rsidRPr="00526C21" w:rsidRDefault="005E690D" w:rsidP="00073ADF">
      <w:pPr>
        <w:pStyle w:val="ListParagraph"/>
      </w:pPr>
    </w:p>
    <w:p w:rsidR="005E690D" w:rsidRPr="00526C21" w:rsidRDefault="005E690D" w:rsidP="00073ADF">
      <w:pPr>
        <w:pStyle w:val="ListParagraph"/>
      </w:pPr>
      <w:r w:rsidRPr="00526C21">
        <w:t>Hilde Van Laere</w:t>
      </w:r>
    </w:p>
    <w:p w:rsidR="005E690D" w:rsidRPr="00526C21" w:rsidRDefault="005E690D" w:rsidP="00073ADF">
      <w:pPr>
        <w:pStyle w:val="ListParagraph"/>
      </w:pPr>
      <w:r w:rsidRPr="00526C21">
        <w:t>Jacques Glorieux</w:t>
      </w:r>
    </w:p>
    <w:p w:rsidR="005E690D" w:rsidRPr="00526C21" w:rsidRDefault="005E690D" w:rsidP="00073ADF">
      <w:pPr>
        <w:pStyle w:val="ListParagraph"/>
      </w:pPr>
      <w:r w:rsidRPr="00526C21">
        <w:t>Josef Zboril</w:t>
      </w:r>
    </w:p>
    <w:p w:rsidR="005E690D" w:rsidRPr="00526C21" w:rsidRDefault="003B200D" w:rsidP="00073ADF">
      <w:pPr>
        <w:pStyle w:val="ListParagraph"/>
      </w:pPr>
      <w:r w:rsidRPr="00526C21">
        <w:t>Linas Lasiauskas</w:t>
      </w:r>
    </w:p>
    <w:p w:rsidR="003B200D" w:rsidRPr="00526C21" w:rsidRDefault="003B200D" w:rsidP="00073ADF">
      <w:pPr>
        <w:pStyle w:val="ListParagraph"/>
      </w:pPr>
      <w:r w:rsidRPr="00526C21">
        <w:t xml:space="preserve">Gonçalo Lobo Xavier </w:t>
      </w:r>
    </w:p>
    <w:p w:rsidR="003B200D" w:rsidRPr="00526C21" w:rsidRDefault="003B200D" w:rsidP="00073ADF">
      <w:pPr>
        <w:pStyle w:val="ListParagraph"/>
      </w:pPr>
      <w:r w:rsidRPr="00526C21">
        <w:t xml:space="preserve">Cillian Lohan </w:t>
      </w:r>
    </w:p>
    <w:p w:rsidR="005E690D" w:rsidRPr="00526C21" w:rsidRDefault="003B200D" w:rsidP="00073ADF">
      <w:pPr>
        <w:pStyle w:val="ListParagraph"/>
      </w:pPr>
      <w:r w:rsidRPr="00526C21">
        <w:t>Vladimir Novotný</w:t>
      </w:r>
    </w:p>
    <w:p w:rsidR="005E690D" w:rsidRPr="00526C21" w:rsidRDefault="003B200D" w:rsidP="00073ADF">
      <w:pPr>
        <w:pStyle w:val="ListParagraph"/>
      </w:pPr>
      <w:r w:rsidRPr="00526C21">
        <w:t xml:space="preserve">Jorge Pegado Liz </w:t>
      </w:r>
    </w:p>
    <w:p w:rsidR="003B200D" w:rsidRPr="00526C21" w:rsidRDefault="003B200D" w:rsidP="00073ADF">
      <w:pPr>
        <w:pStyle w:val="ListParagraph"/>
      </w:pPr>
      <w:r w:rsidRPr="00526C21">
        <w:t xml:space="preserve">Aurel Laurentiu Plosceanu </w:t>
      </w:r>
    </w:p>
    <w:p w:rsidR="005E690D" w:rsidRPr="00526C21" w:rsidRDefault="003B200D" w:rsidP="00073ADF">
      <w:pPr>
        <w:pStyle w:val="ListParagraph"/>
      </w:pPr>
      <w:r w:rsidRPr="00526C21">
        <w:t>Ion Pop</w:t>
      </w:r>
    </w:p>
    <w:p w:rsidR="005E690D" w:rsidRPr="00526C21" w:rsidRDefault="005E690D" w:rsidP="00073ADF">
      <w:pPr>
        <w:pStyle w:val="ListParagraph"/>
      </w:pPr>
      <w:r w:rsidRPr="00526C21">
        <w:t>Renata Eisenvortova</w:t>
      </w:r>
    </w:p>
    <w:p w:rsidR="005E690D" w:rsidRPr="00526C21" w:rsidRDefault="003B200D" w:rsidP="00073ADF">
      <w:pPr>
        <w:pStyle w:val="ListParagraph"/>
      </w:pPr>
      <w:r w:rsidRPr="00526C21">
        <w:t xml:space="preserve">Przemyslaw Rzepecki </w:t>
      </w:r>
    </w:p>
    <w:p w:rsidR="005E690D" w:rsidRPr="00526C21" w:rsidRDefault="005E690D" w:rsidP="00073ADF">
      <w:pPr>
        <w:pStyle w:val="ListParagraph"/>
      </w:pPr>
      <w:r w:rsidRPr="00526C21">
        <w:t>Sauli Vantti</w:t>
      </w:r>
    </w:p>
    <w:p w:rsidR="005E690D" w:rsidRPr="00526C21" w:rsidRDefault="005E690D" w:rsidP="00073ADF">
      <w:pPr>
        <w:pStyle w:val="ListParagraph"/>
      </w:pPr>
      <w:r w:rsidRPr="00526C21">
        <w:t>Seamus Boland</w:t>
      </w:r>
    </w:p>
    <w:p w:rsidR="005E690D" w:rsidRPr="00526C21" w:rsidRDefault="005E690D" w:rsidP="00073ADF">
      <w:pPr>
        <w:pStyle w:val="ListParagraph"/>
      </w:pPr>
      <w:r w:rsidRPr="00526C21">
        <w:t>Thomas Palmgren</w:t>
      </w:r>
    </w:p>
    <w:p w:rsidR="005E690D" w:rsidRPr="00526C21" w:rsidRDefault="005E690D" w:rsidP="00073ADF">
      <w:pPr>
        <w:pStyle w:val="ListParagraph"/>
      </w:pPr>
      <w:r w:rsidRPr="00526C21">
        <w:t>Víctor Fernández Vázquez</w:t>
      </w:r>
    </w:p>
    <w:p w:rsidR="00080C01" w:rsidRPr="00526C21" w:rsidRDefault="003B200D" w:rsidP="00073ADF">
      <w:pPr>
        <w:pStyle w:val="ListParagraph"/>
      </w:pPr>
      <w:r w:rsidRPr="00526C21">
        <w:t xml:space="preserve">Anastasis Yiapanis </w:t>
      </w:r>
    </w:p>
    <w:p w:rsidR="00FC0AA4" w:rsidRPr="00526C21" w:rsidRDefault="00FC0AA4" w:rsidP="00073ADF"/>
    <w:p w:rsidR="00FC0AA4" w:rsidRPr="00526C21" w:rsidRDefault="000F4718" w:rsidP="00073ADF">
      <w:pPr>
        <w:pStyle w:val="ListParagraph"/>
        <w:jc w:val="center"/>
      </w:pPr>
      <w:r w:rsidRPr="00526C21">
        <w:t>______________</w:t>
      </w:r>
    </w:p>
    <w:sectPr w:rsidR="00FC0AA4" w:rsidRPr="00526C21" w:rsidSect="000F471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5E" w:rsidRDefault="004F0D5E" w:rsidP="00354641">
      <w:pPr>
        <w:spacing w:line="240" w:lineRule="auto"/>
      </w:pPr>
      <w:r>
        <w:separator/>
      </w:r>
    </w:p>
  </w:endnote>
  <w:endnote w:type="continuationSeparator" w:id="0">
    <w:p w:rsidR="004F0D5E" w:rsidRDefault="004F0D5E" w:rsidP="00354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E" w:rsidRPr="000F4718" w:rsidRDefault="002B324E" w:rsidP="000F4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45" w:rsidRPr="000F4718" w:rsidRDefault="000F4718" w:rsidP="000F4718">
    <w:pPr>
      <w:pStyle w:val="Footer"/>
    </w:pPr>
    <w:r>
      <w:t xml:space="preserve">EESC-2017-00099-00-00-TCD-TRA (EN) </w:t>
    </w:r>
    <w:r>
      <w:fldChar w:fldCharType="begin"/>
    </w:r>
    <w:r>
      <w:instrText xml:space="preserve"> PAGE  \* Arabic  \* MERGEFORMAT </w:instrText>
    </w:r>
    <w:r>
      <w:fldChar w:fldCharType="separate"/>
    </w:r>
    <w:r w:rsidR="006D0820">
      <w:rPr>
        <w:noProof/>
      </w:rPr>
      <w:t>1</w:t>
    </w:r>
    <w:r>
      <w:fldChar w:fldCharType="end"/>
    </w:r>
    <w:r>
      <w:t>/</w:t>
    </w:r>
    <w:r>
      <w:fldChar w:fldCharType="begin"/>
    </w:r>
    <w:r>
      <w:instrText xml:space="preserve"> =  </w:instrText>
    </w:r>
    <w:r>
      <w:fldChar w:fldCharType="separate"/>
    </w:r>
    <w:r w:rsidR="006D0820">
      <w:rPr>
        <w:b/>
        <w:noProof/>
      </w:rPr>
      <w:t>!Unexpected End of Formula</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E" w:rsidRPr="000F4718" w:rsidRDefault="002B324E" w:rsidP="000F4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5E" w:rsidRDefault="004F0D5E" w:rsidP="00354641">
      <w:pPr>
        <w:spacing w:line="240" w:lineRule="auto"/>
      </w:pPr>
      <w:r>
        <w:separator/>
      </w:r>
    </w:p>
  </w:footnote>
  <w:footnote w:type="continuationSeparator" w:id="0">
    <w:p w:rsidR="004F0D5E" w:rsidRDefault="004F0D5E" w:rsidP="003546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E" w:rsidRPr="000F4718" w:rsidRDefault="002B324E" w:rsidP="000F4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41" w:rsidRPr="000F4718" w:rsidRDefault="00354641" w:rsidP="000F4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E" w:rsidRPr="000F4718" w:rsidRDefault="002B324E" w:rsidP="000F4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962636"/>
    <w:multiLevelType w:val="hybridMultilevel"/>
    <w:tmpl w:val="5D5E7504"/>
    <w:lvl w:ilvl="0" w:tplc="0809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D23558"/>
    <w:multiLevelType w:val="hybridMultilevel"/>
    <w:tmpl w:val="3AEE309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61343"/>
    <w:multiLevelType w:val="hybridMultilevel"/>
    <w:tmpl w:val="57B0928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033571"/>
    <w:multiLevelType w:val="hybridMultilevel"/>
    <w:tmpl w:val="03704E46"/>
    <w:lvl w:ilvl="0" w:tplc="4CF48FF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14F8E"/>
    <w:multiLevelType w:val="hybridMultilevel"/>
    <w:tmpl w:val="8A06893A"/>
    <w:lvl w:ilvl="0" w:tplc="0809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9DA6501"/>
    <w:multiLevelType w:val="hybridMultilevel"/>
    <w:tmpl w:val="29E0FAF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955F84"/>
    <w:multiLevelType w:val="hybridMultilevel"/>
    <w:tmpl w:val="334EBE6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DE1B99"/>
    <w:multiLevelType w:val="hybridMultilevel"/>
    <w:tmpl w:val="0B12EFE2"/>
    <w:lvl w:ilvl="0" w:tplc="0C2677D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2FC3191"/>
    <w:multiLevelType w:val="hybridMultilevel"/>
    <w:tmpl w:val="8E189E0E"/>
    <w:lvl w:ilvl="0" w:tplc="EF02DA5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EDB20A8"/>
    <w:multiLevelType w:val="hybridMultilevel"/>
    <w:tmpl w:val="C388B044"/>
    <w:lvl w:ilvl="0" w:tplc="0809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013575E"/>
    <w:multiLevelType w:val="hybridMultilevel"/>
    <w:tmpl w:val="0588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E6BE5"/>
    <w:multiLevelType w:val="hybridMultilevel"/>
    <w:tmpl w:val="F85C732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ED32E08"/>
    <w:multiLevelType w:val="hybridMultilevel"/>
    <w:tmpl w:val="26D2C292"/>
    <w:lvl w:ilvl="0" w:tplc="0809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5F1A2C28"/>
    <w:multiLevelType w:val="hybridMultilevel"/>
    <w:tmpl w:val="5BF2E94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1E6E40"/>
    <w:multiLevelType w:val="hybridMultilevel"/>
    <w:tmpl w:val="BFCA2BB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0A1A9B"/>
    <w:multiLevelType w:val="hybridMultilevel"/>
    <w:tmpl w:val="DE309C2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3B576A"/>
    <w:multiLevelType w:val="hybridMultilevel"/>
    <w:tmpl w:val="A56470FC"/>
    <w:lvl w:ilvl="0" w:tplc="0809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31F4129"/>
    <w:multiLevelType w:val="hybridMultilevel"/>
    <w:tmpl w:val="E8DCFF7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10EDF"/>
    <w:multiLevelType w:val="hybridMultilevel"/>
    <w:tmpl w:val="556EF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62"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12"/>
  </w:num>
  <w:num w:numId="4">
    <w:abstractNumId w:val="11"/>
  </w:num>
  <w:num w:numId="5">
    <w:abstractNumId w:val="17"/>
  </w:num>
  <w:num w:numId="6">
    <w:abstractNumId w:val="10"/>
  </w:num>
  <w:num w:numId="7">
    <w:abstractNumId w:val="13"/>
  </w:num>
  <w:num w:numId="8">
    <w:abstractNumId w:val="3"/>
  </w:num>
  <w:num w:numId="9">
    <w:abstractNumId w:val="14"/>
  </w:num>
  <w:num w:numId="10">
    <w:abstractNumId w:val="7"/>
  </w:num>
  <w:num w:numId="11">
    <w:abstractNumId w:val="6"/>
  </w:num>
  <w:num w:numId="12">
    <w:abstractNumId w:val="16"/>
  </w:num>
  <w:num w:numId="13">
    <w:abstractNumId w:val="2"/>
  </w:num>
  <w:num w:numId="14">
    <w:abstractNumId w:val="15"/>
  </w:num>
  <w:num w:numId="15">
    <w:abstractNumId w:val="5"/>
  </w:num>
  <w:num w:numId="16">
    <w:abstractNumId w:val="9"/>
  </w:num>
  <w:num w:numId="17">
    <w:abstractNumId w:val="1"/>
  </w:num>
  <w:num w:numId="18">
    <w:abstractNumId w:val="8"/>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3F"/>
    <w:rsid w:val="00047F95"/>
    <w:rsid w:val="00073ADF"/>
    <w:rsid w:val="000778E9"/>
    <w:rsid w:val="00080C01"/>
    <w:rsid w:val="00096A3F"/>
    <w:rsid w:val="000F4718"/>
    <w:rsid w:val="00131417"/>
    <w:rsid w:val="001B5D4B"/>
    <w:rsid w:val="001E0D05"/>
    <w:rsid w:val="001F72A0"/>
    <w:rsid w:val="00217CFD"/>
    <w:rsid w:val="00283C63"/>
    <w:rsid w:val="0028521C"/>
    <w:rsid w:val="002908B8"/>
    <w:rsid w:val="002B324E"/>
    <w:rsid w:val="00325AD9"/>
    <w:rsid w:val="00354641"/>
    <w:rsid w:val="003A552F"/>
    <w:rsid w:val="003B200D"/>
    <w:rsid w:val="003C3EEF"/>
    <w:rsid w:val="003F2495"/>
    <w:rsid w:val="004F0D5E"/>
    <w:rsid w:val="004F4E7F"/>
    <w:rsid w:val="004F7502"/>
    <w:rsid w:val="00526C21"/>
    <w:rsid w:val="005636C0"/>
    <w:rsid w:val="00575D38"/>
    <w:rsid w:val="005E690D"/>
    <w:rsid w:val="00621F9D"/>
    <w:rsid w:val="006D0820"/>
    <w:rsid w:val="006F1CF3"/>
    <w:rsid w:val="00705A1C"/>
    <w:rsid w:val="00724501"/>
    <w:rsid w:val="00736574"/>
    <w:rsid w:val="007662A8"/>
    <w:rsid w:val="0078783F"/>
    <w:rsid w:val="007C29C6"/>
    <w:rsid w:val="007E48D7"/>
    <w:rsid w:val="007F145F"/>
    <w:rsid w:val="008140E8"/>
    <w:rsid w:val="0082543C"/>
    <w:rsid w:val="00865DFC"/>
    <w:rsid w:val="00882D96"/>
    <w:rsid w:val="008E4133"/>
    <w:rsid w:val="008F52A7"/>
    <w:rsid w:val="00911E04"/>
    <w:rsid w:val="009D3396"/>
    <w:rsid w:val="00A63B3D"/>
    <w:rsid w:val="00A751A3"/>
    <w:rsid w:val="00B16689"/>
    <w:rsid w:val="00B770E3"/>
    <w:rsid w:val="00BC5304"/>
    <w:rsid w:val="00BC7D91"/>
    <w:rsid w:val="00C46EF5"/>
    <w:rsid w:val="00CC3F42"/>
    <w:rsid w:val="00D06963"/>
    <w:rsid w:val="00E22EDD"/>
    <w:rsid w:val="00E27FA6"/>
    <w:rsid w:val="00E40E46"/>
    <w:rsid w:val="00E717EB"/>
    <w:rsid w:val="00E828E2"/>
    <w:rsid w:val="00E841CE"/>
    <w:rsid w:val="00E912BE"/>
    <w:rsid w:val="00F07370"/>
    <w:rsid w:val="00F21C9F"/>
    <w:rsid w:val="00F43704"/>
    <w:rsid w:val="00F63345"/>
    <w:rsid w:val="00F8060C"/>
    <w:rsid w:val="00F8502D"/>
    <w:rsid w:val="00FC0AA4"/>
    <w:rsid w:val="00FF33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4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B324E"/>
    <w:pPr>
      <w:numPr>
        <w:numId w:val="19"/>
      </w:numPr>
      <w:ind w:left="567" w:hanging="567"/>
      <w:outlineLvl w:val="0"/>
    </w:pPr>
    <w:rPr>
      <w:kern w:val="28"/>
    </w:rPr>
  </w:style>
  <w:style w:type="paragraph" w:styleId="Heading2">
    <w:name w:val="heading 2"/>
    <w:basedOn w:val="Normal"/>
    <w:next w:val="Normal"/>
    <w:link w:val="Heading2Char"/>
    <w:qFormat/>
    <w:rsid w:val="002B324E"/>
    <w:pPr>
      <w:numPr>
        <w:ilvl w:val="1"/>
        <w:numId w:val="19"/>
      </w:numPr>
      <w:ind w:left="567" w:hanging="567"/>
      <w:outlineLvl w:val="1"/>
    </w:pPr>
  </w:style>
  <w:style w:type="paragraph" w:styleId="Heading3">
    <w:name w:val="heading 3"/>
    <w:basedOn w:val="Normal"/>
    <w:next w:val="Normal"/>
    <w:link w:val="Heading3Char"/>
    <w:qFormat/>
    <w:rsid w:val="002B324E"/>
    <w:pPr>
      <w:numPr>
        <w:ilvl w:val="2"/>
        <w:numId w:val="19"/>
      </w:numPr>
      <w:ind w:left="567" w:hanging="567"/>
      <w:outlineLvl w:val="2"/>
    </w:pPr>
  </w:style>
  <w:style w:type="paragraph" w:styleId="Heading4">
    <w:name w:val="heading 4"/>
    <w:basedOn w:val="Normal"/>
    <w:next w:val="Normal"/>
    <w:link w:val="Heading4Char"/>
    <w:qFormat/>
    <w:rsid w:val="002B324E"/>
    <w:pPr>
      <w:numPr>
        <w:ilvl w:val="3"/>
        <w:numId w:val="19"/>
      </w:numPr>
      <w:ind w:left="567" w:hanging="567"/>
      <w:outlineLvl w:val="3"/>
    </w:pPr>
  </w:style>
  <w:style w:type="paragraph" w:styleId="Heading5">
    <w:name w:val="heading 5"/>
    <w:basedOn w:val="Normal"/>
    <w:next w:val="Normal"/>
    <w:link w:val="Heading5Char"/>
    <w:qFormat/>
    <w:rsid w:val="002B324E"/>
    <w:pPr>
      <w:numPr>
        <w:ilvl w:val="4"/>
        <w:numId w:val="19"/>
      </w:numPr>
      <w:ind w:left="567" w:hanging="567"/>
      <w:outlineLvl w:val="4"/>
    </w:pPr>
  </w:style>
  <w:style w:type="paragraph" w:styleId="Heading6">
    <w:name w:val="heading 6"/>
    <w:basedOn w:val="Normal"/>
    <w:next w:val="Normal"/>
    <w:link w:val="Heading6Char"/>
    <w:qFormat/>
    <w:rsid w:val="002B324E"/>
    <w:pPr>
      <w:numPr>
        <w:ilvl w:val="5"/>
        <w:numId w:val="19"/>
      </w:numPr>
      <w:ind w:left="567" w:hanging="567"/>
      <w:outlineLvl w:val="5"/>
    </w:pPr>
  </w:style>
  <w:style w:type="paragraph" w:styleId="Heading7">
    <w:name w:val="heading 7"/>
    <w:basedOn w:val="Normal"/>
    <w:next w:val="Normal"/>
    <w:link w:val="Heading7Char"/>
    <w:qFormat/>
    <w:rsid w:val="002B324E"/>
    <w:pPr>
      <w:numPr>
        <w:ilvl w:val="6"/>
        <w:numId w:val="19"/>
      </w:numPr>
      <w:ind w:left="567" w:hanging="567"/>
      <w:outlineLvl w:val="6"/>
    </w:pPr>
  </w:style>
  <w:style w:type="paragraph" w:styleId="Heading8">
    <w:name w:val="heading 8"/>
    <w:basedOn w:val="Normal"/>
    <w:next w:val="Normal"/>
    <w:link w:val="Heading8Char"/>
    <w:qFormat/>
    <w:rsid w:val="002B324E"/>
    <w:pPr>
      <w:numPr>
        <w:ilvl w:val="7"/>
        <w:numId w:val="19"/>
      </w:numPr>
      <w:ind w:left="567" w:hanging="567"/>
      <w:outlineLvl w:val="7"/>
    </w:pPr>
  </w:style>
  <w:style w:type="paragraph" w:styleId="Heading9">
    <w:name w:val="heading 9"/>
    <w:basedOn w:val="Normal"/>
    <w:next w:val="Normal"/>
    <w:link w:val="Heading9Char"/>
    <w:qFormat/>
    <w:rsid w:val="002B324E"/>
    <w:pPr>
      <w:numPr>
        <w:ilvl w:val="8"/>
        <w:numId w:val="19"/>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63"/>
    <w:pPr>
      <w:ind w:left="720"/>
      <w:contextualSpacing/>
    </w:pPr>
  </w:style>
  <w:style w:type="paragraph" w:styleId="Header">
    <w:name w:val="header"/>
    <w:basedOn w:val="Normal"/>
    <w:link w:val="HeaderChar"/>
    <w:qFormat/>
    <w:rsid w:val="002B324E"/>
  </w:style>
  <w:style w:type="character" w:customStyle="1" w:styleId="HeaderChar">
    <w:name w:val="Header Char"/>
    <w:basedOn w:val="DefaultParagraphFont"/>
    <w:link w:val="Header"/>
    <w:rsid w:val="00354641"/>
    <w:rPr>
      <w:rFonts w:ascii="Times New Roman" w:eastAsia="Times New Roman" w:hAnsi="Times New Roman" w:cs="Times New Roman"/>
    </w:rPr>
  </w:style>
  <w:style w:type="paragraph" w:styleId="Footer">
    <w:name w:val="footer"/>
    <w:basedOn w:val="Normal"/>
    <w:link w:val="FooterChar"/>
    <w:qFormat/>
    <w:rsid w:val="002B324E"/>
  </w:style>
  <w:style w:type="character" w:customStyle="1" w:styleId="FooterChar">
    <w:name w:val="Footer Char"/>
    <w:basedOn w:val="DefaultParagraphFont"/>
    <w:link w:val="Footer"/>
    <w:rsid w:val="00354641"/>
    <w:rPr>
      <w:rFonts w:ascii="Times New Roman" w:eastAsia="Times New Roman" w:hAnsi="Times New Roman" w:cs="Times New Roman"/>
    </w:rPr>
  </w:style>
  <w:style w:type="character" w:customStyle="1" w:styleId="Heading1Char">
    <w:name w:val="Heading 1 Char"/>
    <w:basedOn w:val="DefaultParagraphFont"/>
    <w:link w:val="Heading1"/>
    <w:rsid w:val="002B324E"/>
    <w:rPr>
      <w:rFonts w:ascii="Times New Roman" w:eastAsia="Times New Roman" w:hAnsi="Times New Roman" w:cs="Times New Roman"/>
      <w:kern w:val="28"/>
      <w:lang w:val="lt-LT"/>
    </w:rPr>
  </w:style>
  <w:style w:type="character" w:customStyle="1" w:styleId="Heading2Char">
    <w:name w:val="Heading 2 Char"/>
    <w:basedOn w:val="DefaultParagraphFont"/>
    <w:link w:val="Heading2"/>
    <w:rsid w:val="002B324E"/>
    <w:rPr>
      <w:rFonts w:ascii="Times New Roman" w:eastAsia="Times New Roman" w:hAnsi="Times New Roman" w:cs="Times New Roman"/>
      <w:lang w:val="lt-LT"/>
    </w:rPr>
  </w:style>
  <w:style w:type="character" w:customStyle="1" w:styleId="Heading3Char">
    <w:name w:val="Heading 3 Char"/>
    <w:basedOn w:val="DefaultParagraphFont"/>
    <w:link w:val="Heading3"/>
    <w:rsid w:val="002B324E"/>
    <w:rPr>
      <w:rFonts w:ascii="Times New Roman" w:eastAsia="Times New Roman" w:hAnsi="Times New Roman" w:cs="Times New Roman"/>
      <w:lang w:val="lt-LT"/>
    </w:rPr>
  </w:style>
  <w:style w:type="character" w:customStyle="1" w:styleId="Heading4Char">
    <w:name w:val="Heading 4 Char"/>
    <w:basedOn w:val="DefaultParagraphFont"/>
    <w:link w:val="Heading4"/>
    <w:rsid w:val="002B324E"/>
    <w:rPr>
      <w:rFonts w:ascii="Times New Roman" w:eastAsia="Times New Roman" w:hAnsi="Times New Roman" w:cs="Times New Roman"/>
      <w:lang w:val="lt-LT"/>
    </w:rPr>
  </w:style>
  <w:style w:type="character" w:customStyle="1" w:styleId="Heading5Char">
    <w:name w:val="Heading 5 Char"/>
    <w:basedOn w:val="DefaultParagraphFont"/>
    <w:link w:val="Heading5"/>
    <w:rsid w:val="002B324E"/>
    <w:rPr>
      <w:rFonts w:ascii="Times New Roman" w:eastAsia="Times New Roman" w:hAnsi="Times New Roman" w:cs="Times New Roman"/>
      <w:lang w:val="lt-LT"/>
    </w:rPr>
  </w:style>
  <w:style w:type="character" w:customStyle="1" w:styleId="Heading6Char">
    <w:name w:val="Heading 6 Char"/>
    <w:basedOn w:val="DefaultParagraphFont"/>
    <w:link w:val="Heading6"/>
    <w:rsid w:val="002B324E"/>
    <w:rPr>
      <w:rFonts w:ascii="Times New Roman" w:eastAsia="Times New Roman" w:hAnsi="Times New Roman" w:cs="Times New Roman"/>
      <w:lang w:val="lt-LT"/>
    </w:rPr>
  </w:style>
  <w:style w:type="character" w:customStyle="1" w:styleId="Heading7Char">
    <w:name w:val="Heading 7 Char"/>
    <w:basedOn w:val="DefaultParagraphFont"/>
    <w:link w:val="Heading7"/>
    <w:rsid w:val="002B324E"/>
    <w:rPr>
      <w:rFonts w:ascii="Times New Roman" w:eastAsia="Times New Roman" w:hAnsi="Times New Roman" w:cs="Times New Roman"/>
      <w:lang w:val="lt-LT"/>
    </w:rPr>
  </w:style>
  <w:style w:type="character" w:customStyle="1" w:styleId="Heading8Char">
    <w:name w:val="Heading 8 Char"/>
    <w:basedOn w:val="DefaultParagraphFont"/>
    <w:link w:val="Heading8"/>
    <w:rsid w:val="002B324E"/>
    <w:rPr>
      <w:rFonts w:ascii="Times New Roman" w:eastAsia="Times New Roman" w:hAnsi="Times New Roman" w:cs="Times New Roman"/>
      <w:lang w:val="lt-LT"/>
    </w:rPr>
  </w:style>
  <w:style w:type="character" w:customStyle="1" w:styleId="Heading9Char">
    <w:name w:val="Heading 9 Char"/>
    <w:basedOn w:val="DefaultParagraphFont"/>
    <w:link w:val="Heading9"/>
    <w:rsid w:val="002B324E"/>
    <w:rPr>
      <w:rFonts w:ascii="Times New Roman" w:eastAsia="Times New Roman" w:hAnsi="Times New Roman" w:cs="Times New Roman"/>
      <w:lang w:val="lt-LT"/>
    </w:rPr>
  </w:style>
  <w:style w:type="paragraph" w:styleId="FootnoteText">
    <w:name w:val="footnote text"/>
    <w:basedOn w:val="Normal"/>
    <w:link w:val="FootnoteTextChar"/>
    <w:qFormat/>
    <w:rsid w:val="002B324E"/>
    <w:pPr>
      <w:keepLines/>
      <w:spacing w:after="60" w:line="240" w:lineRule="auto"/>
      <w:ind w:left="567" w:hanging="567"/>
    </w:pPr>
    <w:rPr>
      <w:sz w:val="16"/>
    </w:rPr>
  </w:style>
  <w:style w:type="character" w:customStyle="1" w:styleId="FootnoteTextChar">
    <w:name w:val="Footnote Text Char"/>
    <w:basedOn w:val="DefaultParagraphFont"/>
    <w:link w:val="FootnoteText"/>
    <w:rsid w:val="002B324E"/>
    <w:rPr>
      <w:rFonts w:ascii="Times New Roman" w:eastAsia="Times New Roman" w:hAnsi="Times New Roman" w:cs="Times New Roman"/>
      <w:sz w:val="16"/>
      <w:lang w:val="lt-LT"/>
    </w:rPr>
  </w:style>
  <w:style w:type="paragraph" w:customStyle="1" w:styleId="quotes">
    <w:name w:val="quotes"/>
    <w:basedOn w:val="Normal"/>
    <w:next w:val="Normal"/>
    <w:rsid w:val="002B324E"/>
    <w:pPr>
      <w:ind w:left="720"/>
    </w:pPr>
    <w:rPr>
      <w:i/>
    </w:rPr>
  </w:style>
  <w:style w:type="character" w:styleId="FootnoteReference">
    <w:name w:val="footnote reference"/>
    <w:basedOn w:val="DefaultParagraphFont"/>
    <w:unhideWhenUsed/>
    <w:qFormat/>
    <w:rsid w:val="002B324E"/>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4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B324E"/>
    <w:pPr>
      <w:numPr>
        <w:numId w:val="19"/>
      </w:numPr>
      <w:ind w:left="567" w:hanging="567"/>
      <w:outlineLvl w:val="0"/>
    </w:pPr>
    <w:rPr>
      <w:kern w:val="28"/>
    </w:rPr>
  </w:style>
  <w:style w:type="paragraph" w:styleId="Heading2">
    <w:name w:val="heading 2"/>
    <w:basedOn w:val="Normal"/>
    <w:next w:val="Normal"/>
    <w:link w:val="Heading2Char"/>
    <w:qFormat/>
    <w:rsid w:val="002B324E"/>
    <w:pPr>
      <w:numPr>
        <w:ilvl w:val="1"/>
        <w:numId w:val="19"/>
      </w:numPr>
      <w:ind w:left="567" w:hanging="567"/>
      <w:outlineLvl w:val="1"/>
    </w:pPr>
  </w:style>
  <w:style w:type="paragraph" w:styleId="Heading3">
    <w:name w:val="heading 3"/>
    <w:basedOn w:val="Normal"/>
    <w:next w:val="Normal"/>
    <w:link w:val="Heading3Char"/>
    <w:qFormat/>
    <w:rsid w:val="002B324E"/>
    <w:pPr>
      <w:numPr>
        <w:ilvl w:val="2"/>
        <w:numId w:val="19"/>
      </w:numPr>
      <w:ind w:left="567" w:hanging="567"/>
      <w:outlineLvl w:val="2"/>
    </w:pPr>
  </w:style>
  <w:style w:type="paragraph" w:styleId="Heading4">
    <w:name w:val="heading 4"/>
    <w:basedOn w:val="Normal"/>
    <w:next w:val="Normal"/>
    <w:link w:val="Heading4Char"/>
    <w:qFormat/>
    <w:rsid w:val="002B324E"/>
    <w:pPr>
      <w:numPr>
        <w:ilvl w:val="3"/>
        <w:numId w:val="19"/>
      </w:numPr>
      <w:ind w:left="567" w:hanging="567"/>
      <w:outlineLvl w:val="3"/>
    </w:pPr>
  </w:style>
  <w:style w:type="paragraph" w:styleId="Heading5">
    <w:name w:val="heading 5"/>
    <w:basedOn w:val="Normal"/>
    <w:next w:val="Normal"/>
    <w:link w:val="Heading5Char"/>
    <w:qFormat/>
    <w:rsid w:val="002B324E"/>
    <w:pPr>
      <w:numPr>
        <w:ilvl w:val="4"/>
        <w:numId w:val="19"/>
      </w:numPr>
      <w:ind w:left="567" w:hanging="567"/>
      <w:outlineLvl w:val="4"/>
    </w:pPr>
  </w:style>
  <w:style w:type="paragraph" w:styleId="Heading6">
    <w:name w:val="heading 6"/>
    <w:basedOn w:val="Normal"/>
    <w:next w:val="Normal"/>
    <w:link w:val="Heading6Char"/>
    <w:qFormat/>
    <w:rsid w:val="002B324E"/>
    <w:pPr>
      <w:numPr>
        <w:ilvl w:val="5"/>
        <w:numId w:val="19"/>
      </w:numPr>
      <w:ind w:left="567" w:hanging="567"/>
      <w:outlineLvl w:val="5"/>
    </w:pPr>
  </w:style>
  <w:style w:type="paragraph" w:styleId="Heading7">
    <w:name w:val="heading 7"/>
    <w:basedOn w:val="Normal"/>
    <w:next w:val="Normal"/>
    <w:link w:val="Heading7Char"/>
    <w:qFormat/>
    <w:rsid w:val="002B324E"/>
    <w:pPr>
      <w:numPr>
        <w:ilvl w:val="6"/>
        <w:numId w:val="19"/>
      </w:numPr>
      <w:ind w:left="567" w:hanging="567"/>
      <w:outlineLvl w:val="6"/>
    </w:pPr>
  </w:style>
  <w:style w:type="paragraph" w:styleId="Heading8">
    <w:name w:val="heading 8"/>
    <w:basedOn w:val="Normal"/>
    <w:next w:val="Normal"/>
    <w:link w:val="Heading8Char"/>
    <w:qFormat/>
    <w:rsid w:val="002B324E"/>
    <w:pPr>
      <w:numPr>
        <w:ilvl w:val="7"/>
        <w:numId w:val="19"/>
      </w:numPr>
      <w:ind w:left="567" w:hanging="567"/>
      <w:outlineLvl w:val="7"/>
    </w:pPr>
  </w:style>
  <w:style w:type="paragraph" w:styleId="Heading9">
    <w:name w:val="heading 9"/>
    <w:basedOn w:val="Normal"/>
    <w:next w:val="Normal"/>
    <w:link w:val="Heading9Char"/>
    <w:qFormat/>
    <w:rsid w:val="002B324E"/>
    <w:pPr>
      <w:numPr>
        <w:ilvl w:val="8"/>
        <w:numId w:val="19"/>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63"/>
    <w:pPr>
      <w:ind w:left="720"/>
      <w:contextualSpacing/>
    </w:pPr>
  </w:style>
  <w:style w:type="paragraph" w:styleId="Header">
    <w:name w:val="header"/>
    <w:basedOn w:val="Normal"/>
    <w:link w:val="HeaderChar"/>
    <w:qFormat/>
    <w:rsid w:val="002B324E"/>
  </w:style>
  <w:style w:type="character" w:customStyle="1" w:styleId="HeaderChar">
    <w:name w:val="Header Char"/>
    <w:basedOn w:val="DefaultParagraphFont"/>
    <w:link w:val="Header"/>
    <w:rsid w:val="00354641"/>
    <w:rPr>
      <w:rFonts w:ascii="Times New Roman" w:eastAsia="Times New Roman" w:hAnsi="Times New Roman" w:cs="Times New Roman"/>
    </w:rPr>
  </w:style>
  <w:style w:type="paragraph" w:styleId="Footer">
    <w:name w:val="footer"/>
    <w:basedOn w:val="Normal"/>
    <w:link w:val="FooterChar"/>
    <w:qFormat/>
    <w:rsid w:val="002B324E"/>
  </w:style>
  <w:style w:type="character" w:customStyle="1" w:styleId="FooterChar">
    <w:name w:val="Footer Char"/>
    <w:basedOn w:val="DefaultParagraphFont"/>
    <w:link w:val="Footer"/>
    <w:rsid w:val="00354641"/>
    <w:rPr>
      <w:rFonts w:ascii="Times New Roman" w:eastAsia="Times New Roman" w:hAnsi="Times New Roman" w:cs="Times New Roman"/>
    </w:rPr>
  </w:style>
  <w:style w:type="character" w:customStyle="1" w:styleId="Heading1Char">
    <w:name w:val="Heading 1 Char"/>
    <w:basedOn w:val="DefaultParagraphFont"/>
    <w:link w:val="Heading1"/>
    <w:rsid w:val="002B324E"/>
    <w:rPr>
      <w:rFonts w:ascii="Times New Roman" w:eastAsia="Times New Roman" w:hAnsi="Times New Roman" w:cs="Times New Roman"/>
      <w:kern w:val="28"/>
      <w:lang w:val="lt-LT"/>
    </w:rPr>
  </w:style>
  <w:style w:type="character" w:customStyle="1" w:styleId="Heading2Char">
    <w:name w:val="Heading 2 Char"/>
    <w:basedOn w:val="DefaultParagraphFont"/>
    <w:link w:val="Heading2"/>
    <w:rsid w:val="002B324E"/>
    <w:rPr>
      <w:rFonts w:ascii="Times New Roman" w:eastAsia="Times New Roman" w:hAnsi="Times New Roman" w:cs="Times New Roman"/>
      <w:lang w:val="lt-LT"/>
    </w:rPr>
  </w:style>
  <w:style w:type="character" w:customStyle="1" w:styleId="Heading3Char">
    <w:name w:val="Heading 3 Char"/>
    <w:basedOn w:val="DefaultParagraphFont"/>
    <w:link w:val="Heading3"/>
    <w:rsid w:val="002B324E"/>
    <w:rPr>
      <w:rFonts w:ascii="Times New Roman" w:eastAsia="Times New Roman" w:hAnsi="Times New Roman" w:cs="Times New Roman"/>
      <w:lang w:val="lt-LT"/>
    </w:rPr>
  </w:style>
  <w:style w:type="character" w:customStyle="1" w:styleId="Heading4Char">
    <w:name w:val="Heading 4 Char"/>
    <w:basedOn w:val="DefaultParagraphFont"/>
    <w:link w:val="Heading4"/>
    <w:rsid w:val="002B324E"/>
    <w:rPr>
      <w:rFonts w:ascii="Times New Roman" w:eastAsia="Times New Roman" w:hAnsi="Times New Roman" w:cs="Times New Roman"/>
      <w:lang w:val="lt-LT"/>
    </w:rPr>
  </w:style>
  <w:style w:type="character" w:customStyle="1" w:styleId="Heading5Char">
    <w:name w:val="Heading 5 Char"/>
    <w:basedOn w:val="DefaultParagraphFont"/>
    <w:link w:val="Heading5"/>
    <w:rsid w:val="002B324E"/>
    <w:rPr>
      <w:rFonts w:ascii="Times New Roman" w:eastAsia="Times New Roman" w:hAnsi="Times New Roman" w:cs="Times New Roman"/>
      <w:lang w:val="lt-LT"/>
    </w:rPr>
  </w:style>
  <w:style w:type="character" w:customStyle="1" w:styleId="Heading6Char">
    <w:name w:val="Heading 6 Char"/>
    <w:basedOn w:val="DefaultParagraphFont"/>
    <w:link w:val="Heading6"/>
    <w:rsid w:val="002B324E"/>
    <w:rPr>
      <w:rFonts w:ascii="Times New Roman" w:eastAsia="Times New Roman" w:hAnsi="Times New Roman" w:cs="Times New Roman"/>
      <w:lang w:val="lt-LT"/>
    </w:rPr>
  </w:style>
  <w:style w:type="character" w:customStyle="1" w:styleId="Heading7Char">
    <w:name w:val="Heading 7 Char"/>
    <w:basedOn w:val="DefaultParagraphFont"/>
    <w:link w:val="Heading7"/>
    <w:rsid w:val="002B324E"/>
    <w:rPr>
      <w:rFonts w:ascii="Times New Roman" w:eastAsia="Times New Roman" w:hAnsi="Times New Roman" w:cs="Times New Roman"/>
      <w:lang w:val="lt-LT"/>
    </w:rPr>
  </w:style>
  <w:style w:type="character" w:customStyle="1" w:styleId="Heading8Char">
    <w:name w:val="Heading 8 Char"/>
    <w:basedOn w:val="DefaultParagraphFont"/>
    <w:link w:val="Heading8"/>
    <w:rsid w:val="002B324E"/>
    <w:rPr>
      <w:rFonts w:ascii="Times New Roman" w:eastAsia="Times New Roman" w:hAnsi="Times New Roman" w:cs="Times New Roman"/>
      <w:lang w:val="lt-LT"/>
    </w:rPr>
  </w:style>
  <w:style w:type="character" w:customStyle="1" w:styleId="Heading9Char">
    <w:name w:val="Heading 9 Char"/>
    <w:basedOn w:val="DefaultParagraphFont"/>
    <w:link w:val="Heading9"/>
    <w:rsid w:val="002B324E"/>
    <w:rPr>
      <w:rFonts w:ascii="Times New Roman" w:eastAsia="Times New Roman" w:hAnsi="Times New Roman" w:cs="Times New Roman"/>
      <w:lang w:val="lt-LT"/>
    </w:rPr>
  </w:style>
  <w:style w:type="paragraph" w:styleId="FootnoteText">
    <w:name w:val="footnote text"/>
    <w:basedOn w:val="Normal"/>
    <w:link w:val="FootnoteTextChar"/>
    <w:qFormat/>
    <w:rsid w:val="002B324E"/>
    <w:pPr>
      <w:keepLines/>
      <w:spacing w:after="60" w:line="240" w:lineRule="auto"/>
      <w:ind w:left="567" w:hanging="567"/>
    </w:pPr>
    <w:rPr>
      <w:sz w:val="16"/>
    </w:rPr>
  </w:style>
  <w:style w:type="character" w:customStyle="1" w:styleId="FootnoteTextChar">
    <w:name w:val="Footnote Text Char"/>
    <w:basedOn w:val="DefaultParagraphFont"/>
    <w:link w:val="FootnoteText"/>
    <w:rsid w:val="002B324E"/>
    <w:rPr>
      <w:rFonts w:ascii="Times New Roman" w:eastAsia="Times New Roman" w:hAnsi="Times New Roman" w:cs="Times New Roman"/>
      <w:sz w:val="16"/>
      <w:lang w:val="lt-LT"/>
    </w:rPr>
  </w:style>
  <w:style w:type="paragraph" w:customStyle="1" w:styleId="quotes">
    <w:name w:val="quotes"/>
    <w:basedOn w:val="Normal"/>
    <w:next w:val="Normal"/>
    <w:rsid w:val="002B324E"/>
    <w:pPr>
      <w:ind w:left="720"/>
    </w:pPr>
    <w:rPr>
      <w:i/>
    </w:rPr>
  </w:style>
  <w:style w:type="character" w:styleId="FootnoteReference">
    <w:name w:val="footnote reference"/>
    <w:basedOn w:val="DefaultParagraphFont"/>
    <w:unhideWhenUsed/>
    <w:qFormat/>
    <w:rsid w:val="002B324E"/>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WTPCSN73YJ26-3-12566</_dlc_DocId>
    <_dlc_DocIdUrl xmlns="8a3471f6-0f36-4ccf-b5ee-1ca67ea797ef">
      <Url>http://dm/EESC/2017/_layouts/DocIdRedir.aspx?ID=WTPCSN73YJ26-3-12566</Url>
      <Description>WTPCSN73YJ26-3-12566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2017-06-27T12:00:00+00:00</ProductionDate>
    <DocumentNumber xmlns="08752a15-b0a7-485d-8352-b47b34a09caa">99</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2017-01-30T12:00:00+00:00</MeetingDate>
    <TaxCatchAll xmlns="8a3471f6-0f36-4ccf-b5ee-1ca67ea797ef">
      <Value>86</Value>
      <Value>38</Value>
      <Value>37</Value>
      <Value>36</Value>
      <Value>35</Value>
      <Value>34</Value>
      <Value>33</Value>
      <Value>32</Value>
      <Value>31</Value>
      <Value>30</Value>
      <Value>29</Value>
      <Value>28</Value>
      <Value>27</Value>
      <Value>26</Value>
      <Value>25</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237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CCMI</TermName>
          <TermId xmlns="http://schemas.microsoft.com/office/infopath/2007/PartnerControls">5795ccfc-ebb7-4e2d-a45e-09a8301b3a5c</TermId>
        </TermInfo>
      </Terms>
    </MeetingName_0>
    <RequestingService xmlns="8a3471f6-0f36-4ccf-b5ee-1ca67ea797ef">Commission consultative des mutations industrielles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35E65-9C66-4D33-9931-C012B5C2E9A5}">
  <ds:schemaRefs>
    <ds:schemaRef ds:uri="http://schemas.microsoft.com/sharepoint/events"/>
  </ds:schemaRefs>
</ds:datastoreItem>
</file>

<file path=customXml/itemProps2.xml><?xml version="1.0" encoding="utf-8"?>
<ds:datastoreItem xmlns:ds="http://schemas.openxmlformats.org/officeDocument/2006/customXml" ds:itemID="{70E97B11-221A-412B-8358-089EC90B5E3A}">
  <ds:schemaRefs>
    <ds:schemaRef ds:uri="http://schemas.microsoft.com/sharepoint/v3/contenttype/forms"/>
  </ds:schemaRefs>
</ds:datastoreItem>
</file>

<file path=customXml/itemProps3.xml><?xml version="1.0" encoding="utf-8"?>
<ds:datastoreItem xmlns:ds="http://schemas.openxmlformats.org/officeDocument/2006/customXml" ds:itemID="{452E757E-5442-4931-A119-10F2E44C9124}">
  <ds:schemaRefs>
    <ds:schemaRef ds:uri="http://purl.org/dc/dcmitype/"/>
    <ds:schemaRef ds:uri="8a3471f6-0f36-4ccf-b5ee-1ca67ea797ef"/>
    <ds:schemaRef ds:uri="http://purl.org/dc/elements/1.1/"/>
    <ds:schemaRef ds:uri="http://www.w3.org/XML/1998/namespac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08752a15-b0a7-485d-8352-b47b34a09ca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0D0E16F-D85B-4747-AA64-866E25077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6</Pages>
  <Words>2267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Suvestinė ataskaita, apibendrinanti CCMI apskritojo stalo diskusijas dėl 2015-2016 m. Europos inovacijų partnerystės žaliavų srityje strateginio įgyvendinimo</vt:lpstr>
    </vt:vector>
  </TitlesOfParts>
  <Company>CESE-CdR</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Suvestinė ataskaita, apibendrinanti CCMI apskritojo stalo diskusijas dėl 2015-2016 m. Europos inovacijų partnerystės žaliavų srityje strateginio įgyvendinimo</dc:title>
  <dc:subject>Konsultacinis darbas</dc:subject>
  <dc:creator>Kyriaki Anastasaki</dc:creator>
  <cp:keywords>EESC-2017-00099-00-00-TCD-TRA-LT</cp:keywords>
  <dc:description>Rapporteur: -_x000d_
Original language: EN_x000d_
Date of document: 27/06/2017_x000d_
Date of meeting: 30/01/2017_x000d_
External documents: -_x000d_
Administrator responsible: Hick Alan, telephone: +32 (0)2 546 9302_x000d_
_x000d_
Abstract:</dc:description>
  <cp:lastModifiedBy>Kyriaki Anastasaki</cp:lastModifiedBy>
  <cp:revision>2</cp:revision>
  <cp:lastPrinted>2017-01-19T11:43:00Z</cp:lastPrinted>
  <dcterms:created xsi:type="dcterms:W3CDTF">2017-07-03T06:27:00Z</dcterms:created>
  <dcterms:modified xsi:type="dcterms:W3CDTF">2017-07-03T06:27:00Z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20/01/2017</vt:lpwstr>
  </property>
  <property fmtid="{D5CDD505-2E9C-101B-9397-08002B2CF9AE}" pid="4" name="Pref_Time">
    <vt:lpwstr>09:42:40</vt:lpwstr>
  </property>
  <property fmtid="{D5CDD505-2E9C-101B-9397-08002B2CF9AE}" pid="5" name="Pref_User">
    <vt:lpwstr>enied</vt:lpwstr>
  </property>
  <property fmtid="{D5CDD505-2E9C-101B-9397-08002B2CF9AE}" pid="6" name="Pref_FileName">
    <vt:lpwstr>EESC-2017-00099-00-00-TCD-TRA-EN-CRR.docx</vt:lpwstr>
  </property>
  <property fmtid="{D5CDD505-2E9C-101B-9397-08002B2CF9AE}" pid="7" name="ContentTypeId">
    <vt:lpwstr>0x010100EA97B91038054C99906057A708A1480A00366332C33BA7D34CB4DCF73B0F12F076</vt:lpwstr>
  </property>
  <property fmtid="{D5CDD505-2E9C-101B-9397-08002B2CF9AE}" pid="8" name="_dlc_DocIdItemGuid">
    <vt:lpwstr>036c910e-6c3c-4edf-be85-4a8aafc23eb2</vt:lpwstr>
  </property>
  <property fmtid="{D5CDD505-2E9C-101B-9397-08002B2CF9AE}" pid="9" name="DocumentType_0">
    <vt:lpwstr>TCD|cd9d6eb6-3f4f-424a-b2d1-57c9d450eaaf</vt:lpwstr>
  </property>
  <property fmtid="{D5CDD505-2E9C-101B-9397-08002B2CF9AE}" pid="10" name="AvailableTranslations">
    <vt:lpwstr>22;#IT|0774613c-01ed-4e5d-a25d-11d2388de825;#34;#SK|46d9fce0-ef79-4f71-b89b-cd6aa82426b8;#36;#BG|1a1b3951-7821-4e6a-85f5-5673fc08bd2c;#24;#EL|6d4f4d51-af9b-4650-94b4-4276bee85c91;#25;#FI|87606a43-d45f-42d6-b8c9-e1a3457db5b7;#4;#EN|f2175f21-25d7-44a3-96da-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99</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Commission consultative des mutations industrielles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CCMI|5795ccfc-ebb7-4e2d-a45e-09a8301b3a5c</vt:lpwstr>
  </property>
  <property fmtid="{D5CDD505-2E9C-101B-9397-08002B2CF9AE}" pid="25" name="OriginalLanguage">
    <vt:lpwstr>4;#EN|f2175f21-25d7-44a3-96da-d6a61b075e1b</vt:lpwstr>
  </property>
  <property fmtid="{D5CDD505-2E9C-101B-9397-08002B2CF9AE}" pid="26" name="MeetingName">
    <vt:lpwstr>86;#CCMI|5795ccfc-ebb7-4e2d-a45e-09a8301b3a5c</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2017-01-30T12:00:00Z</vt:filetime>
  </property>
  <property fmtid="{D5CDD505-2E9C-101B-9397-08002B2CF9AE}" pid="30" name="TaxCatchAll">
    <vt:lpwstr>86;#CCMI|5795ccfc-ebb7-4e2d-a45e-09a8301b3a5c;#38;#HR|2f555653-ed1a-4fe6-8362-9082d95989e5;#37;#RO|feb747a2-64cd-4299-af12-4833ddc30497;#36;#BG|1a1b3951-7821-4e6a-85f5-5673fc08bd2c;#35;#SL|98a412ae-eb01-49e9-ae3d-585a81724cfc;#34;#SK|46d9fce0-ef79-4f71-b8</vt:lpwstr>
  </property>
  <property fmtid="{D5CDD505-2E9C-101B-9397-08002B2CF9AE}" pid="31" name="AvailableTranslations_0">
    <vt:lpwstr>IT|0774613c-01ed-4e5d-a25d-11d2388de825;SK|46d9fce0-ef79-4f71-b89b-cd6aa82426b8;BG|1a1b3951-7821-4e6a-85f5-5673fc08bd2c;EL|6d4f4d51-af9b-4650-94b4-4276bee85c91;FI|87606a43-d45f-42d6-b8c9-e1a3457db5b7;EN|f2175f21-25d7-44a3-96da-d6a61b075e1b;PL|1e03da61-467</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237</vt:i4>
  </property>
  <property fmtid="{D5CDD505-2E9C-101B-9397-08002B2CF9AE}" pid="35" name="DocumentYear">
    <vt:i4>2017</vt:i4>
  </property>
  <property fmtid="{D5CDD505-2E9C-101B-9397-08002B2CF9AE}" pid="36" name="DocumentLanguage">
    <vt:lpwstr>31;#LT|a7ff5ce7-6123-4f68-865a-a57c31810414</vt:lpwstr>
  </property>
</Properties>
</file>