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4718" w:rsidRPr="008E3ACF" w:rsidRDefault="000F4718" w:rsidP="00131417">
      <w:pPr>
        <w:jc w:val="center"/>
        <w:rPr>
          <w:b/>
          <w:sz w:val="16"/>
          <w:szCs w:val="16"/>
        </w:rPr>
      </w:pPr>
      <w:r w:rsidRPr="008E3ACF">
        <w:rPr>
          <w:noProof/>
          <w:sz w:val="20"/>
          <w:lang w:val="fr-BE" w:eastAsia="fr-BE" w:bidi="ar-SA"/>
        </w:rPr>
        <mc:AlternateContent>
          <mc:Choice Requires="wps">
            <w:drawing>
              <wp:anchor distT="0" distB="0" distL="114300" distR="114300" simplePos="0" relativeHeight="251659264" behindDoc="1" locked="0" layoutInCell="0" allowOverlap="1" wp14:anchorId="040E9ACD" wp14:editId="3F5555C8">
                <wp:simplePos x="0" y="0"/>
                <wp:positionH relativeFrom="page">
                  <wp:posOffset>6770788</wp:posOffset>
                </wp:positionH>
                <wp:positionV relativeFrom="page">
                  <wp:posOffset>10084828</wp:posOffset>
                </wp:positionV>
                <wp:extent cx="644837" cy="396416"/>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37" cy="396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24E" w:rsidRPr="00260E65" w:rsidRDefault="002B324E">
                            <w:pPr>
                              <w:jc w:val="center"/>
                              <w:rPr>
                                <w:rFonts w:ascii="Arial" w:hAnsi="Arial" w:cs="Arial"/>
                                <w:b/>
                                <w:bCs/>
                                <w:sz w:val="48"/>
                              </w:rPr>
                            </w:pPr>
                            <w:r>
                              <w:rPr>
                                <w:rFonts w:ascii="Arial" w:hAnsi="Arial"/>
                                <w:b/>
                                <w:sz w:val="48"/>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15pt;margin-top:794.1pt;width:50.75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fLtQ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" o:allowincell="f" filled="f" stroked="f">
                <v:textbox>
                  <w:txbxContent>
                    <w:p w:rsidR="002B324E" w:rsidRPr="00260E65" w:rsidRDefault="002B324E">
                      <w:pPr>
                        <w:jc w:val="center"/>
                        <w:rPr>
                          <w:rFonts w:ascii="Arial" w:hAnsi="Arial" w:cs="Arial"/>
                          <w:b/>
                          <w:bCs/>
                          <w:sz w:val="48"/>
                        </w:rPr>
                      </w:pPr>
                      <w:r>
                        <w:rPr>
                          <w:rFonts w:ascii="Arial" w:hAnsi="Arial"/>
                          <w:b/>
                          <w:sz w:val="48"/>
                        </w:rPr>
                        <w:t>EL</w:t>
                      </w:r>
                    </w:p>
                  </w:txbxContent>
                </v:textbox>
                <w10:wrap anchorx="page" anchory="page"/>
              </v:shape>
            </w:pict>
          </mc:Fallback>
        </mc:AlternateContent>
      </w:r>
    </w:p>
    <w:p w:rsidR="001B5D4B" w:rsidRPr="008E3ACF" w:rsidRDefault="00621F9D" w:rsidP="00131417">
      <w:pPr>
        <w:jc w:val="center"/>
        <w:rPr>
          <w:b/>
          <w:sz w:val="32"/>
          <w:szCs w:val="32"/>
        </w:rPr>
      </w:pPr>
      <w:r w:rsidRPr="008E3ACF">
        <w:rPr>
          <w:b/>
          <w:sz w:val="32"/>
        </w:rPr>
        <w:t>Ενοποιημένη έκθεση των συζητήσεων στρογγυλής τραπέζης της CCMI με θέμα τη στρατηγική εφαρμογή της ευρωπαϊκής σύμπραξης καινοτομίας σχετικά με τις πρώτες ύλες 2015/2016</w:t>
      </w:r>
    </w:p>
    <w:p w:rsidR="00FF33D6" w:rsidRPr="008E3ACF" w:rsidRDefault="00FF33D6" w:rsidP="00131417"/>
    <w:p w:rsidR="00E841CE" w:rsidRPr="008E3ACF" w:rsidRDefault="0078783F" w:rsidP="00131417">
      <w:r w:rsidRPr="008E3ACF">
        <w:t xml:space="preserve">Σε ευρωπαϊκό επίπεδο, η Ευρωπαϊκή Επιτροπή εξέδωσε στις 4 Νοεμβρίου 2008 την πρωτοβουλία για τις πρώτες ύλες </w:t>
      </w:r>
      <w:r w:rsidRPr="008E3ACF">
        <w:rPr>
          <w:i/>
        </w:rPr>
        <w:t>– Κάλυψη των ουσιωδών αναγκών μας για ανάπτυξη και απασχόληση στην Ευρώπη</w:t>
      </w:r>
      <w:r w:rsidRPr="008E3ACF">
        <w:t xml:space="preserve">, η οποία αποτέλεσε καταλυτικό παράγοντα για την αλλαγή νοοτροπίας, δίνοντας παράλληλα την ώθηση για θετικές εξελίξεις στον εξορυκτικό τομέα. Πράγματι, με την πρωτοβουλία για τις πρώτες ύλες αναγνωρίστηκε πλέον ο απολύτως αναγκαίος χαρακτήρας των ορυκτών πόρων για την κοινωνία, την ανταγωνιστικότητα, την ανάπτυξη και τη δημιουργία θέσεων εργασίας στην Ευρώπη. Αναγνωρίστηκε επίσης η εξάρτηση της Ευρώπης από άλλες χώρες όσον αφορά τον εφοδιασμό με τους εν λόγω πόρους και η επακόλουθη ανάγκη εφαρμογής μέτρων για την εξασφάλιση ασφαλούς και βιώσιμου εφοδιασμού που βασίζεται σε τρεις πυλώνες: </w:t>
      </w:r>
    </w:p>
    <w:p w:rsidR="00E841CE" w:rsidRPr="008E3ACF" w:rsidRDefault="0078783F" w:rsidP="00131417">
      <w:pPr>
        <w:pStyle w:val="ListParagraph"/>
        <w:numPr>
          <w:ilvl w:val="0"/>
          <w:numId w:val="17"/>
        </w:numPr>
      </w:pPr>
      <w:r w:rsidRPr="008E3ACF">
        <w:t>δίκαιη και βιώσιμη προσφορά πρώτων υλών στις διεθνείς αγορές</w:t>
      </w:r>
    </w:p>
    <w:p w:rsidR="00E841CE" w:rsidRPr="008E3ACF" w:rsidRDefault="0078783F" w:rsidP="00131417">
      <w:pPr>
        <w:pStyle w:val="ListParagraph"/>
        <w:numPr>
          <w:ilvl w:val="0"/>
          <w:numId w:val="17"/>
        </w:numPr>
      </w:pPr>
      <w:r w:rsidRPr="008E3ACF">
        <w:t>προώθηση του βιώσιμου εφοδιασμού εντός της ΕΕ και</w:t>
      </w:r>
    </w:p>
    <w:p w:rsidR="00FF33D6" w:rsidRPr="008E3ACF" w:rsidRDefault="00E40E46" w:rsidP="00131417">
      <w:pPr>
        <w:pStyle w:val="ListParagraph"/>
        <w:numPr>
          <w:ilvl w:val="0"/>
          <w:numId w:val="17"/>
        </w:numPr>
      </w:pPr>
      <w:r w:rsidRPr="008E3ACF">
        <w:t>ενίσχυση της αποδοτικής χρήσης των πόρων, πλήρης αξιοποίηση των πρώτων υλών και προαγωγή της ανακύκλωσης.</w:t>
      </w:r>
    </w:p>
    <w:p w:rsidR="00FF33D6" w:rsidRPr="008E3ACF" w:rsidRDefault="00FF33D6" w:rsidP="00131417"/>
    <w:p w:rsidR="00911E04" w:rsidRPr="008E3ACF" w:rsidRDefault="0078783F" w:rsidP="00131417">
      <w:r w:rsidRPr="008E3ACF">
        <w:t xml:space="preserve">Στην ανακοίνωσή της, της 2ας Φεβρουαρίου 2011, με τίτλο </w:t>
      </w:r>
      <w:r w:rsidRPr="008E3ACF">
        <w:rPr>
          <w:i/>
        </w:rPr>
        <w:t>Η αντιμετώπιση των προκλήσεων που αφορούν τις αγορές βασικών εμπορευμάτων και τις πρώτες ύλες</w:t>
      </w:r>
      <w:r w:rsidRPr="008E3ACF">
        <w:t>, η Επιτροπή δήλωσε την πρόθεσή της να ενισχύσει την εφαρμογή της πρωτοβουλίας για τις πρώτες ύλες. Προς τον σκοπό αυτό, και για την προώθηση των επενδύσεων στις εξορυκτικές βιομηχανίες, η Επιτροπή έκρινε ότι είναι ιδιαίτερης σημασίας:</w:t>
      </w:r>
    </w:p>
    <w:p w:rsidR="00E40E46" w:rsidRPr="008E3ACF" w:rsidRDefault="0078783F" w:rsidP="00131417">
      <w:pPr>
        <w:pStyle w:val="ListParagraph"/>
        <w:numPr>
          <w:ilvl w:val="0"/>
          <w:numId w:val="15"/>
        </w:numPr>
      </w:pPr>
      <w:r w:rsidRPr="008E3ACF">
        <w:t xml:space="preserve">η χάραξη εθνικής πολιτικής για τα ορυκτά, με σκοπό να εξασφαλιστεί η κατά οικονομικά βιώσιμο τρόπο εκμετάλλευση των ορυκτών πόρων, εναρμονισμένης με τις υπόλοιπες εθνικές πολιτικές και βασισμένης στις αρχές της βιώσιμης ανάπτυξης, συμπεριλαμβανομένης της δέσμευσης για τη δημιουργία νομικού πλαισίου και την παροχή κατάλληλης ενημέρωσης· </w:t>
      </w:r>
    </w:p>
    <w:p w:rsidR="00E40E46" w:rsidRPr="008E3ACF" w:rsidRDefault="0078783F" w:rsidP="00131417">
      <w:pPr>
        <w:pStyle w:val="ListParagraph"/>
        <w:numPr>
          <w:ilvl w:val="0"/>
          <w:numId w:val="15"/>
        </w:numPr>
      </w:pPr>
      <w:r w:rsidRPr="008E3ACF">
        <w:t>η εκπόνηση πολιτικής σχεδιασμού για τα ορυκτά, η οποία θα πρέπει να περιλαμβάνει βάση ψηφιακών γεωλογικών γνώσεων, διαφανή μεθοδολογία για τον εντοπισμό των ορυκτών πόρων, μακροπρόθεσμες και περιφερειακές εκτιμήσεις για την τοπική ζήτηση, καθώς και τον εντοπισμό και τη διαφύλαξη των ορυκτών πόρων με συνεκτίμηση και άλλων χρήσεων γης· και</w:t>
      </w:r>
    </w:p>
    <w:p w:rsidR="0078783F" w:rsidRPr="008E3ACF" w:rsidRDefault="0078783F" w:rsidP="00131417">
      <w:pPr>
        <w:pStyle w:val="ListParagraph"/>
        <w:numPr>
          <w:ilvl w:val="0"/>
          <w:numId w:val="15"/>
        </w:numPr>
      </w:pPr>
      <w:r w:rsidRPr="008E3ACF">
        <w:t>η θέσπιση μηχανισμού για την αδειοδότηση της αναζήτησης και εξόρυξης ορυκτών ο οποίος να είναι σαφής και κατανοητός, ώστε να παρέχει ασφάλεια και να συντελεί στην απλούστευση των διοικητικών διαδικασιών.</w:t>
      </w:r>
    </w:p>
    <w:p w:rsidR="00FF33D6" w:rsidRPr="008E3ACF" w:rsidRDefault="00FF33D6" w:rsidP="00131417"/>
    <w:p w:rsidR="00A63B3D" w:rsidRPr="008E3ACF" w:rsidRDefault="0078783F" w:rsidP="00131417">
      <w:r w:rsidRPr="008E3ACF">
        <w:t>Επιδιώκοντας τη δημιουργία ευνοϊκού επενδυτικού κλίματος, η Επιτροπή θεώρησε επίσης αναγκαία τη θέσπιση μέτρων που αποσκοπούν στην ενίσχυση της διαφάνειας των τελών μέσω της πρωτοβουλίας για τη διαφάνεια των εξορυκτικών βιομηχανιών (EITI) και της προώθησης της χρηστής διακυβέρνησης στον τομέα της φορολογίας.</w:t>
      </w:r>
    </w:p>
    <w:p w:rsidR="00FF33D6" w:rsidRPr="008E3ACF" w:rsidRDefault="00FF33D6" w:rsidP="00131417"/>
    <w:p w:rsidR="00F07370" w:rsidRPr="008E3ACF" w:rsidRDefault="00F07370" w:rsidP="00131417">
      <w:r w:rsidRPr="008E3ACF">
        <w:t xml:space="preserve">Τα κράτη μέλη εκτιμούν ότι οι δυνατότητες των ορυκτών πόρων της ΕΕ συνιστούν παράγοντα οικονομικής ανάπτυξης και, ως εκ τούτου, είναι απαραίτητη η διαμόρφωση ολοκληρωμένης προσέγγισης στον συγκεκριμένο τομέα, με σκοπό την κάλυψη των οικονομικών, κοινωνικών και </w:t>
      </w:r>
      <w:r w:rsidRPr="008E3ACF">
        <w:lastRenderedPageBreak/>
        <w:t>περιβαλλοντικών ζητημάτων, καθώς και τον καθορισμό νομικού και θεσμικού πλαισίου για την αποτελεσματική άσκηση των διαφόρων δραστηριοτήτων.</w:t>
      </w:r>
    </w:p>
    <w:p w:rsidR="00FF33D6" w:rsidRPr="008E3ACF" w:rsidRDefault="00FF33D6" w:rsidP="00131417"/>
    <w:p w:rsidR="00911E04" w:rsidRPr="008E3ACF" w:rsidRDefault="00F07370" w:rsidP="00131417">
      <w:r w:rsidRPr="008E3ACF">
        <w:t xml:space="preserve">Η υπεύθυνη εκμετάλλευση των ορυκτών πόρων αποτελεί σημαντική εξέλιξη που μπορεί να συμβάλει σημαντικά στις επιδόσεις της εθνικής οικονομίας. Για τον σκοπό αυτό, απαιτείται προηγουμένως η εδραίωση μιας βιώσιμης πολιτικής για την κάλυψη των οικονομικών, κοινωνικών και περιβαλλοντικών πτυχών με ολοκληρωμένο τρόπο, καθώς και για τον άρτιο καθορισμό ενός αποτελεσματικού νομικού και θεσμικού πλαισίου. </w:t>
      </w:r>
    </w:p>
    <w:p w:rsidR="00705A1C" w:rsidRPr="008E3ACF" w:rsidRDefault="001B5D4B" w:rsidP="00073ADF">
      <w:r w:rsidRPr="008E3ACF">
        <w:t xml:space="preserve">Οι διάφορες συζητήσεις στρογγυλής τραπέζης σε εθνικό επίπεδο διεξήχθησαν ως εξής: </w:t>
      </w:r>
      <w:r w:rsidRPr="008E3ACF">
        <w:rPr>
          <w:b/>
        </w:rPr>
        <w:t>το 2015 στην Ισπανία (Μάρτιος), τη Σλοβακία (Απρίλιος), τη Ρουμανία (Ιούνιος) και τη Φινλανδία (Σεπτέμβριος), και το 2016 στην Πορτογαλία (Απρίλιος), την Ιρλανδία (Μάιος), την Πολωνία (Ιούνιος), την Τσεχική Δημοκρατία (Νοέμβριος) και το Βέλγιο (Νοέμβριος).</w:t>
      </w:r>
    </w:p>
    <w:p w:rsidR="0082543C" w:rsidRPr="008E3ACF" w:rsidRDefault="0082543C" w:rsidP="00073ADF"/>
    <w:p w:rsidR="00911E04" w:rsidRPr="008E3ACF" w:rsidRDefault="001B5D4B" w:rsidP="00073ADF">
      <w:pPr>
        <w:rPr>
          <w:b/>
        </w:rPr>
      </w:pPr>
      <w:r w:rsidRPr="008E3ACF">
        <w:rPr>
          <w:b/>
        </w:rPr>
        <w:t xml:space="preserve">Το συμπέρασμα που θα μπορούσε να συναχθεί είναι το ακόλουθο: διαπιστώνεται η ανάγκη κατάρτισης ενός μεσοπρόθεσμου σχεδίου δράσης έως το 2030 και ενός μακροπρόθεσμου σχεδίου δράσης με ορίζοντα το 2050. Στο εν λόγω σχέδιο δράσης πρέπει να αντιμετωπίζονται οι ακόλουθες προκλήσεις: </w:t>
      </w:r>
    </w:p>
    <w:p w:rsidR="008140E8" w:rsidRPr="008E3ACF" w:rsidRDefault="008140E8" w:rsidP="00073ADF">
      <w:pPr>
        <w:pStyle w:val="ListParagraph"/>
        <w:numPr>
          <w:ilvl w:val="0"/>
          <w:numId w:val="2"/>
        </w:numPr>
        <w:rPr>
          <w:b/>
        </w:rPr>
      </w:pPr>
      <w:r w:rsidRPr="008E3ACF">
        <w:rPr>
          <w:b/>
        </w:rPr>
        <w:t>ασφάλεια του εφοδιασμού με πρώτες ύλες, συμπεριλαμβανομένου του καθορισμού βασικού φορτίου, θέσπιση ειδικών απαιτήσεων για τις τεχνολογίες γενικής εφαρμογής και διασφάλιση οικονομικής ανθεκτικότητας·</w:t>
      </w:r>
    </w:p>
    <w:p w:rsidR="008140E8" w:rsidRPr="008E3ACF" w:rsidRDefault="008140E8" w:rsidP="00073ADF">
      <w:pPr>
        <w:pStyle w:val="ListParagraph"/>
        <w:numPr>
          <w:ilvl w:val="0"/>
          <w:numId w:val="2"/>
        </w:numPr>
        <w:rPr>
          <w:b/>
        </w:rPr>
      </w:pPr>
      <w:r w:rsidRPr="008E3ACF">
        <w:rPr>
          <w:b/>
        </w:rPr>
        <w:t>αντιμετώπιση της αιτιώδους συνάφειας ενέργειας/κλιματικής αλλαγής, συμπεριλαμβανομένης της ανάπτυξης καθαρών τεχνολογιών, της βιωσιμότητας των περιφερειών που βρίσκονται αντιμέτωπες με την παύση λειτουργίας ανθρακωρυχείων και της εξασφάλισης πρώτων υλών για εναλλακτικές μορφές παραγωγής και χρήσης ενέργειας.</w:t>
      </w:r>
    </w:p>
    <w:p w:rsidR="001B5D4B" w:rsidRPr="008E3ACF" w:rsidRDefault="001B5D4B" w:rsidP="00073ADF"/>
    <w:p w:rsidR="00911E04" w:rsidRPr="008E3ACF" w:rsidRDefault="003A552F" w:rsidP="00073ADF">
      <w:r w:rsidRPr="008E3ACF">
        <w:t>Ιδιαίτερη προσοχή πρέπει να δοθεί σε δύο άξονες:</w:t>
      </w:r>
    </w:p>
    <w:p w:rsidR="00F8502D" w:rsidRPr="008E3ACF" w:rsidRDefault="003A552F" w:rsidP="00073ADF">
      <w:pPr>
        <w:pStyle w:val="ListParagraph"/>
        <w:numPr>
          <w:ilvl w:val="0"/>
          <w:numId w:val="1"/>
        </w:numPr>
        <w:rPr>
          <w:b/>
          <w:sz w:val="24"/>
          <w:szCs w:val="24"/>
        </w:rPr>
      </w:pPr>
      <w:r w:rsidRPr="008E3ACF">
        <w:rPr>
          <w:b/>
          <w:sz w:val="24"/>
        </w:rPr>
        <w:t>Άξονας Α – Η εθνική πολιτική και η νομοθετική διάσταση</w:t>
      </w:r>
    </w:p>
    <w:p w:rsidR="00FF33D6" w:rsidRPr="008E3ACF" w:rsidRDefault="00BC7D91" w:rsidP="00073ADF">
      <w:pPr>
        <w:ind w:firstLine="360"/>
      </w:pPr>
      <w:r w:rsidRPr="008E3ACF">
        <w:t xml:space="preserve">Σε αυτό το πλαίσιο, οι </w:t>
      </w:r>
      <w:r w:rsidRPr="008E3ACF">
        <w:rPr>
          <w:b/>
        </w:rPr>
        <w:t>εθνικές στρατηγικές για τις πρώτες ύλες</w:t>
      </w:r>
      <w:r w:rsidRPr="008E3ACF">
        <w:t xml:space="preserve"> θα πρέπει να αποσκοπούν στην προώθηση:</w:t>
      </w:r>
    </w:p>
    <w:p w:rsidR="00FF33D6" w:rsidRPr="008E3ACF" w:rsidRDefault="00FF33D6" w:rsidP="00073ADF">
      <w:pPr>
        <w:ind w:firstLine="360"/>
      </w:pPr>
    </w:p>
    <w:p w:rsidR="004F4E7F" w:rsidRPr="008E3ACF" w:rsidRDefault="00BC7D91" w:rsidP="00073ADF">
      <w:pPr>
        <w:pStyle w:val="ListParagraph"/>
        <w:numPr>
          <w:ilvl w:val="0"/>
          <w:numId w:val="5"/>
        </w:numPr>
      </w:pPr>
      <w:r w:rsidRPr="008E3ACF">
        <w:t>της δυναμικής, με την εξασφάλιση της υλοποίησης και της διατήρησης επενδύσεων, καθώς και της ορθής αξιοποίησης των πόρων·</w:t>
      </w:r>
    </w:p>
    <w:p w:rsidR="00BC7D91" w:rsidRPr="008E3ACF" w:rsidRDefault="00BC7D91" w:rsidP="00073ADF">
      <w:pPr>
        <w:pStyle w:val="ListParagraph"/>
        <w:numPr>
          <w:ilvl w:val="0"/>
          <w:numId w:val="5"/>
        </w:numPr>
      </w:pPr>
      <w:r w:rsidRPr="008E3ACF">
        <w:t>της βιωσιμότητας σε οικονομικό, κοινωνικό, περιβαλλοντικό και εδαφικό επίπεδο·</w:t>
      </w:r>
    </w:p>
    <w:p w:rsidR="00BC7D91" w:rsidRPr="008E3ACF" w:rsidRDefault="00BC7D91" w:rsidP="00073ADF">
      <w:pPr>
        <w:pStyle w:val="ListParagraph"/>
        <w:numPr>
          <w:ilvl w:val="0"/>
          <w:numId w:val="5"/>
        </w:numPr>
      </w:pPr>
      <w:r w:rsidRPr="008E3ACF">
        <w:t>της ανάπτυξης της εθνικής οικονομίας, με την εξασφάλιση του εφοδιασμού με βασικές πρώτες ύλες και την ενίσχυση της σημασίας του στο εθνικό ακαθάριστο εγχώριο προϊόν και τις εξαγωγές· και</w:t>
      </w:r>
    </w:p>
    <w:p w:rsidR="00BC7D91" w:rsidRPr="008E3ACF" w:rsidRDefault="00BC7D91" w:rsidP="00073ADF">
      <w:pPr>
        <w:pStyle w:val="ListParagraph"/>
        <w:numPr>
          <w:ilvl w:val="0"/>
          <w:numId w:val="5"/>
        </w:numPr>
      </w:pPr>
      <w:r w:rsidRPr="008E3ACF">
        <w:t>της περιφερειακής ανάπτυξης, της εγγύησης της απόδοσης και της απασχόλησης για τον τοπικό πληθυσμό και της διασφάλισης της ανάπτυξης των εμπλεκόμενων τοπικών κοινοτήτων.</w:t>
      </w:r>
    </w:p>
    <w:p w:rsidR="00BC7D91" w:rsidRPr="008E3ACF" w:rsidRDefault="00BC7D91" w:rsidP="00073ADF"/>
    <w:p w:rsidR="00BC7D91" w:rsidRPr="008E3ACF" w:rsidRDefault="00BC7D91" w:rsidP="00073ADF">
      <w:pPr>
        <w:ind w:firstLine="360"/>
      </w:pPr>
      <w:r w:rsidRPr="008E3ACF">
        <w:t>Ειδικότερα:</w:t>
      </w:r>
    </w:p>
    <w:p w:rsidR="004F4E7F" w:rsidRPr="008E3ACF" w:rsidRDefault="004F4E7F" w:rsidP="00073ADF">
      <w:pPr>
        <w:pStyle w:val="ListParagraph"/>
        <w:numPr>
          <w:ilvl w:val="0"/>
          <w:numId w:val="7"/>
        </w:numPr>
        <w:ind w:left="1134" w:hanging="708"/>
        <w:rPr>
          <w:b/>
        </w:rPr>
      </w:pPr>
      <w:r w:rsidRPr="008E3ACF">
        <w:rPr>
          <w:b/>
        </w:rPr>
        <w:t>Ρόλος της κυβέρνησης</w:t>
      </w:r>
    </w:p>
    <w:p w:rsidR="00B16689" w:rsidRPr="008E3ACF" w:rsidRDefault="00B16689" w:rsidP="00073ADF">
      <w:pPr>
        <w:pStyle w:val="ListParagraph"/>
        <w:numPr>
          <w:ilvl w:val="1"/>
          <w:numId w:val="1"/>
        </w:numPr>
        <w:ind w:left="1701" w:hanging="567"/>
      </w:pPr>
      <w:r w:rsidRPr="008E3ACF">
        <w:t xml:space="preserve">Η εξορυκτική πολιτική θα πρέπει να συνάδει με τη μακροπρόθεσμη βιομηχανική πολιτική της χώρας (π.χ. με την ενεργειακή πολιτική έως το 2050), και στο πλαίσιο </w:t>
      </w:r>
      <w:r w:rsidRPr="008E3ACF">
        <w:lastRenderedPageBreak/>
        <w:t>αυτό, είναι σκόπιμο να προσδιοριστεί η διαθεσιμότητα των πρώτων υλών που είναι απαραίτητες για την ανάπτυξη του κλάδου.</w:t>
      </w:r>
    </w:p>
    <w:p w:rsidR="00F8502D" w:rsidRPr="008E3ACF" w:rsidRDefault="008F52A7" w:rsidP="00073ADF">
      <w:pPr>
        <w:pStyle w:val="ListParagraph"/>
        <w:numPr>
          <w:ilvl w:val="1"/>
          <w:numId w:val="1"/>
        </w:numPr>
        <w:ind w:left="1701" w:hanging="567"/>
      </w:pPr>
      <w:r w:rsidRPr="008E3ACF">
        <w:t>Πρέπει να θεσπιστεί εκ νέου επαρκής βάση για τον τομέα, με τον επαναπροσδιορισμό των ρόλων της κεντρικής κυβέρνησης και των περιφερειακών αρχών, σε συνάρτηση τόσο με τις μεταξύ τους σχέσεις όσο και με τις πολιτικές που πρέπει να τεθούν σε εφαρμογή, ενώ οι αντίστοιχοι δημόσιοι φορείς πρέπει να είναι σε θέση να επιτελούν σωστά τα καθήκοντά τους. Για την αντιμετώπιση των ζητημάτων δυναμικού και συντόμευσης των χρονοδιαγραμμάτων αδειοδότησης, η διοίκηση θα πρέπει να εξετάσει ενδεχομένως τη δυνατότητα συμμετοχής τρίτων (π.χ. πανεπιστημιακή κοινότητα) ευθύς εξαρχής στη διαδικασία αδειοδότησης.</w:t>
      </w:r>
    </w:p>
    <w:p w:rsidR="00F8502D" w:rsidRPr="008E3ACF" w:rsidRDefault="003A552F" w:rsidP="00073ADF">
      <w:pPr>
        <w:pStyle w:val="ListParagraph"/>
        <w:numPr>
          <w:ilvl w:val="1"/>
          <w:numId w:val="1"/>
        </w:numPr>
        <w:ind w:left="1701" w:hanging="567"/>
      </w:pPr>
      <w:r w:rsidRPr="008E3ACF">
        <w:t>Διασφάλιση της επάρκειας των εφαρμοστέων προτύπων, επικαιροποίηση των νομικών μέσων, αναδιάρθρωση του κλάδου του δικαίου των συμβάσεων, επαναπροσδιορισμός του συστήματος δικαιωμάτων εκμετάλλευσης και άλλων επιβαρύνσεων εκμετάλλευσης και ρύθμιση του νέου πλαισίου συνθηκών.</w:t>
      </w:r>
    </w:p>
    <w:p w:rsidR="00E22EDD" w:rsidRPr="008E3ACF" w:rsidRDefault="00E22EDD" w:rsidP="00073ADF"/>
    <w:p w:rsidR="004F4E7F" w:rsidRPr="008E3ACF" w:rsidRDefault="004F4E7F" w:rsidP="00073ADF">
      <w:pPr>
        <w:pStyle w:val="ListParagraph"/>
        <w:numPr>
          <w:ilvl w:val="1"/>
          <w:numId w:val="8"/>
        </w:numPr>
        <w:ind w:left="1134" w:hanging="708"/>
        <w:rPr>
          <w:b/>
        </w:rPr>
      </w:pPr>
      <w:r w:rsidRPr="008E3ACF">
        <w:rPr>
          <w:b/>
        </w:rPr>
        <w:t>Χωροταξικός σχεδιασμός</w:t>
      </w:r>
    </w:p>
    <w:p w:rsidR="00B16689" w:rsidRPr="008E3ACF" w:rsidRDefault="00865DFC" w:rsidP="00073ADF">
      <w:pPr>
        <w:pStyle w:val="ListParagraph"/>
        <w:ind w:left="1134"/>
      </w:pPr>
      <w:r w:rsidRPr="008E3ACF">
        <w:t>Θα πρέπει να προσδιοριστούν τόσο τα κενά και οι προκλήσεις που παρουσιάζουν οι πρακτικές χωροταξικού σχεδιασμού όσο και τα παραδείγματα ορθών πρακτικών. Στο πλαίσιο του εθνικού, περιφερειακού και τοπικού χωροταξικού σχεδιασμού θα πρέπει να εφαρμόζονται ελάχιστα πρότυπα. Απαιτείται βαθύτερη γνώση των εθνικών δυνατοτήτων, με προκαταρκτικό προσδιορισμό των εκμεταλλεύσιμων πόρων για τους σκοπούς της εξορυκτικής ανάπτυξης. Στο πλαίσιο του χωροταξικού σχεδιασμού είναι αναγκαίο να εξετάζονται και να προσδιορίζονται στρατηγικά κοιτάσματα ορυκτών, ενώ θα πρέπει επίσης να εφαρμόζονται βέλτιστες πρακτικές για την πρόσβαση σε γεωλογικές πληροφορίες, αφενός, και σε εκτάσεις γης, αφετέρου.</w:t>
      </w:r>
    </w:p>
    <w:p w:rsidR="00F21C9F" w:rsidRPr="008E3ACF" w:rsidRDefault="00F21C9F" w:rsidP="00073ADF"/>
    <w:p w:rsidR="00B770E3" w:rsidRPr="008E3ACF" w:rsidRDefault="00B770E3" w:rsidP="00073ADF">
      <w:pPr>
        <w:pStyle w:val="ListParagraph"/>
        <w:numPr>
          <w:ilvl w:val="1"/>
          <w:numId w:val="8"/>
        </w:numPr>
        <w:ind w:left="1134" w:hanging="708"/>
        <w:rPr>
          <w:b/>
        </w:rPr>
      </w:pPr>
      <w:r w:rsidRPr="008E3ACF">
        <w:rPr>
          <w:b/>
        </w:rPr>
        <w:t xml:space="preserve">Πρόσβαση σε πηγές πρώτων υλών </w:t>
      </w:r>
    </w:p>
    <w:p w:rsidR="00882D96" w:rsidRPr="008E3ACF" w:rsidRDefault="00B770E3" w:rsidP="00073ADF">
      <w:pPr>
        <w:pStyle w:val="ListParagraph"/>
        <w:numPr>
          <w:ilvl w:val="1"/>
          <w:numId w:val="1"/>
        </w:numPr>
        <w:ind w:left="1843" w:hanging="709"/>
      </w:pPr>
      <w:r w:rsidRPr="008E3ACF">
        <w:t>Η θέσπιση διαφανούς και σαφούς πλαισίου όσον αφορά την αναζήτηση και την πρόσβαση σε κοιτάσματα αποτελεί ελάχιστη απαίτηση προς το συμφέρον όλων των άμεσα ενδιαφερόμενων μερών και των εξωτερικών συμφεροντούχων. Πρέπει να είναι δυνατή η μεταφορά πρώτων υλών. Αυτό σημαίνει διασφάλιση της υφιστάμενης ή πρόβλεψη κατάλληλης υποδομής οδικών, σιδηροδρομικών ή πλωτών αρτηριών για τη μεταφορά των πρώτων υλών από τις τοποθεσίες εξόρυξης στις τοποθεσίες επεξεργασίας και στις αγορές.</w:t>
      </w:r>
    </w:p>
    <w:p w:rsidR="00B770E3" w:rsidRPr="008E3ACF" w:rsidRDefault="00882D96" w:rsidP="00073ADF">
      <w:pPr>
        <w:pStyle w:val="ListParagraph"/>
        <w:numPr>
          <w:ilvl w:val="1"/>
          <w:numId w:val="1"/>
        </w:numPr>
        <w:ind w:left="1843" w:hanging="709"/>
      </w:pPr>
      <w:r w:rsidRPr="008E3ACF">
        <w:t>Οι αρμόδιες αρχές θα πρέπει να εξετάσουν το ενδεχόμενο εξορθολογισμού των διαδικασιών αδειοδότησης, την εφαρμογή του μοντέλου υπηρεσίας μίας στάσης και τη χρήση λύσεων ηλεκτρονικής διακυβέρνησης, όπως τα τυποποιημένα έντυπα σε ηλεκτρονική μορφή. Δεδομένου ότι ούτε στην οδηγία ΕΠΕ προβλέπεται χρονοδιάγραμμα ή χρονικός περιορισμός ούτε υπάρχουν άλλοι εφαρμοστέοι κανόνες για τις διαδικασίες αδειοδότησης, το ακριβές χρονικό πλαίσιο παρουσιάζει σημαντικές διαφοροποιήσεις μεταξύ των διαφόρων κρατών μελών και θα πρέπει να εναρμονιστεί και να συντομευθεί μέσω ενός οδηγού βέλτιστων πρακτικών.</w:t>
      </w:r>
    </w:p>
    <w:p w:rsidR="00F21C9F" w:rsidRPr="008E3ACF" w:rsidRDefault="00F21C9F" w:rsidP="00073ADF"/>
    <w:p w:rsidR="00F8060C" w:rsidRPr="008E3ACF" w:rsidRDefault="00F8060C" w:rsidP="00073ADF">
      <w:pPr>
        <w:pStyle w:val="ListParagraph"/>
        <w:numPr>
          <w:ilvl w:val="1"/>
          <w:numId w:val="9"/>
        </w:numPr>
        <w:ind w:left="1134" w:hanging="708"/>
        <w:rPr>
          <w:b/>
        </w:rPr>
      </w:pPr>
      <w:r w:rsidRPr="008E3ACF">
        <w:rPr>
          <w:b/>
        </w:rPr>
        <w:t xml:space="preserve">Εθνικές πολιτικές για την προσέλκυση επενδυτών σε διαθέσιμες περιοχές και για τη διευκόλυνση των επενδύσεων σε δραστηριότητες αναζήτησης και εξόρυξης </w:t>
      </w:r>
    </w:p>
    <w:p w:rsidR="002908B8" w:rsidRPr="008E3ACF" w:rsidRDefault="00F8060C" w:rsidP="00073ADF">
      <w:pPr>
        <w:pStyle w:val="ListParagraph"/>
        <w:ind w:left="1134"/>
      </w:pPr>
      <w:r w:rsidRPr="008E3ACF">
        <w:t>Οι αποφάσεις για την υλοποίηση επενδύσεων σε διάφορες χώρες βασίζονται σε μια ολόκληρη σειρά μετρήσεων: προοπτικές αναζήτησης και διαθεσιμότητα εδαφών, ρυθμιστικό σύστημα, αδειοδότηση, κίνδυνος κράτους, υποδομές, φορολογικό καθεστώς και νομοθεσία περί εξόρυξης, κόστος υπηρεσιών και γεωχρησίας, ασφάλεια της εκμετάλλευσης, ποιότητα των εγχώριων γεωλόγων και μηχανικών. Τα κράτη μέλη της ΕΕ ανταγωνίζονται για περιορισμένες επενδύσεις δολαρίων σε δραστηριότητες αναζήτησης ορυκτών. Πρέπει να θεσπιστούν κρατικές και ευρωπαϊκές πολιτικές, οι οποίες θα διασφαλίζουν, επιπλέον, την εξισορρόπηση μεταξύ της εξόρυξης ορυκτών, του περιβάλλοντος και των τοπικών κοινοτήτων.</w:t>
      </w:r>
    </w:p>
    <w:p w:rsidR="002908B8" w:rsidRPr="008E3ACF" w:rsidRDefault="00F8060C" w:rsidP="00073ADF">
      <w:pPr>
        <w:pStyle w:val="ListParagraph"/>
        <w:ind w:left="1134"/>
      </w:pPr>
      <w:r w:rsidRPr="008E3ACF">
        <w:t xml:space="preserve">Το τρίγωνο εμπιστοσύνης μεταξύ των εξορυκτικών εταιρειών, της κυβέρνησης και των οργανισμών της και της τοπικής κοινότητας αποτελεί βασική στοιχείο για την επιτυχή εκμετάλλευση οποιουδήποτε μεταλλείου. Η εμπιστοσύνη αυτή πρέπει να δημιουργείται στο στάδιο της αναζήτησης και να αποτελεί κορυφαία προτεραιότητα κατά το στάδιο της μελέτης σκοπιμότητας και του σχεδιασμού, ενώ θα πρέπει να συνεχίζεται και στις φάσεις κατασκευής, εκμετάλλευσης, παύσης λειτουργίας, καθώς και στη φάση μετά την παύση λειτουργίας. Τα μέταλλα και τα ορυκτά στηρίζουν την υποδομή του πολιτισμού μας. Κατά συνέπεια, θα πρέπει να υπόκεινται και σε κατάλληλη φορολόγηση. Η φορολογία των εταιρειών στον εξορυκτικό τομέα ενδέχεται να χρήζει επανεξέτασης, ούτως ώστε να συνεχίσει να είναι ελκυστική για τις εταιρείες αναζήτησης και εξόρυξης. </w:t>
      </w:r>
    </w:p>
    <w:p w:rsidR="00BC7D91" w:rsidRPr="008E3ACF" w:rsidRDefault="00BC7D91" w:rsidP="00073ADF">
      <w:pPr>
        <w:pStyle w:val="ListParagraph"/>
        <w:ind w:left="1134"/>
      </w:pPr>
      <w:r w:rsidRPr="008E3ACF">
        <w:t>Η αποδοτικότητα νέων εξορυκτικών επενδύσεων θα πρέπει να εκτιμάται σε συνάρτηση με άλλες βιομηχανίες και τις ανάγκες τους εφόσον εξαρτώνται από την εξορυκτική βιομηχανία, ενώ τα κοιτάσματα θα πρέπει να χρησιμοποιούνται με βιώσιμο τρόπο (π.χ. μέσω της ενίσχυσης της ανάκτησης υποπροϊόντων και παραπροϊόντων).</w:t>
      </w:r>
    </w:p>
    <w:p w:rsidR="00F21C9F" w:rsidRPr="008E3ACF" w:rsidRDefault="00F21C9F" w:rsidP="00073ADF"/>
    <w:p w:rsidR="004F4E7F" w:rsidRPr="008E3ACF" w:rsidRDefault="004F4E7F" w:rsidP="00073ADF">
      <w:pPr>
        <w:pStyle w:val="ListParagraph"/>
        <w:numPr>
          <w:ilvl w:val="1"/>
          <w:numId w:val="10"/>
        </w:numPr>
        <w:ind w:left="1134" w:hanging="708"/>
        <w:rPr>
          <w:b/>
        </w:rPr>
      </w:pPr>
      <w:r w:rsidRPr="008E3ACF">
        <w:rPr>
          <w:b/>
        </w:rPr>
        <w:t>Καινοτομία</w:t>
      </w:r>
    </w:p>
    <w:p w:rsidR="00F8060C" w:rsidRPr="008E3ACF" w:rsidRDefault="00F8060C" w:rsidP="00073ADF">
      <w:pPr>
        <w:pStyle w:val="ListParagraph"/>
        <w:numPr>
          <w:ilvl w:val="1"/>
          <w:numId w:val="1"/>
        </w:numPr>
        <w:ind w:left="1843" w:hanging="709"/>
      </w:pPr>
      <w:r w:rsidRPr="008E3ACF">
        <w:t>Οι καινοτόμες λύσεις στην εξορυκτική βιομηχανία θα πρέπει να υποστηρίζονται αποτελεσματικά από τις εθνικές κυβερνήσεις (ευνοϊκό νομικό πλαίσιο, πολυδιάστατο σύστημα παροχής κινήτρων, φόροι και τέλη), διότι οι εξορυκτικές εταιρείες δεν διαθέτουν κίνητρα για την ανάληψη υψηλών κινδύνων.</w:t>
      </w:r>
    </w:p>
    <w:p w:rsidR="00B770E3" w:rsidRPr="008E3ACF" w:rsidRDefault="00B770E3" w:rsidP="00073ADF">
      <w:pPr>
        <w:pStyle w:val="ListParagraph"/>
        <w:numPr>
          <w:ilvl w:val="1"/>
          <w:numId w:val="1"/>
        </w:numPr>
        <w:ind w:left="1843" w:hanging="709"/>
      </w:pPr>
      <w:r w:rsidRPr="008E3ACF">
        <w:t xml:space="preserve">Σημαντική για την οικονομική ανάπτυξη μιας κυκλικής οικονομίας είναι η ανάκτηση πρώτων υλών μέσω της ενισχυμένης ανακύκλωσης (π.χ. ΑΗΗΕ, ανακύκλωση διοξειδίου του άνθρακα), δεδομένου ότι σε πολλές περιοχές εξακολουθεί να μην είναι οικονομικά και τεχνολογικά ανταγωνιστική σε σύγκριση με τις πρωτογενείς πηγές και πρέπει, συνεπώς, να προαχθεί. </w:t>
      </w:r>
    </w:p>
    <w:p w:rsidR="00B770E3" w:rsidRPr="008E3ACF" w:rsidRDefault="00B770E3" w:rsidP="00073ADF">
      <w:pPr>
        <w:pStyle w:val="ListParagraph"/>
        <w:numPr>
          <w:ilvl w:val="1"/>
          <w:numId w:val="1"/>
        </w:numPr>
        <w:ind w:left="1843" w:hanging="709"/>
      </w:pPr>
      <w:r w:rsidRPr="008E3ACF">
        <w:t>Ενίσχυση της εκπαίδευσης και αύξηση της ευαισθητοποίησης του κοινού όσον αφορά τη σημασία των πρώτων υλών στην οικονομία, λαμβανομένου ιδίως υπόψη ότι δεν υπάρχει επί του παρόντος συσχετισμός με τις προκλήσεις των εκπαιδευτικών συστημάτων στη σύγχρονη οικονομία, μεταξύ άλλων στο πεδίο της επιχειρηματικότητας.</w:t>
      </w:r>
    </w:p>
    <w:p w:rsidR="00F8060C" w:rsidRPr="008E3ACF" w:rsidRDefault="00F8060C" w:rsidP="00073ADF"/>
    <w:p w:rsidR="00B16689" w:rsidRPr="008E3ACF" w:rsidRDefault="00F8502D" w:rsidP="005636C0">
      <w:pPr>
        <w:pStyle w:val="ListParagraph"/>
        <w:keepNext/>
        <w:numPr>
          <w:ilvl w:val="0"/>
          <w:numId w:val="1"/>
        </w:numPr>
        <w:rPr>
          <w:b/>
          <w:sz w:val="24"/>
          <w:szCs w:val="24"/>
        </w:rPr>
      </w:pPr>
      <w:r w:rsidRPr="008E3ACF">
        <w:rPr>
          <w:b/>
          <w:sz w:val="24"/>
        </w:rPr>
        <w:t>Άξονας Β – Οι πολιτικές της ΕΕ και η νομοθετική διάσταση</w:t>
      </w:r>
    </w:p>
    <w:p w:rsidR="00E22EDD" w:rsidRPr="008E3ACF" w:rsidRDefault="00E22EDD" w:rsidP="005636C0">
      <w:pPr>
        <w:keepNext/>
        <w:rPr>
          <w:sz w:val="24"/>
        </w:rPr>
      </w:pPr>
    </w:p>
    <w:p w:rsidR="00C46EF5" w:rsidRPr="008E3ACF" w:rsidRDefault="00C46EF5" w:rsidP="00073ADF">
      <w:pPr>
        <w:pStyle w:val="ListParagraph"/>
        <w:numPr>
          <w:ilvl w:val="1"/>
          <w:numId w:val="11"/>
        </w:numPr>
        <w:ind w:left="1134" w:hanging="708"/>
        <w:rPr>
          <w:b/>
        </w:rPr>
      </w:pPr>
      <w:r w:rsidRPr="008E3ACF">
        <w:rPr>
          <w:b/>
        </w:rPr>
        <w:t>Διασφάλιση του τοπικού ενεργειακού εφοδιασμού</w:t>
      </w:r>
    </w:p>
    <w:p w:rsidR="00C46EF5" w:rsidRPr="008E3ACF" w:rsidRDefault="00C46EF5" w:rsidP="00073ADF">
      <w:pPr>
        <w:pStyle w:val="ListParagraph"/>
        <w:numPr>
          <w:ilvl w:val="1"/>
          <w:numId w:val="1"/>
        </w:numPr>
        <w:ind w:left="1843" w:hanging="709"/>
      </w:pPr>
      <w:r w:rsidRPr="008E3ACF">
        <w:t>Ανάπτυξη όλων των συμβατικών και μη συμβατικών πηγών ενέργειας, ούτως ώστε να είναι εφικτή η διαμόρφωση ανταγωνιστικών τιμών για ενεργοβόρες βιομηχανίες, όπως η εξορυκτική βιομηχανία και η βιομηχανία δευτερογενούς επεξεργασίας.</w:t>
      </w:r>
    </w:p>
    <w:p w:rsidR="004F4E7F" w:rsidRPr="008E3ACF" w:rsidRDefault="00C46EF5" w:rsidP="00073ADF">
      <w:pPr>
        <w:pStyle w:val="ListParagraph"/>
        <w:numPr>
          <w:ilvl w:val="1"/>
          <w:numId w:val="1"/>
        </w:numPr>
        <w:ind w:left="1843" w:hanging="709"/>
      </w:pPr>
      <w:r w:rsidRPr="008E3ACF">
        <w:t xml:space="preserve">Οι τιμές της ενέργειας έχουν σημαντική επίδραση στο συνολικό κόστος της εξορυκτικής δραστηριότητας και της επεξεργασίας ορυκτών. Πολλές εξορυκτικές εταιρείες είναι πλήρως ενσωματωμένες σε παγκόσμιες αλυσίδες αξίας, όπου το επιπρόσθετο τοπικό κόστος δεν μπορεί να μετακυλιστεί στους πελάτες τους για ανταγωνιστικούς λόγους. Ως εκ τούτου, η εξορυκτική δραστηριότητα, σε οποιαδήποτε δικαιοδοσία, απαιτεί την ανταγωνιστική τιμολόγηση της ενέργειας προς όφελος των κοινοτήτων υποδοχής σε μακροπρόθεσμο ορίζοντα. </w:t>
      </w:r>
    </w:p>
    <w:p w:rsidR="00C46EF5" w:rsidRPr="008E3ACF" w:rsidRDefault="00C46EF5" w:rsidP="00073ADF">
      <w:pPr>
        <w:pStyle w:val="ListParagraph"/>
        <w:numPr>
          <w:ilvl w:val="1"/>
          <w:numId w:val="1"/>
        </w:numPr>
        <w:ind w:left="1843" w:hanging="709"/>
      </w:pPr>
      <w:r w:rsidRPr="008E3ACF">
        <w:t>Από την πλευρά του ενεργειακού τομέα μπορεί να διατυπωθεί η πεποίθηση ότι η αποδέσμευση της οικονομικής ανάπτυξης από τις εκπομπές αερίων του θερμοκηπίου μπορεί να συντελεστεί, και συντελείται πράγματι, όπου δραστηριοποιούνται ή ακόμη και αναπτύσσονται σημαντικές εξορυκτικές βιομηχανίες. Οι υψηλές τιμές ενέργειας δεν αποφέρουν απαραιτήτως μειώσεις του CO</w:t>
      </w:r>
      <w:r w:rsidRPr="008E3ACF">
        <w:rPr>
          <w:vertAlign w:val="subscript"/>
        </w:rPr>
        <w:t>2</w:t>
      </w:r>
      <w:r w:rsidRPr="008E3ACF">
        <w:t xml:space="preserve"> όπου αυτές είναι, για παράδειγμα, άμεσα συνυφασμένες με την επεξεργασία του ορυκτού και, μολαταύτα, μπορούν να επηρεάσουν την ανταγωνιστικότητα ολόκληρων αλυσίδων αξίας. Είναι επιθυμητή η υλοποίηση μακροπρόθεσμων επενδύσεων σε αποδοτικότερες εξορυκτικές τεχνολογίες, και όχι η μετεγκατάσταση της εξορυκτικής δραστηριότητας σε τρίτες χώρες.</w:t>
      </w:r>
    </w:p>
    <w:p w:rsidR="00F21C9F" w:rsidRPr="008E3ACF" w:rsidRDefault="00F21C9F" w:rsidP="00073ADF"/>
    <w:p w:rsidR="004F4E7F" w:rsidRPr="008E3ACF" w:rsidRDefault="004F4E7F" w:rsidP="00073ADF">
      <w:pPr>
        <w:pStyle w:val="ListParagraph"/>
        <w:numPr>
          <w:ilvl w:val="1"/>
          <w:numId w:val="12"/>
        </w:numPr>
        <w:ind w:left="1134" w:hanging="708"/>
        <w:rPr>
          <w:b/>
        </w:rPr>
      </w:pPr>
      <w:r w:rsidRPr="008E3ACF">
        <w:rPr>
          <w:b/>
        </w:rPr>
        <w:t>Γνώσεις και δημιουργία συνεργειών</w:t>
      </w:r>
    </w:p>
    <w:p w:rsidR="00BC7D91" w:rsidRPr="008E3ACF" w:rsidRDefault="00F8502D" w:rsidP="00073ADF">
      <w:pPr>
        <w:pStyle w:val="ListParagraph"/>
        <w:numPr>
          <w:ilvl w:val="1"/>
          <w:numId w:val="1"/>
        </w:numPr>
        <w:ind w:left="1843" w:hanging="709"/>
      </w:pPr>
      <w:r w:rsidRPr="008E3ACF">
        <w:t>Ανάπτυξη γνώσεων και εκτίμηση των εθνικών δυνατοτήτων των κρατών μελών της ΕΕ και των δυνητικών συνεργειών τους σε ευρωπαϊκό πλαίσιο μέσω της βελτίωσης των μεθόδων συλλογής και της συστηματοποίησης των πληροφοριών, με στόχο την καλύτερη χρήση των πόρων και την προώθηση συνεργειών μεταξύ οντοτήτων του δημόσιου και του ιδιωτικού τομέα, καθώς και την παρακολούθηση των εξορυκτικών δραστηριοτήτων που έχουν αναπτυχθεί σε ολόκληρη την ΕΕ.</w:t>
      </w:r>
    </w:p>
    <w:p w:rsidR="00BC7D91" w:rsidRPr="008E3ACF" w:rsidRDefault="00BC7D91" w:rsidP="00073ADF">
      <w:pPr>
        <w:pStyle w:val="ListParagraph"/>
        <w:numPr>
          <w:ilvl w:val="1"/>
          <w:numId w:val="1"/>
        </w:numPr>
        <w:ind w:left="1843" w:hanging="709"/>
      </w:pPr>
      <w:r w:rsidRPr="008E3ACF">
        <w:t>Η συμμετοχή εταιρειών και οντοτήτων Ε&amp;Α στην πρωτοβουλία EIT σχετικά με τις πρώτες ύλες, καθώς και στα προγράμματα της ΕΕ, θα πρέπει να υποστηρίζεται στον μέγιστο δυνατό βαθμό από το κράτος· θα πρέπει να ενθαρρυνθεί η συμμετοχή εθνικών οργανισμών χρηματοδότησης της Ε&amp;ΤΑ στις δράσεις ERA-NET.</w:t>
      </w:r>
    </w:p>
    <w:p w:rsidR="007C29C6" w:rsidRPr="008E3ACF" w:rsidRDefault="007C29C6" w:rsidP="00073ADF">
      <w:pPr>
        <w:pStyle w:val="ListParagraph"/>
        <w:numPr>
          <w:ilvl w:val="1"/>
          <w:numId w:val="1"/>
        </w:numPr>
        <w:ind w:left="1843" w:hanging="709"/>
      </w:pPr>
      <w:r w:rsidRPr="008E3ACF">
        <w:t>Αρκετές χώρες βρίσκονται αντιμέτωπες με τη σημαντική πρόκληση της παύσης λειτουργίας ανθρακωρυχείων ή της αναβάθμισης των οικείων σταθμών παραγωγής ηλεκτρικής ενέργειας και την ανάπτυξη φιλικών προς το περιβάλλον τεχνολογιών για την ευρύτερη χρήση του άνθρακα σε άλλους τομείς πέραν του ενεργειακού τομέα. Επί του παρόντος, η πολιτική της ΕΕ εισάγει διακρίσεις εις βάρος της εξόρυξης άνθρακα, ενώ θα έπρεπε, αντιθέτως, να κάνει βιώσιμη χρήση των υφιστάμενων πόρων της ΕΕ και να στηρίζει ενεργά τις χώρες και τις περιφέρειες που βρίσκονται αντιμέτωπες με την παύση λειτουργίας ανθρακωρυχείων μέσω της χρηματοδότησης δράσεων Ε&amp;ΤΑ και των διαρθρωτικών ταμείων, με στόχο τη διευκόλυνση της περιβαλλοντικά και κοινωνικά βιώσιμης αναζωογόνησης των εν λόγω περιφερειών.</w:t>
      </w:r>
    </w:p>
    <w:p w:rsidR="00F21C9F" w:rsidRPr="008E3ACF" w:rsidRDefault="00F21C9F" w:rsidP="00073ADF"/>
    <w:p w:rsidR="000778E9" w:rsidRPr="008E3ACF" w:rsidRDefault="000778E9" w:rsidP="005636C0">
      <w:pPr>
        <w:pStyle w:val="ListParagraph"/>
        <w:keepNext/>
        <w:numPr>
          <w:ilvl w:val="1"/>
          <w:numId w:val="13"/>
        </w:numPr>
        <w:ind w:left="1134" w:hanging="708"/>
        <w:rPr>
          <w:b/>
        </w:rPr>
      </w:pPr>
      <w:r w:rsidRPr="008E3ACF">
        <w:rPr>
          <w:b/>
        </w:rPr>
        <w:t xml:space="preserve">Κοινωνική διάσταση και αγορά εργασίας </w:t>
      </w:r>
    </w:p>
    <w:p w:rsidR="00736574" w:rsidRPr="008E3ACF" w:rsidRDefault="000778E9" w:rsidP="005636C0">
      <w:pPr>
        <w:pStyle w:val="ListParagraph"/>
        <w:keepNext/>
        <w:ind w:left="1134"/>
      </w:pPr>
      <w:r w:rsidRPr="008E3ACF">
        <w:t>Εκσυγχρονισμός και προσαρμογή των συστημάτων εκπαίδευσης και κατάρτισης με βάση τις τεχνολογικές εξελίξεις και τις νέες μεθόδους εργασίας. Στο πλαίσιο αυτό περιλαμβάνονται η διά βίου μάθηση, η επαγγελματική κατάρτιση και τα διττά συστήματα μάθησης, τα οποία συνδυάζουν θεωρητική και πρακτική διδασκαλία· ένα θεματολόγιο δυναμικής και συνεκτικής βιομηχανικής πολιτικής για την υποστήριξη της διασφάλισης και της δημιουργίας απασχόλησης στους εξορυκτικούς κλάδους· η διευκόλυνση της κινητικότητας του εργατικού δυναμικού· και η ανάπτυξη ικανοτήτων στο επίπεδο των αρμόδιων αρχών. Συνιστάται εντόνως η εξέταση της απασχόλησης και της ανάπτυξης δεξιοτήτων στον τομέα σε ευρωπαϊκή κλίμακα, ούτως ώστε να διασφαλιστεί η περιφερειακή ανάπτυξη και η αναδιάρθρωση στον ευρύτερο τομέα.</w:t>
      </w:r>
    </w:p>
    <w:p w:rsidR="00F21C9F" w:rsidRPr="008E3ACF" w:rsidRDefault="00F21C9F" w:rsidP="00073ADF"/>
    <w:p w:rsidR="00F21C9F" w:rsidRPr="008E3ACF" w:rsidRDefault="00325AD9" w:rsidP="00073ADF">
      <w:pPr>
        <w:pStyle w:val="ListParagraph"/>
        <w:numPr>
          <w:ilvl w:val="1"/>
          <w:numId w:val="14"/>
        </w:numPr>
        <w:ind w:left="1134" w:hanging="708"/>
        <w:rPr>
          <w:b/>
        </w:rPr>
      </w:pPr>
      <w:r w:rsidRPr="008E3ACF">
        <w:rPr>
          <w:b/>
        </w:rPr>
        <w:t>Ανταγωνισμός και βιωσιμότητα</w:t>
      </w:r>
    </w:p>
    <w:p w:rsidR="00325AD9" w:rsidRPr="008E3ACF" w:rsidRDefault="00C46EF5" w:rsidP="00073ADF">
      <w:pPr>
        <w:pStyle w:val="ListParagraph"/>
        <w:ind w:left="1134"/>
        <w:rPr>
          <w:b/>
        </w:rPr>
      </w:pPr>
      <w:r w:rsidRPr="008E3ACF">
        <w:t>Προς όφελος της οικονομικής ανάπτυξης και βιωσιμότητας της ΕΕ, είναι υψίστης σημασίας για την ΕΕ να θέσει τέλος στην προσχηματική προσήλωσή της στους στόχους της βιωσιμότητας με την υλοποίηση μεν των εν λόγω στόχων εντός της ΕΕ, αλλά όχι και για τα προϊόντα που εισέρχονται στην ΕΕ. Για τον λόγο αυτό, πρέπει να διασφαλιστεί ότι τα νομικά πλαίσια είναι αρκετά ισχυρά ώστε να παρέχουν στις ευρωπαϊκές βιομηχανίες προστασία έναντι του αθέμιτου ανταγωνισμού, ενώ θα πρέπει επίσης να διασφαλιστεί ένα νομικό πλαίσιο για την προστασία των καταναλωτών της ΕΕ από τον αθέμιτο διεθνή ανταγωνισμό ή από τη διαρροή παραγωγής λόγω της μονομερούς εθελούσιας επιβολής κυρώσεων και επιβραβεύσεων για την επίδειξη εξεχουσών επιδόσεων παραγωγικότητας.</w:t>
      </w:r>
    </w:p>
    <w:p w:rsidR="00080C01" w:rsidRPr="008E3ACF" w:rsidRDefault="00080C01" w:rsidP="00073ADF"/>
    <w:p w:rsidR="003B200D" w:rsidRPr="008E3ACF" w:rsidRDefault="003B200D" w:rsidP="00073ADF"/>
    <w:p w:rsidR="00E22EDD" w:rsidRPr="008E3ACF" w:rsidRDefault="00FC0AA4" w:rsidP="00073ADF">
      <w:pPr>
        <w:pStyle w:val="ListParagraph"/>
        <w:ind w:left="1440"/>
        <w:jc w:val="center"/>
      </w:pPr>
      <w:r w:rsidRPr="008E3ACF">
        <w:t>*</w:t>
      </w:r>
    </w:p>
    <w:p w:rsidR="003B200D" w:rsidRPr="008E3ACF" w:rsidRDefault="00FC0AA4" w:rsidP="00073ADF">
      <w:pPr>
        <w:pStyle w:val="ListParagraph"/>
        <w:ind w:left="1440"/>
        <w:jc w:val="center"/>
      </w:pPr>
      <w:r w:rsidRPr="008E3ACF">
        <w:t>*</w:t>
      </w:r>
      <w:r w:rsidRPr="008E3ACF">
        <w:tab/>
        <w:t>*</w:t>
      </w:r>
    </w:p>
    <w:p w:rsidR="000F4718" w:rsidRPr="008E3ACF" w:rsidRDefault="000F4718">
      <w:pPr>
        <w:spacing w:after="200" w:line="276" w:lineRule="auto"/>
        <w:jc w:val="left"/>
      </w:pPr>
      <w:r w:rsidRPr="008E3ACF">
        <w:br w:type="page"/>
      </w:r>
    </w:p>
    <w:p w:rsidR="00080C01" w:rsidRPr="008E3ACF" w:rsidRDefault="00080C01" w:rsidP="00073ADF">
      <w:pPr>
        <w:rPr>
          <w:b/>
        </w:rPr>
      </w:pPr>
      <w:r w:rsidRPr="008E3ACF">
        <w:rPr>
          <w:b/>
        </w:rPr>
        <w:t>Οι κυριότεροι εταίροι των εν λόγω διοργανώσεων ήταν η Euromines, η Euracoal, η IndustriAll και η Ευρωπαϊκή Επιτροπή, ωστόσο σε κάθε διοργάνωση συμμετείχαν επίσης διάφοροι τοπικοί εταίροι:</w:t>
      </w:r>
    </w:p>
    <w:p w:rsidR="00080C01" w:rsidRPr="008E3ACF" w:rsidRDefault="00080C01" w:rsidP="00073ADF">
      <w:pPr>
        <w:pStyle w:val="ListParagraph"/>
        <w:numPr>
          <w:ilvl w:val="0"/>
          <w:numId w:val="4"/>
        </w:numPr>
      </w:pPr>
      <w:r w:rsidRPr="008E3ACF">
        <w:t>Ισπανία: Confedem και Centro para el Desarrollo Tecnológico Industrial</w:t>
      </w:r>
    </w:p>
    <w:p w:rsidR="00080C01" w:rsidRPr="008E3ACF" w:rsidRDefault="00080C01" w:rsidP="00073ADF">
      <w:pPr>
        <w:pStyle w:val="ListParagraph"/>
        <w:numPr>
          <w:ilvl w:val="0"/>
          <w:numId w:val="4"/>
        </w:numPr>
      </w:pPr>
      <w:r w:rsidRPr="008E3ACF">
        <w:t>Σλοβακία: Υπουργείο Οικονομίας</w:t>
      </w:r>
    </w:p>
    <w:p w:rsidR="00080C01" w:rsidRPr="008E3ACF" w:rsidRDefault="00080C01" w:rsidP="00073ADF">
      <w:pPr>
        <w:pStyle w:val="ListParagraph"/>
        <w:numPr>
          <w:ilvl w:val="0"/>
          <w:numId w:val="4"/>
        </w:numPr>
      </w:pPr>
      <w:r w:rsidRPr="008E3ACF">
        <w:t>Ρουμανία: Πανεπιστήμιο Politehnika του Βουκουρεστίου, Υπουργείο Οικονομίας, Meridian</w:t>
      </w:r>
    </w:p>
    <w:p w:rsidR="00080C01" w:rsidRPr="008E3ACF" w:rsidRDefault="00080C01" w:rsidP="00073ADF">
      <w:pPr>
        <w:pStyle w:val="ListParagraph"/>
        <w:numPr>
          <w:ilvl w:val="0"/>
          <w:numId w:val="4"/>
        </w:numPr>
      </w:pPr>
      <w:r w:rsidRPr="008E3ACF">
        <w:t>Φινλανδία: Ομοσπονδία Φινλανδικών Επιχειρήσεων, Φινλανδική Ένωση Φορέων Εκμετάλλευσης Μεταλλείων (Finnmin)</w:t>
      </w:r>
    </w:p>
    <w:p w:rsidR="00080C01" w:rsidRPr="008E3ACF" w:rsidRDefault="00080C01" w:rsidP="00073ADF">
      <w:pPr>
        <w:pStyle w:val="ListParagraph"/>
        <w:numPr>
          <w:ilvl w:val="0"/>
          <w:numId w:val="4"/>
        </w:numPr>
      </w:pPr>
      <w:r w:rsidRPr="008E3ACF">
        <w:t>Πορτογαλία: Laboratório Nacional de Energia e Geologia, Direção-Geral de Energia e Geologia</w:t>
      </w:r>
    </w:p>
    <w:p w:rsidR="00080C01" w:rsidRPr="008E3ACF" w:rsidRDefault="00080C01" w:rsidP="00073ADF">
      <w:pPr>
        <w:pStyle w:val="ListParagraph"/>
        <w:numPr>
          <w:ilvl w:val="0"/>
          <w:numId w:val="4"/>
        </w:numPr>
      </w:pPr>
      <w:r w:rsidRPr="008E3ACF">
        <w:t>Ιρλανδία: Γεωλογική Υπηρεσία της Ιρλανδίας, Υπουργείο Επικοινωνιών, Ενέργειας και Φυσικών Πόρων</w:t>
      </w:r>
    </w:p>
    <w:p w:rsidR="00080C01" w:rsidRPr="008E3ACF" w:rsidRDefault="00080C01" w:rsidP="00073ADF">
      <w:pPr>
        <w:pStyle w:val="ListParagraph"/>
        <w:numPr>
          <w:ilvl w:val="0"/>
          <w:numId w:val="4"/>
        </w:numPr>
      </w:pPr>
      <w:r w:rsidRPr="008E3ACF">
        <w:t>Πολωνία: Υπουργείο Οικονομικής Ανάπτυξης, Σύνδεσμος Εργοδοτών του Κλάδου Χαλκού της Πολωνίας</w:t>
      </w:r>
    </w:p>
    <w:p w:rsidR="00080C01" w:rsidRPr="008E3ACF" w:rsidRDefault="00080C01" w:rsidP="00073ADF">
      <w:pPr>
        <w:pStyle w:val="ListParagraph"/>
        <w:numPr>
          <w:ilvl w:val="0"/>
          <w:numId w:val="4"/>
        </w:numPr>
      </w:pPr>
      <w:r w:rsidRPr="008E3ACF">
        <w:t>Τσεχική Δημοκρατία: Ένωση Φορέων Εκμετάλλευσης Μεταλλείων της Τσεχικής Δημοκρατίας, Υπουργείο Βιομηχανίας και Εμπορίου</w:t>
      </w:r>
    </w:p>
    <w:p w:rsidR="00080C01" w:rsidRPr="008E3ACF" w:rsidRDefault="00080C01" w:rsidP="00073ADF"/>
    <w:p w:rsidR="00080C01" w:rsidRPr="008E3ACF" w:rsidRDefault="00080C01" w:rsidP="00073ADF">
      <w:pPr>
        <w:pStyle w:val="ListParagraph"/>
        <w:ind w:left="0"/>
        <w:rPr>
          <w:b/>
        </w:rPr>
      </w:pPr>
      <w:r w:rsidRPr="008E3ACF">
        <w:rPr>
          <w:b/>
        </w:rPr>
        <w:t>Κατάλογος μελών/εκπροσώπων της επιτροπής CCMI που συμμετείχαν στις εν λόγω συζητήσεις στρογγυλής τραπέζης</w:t>
      </w:r>
    </w:p>
    <w:p w:rsidR="005E690D" w:rsidRPr="008E3ACF" w:rsidRDefault="005E690D" w:rsidP="00073ADF">
      <w:pPr>
        <w:pStyle w:val="ListParagraph"/>
      </w:pPr>
      <w:r w:rsidRPr="008E3ACF">
        <w:t>Lucie Studničná</w:t>
      </w:r>
    </w:p>
    <w:p w:rsidR="005E690D" w:rsidRPr="008E3ACF" w:rsidRDefault="005E690D" w:rsidP="00073ADF">
      <w:pPr>
        <w:pStyle w:val="ListParagraph"/>
      </w:pPr>
      <w:r w:rsidRPr="008E3ACF">
        <w:t>Carlos Trias Pintó</w:t>
      </w:r>
    </w:p>
    <w:p w:rsidR="005E690D" w:rsidRPr="008E3ACF" w:rsidRDefault="005E690D" w:rsidP="00073ADF">
      <w:pPr>
        <w:pStyle w:val="ListParagraph"/>
      </w:pPr>
      <w:r w:rsidRPr="008E3ACF">
        <w:t>Casado Lopez Juan Manuel</w:t>
      </w:r>
    </w:p>
    <w:p w:rsidR="005E690D" w:rsidRPr="008E3ACF" w:rsidRDefault="005E690D" w:rsidP="00073ADF">
      <w:pPr>
        <w:pStyle w:val="ListParagraph"/>
      </w:pPr>
      <w:r w:rsidRPr="008E3ACF">
        <w:t>Dumitru Fornea</w:t>
      </w:r>
    </w:p>
    <w:p w:rsidR="005E690D" w:rsidRPr="008E3ACF" w:rsidRDefault="005E690D" w:rsidP="00073ADF">
      <w:pPr>
        <w:pStyle w:val="ListParagraph"/>
      </w:pPr>
      <w:r w:rsidRPr="008E3ACF">
        <w:t>Eugen Lucan</w:t>
      </w:r>
    </w:p>
    <w:p w:rsidR="005E690D" w:rsidRPr="008E3ACF" w:rsidRDefault="005E690D" w:rsidP="00073ADF">
      <w:pPr>
        <w:pStyle w:val="ListParagraph"/>
      </w:pPr>
      <w:r w:rsidRPr="008E3ACF">
        <w:t>Gerald Kreuzer</w:t>
      </w:r>
    </w:p>
    <w:p w:rsidR="005E690D" w:rsidRPr="008E3ACF" w:rsidRDefault="005E690D" w:rsidP="00073ADF">
      <w:pPr>
        <w:pStyle w:val="ListParagraph"/>
      </w:pPr>
      <w:r w:rsidRPr="008E3ACF">
        <w:t>Glorieux Jacques</w:t>
      </w:r>
    </w:p>
    <w:p w:rsidR="005E690D" w:rsidRPr="008E3ACF" w:rsidRDefault="005E690D" w:rsidP="00073ADF">
      <w:pPr>
        <w:pStyle w:val="ListParagraph"/>
      </w:pPr>
      <w:r w:rsidRPr="008E3ACF">
        <w:t>Hilde Van Laere</w:t>
      </w:r>
    </w:p>
    <w:p w:rsidR="005E690D" w:rsidRPr="008E3ACF" w:rsidRDefault="005E690D" w:rsidP="00073ADF">
      <w:pPr>
        <w:pStyle w:val="ListParagraph"/>
      </w:pPr>
      <w:r w:rsidRPr="008E3ACF">
        <w:t>Jacques Glorieux</w:t>
      </w:r>
    </w:p>
    <w:p w:rsidR="005E690D" w:rsidRPr="008E3ACF" w:rsidRDefault="005E690D" w:rsidP="00073ADF">
      <w:pPr>
        <w:pStyle w:val="ListParagraph"/>
      </w:pPr>
      <w:r w:rsidRPr="008E3ACF">
        <w:t>Josef Zboril</w:t>
      </w:r>
    </w:p>
    <w:p w:rsidR="005E690D" w:rsidRPr="008E3ACF" w:rsidRDefault="003B200D" w:rsidP="00073ADF">
      <w:pPr>
        <w:pStyle w:val="ListParagraph"/>
      </w:pPr>
      <w:r w:rsidRPr="008E3ACF">
        <w:t>Linas Lasiauskas</w:t>
      </w:r>
    </w:p>
    <w:p w:rsidR="003B200D" w:rsidRPr="008E3ACF" w:rsidRDefault="003B200D" w:rsidP="00073ADF">
      <w:pPr>
        <w:pStyle w:val="ListParagraph"/>
      </w:pPr>
      <w:r w:rsidRPr="008E3ACF">
        <w:t xml:space="preserve">Gonçalo Lobo Xavier </w:t>
      </w:r>
    </w:p>
    <w:p w:rsidR="003B200D" w:rsidRPr="008E3ACF" w:rsidRDefault="003B200D" w:rsidP="00073ADF">
      <w:pPr>
        <w:pStyle w:val="ListParagraph"/>
      </w:pPr>
      <w:r w:rsidRPr="008E3ACF">
        <w:t xml:space="preserve">Cillian Lohan </w:t>
      </w:r>
    </w:p>
    <w:p w:rsidR="005E690D" w:rsidRPr="008E3ACF" w:rsidRDefault="003B200D" w:rsidP="00073ADF">
      <w:pPr>
        <w:pStyle w:val="ListParagraph"/>
      </w:pPr>
      <w:r w:rsidRPr="008E3ACF">
        <w:t>Vladimir Novotný</w:t>
      </w:r>
    </w:p>
    <w:p w:rsidR="005E690D" w:rsidRPr="008E3ACF" w:rsidRDefault="003B200D" w:rsidP="00073ADF">
      <w:pPr>
        <w:pStyle w:val="ListParagraph"/>
      </w:pPr>
      <w:r w:rsidRPr="008E3ACF">
        <w:t xml:space="preserve">Jorge Pegado Liz </w:t>
      </w:r>
    </w:p>
    <w:p w:rsidR="003B200D" w:rsidRPr="008E3ACF" w:rsidRDefault="003B200D" w:rsidP="00073ADF">
      <w:pPr>
        <w:pStyle w:val="ListParagraph"/>
      </w:pPr>
      <w:r w:rsidRPr="008E3ACF">
        <w:t xml:space="preserve">Aurel Laurentiu Plosceanu </w:t>
      </w:r>
    </w:p>
    <w:p w:rsidR="005E690D" w:rsidRPr="008E3ACF" w:rsidRDefault="003B200D" w:rsidP="00073ADF">
      <w:pPr>
        <w:pStyle w:val="ListParagraph"/>
      </w:pPr>
      <w:r w:rsidRPr="008E3ACF">
        <w:t>Ion Pop</w:t>
      </w:r>
    </w:p>
    <w:p w:rsidR="005E690D" w:rsidRPr="008E3ACF" w:rsidRDefault="005E690D" w:rsidP="00073ADF">
      <w:pPr>
        <w:pStyle w:val="ListParagraph"/>
      </w:pPr>
      <w:r w:rsidRPr="008E3ACF">
        <w:t>Renata Eisenvortova</w:t>
      </w:r>
    </w:p>
    <w:p w:rsidR="005E690D" w:rsidRPr="008E3ACF" w:rsidRDefault="003B200D" w:rsidP="00073ADF">
      <w:pPr>
        <w:pStyle w:val="ListParagraph"/>
      </w:pPr>
      <w:r w:rsidRPr="008E3ACF">
        <w:t xml:space="preserve">Przemyslaw Rzepecki </w:t>
      </w:r>
    </w:p>
    <w:p w:rsidR="005E690D" w:rsidRPr="008E3ACF" w:rsidRDefault="005E690D" w:rsidP="00073ADF">
      <w:pPr>
        <w:pStyle w:val="ListParagraph"/>
      </w:pPr>
      <w:r w:rsidRPr="008E3ACF">
        <w:t>Sauli Vantti</w:t>
      </w:r>
    </w:p>
    <w:p w:rsidR="005E690D" w:rsidRPr="008E3ACF" w:rsidRDefault="005E690D" w:rsidP="00073ADF">
      <w:pPr>
        <w:pStyle w:val="ListParagraph"/>
      </w:pPr>
      <w:r w:rsidRPr="008E3ACF">
        <w:t>Seamus Boland</w:t>
      </w:r>
    </w:p>
    <w:p w:rsidR="005E690D" w:rsidRPr="008E3ACF" w:rsidRDefault="005E690D" w:rsidP="00073ADF">
      <w:pPr>
        <w:pStyle w:val="ListParagraph"/>
      </w:pPr>
      <w:r w:rsidRPr="008E3ACF">
        <w:t>Thomas Palmgren</w:t>
      </w:r>
    </w:p>
    <w:p w:rsidR="005E690D" w:rsidRPr="008E3ACF" w:rsidRDefault="005E690D" w:rsidP="00073ADF">
      <w:pPr>
        <w:pStyle w:val="ListParagraph"/>
      </w:pPr>
      <w:r w:rsidRPr="008E3ACF">
        <w:t>Víctor Fernández Vázquez</w:t>
      </w:r>
    </w:p>
    <w:p w:rsidR="00080C01" w:rsidRPr="008E3ACF" w:rsidRDefault="003B200D" w:rsidP="00073ADF">
      <w:pPr>
        <w:pStyle w:val="ListParagraph"/>
      </w:pPr>
      <w:r w:rsidRPr="008E3ACF">
        <w:t xml:space="preserve">Αναστάσης Γιαπάνης </w:t>
      </w:r>
    </w:p>
    <w:p w:rsidR="00FC0AA4" w:rsidRPr="008E3ACF" w:rsidRDefault="00FC0AA4" w:rsidP="00073ADF"/>
    <w:p w:rsidR="00FC0AA4" w:rsidRPr="008E3ACF" w:rsidRDefault="000F4718" w:rsidP="00073ADF">
      <w:pPr>
        <w:pStyle w:val="ListParagraph"/>
        <w:jc w:val="center"/>
      </w:pPr>
      <w:r w:rsidRPr="008E3ACF">
        <w:t>______________</w:t>
      </w:r>
    </w:p>
    <w:sectPr w:rsidR="00FC0AA4" w:rsidRPr="008E3ACF" w:rsidSect="009D0466">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D5E" w:rsidRDefault="004F0D5E" w:rsidP="00354641">
      <w:pPr>
        <w:spacing w:line="240" w:lineRule="auto"/>
      </w:pPr>
      <w:r>
        <w:separator/>
      </w:r>
    </w:p>
  </w:endnote>
  <w:endnote w:type="continuationSeparator" w:id="0">
    <w:p w:rsidR="004F0D5E" w:rsidRDefault="004F0D5E" w:rsidP="003546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9D0466" w:rsidRDefault="002B324E" w:rsidP="009D0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345" w:rsidRPr="009D0466" w:rsidRDefault="009D0466" w:rsidP="009D0466">
    <w:pPr>
      <w:pStyle w:val="Footer"/>
    </w:pPr>
    <w:r>
      <w:t xml:space="preserve">EESC-2017-00099-00-00-TCD-TRA (EN) </w:t>
    </w:r>
    <w:r>
      <w:fldChar w:fldCharType="begin"/>
    </w:r>
    <w:r>
      <w:instrText xml:space="preserve"> PAGE  \* Arabic  \* MERGEFORMAT </w:instrText>
    </w:r>
    <w:r>
      <w:fldChar w:fldCharType="separate"/>
    </w:r>
    <w:r w:rsidR="00F04A63">
      <w:rPr>
        <w:noProof/>
      </w:rPr>
      <w:t>1</w:t>
    </w:r>
    <w:r>
      <w:fldChar w:fldCharType="end"/>
    </w:r>
    <w:r>
      <w:t>/</w:t>
    </w:r>
    <w:r>
      <w:fldChar w:fldCharType="begin"/>
    </w:r>
    <w:r>
      <w:instrText xml:space="preserve"> = </w:instrText>
    </w:r>
    <w:fldSimple w:instr=" NUMPAGES ">
      <w:r w:rsidR="00F04A63">
        <w:rPr>
          <w:noProof/>
        </w:rPr>
        <w:instrText>7</w:instrText>
      </w:r>
    </w:fldSimple>
    <w:r>
      <w:instrText xml:space="preserve"> -0 </w:instrText>
    </w:r>
    <w:r>
      <w:fldChar w:fldCharType="separate"/>
    </w:r>
    <w:r w:rsidR="00F04A63">
      <w:rPr>
        <w:noProof/>
      </w:rPr>
      <w:t>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9D0466" w:rsidRDefault="002B324E" w:rsidP="009D0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D5E" w:rsidRDefault="004F0D5E" w:rsidP="00354641">
      <w:pPr>
        <w:spacing w:line="240" w:lineRule="auto"/>
      </w:pPr>
      <w:r>
        <w:separator/>
      </w:r>
    </w:p>
  </w:footnote>
  <w:footnote w:type="continuationSeparator" w:id="0">
    <w:p w:rsidR="004F0D5E" w:rsidRDefault="004F0D5E" w:rsidP="003546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9D0466" w:rsidRDefault="002B324E" w:rsidP="009D0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641" w:rsidRPr="009D0466" w:rsidRDefault="00354641" w:rsidP="009D0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4E" w:rsidRPr="009D0466" w:rsidRDefault="002B324E" w:rsidP="009D0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962636"/>
    <w:multiLevelType w:val="hybridMultilevel"/>
    <w:tmpl w:val="5D5E7504"/>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D23558"/>
    <w:multiLevelType w:val="hybridMultilevel"/>
    <w:tmpl w:val="3AEE309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461343"/>
    <w:multiLevelType w:val="hybridMultilevel"/>
    <w:tmpl w:val="57B0928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033571"/>
    <w:multiLevelType w:val="hybridMultilevel"/>
    <w:tmpl w:val="03704E46"/>
    <w:lvl w:ilvl="0" w:tplc="4CF48FF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14F8E"/>
    <w:multiLevelType w:val="hybridMultilevel"/>
    <w:tmpl w:val="8A06893A"/>
    <w:lvl w:ilvl="0" w:tplc="0809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9DA6501"/>
    <w:multiLevelType w:val="hybridMultilevel"/>
    <w:tmpl w:val="29E0FAF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E955F84"/>
    <w:multiLevelType w:val="hybridMultilevel"/>
    <w:tmpl w:val="334EBE6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DE1B99"/>
    <w:multiLevelType w:val="hybridMultilevel"/>
    <w:tmpl w:val="0B12EFE2"/>
    <w:lvl w:ilvl="0" w:tplc="0C2677D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32FC3191"/>
    <w:multiLevelType w:val="hybridMultilevel"/>
    <w:tmpl w:val="8E189E0E"/>
    <w:lvl w:ilvl="0" w:tplc="EF02DA5C">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EDB20A8"/>
    <w:multiLevelType w:val="hybridMultilevel"/>
    <w:tmpl w:val="C388B044"/>
    <w:lvl w:ilvl="0" w:tplc="0809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013575E"/>
    <w:multiLevelType w:val="hybridMultilevel"/>
    <w:tmpl w:val="0588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E6BE5"/>
    <w:multiLevelType w:val="hybridMultilevel"/>
    <w:tmpl w:val="F85C732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ED32E08"/>
    <w:multiLevelType w:val="hybridMultilevel"/>
    <w:tmpl w:val="26D2C292"/>
    <w:lvl w:ilvl="0" w:tplc="0809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5F1A2C28"/>
    <w:multiLevelType w:val="hybridMultilevel"/>
    <w:tmpl w:val="5BF2E94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1E6E40"/>
    <w:multiLevelType w:val="hybridMultilevel"/>
    <w:tmpl w:val="BFCA2BB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0A1A9B"/>
    <w:multiLevelType w:val="hybridMultilevel"/>
    <w:tmpl w:val="DE309C2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2062"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3B576A"/>
    <w:multiLevelType w:val="hybridMultilevel"/>
    <w:tmpl w:val="97262B90"/>
    <w:lvl w:ilvl="0" w:tplc="661A77B4">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31F4129"/>
    <w:multiLevelType w:val="hybridMultilevel"/>
    <w:tmpl w:val="E8DCFF7A"/>
    <w:lvl w:ilvl="0" w:tplc="89AC0D1E">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10EDF"/>
    <w:multiLevelType w:val="hybridMultilevel"/>
    <w:tmpl w:val="556EF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2062"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12"/>
  </w:num>
  <w:num w:numId="4">
    <w:abstractNumId w:val="11"/>
  </w:num>
  <w:num w:numId="5">
    <w:abstractNumId w:val="17"/>
  </w:num>
  <w:num w:numId="6">
    <w:abstractNumId w:val="10"/>
  </w:num>
  <w:num w:numId="7">
    <w:abstractNumId w:val="13"/>
  </w:num>
  <w:num w:numId="8">
    <w:abstractNumId w:val="3"/>
  </w:num>
  <w:num w:numId="9">
    <w:abstractNumId w:val="14"/>
  </w:num>
  <w:num w:numId="10">
    <w:abstractNumId w:val="7"/>
  </w:num>
  <w:num w:numId="11">
    <w:abstractNumId w:val="6"/>
  </w:num>
  <w:num w:numId="12">
    <w:abstractNumId w:val="16"/>
  </w:num>
  <w:num w:numId="13">
    <w:abstractNumId w:val="2"/>
  </w:num>
  <w:num w:numId="14">
    <w:abstractNumId w:val="15"/>
  </w:num>
  <w:num w:numId="15">
    <w:abstractNumId w:val="5"/>
  </w:num>
  <w:num w:numId="16">
    <w:abstractNumId w:val="9"/>
  </w:num>
  <w:num w:numId="17">
    <w:abstractNumId w:val="1"/>
  </w:num>
  <w:num w:numId="18">
    <w:abstractNumId w:val="8"/>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3F"/>
    <w:rsid w:val="00047F95"/>
    <w:rsid w:val="00073ADF"/>
    <w:rsid w:val="00075DDD"/>
    <w:rsid w:val="000778E9"/>
    <w:rsid w:val="00080C01"/>
    <w:rsid w:val="00096A3F"/>
    <w:rsid w:val="000F4718"/>
    <w:rsid w:val="00131417"/>
    <w:rsid w:val="001B5D4B"/>
    <w:rsid w:val="001E0D05"/>
    <w:rsid w:val="001F72A0"/>
    <w:rsid w:val="00217CFD"/>
    <w:rsid w:val="00283C63"/>
    <w:rsid w:val="0028521C"/>
    <w:rsid w:val="002908B8"/>
    <w:rsid w:val="002B324E"/>
    <w:rsid w:val="00325AD9"/>
    <w:rsid w:val="00354641"/>
    <w:rsid w:val="003A552F"/>
    <w:rsid w:val="003B200D"/>
    <w:rsid w:val="003C3EEF"/>
    <w:rsid w:val="003F2495"/>
    <w:rsid w:val="004F0D5E"/>
    <w:rsid w:val="004F4E7F"/>
    <w:rsid w:val="004F7502"/>
    <w:rsid w:val="005636C0"/>
    <w:rsid w:val="00575D38"/>
    <w:rsid w:val="005E690D"/>
    <w:rsid w:val="00621F9D"/>
    <w:rsid w:val="006F1CF3"/>
    <w:rsid w:val="00705A1C"/>
    <w:rsid w:val="00724501"/>
    <w:rsid w:val="00736574"/>
    <w:rsid w:val="0078783F"/>
    <w:rsid w:val="007C29C6"/>
    <w:rsid w:val="007E48D7"/>
    <w:rsid w:val="007F145F"/>
    <w:rsid w:val="008140E8"/>
    <w:rsid w:val="0082543C"/>
    <w:rsid w:val="00865DFC"/>
    <w:rsid w:val="00882D96"/>
    <w:rsid w:val="008E3ACF"/>
    <w:rsid w:val="008E4133"/>
    <w:rsid w:val="008F52A7"/>
    <w:rsid w:val="00911E04"/>
    <w:rsid w:val="009D0466"/>
    <w:rsid w:val="009D3396"/>
    <w:rsid w:val="00A63B3D"/>
    <w:rsid w:val="00A751A3"/>
    <w:rsid w:val="00B16689"/>
    <w:rsid w:val="00B770E3"/>
    <w:rsid w:val="00BC5304"/>
    <w:rsid w:val="00BC7D91"/>
    <w:rsid w:val="00C46EF5"/>
    <w:rsid w:val="00CC3F42"/>
    <w:rsid w:val="00D06963"/>
    <w:rsid w:val="00E22EDD"/>
    <w:rsid w:val="00E27FA6"/>
    <w:rsid w:val="00E3390A"/>
    <w:rsid w:val="00E40E46"/>
    <w:rsid w:val="00E717EB"/>
    <w:rsid w:val="00E828E2"/>
    <w:rsid w:val="00E841CE"/>
    <w:rsid w:val="00E912BE"/>
    <w:rsid w:val="00F04A63"/>
    <w:rsid w:val="00F07370"/>
    <w:rsid w:val="00F21C9F"/>
    <w:rsid w:val="00F63345"/>
    <w:rsid w:val="00F8060C"/>
    <w:rsid w:val="00F8502D"/>
    <w:rsid w:val="00FC0AA4"/>
    <w:rsid w:val="00FF33D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2B324E"/>
    <w:rPr>
      <w:rFonts w:ascii="Times New Roman" w:eastAsia="Times New Roman" w:hAnsi="Times New Roman" w:cs="Times New Roman"/>
      <w:lang w:val="el-GR"/>
    </w:rPr>
  </w:style>
  <w:style w:type="character" w:customStyle="1" w:styleId="Heading3Char">
    <w:name w:val="Heading 3 Char"/>
    <w:basedOn w:val="DefaultParagraphFont"/>
    <w:link w:val="Heading3"/>
    <w:rsid w:val="002B324E"/>
    <w:rPr>
      <w:rFonts w:ascii="Times New Roman" w:eastAsia="Times New Roman" w:hAnsi="Times New Roman" w:cs="Times New Roman"/>
      <w:lang w:val="el-GR"/>
    </w:rPr>
  </w:style>
  <w:style w:type="character" w:customStyle="1" w:styleId="Heading4Char">
    <w:name w:val="Heading 4 Char"/>
    <w:basedOn w:val="DefaultParagraphFont"/>
    <w:link w:val="Heading4"/>
    <w:rsid w:val="002B324E"/>
    <w:rPr>
      <w:rFonts w:ascii="Times New Roman" w:eastAsia="Times New Roman" w:hAnsi="Times New Roman" w:cs="Times New Roman"/>
      <w:lang w:val="el-GR"/>
    </w:rPr>
  </w:style>
  <w:style w:type="character" w:customStyle="1" w:styleId="Heading5Char">
    <w:name w:val="Heading 5 Char"/>
    <w:basedOn w:val="DefaultParagraphFont"/>
    <w:link w:val="Heading5"/>
    <w:rsid w:val="002B324E"/>
    <w:rPr>
      <w:rFonts w:ascii="Times New Roman" w:eastAsia="Times New Roman" w:hAnsi="Times New Roman" w:cs="Times New Roman"/>
      <w:lang w:val="el-GR"/>
    </w:rPr>
  </w:style>
  <w:style w:type="character" w:customStyle="1" w:styleId="Heading6Char">
    <w:name w:val="Heading 6 Char"/>
    <w:basedOn w:val="DefaultParagraphFont"/>
    <w:link w:val="Heading6"/>
    <w:rsid w:val="002B324E"/>
    <w:rPr>
      <w:rFonts w:ascii="Times New Roman" w:eastAsia="Times New Roman" w:hAnsi="Times New Roman" w:cs="Times New Roman"/>
      <w:lang w:val="el-GR"/>
    </w:rPr>
  </w:style>
  <w:style w:type="character" w:customStyle="1" w:styleId="Heading7Char">
    <w:name w:val="Heading 7 Char"/>
    <w:basedOn w:val="DefaultParagraphFont"/>
    <w:link w:val="Heading7"/>
    <w:rsid w:val="002B324E"/>
    <w:rPr>
      <w:rFonts w:ascii="Times New Roman" w:eastAsia="Times New Roman" w:hAnsi="Times New Roman" w:cs="Times New Roman"/>
      <w:lang w:val="el-GR"/>
    </w:rPr>
  </w:style>
  <w:style w:type="character" w:customStyle="1" w:styleId="Heading8Char">
    <w:name w:val="Heading 8 Char"/>
    <w:basedOn w:val="DefaultParagraphFont"/>
    <w:link w:val="Heading8"/>
    <w:rsid w:val="002B324E"/>
    <w:rPr>
      <w:rFonts w:ascii="Times New Roman" w:eastAsia="Times New Roman" w:hAnsi="Times New Roman" w:cs="Times New Roman"/>
      <w:lang w:val="el-GR"/>
    </w:rPr>
  </w:style>
  <w:style w:type="character" w:customStyle="1" w:styleId="Heading9Char">
    <w:name w:val="Heading 9 Char"/>
    <w:basedOn w:val="DefaultParagraphFont"/>
    <w:link w:val="Heading9"/>
    <w:rsid w:val="002B324E"/>
    <w:rPr>
      <w:rFonts w:ascii="Times New Roman" w:eastAsia="Times New Roman" w:hAnsi="Times New Roman" w:cs="Times New Roman"/>
      <w:lang w:val="el-GR"/>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el-GR"/>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4E"/>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2B324E"/>
    <w:pPr>
      <w:numPr>
        <w:numId w:val="19"/>
      </w:numPr>
      <w:ind w:left="567" w:hanging="567"/>
      <w:outlineLvl w:val="0"/>
    </w:pPr>
    <w:rPr>
      <w:kern w:val="28"/>
    </w:rPr>
  </w:style>
  <w:style w:type="paragraph" w:styleId="Heading2">
    <w:name w:val="heading 2"/>
    <w:basedOn w:val="Normal"/>
    <w:next w:val="Normal"/>
    <w:link w:val="Heading2Char"/>
    <w:qFormat/>
    <w:rsid w:val="002B324E"/>
    <w:pPr>
      <w:numPr>
        <w:ilvl w:val="1"/>
        <w:numId w:val="19"/>
      </w:numPr>
      <w:ind w:left="567" w:hanging="567"/>
      <w:outlineLvl w:val="1"/>
    </w:pPr>
  </w:style>
  <w:style w:type="paragraph" w:styleId="Heading3">
    <w:name w:val="heading 3"/>
    <w:basedOn w:val="Normal"/>
    <w:next w:val="Normal"/>
    <w:link w:val="Heading3Char"/>
    <w:qFormat/>
    <w:rsid w:val="002B324E"/>
    <w:pPr>
      <w:numPr>
        <w:ilvl w:val="2"/>
        <w:numId w:val="19"/>
      </w:numPr>
      <w:ind w:left="567" w:hanging="567"/>
      <w:outlineLvl w:val="2"/>
    </w:pPr>
  </w:style>
  <w:style w:type="paragraph" w:styleId="Heading4">
    <w:name w:val="heading 4"/>
    <w:basedOn w:val="Normal"/>
    <w:next w:val="Normal"/>
    <w:link w:val="Heading4Char"/>
    <w:qFormat/>
    <w:rsid w:val="002B324E"/>
    <w:pPr>
      <w:numPr>
        <w:ilvl w:val="3"/>
        <w:numId w:val="19"/>
      </w:numPr>
      <w:ind w:left="567" w:hanging="567"/>
      <w:outlineLvl w:val="3"/>
    </w:pPr>
  </w:style>
  <w:style w:type="paragraph" w:styleId="Heading5">
    <w:name w:val="heading 5"/>
    <w:basedOn w:val="Normal"/>
    <w:next w:val="Normal"/>
    <w:link w:val="Heading5Char"/>
    <w:qFormat/>
    <w:rsid w:val="002B324E"/>
    <w:pPr>
      <w:numPr>
        <w:ilvl w:val="4"/>
        <w:numId w:val="19"/>
      </w:numPr>
      <w:ind w:left="567" w:hanging="567"/>
      <w:outlineLvl w:val="4"/>
    </w:pPr>
  </w:style>
  <w:style w:type="paragraph" w:styleId="Heading6">
    <w:name w:val="heading 6"/>
    <w:basedOn w:val="Normal"/>
    <w:next w:val="Normal"/>
    <w:link w:val="Heading6Char"/>
    <w:qFormat/>
    <w:rsid w:val="002B324E"/>
    <w:pPr>
      <w:numPr>
        <w:ilvl w:val="5"/>
        <w:numId w:val="19"/>
      </w:numPr>
      <w:ind w:left="567" w:hanging="567"/>
      <w:outlineLvl w:val="5"/>
    </w:pPr>
  </w:style>
  <w:style w:type="paragraph" w:styleId="Heading7">
    <w:name w:val="heading 7"/>
    <w:basedOn w:val="Normal"/>
    <w:next w:val="Normal"/>
    <w:link w:val="Heading7Char"/>
    <w:qFormat/>
    <w:rsid w:val="002B324E"/>
    <w:pPr>
      <w:numPr>
        <w:ilvl w:val="6"/>
        <w:numId w:val="19"/>
      </w:numPr>
      <w:ind w:left="567" w:hanging="567"/>
      <w:outlineLvl w:val="6"/>
    </w:pPr>
  </w:style>
  <w:style w:type="paragraph" w:styleId="Heading8">
    <w:name w:val="heading 8"/>
    <w:basedOn w:val="Normal"/>
    <w:next w:val="Normal"/>
    <w:link w:val="Heading8Char"/>
    <w:qFormat/>
    <w:rsid w:val="002B324E"/>
    <w:pPr>
      <w:numPr>
        <w:ilvl w:val="7"/>
        <w:numId w:val="19"/>
      </w:numPr>
      <w:ind w:left="567" w:hanging="567"/>
      <w:outlineLvl w:val="7"/>
    </w:pPr>
  </w:style>
  <w:style w:type="paragraph" w:styleId="Heading9">
    <w:name w:val="heading 9"/>
    <w:basedOn w:val="Normal"/>
    <w:next w:val="Normal"/>
    <w:link w:val="Heading9Char"/>
    <w:qFormat/>
    <w:rsid w:val="002B324E"/>
    <w:pPr>
      <w:numPr>
        <w:ilvl w:val="8"/>
        <w:numId w:val="19"/>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C63"/>
    <w:pPr>
      <w:ind w:left="720"/>
      <w:contextualSpacing/>
    </w:pPr>
  </w:style>
  <w:style w:type="paragraph" w:styleId="Header">
    <w:name w:val="header"/>
    <w:basedOn w:val="Normal"/>
    <w:link w:val="HeaderChar"/>
    <w:qFormat/>
    <w:rsid w:val="002B324E"/>
  </w:style>
  <w:style w:type="character" w:customStyle="1" w:styleId="HeaderChar">
    <w:name w:val="Header Char"/>
    <w:basedOn w:val="DefaultParagraphFont"/>
    <w:link w:val="Header"/>
    <w:rsid w:val="00354641"/>
    <w:rPr>
      <w:rFonts w:ascii="Times New Roman" w:eastAsia="Times New Roman" w:hAnsi="Times New Roman" w:cs="Times New Roman"/>
    </w:rPr>
  </w:style>
  <w:style w:type="paragraph" w:styleId="Footer">
    <w:name w:val="footer"/>
    <w:basedOn w:val="Normal"/>
    <w:link w:val="FooterChar"/>
    <w:qFormat/>
    <w:rsid w:val="002B324E"/>
  </w:style>
  <w:style w:type="character" w:customStyle="1" w:styleId="FooterChar">
    <w:name w:val="Footer Char"/>
    <w:basedOn w:val="DefaultParagraphFont"/>
    <w:link w:val="Footer"/>
    <w:rsid w:val="00354641"/>
    <w:rPr>
      <w:rFonts w:ascii="Times New Roman" w:eastAsia="Times New Roman" w:hAnsi="Times New Roman" w:cs="Times New Roman"/>
    </w:rPr>
  </w:style>
  <w:style w:type="character" w:customStyle="1" w:styleId="Heading1Char">
    <w:name w:val="Heading 1 Char"/>
    <w:basedOn w:val="DefaultParagraphFont"/>
    <w:link w:val="Heading1"/>
    <w:rsid w:val="002B324E"/>
    <w:rPr>
      <w:rFonts w:ascii="Times New Roman" w:eastAsia="Times New Roman" w:hAnsi="Times New Roman" w:cs="Times New Roman"/>
      <w:kern w:val="28"/>
      <w:lang w:val="el-GR"/>
    </w:rPr>
  </w:style>
  <w:style w:type="character" w:customStyle="1" w:styleId="Heading2Char">
    <w:name w:val="Heading 2 Char"/>
    <w:basedOn w:val="DefaultParagraphFont"/>
    <w:link w:val="Heading2"/>
    <w:rsid w:val="002B324E"/>
    <w:rPr>
      <w:rFonts w:ascii="Times New Roman" w:eastAsia="Times New Roman" w:hAnsi="Times New Roman" w:cs="Times New Roman"/>
      <w:lang w:val="el-GR"/>
    </w:rPr>
  </w:style>
  <w:style w:type="character" w:customStyle="1" w:styleId="Heading3Char">
    <w:name w:val="Heading 3 Char"/>
    <w:basedOn w:val="DefaultParagraphFont"/>
    <w:link w:val="Heading3"/>
    <w:rsid w:val="002B324E"/>
    <w:rPr>
      <w:rFonts w:ascii="Times New Roman" w:eastAsia="Times New Roman" w:hAnsi="Times New Roman" w:cs="Times New Roman"/>
      <w:lang w:val="el-GR"/>
    </w:rPr>
  </w:style>
  <w:style w:type="character" w:customStyle="1" w:styleId="Heading4Char">
    <w:name w:val="Heading 4 Char"/>
    <w:basedOn w:val="DefaultParagraphFont"/>
    <w:link w:val="Heading4"/>
    <w:rsid w:val="002B324E"/>
    <w:rPr>
      <w:rFonts w:ascii="Times New Roman" w:eastAsia="Times New Roman" w:hAnsi="Times New Roman" w:cs="Times New Roman"/>
      <w:lang w:val="el-GR"/>
    </w:rPr>
  </w:style>
  <w:style w:type="character" w:customStyle="1" w:styleId="Heading5Char">
    <w:name w:val="Heading 5 Char"/>
    <w:basedOn w:val="DefaultParagraphFont"/>
    <w:link w:val="Heading5"/>
    <w:rsid w:val="002B324E"/>
    <w:rPr>
      <w:rFonts w:ascii="Times New Roman" w:eastAsia="Times New Roman" w:hAnsi="Times New Roman" w:cs="Times New Roman"/>
      <w:lang w:val="el-GR"/>
    </w:rPr>
  </w:style>
  <w:style w:type="character" w:customStyle="1" w:styleId="Heading6Char">
    <w:name w:val="Heading 6 Char"/>
    <w:basedOn w:val="DefaultParagraphFont"/>
    <w:link w:val="Heading6"/>
    <w:rsid w:val="002B324E"/>
    <w:rPr>
      <w:rFonts w:ascii="Times New Roman" w:eastAsia="Times New Roman" w:hAnsi="Times New Roman" w:cs="Times New Roman"/>
      <w:lang w:val="el-GR"/>
    </w:rPr>
  </w:style>
  <w:style w:type="character" w:customStyle="1" w:styleId="Heading7Char">
    <w:name w:val="Heading 7 Char"/>
    <w:basedOn w:val="DefaultParagraphFont"/>
    <w:link w:val="Heading7"/>
    <w:rsid w:val="002B324E"/>
    <w:rPr>
      <w:rFonts w:ascii="Times New Roman" w:eastAsia="Times New Roman" w:hAnsi="Times New Roman" w:cs="Times New Roman"/>
      <w:lang w:val="el-GR"/>
    </w:rPr>
  </w:style>
  <w:style w:type="character" w:customStyle="1" w:styleId="Heading8Char">
    <w:name w:val="Heading 8 Char"/>
    <w:basedOn w:val="DefaultParagraphFont"/>
    <w:link w:val="Heading8"/>
    <w:rsid w:val="002B324E"/>
    <w:rPr>
      <w:rFonts w:ascii="Times New Roman" w:eastAsia="Times New Roman" w:hAnsi="Times New Roman" w:cs="Times New Roman"/>
      <w:lang w:val="el-GR"/>
    </w:rPr>
  </w:style>
  <w:style w:type="character" w:customStyle="1" w:styleId="Heading9Char">
    <w:name w:val="Heading 9 Char"/>
    <w:basedOn w:val="DefaultParagraphFont"/>
    <w:link w:val="Heading9"/>
    <w:rsid w:val="002B324E"/>
    <w:rPr>
      <w:rFonts w:ascii="Times New Roman" w:eastAsia="Times New Roman" w:hAnsi="Times New Roman" w:cs="Times New Roman"/>
      <w:lang w:val="el-GR"/>
    </w:rPr>
  </w:style>
  <w:style w:type="paragraph" w:styleId="FootnoteText">
    <w:name w:val="footnote text"/>
    <w:basedOn w:val="Normal"/>
    <w:link w:val="FootnoteTextChar"/>
    <w:qFormat/>
    <w:rsid w:val="002B324E"/>
    <w:pPr>
      <w:keepLines/>
      <w:spacing w:after="60" w:line="240" w:lineRule="auto"/>
      <w:ind w:left="567" w:hanging="567"/>
    </w:pPr>
    <w:rPr>
      <w:sz w:val="16"/>
    </w:rPr>
  </w:style>
  <w:style w:type="character" w:customStyle="1" w:styleId="FootnoteTextChar">
    <w:name w:val="Footnote Text Char"/>
    <w:basedOn w:val="DefaultParagraphFont"/>
    <w:link w:val="FootnoteText"/>
    <w:rsid w:val="002B324E"/>
    <w:rPr>
      <w:rFonts w:ascii="Times New Roman" w:eastAsia="Times New Roman" w:hAnsi="Times New Roman" w:cs="Times New Roman"/>
      <w:sz w:val="16"/>
      <w:lang w:val="el-GR"/>
    </w:rPr>
  </w:style>
  <w:style w:type="paragraph" w:customStyle="1" w:styleId="quotes">
    <w:name w:val="quotes"/>
    <w:basedOn w:val="Normal"/>
    <w:next w:val="Normal"/>
    <w:rsid w:val="002B324E"/>
    <w:pPr>
      <w:ind w:left="720"/>
    </w:pPr>
    <w:rPr>
      <w:i/>
    </w:rPr>
  </w:style>
  <w:style w:type="character" w:styleId="FootnoteReference">
    <w:name w:val="footnote reference"/>
    <w:basedOn w:val="DefaultParagraphFont"/>
    <w:unhideWhenUsed/>
    <w:qFormat/>
    <w:rsid w:val="002B324E"/>
    <w:rPr>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WTPCSN73YJ26-3-12505</_dlc_DocId>
    <_dlc_DocIdUrl xmlns="8a3471f6-0f36-4ccf-b5ee-1ca67ea797ef">
      <Url>http://dm/EESC/2017/_layouts/DocIdRedir.aspx?ID=WTPCSN73YJ26-3-12505</Url>
      <Description>WTPCSN73YJ26-3-12505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08752a15-b0a7-485d-8352-b47b34a09caa" xsi:nil="true"/>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2017-06-27T12:00:00+00:00</ProductionDate>
    <DocumentNumber xmlns="08752a15-b0a7-485d-8352-b47b34a09caa">99</DocumentNumber>
    <FicheYear xmlns="8a3471f6-0f36-4ccf-b5ee-1ca67ea797ef">2017</FicheYear>
    <DocumentVersion xmlns="8a3471f6-0f36-4ccf-b5ee-1ca67ea797ef">0</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2017-01-30T12:00:00+00:00</MeetingDate>
    <TaxCatchAll xmlns="8a3471f6-0f36-4ccf-b5ee-1ca67ea797ef">
      <Value>86</Value>
      <Value>38</Value>
      <Value>37</Value>
      <Value>36</Value>
      <Value>35</Value>
      <Value>34</Value>
      <Value>33</Value>
      <Value>32</Value>
      <Value>31</Value>
      <Value>30</Value>
      <Value>29</Value>
      <Value>28</Value>
      <Value>27</Value>
      <Value>26</Value>
      <Value>25</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237</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CCMI</TermName>
          <TermId xmlns="http://schemas.microsoft.com/office/infopath/2007/PartnerControls">5795ccfc-ebb7-4e2d-a45e-09a8301b3a5c</TermId>
        </TermInfo>
      </Terms>
    </MeetingName_0>
    <RequestingService xmlns="8a3471f6-0f36-4ccf-b5ee-1ca67ea797ef">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366332C33BA7D34CB4DCF73B0F12F076" ma:contentTypeVersion="4" ma:contentTypeDescription="Defines the documents for Document Manager V2" ma:contentTypeScope="" ma:versionID="a98a9e947f9f8bbdde3237b199d59b69">
  <xsd:schema xmlns:xsd="http://www.w3.org/2001/XMLSchema" xmlns:xs="http://www.w3.org/2001/XMLSchema" xmlns:p="http://schemas.microsoft.com/office/2006/metadata/properties" xmlns:ns2="8a3471f6-0f36-4ccf-b5ee-1ca67ea797ef" xmlns:ns3="http://schemas.microsoft.com/sharepoint/v3/fields" xmlns:ns4="08752a15-b0a7-485d-8352-b47b34a09caa" targetNamespace="http://schemas.microsoft.com/office/2006/metadata/properties" ma:root="true" ma:fieldsID="8b2941d09668438ab480b3eca5d60a5e" ns2:_="" ns3:_="" ns4:_="">
    <xsd:import namespace="8a3471f6-0f36-4ccf-b5ee-1ca67ea797ef"/>
    <xsd:import namespace="http://schemas.microsoft.com/sharepoint/v3/fields"/>
    <xsd:import namespace="08752a15-b0a7-485d-8352-b47b34a09caa"/>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52a15-b0a7-485d-8352-b47b34a09caa"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D1F44-1C94-469B-A63B-BF1A535AFE8F}">
  <ds:schemaRefs>
    <ds:schemaRef ds:uri="http://schemas.microsoft.com/sharepoint/events"/>
  </ds:schemaRefs>
</ds:datastoreItem>
</file>

<file path=customXml/itemProps2.xml><?xml version="1.0" encoding="utf-8"?>
<ds:datastoreItem xmlns:ds="http://schemas.openxmlformats.org/officeDocument/2006/customXml" ds:itemID="{DD882BCC-D135-4CA0-9EA0-1FB8C2705497}">
  <ds:schemaRefs>
    <ds:schemaRef ds:uri="http://schemas.microsoft.com/sharepoint/v3/contenttype/forms"/>
  </ds:schemaRefs>
</ds:datastoreItem>
</file>

<file path=customXml/itemProps3.xml><?xml version="1.0" encoding="utf-8"?>
<ds:datastoreItem xmlns:ds="http://schemas.openxmlformats.org/officeDocument/2006/customXml" ds:itemID="{8BAEF70E-6919-4880-959D-9CF59DD75F5D}">
  <ds:schemaRefs>
    <ds:schemaRef ds:uri="http://schemas.microsoft.com/office/infopath/2007/PartnerControls"/>
    <ds:schemaRef ds:uri="http://purl.org/dc/dcmitype/"/>
    <ds:schemaRef ds:uri="8a3471f6-0f36-4ccf-b5ee-1ca67ea797ef"/>
    <ds:schemaRef ds:uri="http://purl.org/dc/elements/1.1/"/>
    <ds:schemaRef ds:uri="http://www.w3.org/XML/1998/namespace"/>
    <ds:schemaRef ds:uri="http://schemas.microsoft.com/sharepoint/v3/fields"/>
    <ds:schemaRef ds:uri="http://purl.org/dc/terms/"/>
    <ds:schemaRef ds:uri="http://schemas.microsoft.com/office/2006/documentManagement/types"/>
    <ds:schemaRef ds:uri="http://schemas.openxmlformats.org/package/2006/metadata/core-properties"/>
    <ds:schemaRef ds:uri="08752a15-b0a7-485d-8352-b47b34a09caa"/>
    <ds:schemaRef ds:uri="http://schemas.microsoft.com/office/2006/metadata/properties"/>
  </ds:schemaRefs>
</ds:datastoreItem>
</file>

<file path=customXml/itemProps4.xml><?xml version="1.0" encoding="utf-8"?>
<ds:datastoreItem xmlns:ds="http://schemas.openxmlformats.org/officeDocument/2006/customXml" ds:itemID="{1E6FB792-8928-497B-89D4-52BB748AB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08752a15-b0a7-485d-8352-b47b34a0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Styles.dotm</Template>
  <TotalTime>1</TotalTime>
  <Pages>7</Pages>
  <Words>2677</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Ενοποιημένη έκθεση των συζητήσεων στρογγυλής τραπέζης της CCMI με θέμα τη στρατηγική εφαρμογή της ευρωπαϊκής σύμπραξης καινοτομίας σχετικά με τις πρώτες ύλες 2015/2016</vt:lpstr>
    </vt:vector>
  </TitlesOfParts>
  <Company>CESE-CdR</Company>
  <LinksUpToDate>false</LinksUpToDate>
  <CharactersWithSpaces>17371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Ενοποιημένη έκθεση των συζητήσεων στρογγυλής τραπέζης της CCMI με θέμα τη στρατηγική εφαρμογή της ευρωπαϊκής σύμπραξης καινοτομίας σχετικά με τις πρώτες ύλες 2015/2016</dc:title>
  <dc:subject>Διάφορες συμβουλευτικές εργασίες</dc:subject>
  <dc:creator>Kyriaki Anastasaki</dc:creator>
  <cp:keywords>EESC-2017-00099-00-00-TCD-TRA-EL</cp:keywords>
  <dc:description>Eisigitís: -_x000d_
Glóssa prototypou: EN_x000d_
Hmerominía tou eggráfou: 27/06/2017_x000d_
Hmerominía tis synedríasis: 30/01/2017_x000d_
Exoteriká éggrafa: -_x000d_
Armódios ypállilos: Hick Alan, tiléfono: +32 (0)2 546 9302_x000d_
_x000d_
Perílipsi:</dc:description>
  <cp:lastModifiedBy>Kyriaki Anastasaki</cp:lastModifiedBy>
  <cp:revision>2</cp:revision>
  <cp:lastPrinted>2017-01-19T11:43:00Z</cp:lastPrinted>
  <dcterms:created xsi:type="dcterms:W3CDTF">2017-07-03T06:21:00Z</dcterms:created>
  <dcterms:modified xsi:type="dcterms:W3CDTF">2017-07-03T06:21:00Z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20/01/2017</vt:lpwstr>
  </property>
  <property fmtid="{D5CDD505-2E9C-101B-9397-08002B2CF9AE}" pid="4" name="Pref_Time">
    <vt:lpwstr>09:42:40</vt:lpwstr>
  </property>
  <property fmtid="{D5CDD505-2E9C-101B-9397-08002B2CF9AE}" pid="5" name="Pref_User">
    <vt:lpwstr>enied</vt:lpwstr>
  </property>
  <property fmtid="{D5CDD505-2E9C-101B-9397-08002B2CF9AE}" pid="6" name="Pref_FileName">
    <vt:lpwstr>EESC-2017-00099-00-00-TCD-TRA-EN-CRR.docx</vt:lpwstr>
  </property>
  <property fmtid="{D5CDD505-2E9C-101B-9397-08002B2CF9AE}" pid="7" name="ContentTypeId">
    <vt:lpwstr>0x010100EA97B91038054C99906057A708A1480A00366332C33BA7D34CB4DCF73B0F12F076</vt:lpwstr>
  </property>
  <property fmtid="{D5CDD505-2E9C-101B-9397-08002B2CF9AE}" pid="8" name="_dlc_DocIdItemGuid">
    <vt:lpwstr>4ea111dc-5b1c-4969-8fe3-0f64defd3c44</vt:lpwstr>
  </property>
  <property fmtid="{D5CDD505-2E9C-101B-9397-08002B2CF9AE}" pid="9" name="DocumentType_0">
    <vt:lpwstr>TCD|cd9d6eb6-3f4f-424a-b2d1-57c9d450eaaf</vt:lpwstr>
  </property>
  <property fmtid="{D5CDD505-2E9C-101B-9397-08002B2CF9AE}" pid="10" name="AvailableTranslations">
    <vt:lpwstr>22;#IT|0774613c-01ed-4e5d-a25d-11d2388de825;#34;#SK|46d9fce0-ef79-4f71-b89b-cd6aa82426b8;#36;#BG|1a1b3951-7821-4e6a-85f5-5673fc08bd2c;#24;#EL|6d4f4d51-af9b-4650-94b4-4276bee85c91;#25;#FI|87606a43-d45f-42d6-b8c9-e1a3457db5b7;#4;#EN|f2175f21-25d7-44a3-96da-</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99</vt:i4>
  </property>
  <property fmtid="{D5CDD505-2E9C-101B-9397-08002B2CF9AE}" pid="15" name="DocumentVersion">
    <vt:i4>0</vt:i4>
  </property>
  <property fmtid="{D5CDD505-2E9C-101B-9397-08002B2CF9AE}" pid="16" name="DocumentSource">
    <vt:lpwstr>1;#EESC|422833ec-8d7e-4e65-8e4e-8bed07ffb729</vt:lpwstr>
  </property>
  <property fmtid="{D5CDD505-2E9C-101B-9397-08002B2CF9AE}" pid="17" name="DocumentType">
    <vt:lpwstr>17;#TCD|cd9d6eb6-3f4f-424a-b2d1-57c9d450eaaf</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0</vt:i4>
  </property>
  <property fmtid="{D5CDD505-2E9C-101B-9397-08002B2CF9AE}" pid="21" name="RequestingService">
    <vt:lpwstr>Commission consultative des mutations industrielles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CCMI|5795ccfc-ebb7-4e2d-a45e-09a8301b3a5c</vt:lpwstr>
  </property>
  <property fmtid="{D5CDD505-2E9C-101B-9397-08002B2CF9AE}" pid="25" name="OriginalLanguage">
    <vt:lpwstr>4;#EN|f2175f21-25d7-44a3-96da-d6a61b075e1b</vt:lpwstr>
  </property>
  <property fmtid="{D5CDD505-2E9C-101B-9397-08002B2CF9AE}" pid="26" name="MeetingName">
    <vt:lpwstr>86;#CCMI|5795ccfc-ebb7-4e2d-a45e-09a8301b3a5c</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2017-01-30T12:00:00Z</vt:filetime>
  </property>
  <property fmtid="{D5CDD505-2E9C-101B-9397-08002B2CF9AE}" pid="30" name="TaxCatchAll">
    <vt:lpwstr>86;#CCMI|5795ccfc-ebb7-4e2d-a45e-09a8301b3a5c;#38;#HR|2f555653-ed1a-4fe6-8362-9082d95989e5;#37;#RO|feb747a2-64cd-4299-af12-4833ddc30497;#35;#SL|98a412ae-eb01-49e9-ae3d-585a81724cfc;#34;#SK|46d9fce0-ef79-4f71-b89b-cd6aa82426b8;#32;#MT|7df99101-6854-4a26-b5</vt:lpwstr>
  </property>
  <property fmtid="{D5CDD505-2E9C-101B-9397-08002B2CF9AE}" pid="31" name="AvailableTranslations_0">
    <vt:lpwstr>SK|46d9fce0-ef79-4f71-b89b-cd6aa82426b8;FI|87606a43-d45f-42d6-b8c9-e1a3457db5b7;EN|f2175f21-25d7-44a3-96da-d6a61b075e1b;DE|f6b31e5a-26fa-4935-b661-318e46daf27e;SL|98a412ae-eb01-49e9-ae3d-585a81724cfc;RO|feb747a2-64cd-4299-af12-4833ddc30497;HR|2f555653-ed1</vt:lpwstr>
  </property>
  <property fmtid="{D5CDD505-2E9C-101B-9397-08002B2CF9AE}" pid="32" name="VersionStatus">
    <vt:lpwstr>6;#Final|ea5e6674-7b27-4bac-b091-73adbb394efe</vt:lpwstr>
  </property>
  <property fmtid="{D5CDD505-2E9C-101B-9397-08002B2CF9AE}" pid="33" name="VersionStatus_0">
    <vt:lpwstr>Final|ea5e6674-7b27-4bac-b091-73adbb394efe</vt:lpwstr>
  </property>
  <property fmtid="{D5CDD505-2E9C-101B-9397-08002B2CF9AE}" pid="34" name="FicheNumber">
    <vt:i4>237</vt:i4>
  </property>
  <property fmtid="{D5CDD505-2E9C-101B-9397-08002B2CF9AE}" pid="35" name="DocumentYear">
    <vt:i4>2017</vt:i4>
  </property>
  <property fmtid="{D5CDD505-2E9C-101B-9397-08002B2CF9AE}" pid="36" name="DocumentLanguage">
    <vt:lpwstr>24;#EL|6d4f4d51-af9b-4650-94b4-4276bee85c91</vt:lpwstr>
  </property>
</Properties>
</file>