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5D4B" w:rsidRPr="00F359F7" w:rsidRDefault="000F4718" w:rsidP="00131417">
      <w:pPr>
        <w:jc w:val="center"/>
        <w:rPr>
          <w:b/>
          <w:sz w:val="32"/>
          <w:szCs w:val="32"/>
        </w:rPr>
      </w:pPr>
      <w:r w:rsidRPr="00F359F7">
        <w:rPr>
          <w:noProof/>
          <w:sz w:val="20"/>
          <w:lang w:val="fr-BE" w:eastAsia="fr-BE" w:bidi="ar-SA"/>
        </w:rPr>
        <mc:AlternateContent>
          <mc:Choice Requires="wps">
            <w:drawing>
              <wp:anchor distT="0" distB="0" distL="114300" distR="114300" simplePos="0" relativeHeight="251659264" behindDoc="1" locked="0" layoutInCell="0" allowOverlap="1" wp14:anchorId="7C8A54C9" wp14:editId="61E3A325">
                <wp:simplePos x="0" y="0"/>
                <wp:positionH relativeFrom="page">
                  <wp:posOffset>6770788</wp:posOffset>
                </wp:positionH>
                <wp:positionV relativeFrom="page">
                  <wp:posOffset>10084828</wp:posOffset>
                </wp:positionV>
                <wp:extent cx="644837" cy="396416"/>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7"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4E" w:rsidRPr="00260E65" w:rsidRDefault="002B324E">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15pt;margin-top:794.1pt;width:50.75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hXNbn3HQGbjdD+Bo9nAOfXZc9XAnq68aCblsqdiwG6Xk2DJaQ36hvemf&#10;XZ1wtAVZjx9kDXHo1kgHtG9Ub4sH5UCADok8nnpjc6ngMCYkuZxjVIHpMo1JGLsINDteHpQ275js&#10;kV3kWEHrHTjd3Wljk6HZ0cXGErLkXefa34lnB+A4nUBouGptNgnXzR9pkK6SVUI8EsUrjwRF4d2U&#10;S+LFZTifFZfFclmEP23ckGQtr2smbJijskLyZ507aHzSxElbWna8tnA2Ja0262Wn0I6Cskv3HQpy&#10;5uY/T8MVAbi8oBRGJLiNUq+Mk7lHSjLz0nmQeEGY3qZxQFJSlM8p3XHB/p0SGnOczqLZpKXfcgvc&#10;95obzXpuYHZ0vM9xcnKimVXgStSutYbyblqflcKm/1QKaPex0U6vVqKTWM1+vQcUK+K1rB9BuUqC&#10;skCeMPBg0Ur1HaMRhkeO9bctVQyj7r0A9achIXbauA2Zze3bUueW9bmFigqgcmwwmpZLM02o7aD4&#10;poVI03sT8gZeTMOdmp+yOrwzGBCO1GGY2Ql0vndeTyN38QsAAP//AwBQSwMEFAAGAAgAAAAhAFoA&#10;58/gAAAADwEAAA8AAABkcnMvZG93bnJldi54bWxMj81OwzAQhO9IvIO1SNyo3UJMCHEqBOIKavmR&#10;uLnxNomI11HsNuHt2Z7gNqP9NDtTrmffiyOOsQtkYLlQIJDq4DpqDLy/PV/lIGKy5GwfCA38YIR1&#10;dX5W2sKFiTZ43KZGcAjFwhpoUxoKKWPdordxEQYkvu3D6G1iOzbSjXbicN/LlVJaetsRf2jtgI8t&#10;1t/bgzfw8bL/+rxRr82Tz4YpzEqSv5PGXF7MD/cgEs7pD4ZTfa4OFXfahQO5KHr2SutrZllleb4C&#10;cWKW+pb37FjpTGmQVSn/76h+AQAA//8DAFBLAQItABQABgAIAAAAIQC2gziS/gAAAOEBAAATAAAA&#10;AAAAAAAAAAAAAAAAAABbQ29udGVudF9UeXBlc10ueG1sUEsBAi0AFAAGAAgAAAAhADj9If/WAAAA&#10;lAEAAAsAAAAAAAAAAAAAAAAALwEAAF9yZWxzLy5yZWxzUEsBAi0AFAAGAAgAAAAhAJ5eN8u1AgAA&#10;ugUAAA4AAAAAAAAAAAAAAAAALgIAAGRycy9lMm9Eb2MueG1sUEsBAi0AFAAGAAgAAAAhAFoA58/g&#10;AAAADwEAAA8AAAAAAAAAAAAAAAAADwUAAGRycy9kb3ducmV2LnhtbFBLBQYAAAAABAAEAPMAAAAc&#10;BgAAAAA=&#10;" o:allowincell="f" filled="f" stroked="f">
                <v:textbox>
                  <w:txbxContent>
                    <w:p w:rsidR="002B324E" w:rsidRPr="00260E65" w:rsidRDefault="002B324E">
                      <w:pPr>
                        <w:jc w:val="center"/>
                        <w:rPr>
                          <w:rFonts w:ascii="Arial" w:hAnsi="Arial" w:cs="Arial"/>
                          <w:b/>
                          <w:bCs/>
                          <w:sz w:val="48"/>
                        </w:rPr>
                      </w:pPr>
                      <w:r>
                        <w:rPr>
                          <w:rFonts w:ascii="Arial" w:hAnsi="Arial"/>
                          <w:b/>
                          <w:sz w:val="48"/>
                        </w:rPr>
                        <w:t>BG</w:t>
                      </w:r>
                    </w:p>
                  </w:txbxContent>
                </v:textbox>
                <w10:wrap anchorx="page" anchory="page"/>
              </v:shape>
            </w:pict>
          </mc:Fallback>
        </mc:AlternateContent>
      </w:r>
      <w:r w:rsidR="00621F9D" w:rsidRPr="00F359F7">
        <w:rPr>
          <w:b/>
          <w:sz w:val="32"/>
        </w:rPr>
        <w:t>Консолидиран доклад на кръглите маси на CCMI относно стратегическото осъществяване на партньорството на ЕС за иновации в областта на суровините 2015-2016 г.</w:t>
      </w:r>
    </w:p>
    <w:p w:rsidR="00FF33D6" w:rsidRPr="00F359F7" w:rsidRDefault="00FF33D6" w:rsidP="00131417"/>
    <w:p w:rsidR="00046A52" w:rsidRPr="00F359F7" w:rsidRDefault="0078783F" w:rsidP="00131417">
      <w:r w:rsidRPr="00F359F7">
        <w:t xml:space="preserve">На европейско равнище Европейската комисия прие на 4 ноември 2008 г. инициативата за суровините </w:t>
      </w:r>
      <w:r w:rsidRPr="00F359F7">
        <w:rPr>
          <w:i/>
        </w:rPr>
        <w:t>-</w:t>
      </w:r>
      <w:r w:rsidRPr="00F359F7">
        <w:t xml:space="preserve"> </w:t>
      </w:r>
      <w:r w:rsidRPr="00F359F7">
        <w:rPr>
          <w:i/>
        </w:rPr>
        <w:t>Посрещане на основните нужди за осигуряване на растеж и заетост в Европа</w:t>
      </w:r>
      <w:r w:rsidRPr="00F359F7">
        <w:t>, която беше основен етап за промяната в парадигмата, довела до положително въздействие и насърчаване на развитието на добивния сектор. На практика инициативата за суровините призна, че рудните ресурси са необходими за обществото, конкурентоспособността, растежа и създаването на работни места в Европа.  Тя призна също зависимостта на Европа</w:t>
      </w:r>
      <w:r w:rsidR="007A22F0" w:rsidRPr="00F359F7">
        <w:t xml:space="preserve"> от други </w:t>
      </w:r>
      <w:r w:rsidRPr="00F359F7">
        <w:t>страни, що се отнася до доставката на тези ресурси и произтичащата от това необходимост да се предприемат мерки за гарантиране на безопасни и устой</w:t>
      </w:r>
      <w:r w:rsidR="007A22F0" w:rsidRPr="00F359F7">
        <w:t>чиви доставки въз основа на три </w:t>
      </w:r>
      <w:r w:rsidRPr="00F359F7">
        <w:t>стълба:</w:t>
      </w:r>
    </w:p>
    <w:p w:rsidR="00E841CE" w:rsidRPr="00F359F7" w:rsidRDefault="0078783F" w:rsidP="00131417">
      <w:pPr>
        <w:pStyle w:val="ListParagraph"/>
        <w:numPr>
          <w:ilvl w:val="0"/>
          <w:numId w:val="17"/>
        </w:numPr>
      </w:pPr>
      <w:r w:rsidRPr="00F359F7">
        <w:t>справедливи и устойчиви доставки на суровини на международните пазари;</w:t>
      </w:r>
    </w:p>
    <w:p w:rsidR="00E841CE" w:rsidRPr="00F359F7" w:rsidRDefault="0078783F" w:rsidP="00131417">
      <w:pPr>
        <w:pStyle w:val="ListParagraph"/>
        <w:numPr>
          <w:ilvl w:val="0"/>
          <w:numId w:val="17"/>
        </w:numPr>
      </w:pPr>
      <w:r w:rsidRPr="00F359F7">
        <w:t>насърчаване на устойчивите доставки в рамките на ЕС и</w:t>
      </w:r>
    </w:p>
    <w:p w:rsidR="00FF33D6" w:rsidRPr="00F359F7" w:rsidRDefault="00E40E46" w:rsidP="00131417">
      <w:pPr>
        <w:pStyle w:val="ListParagraph"/>
        <w:numPr>
          <w:ilvl w:val="0"/>
          <w:numId w:val="17"/>
        </w:numPr>
      </w:pPr>
      <w:r w:rsidRPr="00F359F7">
        <w:t>по-ефикасно използване на ресурсите, пълно използване на суровините и насърчаване на рециклирането.</w:t>
      </w:r>
    </w:p>
    <w:p w:rsidR="00FF33D6" w:rsidRPr="00F359F7" w:rsidRDefault="00FF33D6" w:rsidP="00131417"/>
    <w:p w:rsidR="00046A52" w:rsidRPr="00F359F7" w:rsidRDefault="0078783F" w:rsidP="00131417">
      <w:r w:rsidRPr="00F359F7">
        <w:t>В своето съобщение „Посрещане на предизвикателствата, свързани със стоковите пазари и суровините“ от 2 февруари 2011 г. Комисията заяви намерението си да укрепи прилагането на инициативата за суровините. За тази цел и с оглед на насърчаването на инвестициите в добивната промишленост Комисията счита, че е от особено значение:</w:t>
      </w:r>
    </w:p>
    <w:p w:rsidR="00046A52" w:rsidRPr="00F359F7" w:rsidRDefault="0078783F" w:rsidP="00131417">
      <w:pPr>
        <w:pStyle w:val="ListParagraph"/>
        <w:numPr>
          <w:ilvl w:val="0"/>
          <w:numId w:val="15"/>
        </w:numPr>
      </w:pPr>
      <w:r w:rsidRPr="00F359F7">
        <w:t>да се определи национална политика по отношение на полезните изкопаеми, за да се гарантира, че тези ресурси се използват  по икономически устойчив начин, хармонизиран с други национални политики на основата на принципите на устойчивото развитие, включително ангажимент за създаване на правна рамка и осигуряване на подходяща информация;</w:t>
      </w:r>
    </w:p>
    <w:p w:rsidR="00E40E46" w:rsidRPr="00F359F7" w:rsidRDefault="0078783F" w:rsidP="00131417">
      <w:pPr>
        <w:pStyle w:val="ListParagraph"/>
        <w:numPr>
          <w:ilvl w:val="0"/>
          <w:numId w:val="15"/>
        </w:numPr>
      </w:pPr>
      <w:r w:rsidRPr="00F359F7">
        <w:t xml:space="preserve">да се изготви политика на планиране по отношение на полезните изкопаеми, която да включва цифрова геоложка база данни, прозрачна методология за установяване на рудните ресурси, дългосрочни и регионални оценки на местното търсене, както и определяне и запазване на рудните ресурси с отчитане на другите </w:t>
      </w:r>
      <w:r w:rsidR="00170660" w:rsidRPr="00F359F7">
        <w:t>ползвания</w:t>
      </w:r>
      <w:r w:rsidRPr="00F359F7">
        <w:t xml:space="preserve"> на земята и</w:t>
      </w:r>
    </w:p>
    <w:p w:rsidR="00046A52" w:rsidRPr="00F359F7" w:rsidRDefault="0078783F" w:rsidP="00131417">
      <w:pPr>
        <w:pStyle w:val="ListParagraph"/>
        <w:numPr>
          <w:ilvl w:val="0"/>
          <w:numId w:val="15"/>
        </w:numPr>
      </w:pPr>
      <w:r w:rsidRPr="00F359F7">
        <w:t>да се установи процедура за издаване на разрешения за проучване и добив на полезни изкопаеми, която да бъде ясна и всеобхватна, да гарантира сигурност и да допринася за опростяването на административния процес.</w:t>
      </w:r>
    </w:p>
    <w:p w:rsidR="00FF33D6" w:rsidRPr="00F359F7" w:rsidRDefault="00FF33D6" w:rsidP="00131417"/>
    <w:p w:rsidR="00A63B3D" w:rsidRPr="00F359F7" w:rsidRDefault="0078783F" w:rsidP="00131417">
      <w:r w:rsidRPr="00F359F7">
        <w:t>С оглед на създаването на благоприятен инвестиционен климат Комисията счита също, че е от основно значение да се приемат мерки за по-голяма прозрачност на разходите  посредством Инициативата за прозрачност на добивната промишленост и за насърчаване на доброто управление в областта на данъчното облагане.</w:t>
      </w:r>
    </w:p>
    <w:p w:rsidR="00FF33D6" w:rsidRPr="00F359F7" w:rsidRDefault="00FF33D6" w:rsidP="00131417"/>
    <w:p w:rsidR="00046A52" w:rsidRPr="00F359F7" w:rsidRDefault="00F07370" w:rsidP="00F0002A">
      <w:pPr>
        <w:keepLines/>
      </w:pPr>
      <w:r w:rsidRPr="00F359F7">
        <w:lastRenderedPageBreak/>
        <w:t>Държавите членки считат, че потенциалът на ЕС в областта на рудните ресурси е фактор за икономическото развитие, и поради това е необходимо да се определи интегриран подход към този сектор, който да обхваща икономическите, социалните и екологичните въпроси, както и определянето на правна и институционална рамка за ефективно упражняване на различните дейности.</w:t>
      </w:r>
    </w:p>
    <w:p w:rsidR="00FF33D6" w:rsidRPr="00F359F7" w:rsidRDefault="00FF33D6" w:rsidP="00131417"/>
    <w:p w:rsidR="00046A52" w:rsidRPr="00F359F7" w:rsidRDefault="00F07370" w:rsidP="00131417">
      <w:r w:rsidRPr="00F359F7">
        <w:t>Отговорното използване на рудните ресурси представлява важно развитие, което може да допринесе значително за ефективността на националната икономика. За тази цел е необходима предварителна консолидация на устойчивата политика, която да подходи цялостно към икономическите, социалните и екологичните аспекти и да определи добре правната и институционалната рамка.</w:t>
      </w:r>
    </w:p>
    <w:p w:rsidR="00705A1C" w:rsidRPr="00F359F7" w:rsidRDefault="001B5D4B" w:rsidP="00073ADF">
      <w:r w:rsidRPr="00F359F7">
        <w:t xml:space="preserve">Различните национални кръгли маси бяха проведени през </w:t>
      </w:r>
      <w:r w:rsidRPr="00F359F7">
        <w:rPr>
          <w:b/>
        </w:rPr>
        <w:t>2015 г.: в Испания (през март), в Словакия (през април), в Румъния (през юни), във Финландия (през септември), и 2016 г.: в Португалия (през април), в Ирландия (през май), в Полша (през юни), в Чешката република (през ноември), в Белгия (през ноември).</w:t>
      </w:r>
    </w:p>
    <w:p w:rsidR="0082543C" w:rsidRPr="00F359F7" w:rsidRDefault="0082543C" w:rsidP="00073ADF"/>
    <w:p w:rsidR="00046A52" w:rsidRPr="00F359F7" w:rsidRDefault="001B5D4B" w:rsidP="00073ADF">
      <w:pPr>
        <w:rPr>
          <w:b/>
        </w:rPr>
      </w:pPr>
      <w:r w:rsidRPr="00F359F7">
        <w:rPr>
          <w:b/>
        </w:rPr>
        <w:t>Може да се направи следния извод: необходим е средносрочен план за действие до 2030 г. и дългосрочен до 2050 г. Планът за действие трябва да даде отговор на следните предизвикателства:</w:t>
      </w:r>
    </w:p>
    <w:p w:rsidR="008140E8" w:rsidRPr="00F359F7" w:rsidRDefault="008140E8" w:rsidP="00073ADF">
      <w:pPr>
        <w:pStyle w:val="ListParagraph"/>
        <w:numPr>
          <w:ilvl w:val="0"/>
          <w:numId w:val="2"/>
        </w:numPr>
        <w:rPr>
          <w:b/>
        </w:rPr>
      </w:pPr>
      <w:r w:rsidRPr="00F359F7">
        <w:rPr>
          <w:b/>
        </w:rPr>
        <w:t>сигурността на доставките на суровини, включително определянето на базовия резерв, специфичните изисквания за базовите технологии и подхода към икономическата устойчивост;</w:t>
      </w:r>
    </w:p>
    <w:p w:rsidR="008140E8" w:rsidRPr="00F359F7" w:rsidRDefault="008140E8" w:rsidP="00073ADF">
      <w:pPr>
        <w:pStyle w:val="ListParagraph"/>
        <w:numPr>
          <w:ilvl w:val="0"/>
          <w:numId w:val="2"/>
        </w:numPr>
        <w:rPr>
          <w:b/>
        </w:rPr>
      </w:pPr>
      <w:r w:rsidRPr="00F359F7">
        <w:rPr>
          <w:b/>
        </w:rPr>
        <w:t>управление на връзката енергия/изменение на климата, включително разработване на чисти технологии, устойчивост на регионите, изправени пред закриване на въгледобивните мини, и осигуряване на суровини за алтернативно генериране и използване на енергия.</w:t>
      </w:r>
    </w:p>
    <w:p w:rsidR="001B5D4B" w:rsidRPr="00F359F7" w:rsidRDefault="001B5D4B" w:rsidP="00073ADF"/>
    <w:p w:rsidR="00911E04" w:rsidRPr="00F359F7" w:rsidRDefault="003A552F" w:rsidP="00073ADF">
      <w:r w:rsidRPr="00F359F7">
        <w:t>На две направления трябва да се обърне особено внимание:</w:t>
      </w:r>
    </w:p>
    <w:p w:rsidR="00F8502D" w:rsidRPr="00F359F7" w:rsidRDefault="003A552F" w:rsidP="00073ADF">
      <w:pPr>
        <w:pStyle w:val="ListParagraph"/>
        <w:numPr>
          <w:ilvl w:val="0"/>
          <w:numId w:val="1"/>
        </w:numPr>
        <w:rPr>
          <w:b/>
          <w:sz w:val="24"/>
          <w:szCs w:val="24"/>
        </w:rPr>
      </w:pPr>
      <w:r w:rsidRPr="00F359F7">
        <w:rPr>
          <w:b/>
          <w:sz w:val="24"/>
        </w:rPr>
        <w:t>Направление A: Националната политика и законодателното измерение</w:t>
      </w:r>
    </w:p>
    <w:p w:rsidR="00FF33D6" w:rsidRPr="00F359F7" w:rsidRDefault="00BC7D91" w:rsidP="00073ADF">
      <w:pPr>
        <w:ind w:firstLine="360"/>
      </w:pPr>
      <w:r w:rsidRPr="00F359F7">
        <w:t xml:space="preserve">Във връзка с това </w:t>
      </w:r>
      <w:r w:rsidRPr="00F359F7">
        <w:rPr>
          <w:b/>
        </w:rPr>
        <w:t>националните стратегии за суровините</w:t>
      </w:r>
      <w:r w:rsidRPr="00F359F7">
        <w:t xml:space="preserve"> би трябвало да са насочени към насърчаването на:</w:t>
      </w:r>
    </w:p>
    <w:p w:rsidR="00FF33D6" w:rsidRPr="00F359F7" w:rsidRDefault="00FF33D6" w:rsidP="00073ADF">
      <w:pPr>
        <w:ind w:firstLine="360"/>
      </w:pPr>
    </w:p>
    <w:p w:rsidR="004F4E7F" w:rsidRPr="00F359F7" w:rsidRDefault="00BC7D91" w:rsidP="00073ADF">
      <w:pPr>
        <w:pStyle w:val="ListParagraph"/>
        <w:numPr>
          <w:ilvl w:val="0"/>
          <w:numId w:val="5"/>
        </w:numPr>
      </w:pPr>
      <w:r w:rsidRPr="00F359F7">
        <w:t>динамика, гарантираща възобновяването и и запазването на инвестициите и правилното използване на ресурсите;</w:t>
      </w:r>
    </w:p>
    <w:p w:rsidR="00BC7D91" w:rsidRPr="00F359F7" w:rsidRDefault="00BC7D91" w:rsidP="00073ADF">
      <w:pPr>
        <w:pStyle w:val="ListParagraph"/>
        <w:numPr>
          <w:ilvl w:val="0"/>
          <w:numId w:val="5"/>
        </w:numPr>
      </w:pPr>
      <w:r w:rsidRPr="00F359F7">
        <w:t>устойчивост от икономическа, социална, екологична и териториална гледна точка;</w:t>
      </w:r>
    </w:p>
    <w:p w:rsidR="00BC7D91" w:rsidRPr="00F359F7" w:rsidRDefault="00BC7D91" w:rsidP="00073ADF">
      <w:pPr>
        <w:pStyle w:val="ListParagraph"/>
        <w:numPr>
          <w:ilvl w:val="0"/>
          <w:numId w:val="5"/>
        </w:numPr>
      </w:pPr>
      <w:r w:rsidRPr="00F359F7">
        <w:t>ръст на националната икономика посредством гарантирането на доставки на основни суровини и повишаване на тяхното значение за националния БВП и износа, както и на</w:t>
      </w:r>
    </w:p>
    <w:p w:rsidR="00BC7D91" w:rsidRPr="00F359F7" w:rsidRDefault="00BC7D91" w:rsidP="00073ADF">
      <w:pPr>
        <w:pStyle w:val="ListParagraph"/>
        <w:numPr>
          <w:ilvl w:val="0"/>
          <w:numId w:val="5"/>
        </w:numPr>
      </w:pPr>
      <w:r w:rsidRPr="00F359F7">
        <w:t>националното развитие, гарантираната възвращаемост и заетостта за местните хора и осигуряване на развитието на общностите там, където те се извършват такива дейности.</w:t>
      </w:r>
    </w:p>
    <w:p w:rsidR="00BC7D91" w:rsidRPr="00F359F7" w:rsidRDefault="00BC7D91" w:rsidP="00073ADF"/>
    <w:p w:rsidR="00BC7D91" w:rsidRPr="00F359F7" w:rsidRDefault="00BC7D91" w:rsidP="00073ADF">
      <w:pPr>
        <w:ind w:firstLine="360"/>
      </w:pPr>
      <w:r w:rsidRPr="00F359F7">
        <w:t>По-специално:</w:t>
      </w:r>
    </w:p>
    <w:p w:rsidR="004F4E7F" w:rsidRPr="00F359F7" w:rsidRDefault="004F4E7F" w:rsidP="00073ADF">
      <w:pPr>
        <w:pStyle w:val="ListParagraph"/>
        <w:numPr>
          <w:ilvl w:val="0"/>
          <w:numId w:val="7"/>
        </w:numPr>
        <w:ind w:left="1134" w:hanging="708"/>
        <w:rPr>
          <w:b/>
        </w:rPr>
      </w:pPr>
      <w:r w:rsidRPr="00F359F7">
        <w:rPr>
          <w:b/>
        </w:rPr>
        <w:t>Ролята на правителствата</w:t>
      </w:r>
    </w:p>
    <w:p w:rsidR="00B16689" w:rsidRPr="00F359F7" w:rsidRDefault="00B16689" w:rsidP="00073ADF">
      <w:pPr>
        <w:pStyle w:val="ListParagraph"/>
        <w:numPr>
          <w:ilvl w:val="1"/>
          <w:numId w:val="1"/>
        </w:numPr>
        <w:ind w:left="1701" w:hanging="567"/>
      </w:pPr>
      <w:r w:rsidRPr="00F359F7">
        <w:t>Политиката по отношение на полезните изкопаеми трябва да е съгласувана с дългосрочната индустриална политика на страната  (например енергийната политика до 2050 г.) и във връзка с това трябва да се оцени наличието на суровините, които са от основно значение за развитието на промишлеността.</w:t>
      </w:r>
    </w:p>
    <w:p w:rsidR="00F8502D" w:rsidRPr="00F359F7" w:rsidRDefault="008F52A7" w:rsidP="00073ADF">
      <w:pPr>
        <w:pStyle w:val="ListParagraph"/>
        <w:numPr>
          <w:ilvl w:val="1"/>
          <w:numId w:val="1"/>
        </w:numPr>
        <w:ind w:left="1701" w:hanging="567"/>
      </w:pPr>
      <w:r w:rsidRPr="00F359F7">
        <w:lastRenderedPageBreak/>
        <w:t>Трябва да се създаде отново правилна основа за сектора, като се определят ролите на централните правителства и местните власти едни спрямо други и по отношение на политиките, които ще се прилагат; на съответните публични органи трябва да се даде възможност да из</w:t>
      </w:r>
      <w:r w:rsidR="00A40C74" w:rsidRPr="00F359F7">
        <w:t xml:space="preserve">пълняват правилно своите роли. </w:t>
      </w:r>
      <w:r w:rsidRPr="00F359F7">
        <w:t>За да се решат проблемите, свързани с капацитета, и за да се съкратят сроковете за издаване на разрешения, би трябвало да се обмисли възможността да се даде право на трета страна  (например академичната общност) да участва от самото начало в процеса на издаване на разрешения.</w:t>
      </w:r>
    </w:p>
    <w:p w:rsidR="00F8502D" w:rsidRPr="00F359F7" w:rsidRDefault="003A552F" w:rsidP="00073ADF">
      <w:pPr>
        <w:pStyle w:val="ListParagraph"/>
        <w:numPr>
          <w:ilvl w:val="1"/>
          <w:numId w:val="1"/>
        </w:numPr>
        <w:ind w:left="1701" w:hanging="567"/>
      </w:pPr>
      <w:r w:rsidRPr="00F359F7">
        <w:t>Трябва да се гарантира адекватността на приложимите стандарти, да се актуализират правните инструменти, да се преструктурира правната договорна дисциплина, да се реформира системата на миннодобивните такси и другите оперативни разходи и да се регламентират новите реалности.</w:t>
      </w:r>
    </w:p>
    <w:p w:rsidR="00E22EDD" w:rsidRPr="00F359F7" w:rsidRDefault="00E22EDD" w:rsidP="00073ADF"/>
    <w:p w:rsidR="004F4E7F" w:rsidRPr="00F359F7" w:rsidRDefault="004F4E7F" w:rsidP="00073ADF">
      <w:pPr>
        <w:pStyle w:val="ListParagraph"/>
        <w:numPr>
          <w:ilvl w:val="1"/>
          <w:numId w:val="8"/>
        </w:numPr>
        <w:ind w:left="1134" w:hanging="708"/>
        <w:rPr>
          <w:b/>
        </w:rPr>
      </w:pPr>
      <w:r w:rsidRPr="00F359F7">
        <w:rPr>
          <w:b/>
        </w:rPr>
        <w:t>Планиране на земеползването</w:t>
      </w:r>
    </w:p>
    <w:p w:rsidR="00B16689" w:rsidRPr="00F359F7" w:rsidRDefault="00865DFC" w:rsidP="00073ADF">
      <w:pPr>
        <w:pStyle w:val="ListParagraph"/>
        <w:ind w:left="1134"/>
      </w:pPr>
      <w:r w:rsidRPr="00F359F7">
        <w:t xml:space="preserve">Би трябвало да се открият пропуските и предизвикателствата в практиките за планиране на земеползването и да се посочат примери на добри практики. При националното, регионалното и местното планиране на земеползването би трябвало да се прилагат посочените по-долу минимални стандарти. Трябва да се увеличат знанията за националния потенциал, като се определят предварително подлежащите на използване ресурси, с </w:t>
      </w:r>
      <w:r w:rsidR="00DD06D1" w:rsidRPr="00F359F7">
        <w:t xml:space="preserve">оглед на развитието на мините. </w:t>
      </w:r>
      <w:r w:rsidRPr="00F359F7">
        <w:t>Необходимо е да се проучат и определят рудните залежи, които имат стратегическо значение за земеползването, и да се приложат най-добрите практики за достъп до геоложка информация от една страна и до земя от друга;</w:t>
      </w:r>
    </w:p>
    <w:p w:rsidR="00F21C9F" w:rsidRPr="00F359F7" w:rsidRDefault="00F21C9F" w:rsidP="00073ADF"/>
    <w:p w:rsidR="00046A52" w:rsidRPr="00F359F7" w:rsidRDefault="00B770E3" w:rsidP="00073ADF">
      <w:pPr>
        <w:pStyle w:val="ListParagraph"/>
        <w:numPr>
          <w:ilvl w:val="1"/>
          <w:numId w:val="8"/>
        </w:numPr>
        <w:ind w:left="1134" w:hanging="708"/>
        <w:rPr>
          <w:b/>
        </w:rPr>
      </w:pPr>
      <w:r w:rsidRPr="00F359F7">
        <w:rPr>
          <w:b/>
        </w:rPr>
        <w:t>Достъп до суровинни ресурси</w:t>
      </w:r>
    </w:p>
    <w:p w:rsidR="00046A52" w:rsidRPr="00F359F7" w:rsidRDefault="00B770E3" w:rsidP="00073ADF">
      <w:pPr>
        <w:pStyle w:val="ListParagraph"/>
        <w:numPr>
          <w:ilvl w:val="1"/>
          <w:numId w:val="1"/>
        </w:numPr>
        <w:ind w:left="1843" w:hanging="709"/>
      </w:pPr>
      <w:r w:rsidRPr="00F359F7">
        <w:t>Прозрачна и ясна рамка за използването на находища и достъпа до тях е минимално изискване в интерес на всички участници и външни заинтересовани страни.  Трябва да има възможност за транспортиране на суровините. Това означава запазване на съществуващите или осигуряване на подходящи пътни, железопътни или водни инфраструктури за транспортиране на суровините от местата, където те се добиват, до местата на тяхната преработка и до пазарите.</w:t>
      </w:r>
    </w:p>
    <w:p w:rsidR="00046A52" w:rsidRPr="00F359F7" w:rsidRDefault="00882D96" w:rsidP="00073ADF">
      <w:pPr>
        <w:pStyle w:val="ListParagraph"/>
        <w:numPr>
          <w:ilvl w:val="1"/>
          <w:numId w:val="1"/>
        </w:numPr>
        <w:ind w:left="1843" w:hanging="709"/>
      </w:pPr>
      <w:r w:rsidRPr="00F359F7">
        <w:t xml:space="preserve">Компетентните власти би трябвало да помислят за опростяване на процедурите за издаване на разрешения, за прилагане на модела за обслужване на едно гише и за използване на решенията, свързани с </w:t>
      </w:r>
      <w:r w:rsidR="007D6064" w:rsidRPr="00F359F7">
        <w:t>електронни</w:t>
      </w:r>
      <w:r w:rsidRPr="00F359F7">
        <w:t xml:space="preserve"> административни услуги, като стандартните формуляри онлайн. Тъй като в Директивата за ОВОС не са предвидени срокове или времеви ограничения или каквито и да било други правила, приложими за издаването на разрешения, точните времеви рамки в различните държави членки варират в широки граници и би трябвало да се хармонизират и съкратят посредством наръчник за най-добрите практики.</w:t>
      </w:r>
    </w:p>
    <w:p w:rsidR="00F21C9F" w:rsidRPr="00F359F7" w:rsidRDefault="00F21C9F" w:rsidP="00073ADF"/>
    <w:p w:rsidR="00046A52" w:rsidRPr="00F359F7" w:rsidRDefault="00F8060C" w:rsidP="00DD06D1">
      <w:pPr>
        <w:pStyle w:val="ListParagraph"/>
        <w:keepNext/>
        <w:numPr>
          <w:ilvl w:val="1"/>
          <w:numId w:val="9"/>
        </w:numPr>
        <w:ind w:left="1134" w:hanging="709"/>
        <w:rPr>
          <w:b/>
        </w:rPr>
      </w:pPr>
      <w:r w:rsidRPr="00F359F7">
        <w:rPr>
          <w:b/>
        </w:rPr>
        <w:t>Национални политики за привличане на инвеститори към свободните райони и насърчаване на инвестициите в проучването и добива</w:t>
      </w:r>
    </w:p>
    <w:p w:rsidR="002908B8" w:rsidRPr="00F359F7" w:rsidRDefault="00F8060C" w:rsidP="00DD06D1">
      <w:pPr>
        <w:pStyle w:val="ListParagraph"/>
        <w:keepLines/>
        <w:ind w:left="1134"/>
      </w:pPr>
      <w:r w:rsidRPr="00F359F7">
        <w:t>Решенията за инвестиране в страните се основават на цяла поредица от показатели: потенциал за производство и наличие на терен, регулаторна система, разрешения, риск от кредитно неизпълнение от държавата, инфраструктури, данъчен режим и закон за минното дело , цена на услугите и на концесиите, сигурност на владението, качество на геолозите и инженерите в страната. Държавите членки се конкурират за ограничени капитали за проучвания. Правителствата и европейските политики трябва да са налице и да постигат баланс между добива на полезни изкопаеми, околната среда и общностите.</w:t>
      </w:r>
    </w:p>
    <w:p w:rsidR="00046A52" w:rsidRPr="00F359F7" w:rsidRDefault="00F8060C" w:rsidP="00073ADF">
      <w:pPr>
        <w:pStyle w:val="ListParagraph"/>
        <w:ind w:left="1134"/>
      </w:pPr>
      <w:r w:rsidRPr="00F359F7">
        <w:t>Триъгълникът на доверието между миннодобивните дружества, правителствата и техните агенции и местните общности и ключов фактор за успеха на всяка мина. Той трябва да бъде създаден на етапа на проучването, да се превърне в първостепенен приоритет на етапа на проучване на осъществимостта и планиране и да се запази по време на изграждането, използването и затварянето на мината и след това. Металите и полезните изкопаеми са в основата на инфраструктурата на нашата цивилизация. Поради това и данъчното облагане трябва да бъде подходящо. Корпоративното данъчно облагане за рудодобива може да се нуждае от преразглеждане, за да продължи привличането на дружества за проучвания и добив.</w:t>
      </w:r>
    </w:p>
    <w:p w:rsidR="00BC7D91" w:rsidRPr="00F359F7" w:rsidRDefault="00BC7D91" w:rsidP="00073ADF">
      <w:pPr>
        <w:pStyle w:val="ListParagraph"/>
        <w:ind w:left="1134"/>
      </w:pPr>
      <w:r w:rsidRPr="00F359F7">
        <w:t>Рентабилността на новите инвестиции в рудодобива би трябвало да бъде оценявана във връзка с другите индустрии и техните нужди, тъй като те зависят от минната промишленост, и находищата трябва да се използват по устойчив начин (например чрез по-добро оползотворяване на страничните и съпътстващите продукти).</w:t>
      </w:r>
    </w:p>
    <w:p w:rsidR="00F21C9F" w:rsidRPr="00F359F7" w:rsidRDefault="00F21C9F" w:rsidP="00073ADF"/>
    <w:p w:rsidR="004F4E7F" w:rsidRPr="00F359F7" w:rsidRDefault="004F4E7F" w:rsidP="00073ADF">
      <w:pPr>
        <w:pStyle w:val="ListParagraph"/>
        <w:numPr>
          <w:ilvl w:val="1"/>
          <w:numId w:val="10"/>
        </w:numPr>
        <w:ind w:left="1134" w:hanging="708"/>
        <w:rPr>
          <w:b/>
        </w:rPr>
      </w:pPr>
      <w:r w:rsidRPr="00F359F7">
        <w:rPr>
          <w:b/>
        </w:rPr>
        <w:t>Иновации</w:t>
      </w:r>
    </w:p>
    <w:p w:rsidR="00F8060C" w:rsidRPr="00F359F7" w:rsidRDefault="00F8060C" w:rsidP="00073ADF">
      <w:pPr>
        <w:pStyle w:val="ListParagraph"/>
        <w:numPr>
          <w:ilvl w:val="1"/>
          <w:numId w:val="1"/>
        </w:numPr>
        <w:ind w:left="1843" w:hanging="709"/>
      </w:pPr>
      <w:r w:rsidRPr="00F359F7">
        <w:t>Иновативните решения в минната промишленост би трябвало да се подкрепят ефективно от националните правителства (благоприятна правна рамка, разнопосочна система от стимули, данъци и такси), тъй като миннодобивните дружества не са моти</w:t>
      </w:r>
      <w:r w:rsidR="00DD06D1" w:rsidRPr="00F359F7">
        <w:t>вирани да поемат големи рискове.</w:t>
      </w:r>
    </w:p>
    <w:p w:rsidR="00046A52" w:rsidRPr="00F359F7" w:rsidRDefault="00B770E3" w:rsidP="00073ADF">
      <w:pPr>
        <w:pStyle w:val="ListParagraph"/>
        <w:numPr>
          <w:ilvl w:val="1"/>
          <w:numId w:val="1"/>
        </w:numPr>
        <w:ind w:left="1843" w:hanging="709"/>
      </w:pPr>
      <w:r w:rsidRPr="00F359F7">
        <w:t>За икономическото развитие на кръговата икономика е важно използването на суровини чрез по-добро рециклиране (например на отпадъците от електрическо и електронно оборудване, въглерода), което в много области все още не е конкурентоспособно в икономическо и технологично отношение в сравнение с първичните източници.</w:t>
      </w:r>
    </w:p>
    <w:p w:rsidR="00B770E3" w:rsidRPr="00F359F7" w:rsidRDefault="00B770E3" w:rsidP="00073ADF">
      <w:pPr>
        <w:pStyle w:val="ListParagraph"/>
        <w:numPr>
          <w:ilvl w:val="1"/>
          <w:numId w:val="1"/>
        </w:numPr>
        <w:ind w:left="1843" w:hanging="709"/>
      </w:pPr>
      <w:r w:rsidRPr="00F359F7">
        <w:t>Трябва да се подобри образованието по въпросите на рециклирането и обществеността да се информира по-добре за значението на суровините в икономиката, още повече че понастоящем няма връзка с предизвикателствата, пред които е изправена образователната система в съвременната икономика, включително в</w:t>
      </w:r>
      <w:r w:rsidR="00DD06D1" w:rsidRPr="00F359F7">
        <w:t xml:space="preserve"> областта на предприемачеството.</w:t>
      </w:r>
    </w:p>
    <w:p w:rsidR="00F8060C" w:rsidRPr="00F359F7" w:rsidRDefault="00F8060C" w:rsidP="00073ADF"/>
    <w:p w:rsidR="00B16689" w:rsidRPr="00F359F7" w:rsidRDefault="00F8502D" w:rsidP="005636C0">
      <w:pPr>
        <w:pStyle w:val="ListParagraph"/>
        <w:keepNext/>
        <w:numPr>
          <w:ilvl w:val="0"/>
          <w:numId w:val="1"/>
        </w:numPr>
        <w:rPr>
          <w:b/>
          <w:sz w:val="24"/>
          <w:szCs w:val="24"/>
        </w:rPr>
      </w:pPr>
      <w:r w:rsidRPr="00F359F7">
        <w:rPr>
          <w:b/>
          <w:sz w:val="24"/>
        </w:rPr>
        <w:t>Направление B: Политиките на ЕС и законодателното измерение</w:t>
      </w:r>
    </w:p>
    <w:p w:rsidR="00E22EDD" w:rsidRPr="00F359F7" w:rsidRDefault="00E22EDD" w:rsidP="005636C0">
      <w:pPr>
        <w:keepNext/>
        <w:rPr>
          <w:sz w:val="24"/>
        </w:rPr>
      </w:pPr>
    </w:p>
    <w:p w:rsidR="00C46EF5" w:rsidRPr="00F359F7" w:rsidRDefault="00C46EF5" w:rsidP="00DD06D1">
      <w:pPr>
        <w:pStyle w:val="ListParagraph"/>
        <w:keepNext/>
        <w:numPr>
          <w:ilvl w:val="1"/>
          <w:numId w:val="11"/>
        </w:numPr>
        <w:ind w:left="1134" w:hanging="709"/>
        <w:rPr>
          <w:b/>
        </w:rPr>
      </w:pPr>
      <w:r w:rsidRPr="00F359F7">
        <w:rPr>
          <w:b/>
        </w:rPr>
        <w:t>Запазване на местните енергийни доставки</w:t>
      </w:r>
    </w:p>
    <w:p w:rsidR="00C46EF5" w:rsidRPr="00F359F7" w:rsidRDefault="00C46EF5" w:rsidP="00DD06D1">
      <w:pPr>
        <w:pStyle w:val="ListParagraph"/>
        <w:keepLines/>
        <w:numPr>
          <w:ilvl w:val="1"/>
          <w:numId w:val="1"/>
        </w:numPr>
        <w:ind w:left="1843" w:hanging="709"/>
      </w:pPr>
      <w:r w:rsidRPr="00F359F7">
        <w:t>Използва</w:t>
      </w:r>
      <w:r w:rsidR="00774BEA" w:rsidRPr="00F359F7">
        <w:t>н</w:t>
      </w:r>
      <w:r w:rsidRPr="00F359F7">
        <w:t>ето на всички конвенционални и неконвенционални източници на енергия дава възможност за предлагане на конкурентни цени за енергоемките отрасли като к.добива на полезни изкопаеми и тяхната последваща обработка.</w:t>
      </w:r>
    </w:p>
    <w:p w:rsidR="00046A52" w:rsidRPr="00F359F7" w:rsidRDefault="00C46EF5" w:rsidP="00073ADF">
      <w:pPr>
        <w:pStyle w:val="ListParagraph"/>
        <w:numPr>
          <w:ilvl w:val="1"/>
          <w:numId w:val="1"/>
        </w:numPr>
        <w:ind w:left="1843" w:hanging="709"/>
      </w:pPr>
      <w:r w:rsidRPr="00F359F7">
        <w:t>Цените на енергията оказват голямо влияние върху разходите за добив и обогатяване на полезните изкопаеми. Голям брой миннодобивни дружества са напълно интегрирани в глобални вериги за създаване на стойност, при които допълнителните местни разходи не могат да бъдат прехвърлени на клиентите по причини, свързани с конкурентоспособността. Поради това във всяка юрисдикция минното дело изисква енергия на конкурентни цени, за да бъде от полза на съответната общност в дългосрочен план.</w:t>
      </w:r>
    </w:p>
    <w:p w:rsidR="00C46EF5" w:rsidRPr="00F359F7" w:rsidRDefault="00C46EF5" w:rsidP="00073ADF">
      <w:pPr>
        <w:pStyle w:val="ListParagraph"/>
        <w:numPr>
          <w:ilvl w:val="1"/>
          <w:numId w:val="1"/>
        </w:numPr>
        <w:ind w:left="1843" w:hanging="709"/>
      </w:pPr>
      <w:r w:rsidRPr="00F359F7">
        <w:t xml:space="preserve">По отношение на енергийния сектор може ясно да се заяви, че връзката между икономическия растеж и емисиите на парникови газове може да се прекъсне и се прекъсва, когато значими миннодобивни предприятия са налице или дори се разрастват. Високите цени на енергията не водят непременно до намаляване на CO2, ако тези емисии например са неизбежни при обработката на рудата, но могат да се отразят върху </w:t>
      </w:r>
      <w:r w:rsidR="000B35BF" w:rsidRPr="00F359F7">
        <w:t>конкурентоспособността</w:t>
      </w:r>
      <w:r w:rsidRPr="00F359F7">
        <w:t xml:space="preserve"> на целите ве</w:t>
      </w:r>
      <w:r w:rsidR="00DD06D1" w:rsidRPr="00F359F7">
        <w:t xml:space="preserve">риги за създаване на стойност. </w:t>
      </w:r>
      <w:r w:rsidR="008C157C" w:rsidRPr="00F359F7">
        <w:t>Желат</w:t>
      </w:r>
      <w:r w:rsidRPr="00F359F7">
        <w:t>елно е да се направят дългосрочни инвестиции в по-ефикасни добивни технологии и процеси, а не добивът на полезни изкопаеми да се измества към страни извън ЕС.</w:t>
      </w:r>
    </w:p>
    <w:p w:rsidR="00F21C9F" w:rsidRPr="00F359F7" w:rsidRDefault="00F21C9F" w:rsidP="00073ADF"/>
    <w:p w:rsidR="004F4E7F" w:rsidRPr="00F359F7" w:rsidRDefault="004F4E7F" w:rsidP="00073ADF">
      <w:pPr>
        <w:pStyle w:val="ListParagraph"/>
        <w:numPr>
          <w:ilvl w:val="1"/>
          <w:numId w:val="12"/>
        </w:numPr>
        <w:ind w:left="1134" w:hanging="708"/>
        <w:rPr>
          <w:b/>
        </w:rPr>
      </w:pPr>
      <w:r w:rsidRPr="00F359F7">
        <w:rPr>
          <w:b/>
        </w:rPr>
        <w:t>Знания и създаване на синергии</w:t>
      </w:r>
    </w:p>
    <w:p w:rsidR="00BC7D91" w:rsidRPr="00F359F7" w:rsidRDefault="00F8502D" w:rsidP="00073ADF">
      <w:pPr>
        <w:pStyle w:val="ListParagraph"/>
        <w:numPr>
          <w:ilvl w:val="1"/>
          <w:numId w:val="1"/>
        </w:numPr>
        <w:ind w:left="1843" w:hanging="709"/>
      </w:pPr>
      <w:r w:rsidRPr="00F359F7">
        <w:t>Развитие на знанията и оценяване на националния потенциал на държавите</w:t>
      </w:r>
      <w:r w:rsidR="00DD06D1" w:rsidRPr="00F359F7">
        <w:rPr>
          <w:spacing w:val="-20"/>
        </w:rPr>
        <w:noBreakHyphen/>
      </w:r>
      <w:r w:rsidRPr="00F359F7">
        <w:t>членки на ЕС и на техните потенциални синергии в европейски контекст посредством подобряване на методите за събиране и систематизиране на информацията за по-добро използване на ресурсите и насърчаване на синергиите между публичните и частните структури, както и мониторинг на извършваните вече добивни дейности в целия ЕС.</w:t>
      </w:r>
    </w:p>
    <w:p w:rsidR="00046A52" w:rsidRPr="00F359F7" w:rsidRDefault="00BC7D91" w:rsidP="00073ADF">
      <w:pPr>
        <w:pStyle w:val="ListParagraph"/>
        <w:numPr>
          <w:ilvl w:val="1"/>
          <w:numId w:val="1"/>
        </w:numPr>
        <w:ind w:left="1843" w:hanging="709"/>
      </w:pPr>
      <w:r w:rsidRPr="00F359F7">
        <w:t>Държавите би трябвало да оказват максимална подкрепа за участието на дружествата в EIT за суровините, както и в програмите на ЕС; участието на националните агенции за финансиране на научните изследвания и технологичното развитие в ERA-N</w:t>
      </w:r>
      <w:r w:rsidR="00DD06D1" w:rsidRPr="00F359F7">
        <w:t>ETS би трябвало да се насърчава.</w:t>
      </w:r>
    </w:p>
    <w:p w:rsidR="00046A52" w:rsidRPr="00F359F7" w:rsidRDefault="007C29C6" w:rsidP="00073ADF">
      <w:pPr>
        <w:pStyle w:val="ListParagraph"/>
        <w:numPr>
          <w:ilvl w:val="1"/>
          <w:numId w:val="1"/>
        </w:numPr>
        <w:ind w:left="1843" w:hanging="709"/>
      </w:pPr>
      <w:r w:rsidRPr="00F359F7">
        <w:t xml:space="preserve">Редица страни са изправени пред съществени предизвикателства, свързани със затварянето на въгледобивните мини или модернизирането на техните мощности и разработването на екологосъобразни технологии за по-широко използване на въглищата в други </w:t>
      </w:r>
      <w:r w:rsidR="00DD06D1" w:rsidRPr="00F359F7">
        <w:t xml:space="preserve">сектори, не само в енергийния. </w:t>
      </w:r>
      <w:r w:rsidRPr="00F359F7">
        <w:t>Понастоящем политиката</w:t>
      </w:r>
      <w:r w:rsidR="00DD06D1" w:rsidRPr="00F359F7">
        <w:t xml:space="preserve"> на ЕС дискриминира въгледобива.</w:t>
      </w:r>
    </w:p>
    <w:p w:rsidR="00F21C9F" w:rsidRPr="00F359F7" w:rsidRDefault="00F21C9F" w:rsidP="00073ADF"/>
    <w:p w:rsidR="00046A52" w:rsidRPr="00F359F7" w:rsidRDefault="000778E9" w:rsidP="005636C0">
      <w:pPr>
        <w:pStyle w:val="ListParagraph"/>
        <w:keepNext/>
        <w:numPr>
          <w:ilvl w:val="1"/>
          <w:numId w:val="13"/>
        </w:numPr>
        <w:ind w:left="1134" w:hanging="708"/>
        <w:rPr>
          <w:b/>
        </w:rPr>
      </w:pPr>
      <w:r w:rsidRPr="00F359F7">
        <w:rPr>
          <w:b/>
        </w:rPr>
        <w:t>Социално измерение и пазар на труда</w:t>
      </w:r>
    </w:p>
    <w:p w:rsidR="00F21C9F" w:rsidRPr="00F359F7" w:rsidRDefault="008C157C" w:rsidP="000B35BF">
      <w:pPr>
        <w:keepLines/>
      </w:pPr>
      <w:r w:rsidRPr="00F359F7">
        <w:t>Модернизиране и адаптиране на образователните и обучителните системи с оглед на технологичното развитие и новите процеси в работата. Това включва също учене през целия живот, системи за професионално и дуално обучение, които съчетават обучение по теория и практика, силна и съгласувана програма за индустриалната политика, която подкрепя запазването и създаването на заетост в добивните сектори; улесняване на трудовата мобилност и изграждане на капацитет в рамките на компетентните органи. Силно се препоръчва заетостта и развитието на умения в сектора на да се разгледат на европейско равнище, за да се подходи към въпроса за регионалното развитие и преструктурирането на целия сектор.</w:t>
      </w:r>
    </w:p>
    <w:p w:rsidR="008C157C" w:rsidRPr="00F359F7" w:rsidRDefault="008C157C" w:rsidP="008C157C"/>
    <w:p w:rsidR="00F21C9F" w:rsidRPr="00F359F7" w:rsidRDefault="00325AD9" w:rsidP="00073ADF">
      <w:pPr>
        <w:pStyle w:val="ListParagraph"/>
        <w:numPr>
          <w:ilvl w:val="1"/>
          <w:numId w:val="14"/>
        </w:numPr>
        <w:ind w:left="1134" w:hanging="708"/>
        <w:rPr>
          <w:b/>
        </w:rPr>
      </w:pPr>
      <w:r w:rsidRPr="00F359F7">
        <w:rPr>
          <w:b/>
        </w:rPr>
        <w:t>Конкуренция и устойчивост</w:t>
      </w:r>
    </w:p>
    <w:p w:rsidR="00325AD9" w:rsidRPr="00F359F7" w:rsidRDefault="008C157C" w:rsidP="00073ADF">
      <w:pPr>
        <w:pStyle w:val="ListParagraph"/>
        <w:ind w:left="1134"/>
        <w:rPr>
          <w:b/>
        </w:rPr>
      </w:pPr>
      <w:r w:rsidRPr="00F359F7">
        <w:t xml:space="preserve">С оглед на икономическия растеж в ЕС е от първостепенно значение Съюзът да спре с декларациите относно целите в областта на устойчивостта, като </w:t>
      </w:r>
      <w:r w:rsidR="00774BEA" w:rsidRPr="00F359F7">
        <w:t xml:space="preserve">същевременно </w:t>
      </w:r>
      <w:r w:rsidRPr="00F359F7">
        <w:t>прилага тези цели в рамките на ЕС, но не и по отношение на стоките, внасяни в ЕС</w:t>
      </w:r>
      <w:r w:rsidR="00C46EF5" w:rsidRPr="00F359F7">
        <w:t xml:space="preserve">. </w:t>
      </w:r>
      <w:r w:rsidRPr="00F359F7">
        <w:t>Поради това той трябва да гарантира, че правните рамки са достатъчно здрави, за да защитят европейската промишленост от нелоялна конкур</w:t>
      </w:r>
      <w:r w:rsidR="00774BEA" w:rsidRPr="00F359F7">
        <w:t>енция</w:t>
      </w:r>
      <w:r w:rsidRPr="00F359F7">
        <w:t>, и да осигури правна рамка, която да защитава потребителите в ЕС от нелоялната глобална конкуренция или преместване на производството поради едностранни доброволно поети разходи</w:t>
      </w:r>
      <w:r w:rsidR="00774BEA" w:rsidRPr="00F359F7">
        <w:t xml:space="preserve"> и други мерки</w:t>
      </w:r>
      <w:r w:rsidRPr="00F359F7">
        <w:t xml:space="preserve">, </w:t>
      </w:r>
      <w:r w:rsidR="00774BEA" w:rsidRPr="00F359F7">
        <w:t>които компенсират високата производителност</w:t>
      </w:r>
      <w:r w:rsidR="00C46EF5" w:rsidRPr="00F359F7">
        <w:t>;</w:t>
      </w:r>
    </w:p>
    <w:p w:rsidR="003B200D" w:rsidRPr="00F359F7" w:rsidRDefault="003B200D" w:rsidP="00073ADF"/>
    <w:p w:rsidR="00DD06D1" w:rsidRPr="00F359F7" w:rsidRDefault="00DD06D1">
      <w:pPr>
        <w:jc w:val="center"/>
      </w:pPr>
      <w:r w:rsidRPr="00F359F7">
        <w:t>*</w:t>
      </w:r>
    </w:p>
    <w:p w:rsidR="00DD06D1" w:rsidRPr="00F359F7" w:rsidRDefault="00DD06D1">
      <w:pPr>
        <w:jc w:val="center"/>
      </w:pPr>
    </w:p>
    <w:p w:rsidR="00DD06D1" w:rsidRPr="00F359F7" w:rsidRDefault="00DD06D1">
      <w:pPr>
        <w:jc w:val="center"/>
      </w:pPr>
      <w:r w:rsidRPr="00F359F7">
        <w:t>*</w:t>
      </w:r>
      <w:r w:rsidRPr="00F359F7">
        <w:tab/>
        <w:t>*</w:t>
      </w:r>
    </w:p>
    <w:p w:rsidR="003B200D" w:rsidRPr="00F359F7" w:rsidRDefault="003B200D" w:rsidP="00853878">
      <w:pPr>
        <w:pStyle w:val="ListParagraph"/>
        <w:ind w:left="1440"/>
        <w:jc w:val="left"/>
      </w:pPr>
    </w:p>
    <w:p w:rsidR="000F4718" w:rsidRPr="00F359F7" w:rsidRDefault="000F4718">
      <w:pPr>
        <w:spacing w:after="200" w:line="276" w:lineRule="auto"/>
        <w:jc w:val="left"/>
      </w:pPr>
      <w:r w:rsidRPr="00F359F7">
        <w:br w:type="page"/>
      </w:r>
    </w:p>
    <w:p w:rsidR="00080C01" w:rsidRPr="00F359F7" w:rsidRDefault="00080C01" w:rsidP="00073ADF">
      <w:pPr>
        <w:rPr>
          <w:b/>
        </w:rPr>
      </w:pPr>
      <w:r w:rsidRPr="00F359F7">
        <w:rPr>
          <w:b/>
        </w:rPr>
        <w:t>Основните партньори в организацията на тези прояви бяха Euromines, Eurocoal, IndustriAll и Европейската комисия. Във всяка проява обаче участваха и някои местни партньори:</w:t>
      </w:r>
    </w:p>
    <w:p w:rsidR="00080C01" w:rsidRPr="00F359F7" w:rsidRDefault="00080C01" w:rsidP="00073ADF">
      <w:pPr>
        <w:pStyle w:val="ListParagraph"/>
        <w:numPr>
          <w:ilvl w:val="0"/>
          <w:numId w:val="4"/>
        </w:numPr>
      </w:pPr>
      <w:r w:rsidRPr="00F359F7">
        <w:t>Испания: Confedem и Centro para el Desarrollo Tecnológico Industrial</w:t>
      </w:r>
    </w:p>
    <w:p w:rsidR="00080C01" w:rsidRPr="00F359F7" w:rsidRDefault="00080C01" w:rsidP="00073ADF">
      <w:pPr>
        <w:pStyle w:val="ListParagraph"/>
        <w:numPr>
          <w:ilvl w:val="0"/>
          <w:numId w:val="4"/>
        </w:numPr>
      </w:pPr>
      <w:r w:rsidRPr="00F359F7">
        <w:t>Словакия: Министерство на икономиката</w:t>
      </w:r>
    </w:p>
    <w:p w:rsidR="00080C01" w:rsidRPr="00F359F7" w:rsidRDefault="00080C01" w:rsidP="00073ADF">
      <w:pPr>
        <w:pStyle w:val="ListParagraph"/>
        <w:numPr>
          <w:ilvl w:val="0"/>
          <w:numId w:val="4"/>
        </w:numPr>
      </w:pPr>
      <w:r w:rsidRPr="00F359F7">
        <w:t>Румъния: Политехнически университет в Букурещ, Министерство на икономиката, Meridian</w:t>
      </w:r>
    </w:p>
    <w:p w:rsidR="00080C01" w:rsidRPr="00F359F7" w:rsidRDefault="00080C01" w:rsidP="00073ADF">
      <w:pPr>
        <w:pStyle w:val="ListParagraph"/>
        <w:numPr>
          <w:ilvl w:val="0"/>
          <w:numId w:val="4"/>
        </w:numPr>
      </w:pPr>
      <w:r w:rsidRPr="00F359F7">
        <w:t>Финландия: Федерация на финските предприятия, Финска асоциация за минни дейности (Finnmin)</w:t>
      </w:r>
    </w:p>
    <w:p w:rsidR="00080C01" w:rsidRPr="00F359F7" w:rsidRDefault="00080C01" w:rsidP="00073ADF">
      <w:pPr>
        <w:pStyle w:val="ListParagraph"/>
        <w:numPr>
          <w:ilvl w:val="0"/>
          <w:numId w:val="4"/>
        </w:numPr>
      </w:pPr>
      <w:r w:rsidRPr="00F359F7">
        <w:t>Португалия: Laboratório Nacional de Energia e Geologia, Direção-Geral de Energia e Geologia</w:t>
      </w:r>
    </w:p>
    <w:p w:rsidR="00080C01" w:rsidRPr="00F359F7" w:rsidRDefault="00080C01" w:rsidP="00073ADF">
      <w:pPr>
        <w:pStyle w:val="ListParagraph"/>
        <w:numPr>
          <w:ilvl w:val="0"/>
          <w:numId w:val="4"/>
        </w:numPr>
      </w:pPr>
      <w:r w:rsidRPr="00F359F7">
        <w:t>Ирландия: Geological Survey of Ireland, отдел за комуникация, енергетика и природни ресурси</w:t>
      </w:r>
    </w:p>
    <w:p w:rsidR="00080C01" w:rsidRPr="00F359F7" w:rsidRDefault="00080C01" w:rsidP="00073ADF">
      <w:pPr>
        <w:pStyle w:val="ListParagraph"/>
        <w:numPr>
          <w:ilvl w:val="0"/>
          <w:numId w:val="4"/>
        </w:numPr>
      </w:pPr>
      <w:r w:rsidRPr="00F359F7">
        <w:t>Полша: Министерство на икономическото развитие, Организация на работодателите в полския медодобив</w:t>
      </w:r>
    </w:p>
    <w:p w:rsidR="00080C01" w:rsidRPr="00F359F7" w:rsidRDefault="00080C01" w:rsidP="00073ADF">
      <w:pPr>
        <w:pStyle w:val="ListParagraph"/>
        <w:numPr>
          <w:ilvl w:val="0"/>
          <w:numId w:val="4"/>
        </w:numPr>
      </w:pPr>
      <w:r w:rsidRPr="00F359F7">
        <w:t>Чешката република: Чешка асоц</w:t>
      </w:r>
      <w:r w:rsidR="008C157C" w:rsidRPr="00F359F7">
        <w:t>иация за минни дейности, Минист</w:t>
      </w:r>
      <w:r w:rsidRPr="00F359F7">
        <w:t>е</w:t>
      </w:r>
      <w:r w:rsidR="008C157C" w:rsidRPr="00F359F7">
        <w:t>р</w:t>
      </w:r>
      <w:r w:rsidRPr="00F359F7">
        <w:t>ство на промишлеността и търговията</w:t>
      </w:r>
    </w:p>
    <w:p w:rsidR="00080C01" w:rsidRPr="00F359F7" w:rsidRDefault="00080C01" w:rsidP="00073ADF"/>
    <w:p w:rsidR="00080C01" w:rsidRPr="00F359F7" w:rsidRDefault="00080C01" w:rsidP="00073ADF">
      <w:pPr>
        <w:pStyle w:val="ListParagraph"/>
        <w:ind w:left="0"/>
        <w:rPr>
          <w:b/>
        </w:rPr>
      </w:pPr>
      <w:r w:rsidRPr="00F359F7">
        <w:rPr>
          <w:b/>
        </w:rPr>
        <w:t>Списък на членовете/делегатите на CCMI,  участващи в тези кръгли маси:</w:t>
      </w:r>
    </w:p>
    <w:p w:rsidR="005E690D" w:rsidRPr="00F359F7" w:rsidRDefault="005E690D" w:rsidP="00073ADF">
      <w:pPr>
        <w:pStyle w:val="ListParagraph"/>
      </w:pPr>
      <w:r w:rsidRPr="00F359F7">
        <w:t>Lucie Studničná</w:t>
      </w:r>
    </w:p>
    <w:p w:rsidR="005E690D" w:rsidRPr="00F359F7" w:rsidRDefault="005E690D" w:rsidP="00073ADF">
      <w:pPr>
        <w:pStyle w:val="ListParagraph"/>
      </w:pPr>
      <w:r w:rsidRPr="00F359F7">
        <w:t>Carlos Trias Pintó</w:t>
      </w:r>
    </w:p>
    <w:p w:rsidR="005E690D" w:rsidRPr="00F359F7" w:rsidRDefault="005E690D" w:rsidP="00073ADF">
      <w:pPr>
        <w:pStyle w:val="ListParagraph"/>
      </w:pPr>
      <w:r w:rsidRPr="00F359F7">
        <w:t>Casado Lopez Juan Manuel</w:t>
      </w:r>
    </w:p>
    <w:p w:rsidR="005E690D" w:rsidRPr="00F359F7" w:rsidRDefault="005E690D" w:rsidP="00073ADF">
      <w:pPr>
        <w:pStyle w:val="ListParagraph"/>
      </w:pPr>
      <w:r w:rsidRPr="00F359F7">
        <w:t>Dumitru Fornea</w:t>
      </w:r>
    </w:p>
    <w:p w:rsidR="005E690D" w:rsidRPr="00F359F7" w:rsidRDefault="005E690D" w:rsidP="00073ADF">
      <w:pPr>
        <w:pStyle w:val="ListParagraph"/>
      </w:pPr>
      <w:r w:rsidRPr="00F359F7">
        <w:t>Eugen Lucan</w:t>
      </w:r>
    </w:p>
    <w:p w:rsidR="005E690D" w:rsidRPr="00F359F7" w:rsidRDefault="005E690D" w:rsidP="00073ADF">
      <w:pPr>
        <w:pStyle w:val="ListParagraph"/>
      </w:pPr>
      <w:r w:rsidRPr="00F359F7">
        <w:t>Gerald Kreuzer</w:t>
      </w:r>
    </w:p>
    <w:p w:rsidR="005E690D" w:rsidRPr="00F359F7" w:rsidRDefault="005E690D" w:rsidP="00073ADF">
      <w:pPr>
        <w:pStyle w:val="ListParagraph"/>
      </w:pPr>
      <w:r w:rsidRPr="00F359F7">
        <w:t>Glorieux Jacques</w:t>
      </w:r>
    </w:p>
    <w:p w:rsidR="005E690D" w:rsidRPr="00F359F7" w:rsidRDefault="005E690D" w:rsidP="00073ADF">
      <w:pPr>
        <w:pStyle w:val="ListParagraph"/>
      </w:pPr>
      <w:r w:rsidRPr="00F359F7">
        <w:t>Hilde Van Laere</w:t>
      </w:r>
    </w:p>
    <w:p w:rsidR="005E690D" w:rsidRPr="00F359F7" w:rsidRDefault="005E690D" w:rsidP="00073ADF">
      <w:pPr>
        <w:pStyle w:val="ListParagraph"/>
      </w:pPr>
      <w:r w:rsidRPr="00F359F7">
        <w:t>Jacques Glorieux</w:t>
      </w:r>
    </w:p>
    <w:p w:rsidR="005E690D" w:rsidRPr="00F359F7" w:rsidRDefault="005E690D" w:rsidP="00073ADF">
      <w:pPr>
        <w:pStyle w:val="ListParagraph"/>
      </w:pPr>
      <w:r w:rsidRPr="00F359F7">
        <w:t>Josef Zboril</w:t>
      </w:r>
    </w:p>
    <w:p w:rsidR="005E690D" w:rsidRPr="00F359F7" w:rsidRDefault="003B200D" w:rsidP="00073ADF">
      <w:pPr>
        <w:pStyle w:val="ListParagraph"/>
      </w:pPr>
      <w:r w:rsidRPr="00F359F7">
        <w:t>Linas Lasiauskas</w:t>
      </w:r>
    </w:p>
    <w:p w:rsidR="00046A52" w:rsidRPr="00F359F7" w:rsidRDefault="003B200D" w:rsidP="00073ADF">
      <w:pPr>
        <w:pStyle w:val="ListParagraph"/>
      </w:pPr>
      <w:r w:rsidRPr="00F359F7">
        <w:t>Gonçalo Lobo Xavier</w:t>
      </w:r>
    </w:p>
    <w:p w:rsidR="00046A52" w:rsidRPr="00F359F7" w:rsidRDefault="003B200D" w:rsidP="00073ADF">
      <w:pPr>
        <w:pStyle w:val="ListParagraph"/>
      </w:pPr>
      <w:r w:rsidRPr="00F359F7">
        <w:t>Cillian Lohan</w:t>
      </w:r>
    </w:p>
    <w:p w:rsidR="005E690D" w:rsidRPr="00F359F7" w:rsidRDefault="003B200D" w:rsidP="00073ADF">
      <w:pPr>
        <w:pStyle w:val="ListParagraph"/>
      </w:pPr>
      <w:r w:rsidRPr="00F359F7">
        <w:t>Vladimir Novotný</w:t>
      </w:r>
    </w:p>
    <w:p w:rsidR="00046A52" w:rsidRPr="00F359F7" w:rsidRDefault="003B200D" w:rsidP="00073ADF">
      <w:pPr>
        <w:pStyle w:val="ListParagraph"/>
      </w:pPr>
      <w:r w:rsidRPr="00F359F7">
        <w:t>Jorge Pegado Liz</w:t>
      </w:r>
    </w:p>
    <w:p w:rsidR="00046A52" w:rsidRPr="00F359F7" w:rsidRDefault="003B200D" w:rsidP="00073ADF">
      <w:pPr>
        <w:pStyle w:val="ListParagraph"/>
      </w:pPr>
      <w:r w:rsidRPr="00F359F7">
        <w:t>Aurel Laurentiu Plosceanu</w:t>
      </w:r>
    </w:p>
    <w:p w:rsidR="005E690D" w:rsidRPr="00F359F7" w:rsidRDefault="003B200D" w:rsidP="00073ADF">
      <w:pPr>
        <w:pStyle w:val="ListParagraph"/>
      </w:pPr>
      <w:r w:rsidRPr="00F359F7">
        <w:t>Ion Pop</w:t>
      </w:r>
    </w:p>
    <w:p w:rsidR="005E690D" w:rsidRPr="00F359F7" w:rsidRDefault="005E690D" w:rsidP="00073ADF">
      <w:pPr>
        <w:pStyle w:val="ListParagraph"/>
      </w:pPr>
      <w:r w:rsidRPr="00F359F7">
        <w:t>Renata Eisenvortova</w:t>
      </w:r>
    </w:p>
    <w:p w:rsidR="00046A52" w:rsidRPr="00F359F7" w:rsidRDefault="003B200D" w:rsidP="00073ADF">
      <w:pPr>
        <w:pStyle w:val="ListParagraph"/>
      </w:pPr>
      <w:r w:rsidRPr="00F359F7">
        <w:t>Przemyslaw Rzepecki</w:t>
      </w:r>
    </w:p>
    <w:p w:rsidR="005E690D" w:rsidRPr="00F359F7" w:rsidRDefault="005E690D" w:rsidP="00073ADF">
      <w:pPr>
        <w:pStyle w:val="ListParagraph"/>
      </w:pPr>
      <w:r w:rsidRPr="00F359F7">
        <w:t>Sauli Vantti</w:t>
      </w:r>
    </w:p>
    <w:p w:rsidR="005E690D" w:rsidRPr="00F359F7" w:rsidRDefault="005E690D" w:rsidP="00073ADF">
      <w:pPr>
        <w:pStyle w:val="ListParagraph"/>
      </w:pPr>
      <w:r w:rsidRPr="00F359F7">
        <w:t>Seamus Boland</w:t>
      </w:r>
    </w:p>
    <w:p w:rsidR="005E690D" w:rsidRPr="00F359F7" w:rsidRDefault="005E690D" w:rsidP="00073ADF">
      <w:pPr>
        <w:pStyle w:val="ListParagraph"/>
      </w:pPr>
      <w:r w:rsidRPr="00F359F7">
        <w:t>Thomas Palmgren</w:t>
      </w:r>
    </w:p>
    <w:p w:rsidR="005E690D" w:rsidRPr="00F359F7" w:rsidRDefault="005E690D" w:rsidP="00073ADF">
      <w:pPr>
        <w:pStyle w:val="ListParagraph"/>
      </w:pPr>
      <w:r w:rsidRPr="00F359F7">
        <w:t>Víctor Fernández Vázquez</w:t>
      </w:r>
    </w:p>
    <w:p w:rsidR="00046A52" w:rsidRPr="00F359F7" w:rsidRDefault="003B200D" w:rsidP="00073ADF">
      <w:pPr>
        <w:pStyle w:val="ListParagraph"/>
      </w:pPr>
      <w:r w:rsidRPr="00F359F7">
        <w:t>Anastasis Yiapanis</w:t>
      </w:r>
    </w:p>
    <w:p w:rsidR="00FC0AA4" w:rsidRPr="00F359F7" w:rsidRDefault="00FC0AA4" w:rsidP="00073ADF"/>
    <w:p w:rsidR="00FC0AA4" w:rsidRPr="00F359F7" w:rsidRDefault="000F4718" w:rsidP="00073ADF">
      <w:pPr>
        <w:pStyle w:val="ListParagraph"/>
        <w:jc w:val="center"/>
      </w:pPr>
      <w:r w:rsidRPr="00F359F7">
        <w:t>______________</w:t>
      </w:r>
    </w:p>
    <w:sectPr w:rsidR="00FC0AA4" w:rsidRPr="00F359F7" w:rsidSect="000F4718">
      <w:footerReference w:type="defaul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5E" w:rsidRDefault="004F0D5E" w:rsidP="00354641">
      <w:pPr>
        <w:spacing w:line="240" w:lineRule="auto"/>
      </w:pPr>
      <w:r>
        <w:separator/>
      </w:r>
    </w:p>
  </w:endnote>
  <w:endnote w:type="continuationSeparator" w:id="0">
    <w:p w:rsidR="004F0D5E" w:rsidRDefault="004F0D5E" w:rsidP="00354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45" w:rsidRPr="000F4718" w:rsidRDefault="000B35BF" w:rsidP="000F4718">
    <w:pPr>
      <w:pStyle w:val="Footer"/>
    </w:pPr>
    <w:r>
      <w:t xml:space="preserve">EESC-2017-00099-00-00-TCD-TRA (EN) </w:t>
    </w:r>
    <w:r>
      <w:fldChar w:fldCharType="begin"/>
    </w:r>
    <w:r>
      <w:instrText xml:space="preserve"> PAGE  \* Arabic  \* MERGEFORMAT </w:instrText>
    </w:r>
    <w:r>
      <w:fldChar w:fldCharType="separate"/>
    </w:r>
    <w:r w:rsidR="00666FAE">
      <w:rPr>
        <w:noProof/>
      </w:rPr>
      <w:t>1</w:t>
    </w:r>
    <w:r>
      <w:fldChar w:fldCharType="end"/>
    </w:r>
    <w:r>
      <w:t>/</w:t>
    </w:r>
    <w:r>
      <w:fldChar w:fldCharType="begin"/>
    </w:r>
    <w:r>
      <w:instrText xml:space="preserve"> = </w:instrText>
    </w:r>
    <w:r w:rsidR="00666FAE">
      <w:fldChar w:fldCharType="begin"/>
    </w:r>
    <w:r w:rsidR="00666FAE">
      <w:instrText xml:space="preserve"> NUMPAGES </w:instrText>
    </w:r>
    <w:r w:rsidR="00666FAE">
      <w:fldChar w:fldCharType="separate"/>
    </w:r>
    <w:r w:rsidR="00666FAE">
      <w:rPr>
        <w:noProof/>
      </w:rPr>
      <w:instrText>7</w:instrText>
    </w:r>
    <w:r w:rsidR="00666FAE">
      <w:rPr>
        <w:noProof/>
      </w:rPr>
      <w:fldChar w:fldCharType="end"/>
    </w:r>
    <w:r>
      <w:instrText xml:space="preserve"> </w:instrText>
    </w:r>
    <w:r>
      <w:fldChar w:fldCharType="separate"/>
    </w:r>
    <w:r w:rsidR="00666FAE">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5E" w:rsidRDefault="004F0D5E" w:rsidP="00354641">
      <w:pPr>
        <w:spacing w:line="240" w:lineRule="auto"/>
      </w:pPr>
      <w:r>
        <w:separator/>
      </w:r>
    </w:p>
  </w:footnote>
  <w:footnote w:type="continuationSeparator" w:id="0">
    <w:p w:rsidR="004F0D5E" w:rsidRDefault="004F0D5E" w:rsidP="003546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962636"/>
    <w:multiLevelType w:val="hybridMultilevel"/>
    <w:tmpl w:val="5D5E7504"/>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D23558"/>
    <w:multiLevelType w:val="hybridMultilevel"/>
    <w:tmpl w:val="3AEE309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61343"/>
    <w:multiLevelType w:val="hybridMultilevel"/>
    <w:tmpl w:val="57B0928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033571"/>
    <w:multiLevelType w:val="hybridMultilevel"/>
    <w:tmpl w:val="03704E46"/>
    <w:lvl w:ilvl="0" w:tplc="4CF48F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14F8E"/>
    <w:multiLevelType w:val="hybridMultilevel"/>
    <w:tmpl w:val="8A06893A"/>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9DA6501"/>
    <w:multiLevelType w:val="hybridMultilevel"/>
    <w:tmpl w:val="29E0FAF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955F84"/>
    <w:multiLevelType w:val="hybridMultilevel"/>
    <w:tmpl w:val="334EBE6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DE1B99"/>
    <w:multiLevelType w:val="hybridMultilevel"/>
    <w:tmpl w:val="0B12EFE2"/>
    <w:lvl w:ilvl="0" w:tplc="0C2677D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2FC3191"/>
    <w:multiLevelType w:val="hybridMultilevel"/>
    <w:tmpl w:val="8E189E0E"/>
    <w:lvl w:ilvl="0" w:tplc="EF02DA5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EDB20A8"/>
    <w:multiLevelType w:val="hybridMultilevel"/>
    <w:tmpl w:val="C388B044"/>
    <w:lvl w:ilvl="0" w:tplc="0809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013575E"/>
    <w:multiLevelType w:val="hybridMultilevel"/>
    <w:tmpl w:val="058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E6BE5"/>
    <w:multiLevelType w:val="hybridMultilevel"/>
    <w:tmpl w:val="F85C732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ED32E08"/>
    <w:multiLevelType w:val="hybridMultilevel"/>
    <w:tmpl w:val="26D2C292"/>
    <w:lvl w:ilvl="0" w:tplc="0809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5F1A2C28"/>
    <w:multiLevelType w:val="hybridMultilevel"/>
    <w:tmpl w:val="5BF2E94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1E6E40"/>
    <w:multiLevelType w:val="hybridMultilevel"/>
    <w:tmpl w:val="BFCA2B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0A1A9B"/>
    <w:multiLevelType w:val="hybridMultilevel"/>
    <w:tmpl w:val="DE309C2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3B576A"/>
    <w:multiLevelType w:val="hybridMultilevel"/>
    <w:tmpl w:val="1B9A4AE6"/>
    <w:lvl w:ilvl="0" w:tplc="F01ADFAC">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31F4129"/>
    <w:multiLevelType w:val="hybridMultilevel"/>
    <w:tmpl w:val="E8DCFF7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10EDF"/>
    <w:multiLevelType w:val="hybridMultilevel"/>
    <w:tmpl w:val="556EF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62"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2"/>
  </w:num>
  <w:num w:numId="4">
    <w:abstractNumId w:val="11"/>
  </w:num>
  <w:num w:numId="5">
    <w:abstractNumId w:val="17"/>
  </w:num>
  <w:num w:numId="6">
    <w:abstractNumId w:val="10"/>
  </w:num>
  <w:num w:numId="7">
    <w:abstractNumId w:val="13"/>
  </w:num>
  <w:num w:numId="8">
    <w:abstractNumId w:val="3"/>
  </w:num>
  <w:num w:numId="9">
    <w:abstractNumId w:val="14"/>
  </w:num>
  <w:num w:numId="10">
    <w:abstractNumId w:val="7"/>
  </w:num>
  <w:num w:numId="11">
    <w:abstractNumId w:val="6"/>
  </w:num>
  <w:num w:numId="12">
    <w:abstractNumId w:val="16"/>
  </w:num>
  <w:num w:numId="13">
    <w:abstractNumId w:val="2"/>
  </w:num>
  <w:num w:numId="14">
    <w:abstractNumId w:val="15"/>
  </w:num>
  <w:num w:numId="15">
    <w:abstractNumId w:val="5"/>
  </w:num>
  <w:num w:numId="16">
    <w:abstractNumId w:val="9"/>
  </w:num>
  <w:num w:numId="17">
    <w:abstractNumId w:val="1"/>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3F"/>
    <w:rsid w:val="00046A52"/>
    <w:rsid w:val="00047F95"/>
    <w:rsid w:val="00073ADF"/>
    <w:rsid w:val="000778E9"/>
    <w:rsid w:val="00080C01"/>
    <w:rsid w:val="00096A3F"/>
    <w:rsid w:val="000B35BF"/>
    <w:rsid w:val="000F4718"/>
    <w:rsid w:val="00131417"/>
    <w:rsid w:val="00170660"/>
    <w:rsid w:val="001B5D4B"/>
    <w:rsid w:val="001E0D05"/>
    <w:rsid w:val="001F72A0"/>
    <w:rsid w:val="00217CFD"/>
    <w:rsid w:val="00283C63"/>
    <w:rsid w:val="0028521C"/>
    <w:rsid w:val="002908B8"/>
    <w:rsid w:val="002B324E"/>
    <w:rsid w:val="00325AD9"/>
    <w:rsid w:val="00354641"/>
    <w:rsid w:val="003A552F"/>
    <w:rsid w:val="003B200D"/>
    <w:rsid w:val="003C3EEF"/>
    <w:rsid w:val="003F2495"/>
    <w:rsid w:val="004F0D5E"/>
    <w:rsid w:val="004F4E7F"/>
    <w:rsid w:val="004F7502"/>
    <w:rsid w:val="005636C0"/>
    <w:rsid w:val="00575D38"/>
    <w:rsid w:val="005E690D"/>
    <w:rsid w:val="00621F9D"/>
    <w:rsid w:val="00666FAE"/>
    <w:rsid w:val="00695100"/>
    <w:rsid w:val="006F1CF3"/>
    <w:rsid w:val="00705A1C"/>
    <w:rsid w:val="00724501"/>
    <w:rsid w:val="00736574"/>
    <w:rsid w:val="00774BEA"/>
    <w:rsid w:val="0078783F"/>
    <w:rsid w:val="007A22F0"/>
    <w:rsid w:val="007C29C6"/>
    <w:rsid w:val="007D6064"/>
    <w:rsid w:val="007E48D7"/>
    <w:rsid w:val="007F145F"/>
    <w:rsid w:val="008140E8"/>
    <w:rsid w:val="0082543C"/>
    <w:rsid w:val="00853878"/>
    <w:rsid w:val="00865DFC"/>
    <w:rsid w:val="00882D96"/>
    <w:rsid w:val="008C157C"/>
    <w:rsid w:val="008E4133"/>
    <w:rsid w:val="008F52A7"/>
    <w:rsid w:val="00911E04"/>
    <w:rsid w:val="009138FB"/>
    <w:rsid w:val="009D3396"/>
    <w:rsid w:val="00A40C74"/>
    <w:rsid w:val="00A55DBB"/>
    <w:rsid w:val="00A63B3D"/>
    <w:rsid w:val="00A751A3"/>
    <w:rsid w:val="00B16689"/>
    <w:rsid w:val="00B770E3"/>
    <w:rsid w:val="00BC5304"/>
    <w:rsid w:val="00BC7D91"/>
    <w:rsid w:val="00C46EF5"/>
    <w:rsid w:val="00CC3F42"/>
    <w:rsid w:val="00D06963"/>
    <w:rsid w:val="00D07B02"/>
    <w:rsid w:val="00DD06D1"/>
    <w:rsid w:val="00E22EDD"/>
    <w:rsid w:val="00E27FA6"/>
    <w:rsid w:val="00E40E46"/>
    <w:rsid w:val="00E717EB"/>
    <w:rsid w:val="00E828E2"/>
    <w:rsid w:val="00E841CE"/>
    <w:rsid w:val="00E912BE"/>
    <w:rsid w:val="00F0002A"/>
    <w:rsid w:val="00F07370"/>
    <w:rsid w:val="00F21C9F"/>
    <w:rsid w:val="00F359F7"/>
    <w:rsid w:val="00F63345"/>
    <w:rsid w:val="00F8060C"/>
    <w:rsid w:val="00F8502D"/>
    <w:rsid w:val="00FC0AA4"/>
    <w:rsid w:val="00FF33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bg-BG"/>
    </w:rPr>
  </w:style>
  <w:style w:type="character" w:customStyle="1" w:styleId="Heading2Char">
    <w:name w:val="Heading 2 Char"/>
    <w:basedOn w:val="DefaultParagraphFont"/>
    <w:link w:val="Heading2"/>
    <w:rsid w:val="002B324E"/>
    <w:rPr>
      <w:rFonts w:ascii="Times New Roman" w:eastAsia="Times New Roman" w:hAnsi="Times New Roman" w:cs="Times New Roman"/>
      <w:lang w:val="bg-BG"/>
    </w:rPr>
  </w:style>
  <w:style w:type="character" w:customStyle="1" w:styleId="Heading3Char">
    <w:name w:val="Heading 3 Char"/>
    <w:basedOn w:val="DefaultParagraphFont"/>
    <w:link w:val="Heading3"/>
    <w:rsid w:val="002B324E"/>
    <w:rPr>
      <w:rFonts w:ascii="Times New Roman" w:eastAsia="Times New Roman" w:hAnsi="Times New Roman" w:cs="Times New Roman"/>
      <w:lang w:val="bg-BG"/>
    </w:rPr>
  </w:style>
  <w:style w:type="character" w:customStyle="1" w:styleId="Heading4Char">
    <w:name w:val="Heading 4 Char"/>
    <w:basedOn w:val="DefaultParagraphFont"/>
    <w:link w:val="Heading4"/>
    <w:rsid w:val="002B324E"/>
    <w:rPr>
      <w:rFonts w:ascii="Times New Roman" w:eastAsia="Times New Roman" w:hAnsi="Times New Roman" w:cs="Times New Roman"/>
      <w:lang w:val="bg-BG"/>
    </w:rPr>
  </w:style>
  <w:style w:type="character" w:customStyle="1" w:styleId="Heading5Char">
    <w:name w:val="Heading 5 Char"/>
    <w:basedOn w:val="DefaultParagraphFont"/>
    <w:link w:val="Heading5"/>
    <w:rsid w:val="002B324E"/>
    <w:rPr>
      <w:rFonts w:ascii="Times New Roman" w:eastAsia="Times New Roman" w:hAnsi="Times New Roman" w:cs="Times New Roman"/>
      <w:lang w:val="bg-BG"/>
    </w:rPr>
  </w:style>
  <w:style w:type="character" w:customStyle="1" w:styleId="Heading6Char">
    <w:name w:val="Heading 6 Char"/>
    <w:basedOn w:val="DefaultParagraphFont"/>
    <w:link w:val="Heading6"/>
    <w:rsid w:val="002B324E"/>
    <w:rPr>
      <w:rFonts w:ascii="Times New Roman" w:eastAsia="Times New Roman" w:hAnsi="Times New Roman" w:cs="Times New Roman"/>
      <w:lang w:val="bg-BG"/>
    </w:rPr>
  </w:style>
  <w:style w:type="character" w:customStyle="1" w:styleId="Heading7Char">
    <w:name w:val="Heading 7 Char"/>
    <w:basedOn w:val="DefaultParagraphFont"/>
    <w:link w:val="Heading7"/>
    <w:rsid w:val="002B324E"/>
    <w:rPr>
      <w:rFonts w:ascii="Times New Roman" w:eastAsia="Times New Roman" w:hAnsi="Times New Roman" w:cs="Times New Roman"/>
      <w:lang w:val="bg-BG"/>
    </w:rPr>
  </w:style>
  <w:style w:type="character" w:customStyle="1" w:styleId="Heading8Char">
    <w:name w:val="Heading 8 Char"/>
    <w:basedOn w:val="DefaultParagraphFont"/>
    <w:link w:val="Heading8"/>
    <w:rsid w:val="002B324E"/>
    <w:rPr>
      <w:rFonts w:ascii="Times New Roman" w:eastAsia="Times New Roman" w:hAnsi="Times New Roman" w:cs="Times New Roman"/>
      <w:lang w:val="bg-BG"/>
    </w:rPr>
  </w:style>
  <w:style w:type="character" w:customStyle="1" w:styleId="Heading9Char">
    <w:name w:val="Heading 9 Char"/>
    <w:basedOn w:val="DefaultParagraphFont"/>
    <w:link w:val="Heading9"/>
    <w:rsid w:val="002B324E"/>
    <w:rPr>
      <w:rFonts w:ascii="Times New Roman" w:eastAsia="Times New Roman" w:hAnsi="Times New Roman" w:cs="Times New Roman"/>
      <w:lang w:val="bg-BG"/>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bg-BG"/>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bg-BG"/>
    </w:rPr>
  </w:style>
  <w:style w:type="character" w:customStyle="1" w:styleId="Heading2Char">
    <w:name w:val="Heading 2 Char"/>
    <w:basedOn w:val="DefaultParagraphFont"/>
    <w:link w:val="Heading2"/>
    <w:rsid w:val="002B324E"/>
    <w:rPr>
      <w:rFonts w:ascii="Times New Roman" w:eastAsia="Times New Roman" w:hAnsi="Times New Roman" w:cs="Times New Roman"/>
      <w:lang w:val="bg-BG"/>
    </w:rPr>
  </w:style>
  <w:style w:type="character" w:customStyle="1" w:styleId="Heading3Char">
    <w:name w:val="Heading 3 Char"/>
    <w:basedOn w:val="DefaultParagraphFont"/>
    <w:link w:val="Heading3"/>
    <w:rsid w:val="002B324E"/>
    <w:rPr>
      <w:rFonts w:ascii="Times New Roman" w:eastAsia="Times New Roman" w:hAnsi="Times New Roman" w:cs="Times New Roman"/>
      <w:lang w:val="bg-BG"/>
    </w:rPr>
  </w:style>
  <w:style w:type="character" w:customStyle="1" w:styleId="Heading4Char">
    <w:name w:val="Heading 4 Char"/>
    <w:basedOn w:val="DefaultParagraphFont"/>
    <w:link w:val="Heading4"/>
    <w:rsid w:val="002B324E"/>
    <w:rPr>
      <w:rFonts w:ascii="Times New Roman" w:eastAsia="Times New Roman" w:hAnsi="Times New Roman" w:cs="Times New Roman"/>
      <w:lang w:val="bg-BG"/>
    </w:rPr>
  </w:style>
  <w:style w:type="character" w:customStyle="1" w:styleId="Heading5Char">
    <w:name w:val="Heading 5 Char"/>
    <w:basedOn w:val="DefaultParagraphFont"/>
    <w:link w:val="Heading5"/>
    <w:rsid w:val="002B324E"/>
    <w:rPr>
      <w:rFonts w:ascii="Times New Roman" w:eastAsia="Times New Roman" w:hAnsi="Times New Roman" w:cs="Times New Roman"/>
      <w:lang w:val="bg-BG"/>
    </w:rPr>
  </w:style>
  <w:style w:type="character" w:customStyle="1" w:styleId="Heading6Char">
    <w:name w:val="Heading 6 Char"/>
    <w:basedOn w:val="DefaultParagraphFont"/>
    <w:link w:val="Heading6"/>
    <w:rsid w:val="002B324E"/>
    <w:rPr>
      <w:rFonts w:ascii="Times New Roman" w:eastAsia="Times New Roman" w:hAnsi="Times New Roman" w:cs="Times New Roman"/>
      <w:lang w:val="bg-BG"/>
    </w:rPr>
  </w:style>
  <w:style w:type="character" w:customStyle="1" w:styleId="Heading7Char">
    <w:name w:val="Heading 7 Char"/>
    <w:basedOn w:val="DefaultParagraphFont"/>
    <w:link w:val="Heading7"/>
    <w:rsid w:val="002B324E"/>
    <w:rPr>
      <w:rFonts w:ascii="Times New Roman" w:eastAsia="Times New Roman" w:hAnsi="Times New Roman" w:cs="Times New Roman"/>
      <w:lang w:val="bg-BG"/>
    </w:rPr>
  </w:style>
  <w:style w:type="character" w:customStyle="1" w:styleId="Heading8Char">
    <w:name w:val="Heading 8 Char"/>
    <w:basedOn w:val="DefaultParagraphFont"/>
    <w:link w:val="Heading8"/>
    <w:rsid w:val="002B324E"/>
    <w:rPr>
      <w:rFonts w:ascii="Times New Roman" w:eastAsia="Times New Roman" w:hAnsi="Times New Roman" w:cs="Times New Roman"/>
      <w:lang w:val="bg-BG"/>
    </w:rPr>
  </w:style>
  <w:style w:type="character" w:customStyle="1" w:styleId="Heading9Char">
    <w:name w:val="Heading 9 Char"/>
    <w:basedOn w:val="DefaultParagraphFont"/>
    <w:link w:val="Heading9"/>
    <w:rsid w:val="002B324E"/>
    <w:rPr>
      <w:rFonts w:ascii="Times New Roman" w:eastAsia="Times New Roman" w:hAnsi="Times New Roman" w:cs="Times New Roman"/>
      <w:lang w:val="bg-BG"/>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bg-BG"/>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WTPCSN73YJ26-3-12506</_dlc_DocId>
    <_dlc_DocIdUrl xmlns="8a3471f6-0f36-4ccf-b5ee-1ca67ea797ef">
      <Url>http://dm/EESC/2017/_layouts/DocIdRedir.aspx?ID=WTPCSN73YJ26-3-12506</Url>
      <Description>WTPCSN73YJ26-3-12506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2017-06-27T12:00:00+00:00</ProductionDate>
    <DocumentNumber xmlns="08752a15-b0a7-485d-8352-b47b34a09caa">99</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2017-01-30T12:00:00+00:00</MeetingDate>
    <TaxCatchAll xmlns="8a3471f6-0f36-4ccf-b5ee-1ca67ea797ef">
      <Value>86</Value>
      <Value>38</Value>
      <Value>37</Value>
      <Value>36</Value>
      <Value>35</Value>
      <Value>34</Value>
      <Value>33</Value>
      <Value>32</Value>
      <Value>31</Value>
      <Value>30</Value>
      <Value>29</Value>
      <Value>28</Value>
      <Value>27</Value>
      <Value>26</Value>
      <Value>25</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237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CCMI</TermName>
          <TermId xmlns="http://schemas.microsoft.com/office/infopath/2007/PartnerControls">5795ccfc-ebb7-4e2d-a45e-09a8301b3a5c</TermId>
        </TermInfo>
      </Terms>
    </MeetingName_0>
    <RequestingService xmlns="8a3471f6-0f36-4ccf-b5ee-1ca67ea797ef">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25724-1B53-4CBE-944E-38E4A0ED27C2}">
  <ds:schemaRefs>
    <ds:schemaRef ds:uri="http://schemas.microsoft.com/sharepoint/events"/>
  </ds:schemaRefs>
</ds:datastoreItem>
</file>

<file path=customXml/itemProps2.xml><?xml version="1.0" encoding="utf-8"?>
<ds:datastoreItem xmlns:ds="http://schemas.openxmlformats.org/officeDocument/2006/customXml" ds:itemID="{CD190CC6-85F9-4548-926D-30CA56DA77B7}">
  <ds:schemaRefs>
    <ds:schemaRef ds:uri="http://schemas.microsoft.com/sharepoint/v3/contenttype/forms"/>
  </ds:schemaRefs>
</ds:datastoreItem>
</file>

<file path=customXml/itemProps3.xml><?xml version="1.0" encoding="utf-8"?>
<ds:datastoreItem xmlns:ds="http://schemas.openxmlformats.org/officeDocument/2006/customXml" ds:itemID="{B98360DD-4475-4172-909E-4C0824E608DF}">
  <ds:schemaRefs>
    <ds:schemaRef ds:uri="http://schemas.microsoft.com/office/2006/documentManagement/types"/>
    <ds:schemaRef ds:uri="http://purl.org/dc/dcmitype/"/>
    <ds:schemaRef ds:uri="8a3471f6-0f36-4ccf-b5ee-1ca67ea797ef"/>
    <ds:schemaRef ds:uri="http://purl.org/dc/elements/1.1/"/>
    <ds:schemaRef ds:uri="http://www.w3.org/XML/1998/namespace"/>
    <ds:schemaRef ds:uri="http://schemas.openxmlformats.org/package/2006/metadata/core-properties"/>
    <ds:schemaRef ds:uri="http://schemas.microsoft.com/sharepoint/v3/fields"/>
    <ds:schemaRef ds:uri="http://purl.org/dc/terms/"/>
    <ds:schemaRef ds:uri="http://schemas.microsoft.com/office/infopath/2007/PartnerControls"/>
    <ds:schemaRef ds:uri="08752a15-b0a7-485d-8352-b47b34a09caa"/>
    <ds:schemaRef ds:uri="http://schemas.microsoft.com/office/2006/metadata/properties"/>
  </ds:schemaRefs>
</ds:datastoreItem>
</file>

<file path=customXml/itemProps4.xml><?xml version="1.0" encoding="utf-8"?>
<ds:datastoreItem xmlns:ds="http://schemas.openxmlformats.org/officeDocument/2006/customXml" ds:itemID="{3C2120F3-0AD1-4B5C-B30D-656EC5CD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7</Pages>
  <Words>2414</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Консолидиран доклад на кръглите маси на CCMI относно стратегическото осъществяване на партньорството на ЕС за иновации в областта на суровините 2015-2016 г.</vt:lpstr>
    </vt:vector>
  </TitlesOfParts>
  <Company>CESE-CdR</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Консолидиран доклад на кръглите маси на CCMI относно стратегическото осъществяване на партньорството на ЕС за иновации в областта на суровините 2015-2016 г.</dc:title>
  <dc:subject>Консултативни дейности, Разни</dc:subject>
  <dc:creator>Kyriaki Anastasaki</dc:creator>
  <cp:keywords>EESC-2017-00099-00-00-TCD-TRA-BG</cp:keywords>
  <dc:description>Rapporteur: -_x000d_
Original language: EN_x000d_
Date of document: 27/06/2017_x000d_
Date of meeting: 30/01/2017_x000d_
External documents: -_x000d_
Administrator responsible: Hick Alan, telephone: +32 (0)2 546 9302_x000d_
_x000d_
Abstract:</dc:description>
  <cp:lastModifiedBy>Kyriaki Anastasaki</cp:lastModifiedBy>
  <cp:revision>2</cp:revision>
  <cp:lastPrinted>2017-01-19T11:43:00Z</cp:lastPrinted>
  <dcterms:created xsi:type="dcterms:W3CDTF">2017-07-03T06:30:00Z</dcterms:created>
  <dcterms:modified xsi:type="dcterms:W3CDTF">2017-07-03T06:30:00Z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20/01/2017</vt:lpwstr>
  </property>
  <property fmtid="{D5CDD505-2E9C-101B-9397-08002B2CF9AE}" pid="4" name="Pref_Time">
    <vt:lpwstr>09:42:40</vt:lpwstr>
  </property>
  <property fmtid="{D5CDD505-2E9C-101B-9397-08002B2CF9AE}" pid="5" name="Pref_User">
    <vt:lpwstr>enied</vt:lpwstr>
  </property>
  <property fmtid="{D5CDD505-2E9C-101B-9397-08002B2CF9AE}" pid="6" name="Pref_FileName">
    <vt:lpwstr>EESC-2017-00099-00-00-TCD-TRA-EN-CRR.docx</vt:lpwstr>
  </property>
  <property fmtid="{D5CDD505-2E9C-101B-9397-08002B2CF9AE}" pid="7" name="ContentTypeId">
    <vt:lpwstr>0x010100EA97B91038054C99906057A708A1480A00366332C33BA7D34CB4DCF73B0F12F076</vt:lpwstr>
  </property>
  <property fmtid="{D5CDD505-2E9C-101B-9397-08002B2CF9AE}" pid="8" name="_dlc_DocIdItemGuid">
    <vt:lpwstr>86cc0d0c-8585-4d50-b10d-0d34937b9767</vt:lpwstr>
  </property>
  <property fmtid="{D5CDD505-2E9C-101B-9397-08002B2CF9AE}" pid="9" name="DocumentType_0">
    <vt:lpwstr>TCD|cd9d6eb6-3f4f-424a-b2d1-57c9d450eaaf</vt:lpwstr>
  </property>
  <property fmtid="{D5CDD505-2E9C-101B-9397-08002B2CF9AE}" pid="10" name="AvailableTranslations">
    <vt:lpwstr>22;#IT|0774613c-01ed-4e5d-a25d-11d2388de825;#34;#SK|46d9fce0-ef79-4f71-b89b-cd6aa82426b8;#36;#BG|1a1b3951-7821-4e6a-85f5-5673fc08bd2c;#24;#EL|6d4f4d51-af9b-4650-94b4-4276bee85c91;#25;#FI|87606a43-d45f-42d6-b8c9-e1a3457db5b7;#4;#EN|f2175f21-25d7-44a3-96da-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99</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CCMI|5795ccfc-ebb7-4e2d-a45e-09a8301b3a5c</vt:lpwstr>
  </property>
  <property fmtid="{D5CDD505-2E9C-101B-9397-08002B2CF9AE}" pid="25" name="OriginalLanguage">
    <vt:lpwstr>4;#EN|f2175f21-25d7-44a3-96da-d6a61b075e1b</vt:lpwstr>
  </property>
  <property fmtid="{D5CDD505-2E9C-101B-9397-08002B2CF9AE}" pid="26" name="MeetingName">
    <vt:lpwstr>86;#CCMI|5795ccfc-ebb7-4e2d-a45e-09a8301b3a5c</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2017-01-30T12:00:00Z</vt:filetime>
  </property>
  <property fmtid="{D5CDD505-2E9C-101B-9397-08002B2CF9AE}" pid="30" name="TaxCatchAll">
    <vt:lpwstr>86;#CCMI|5795ccfc-ebb7-4e2d-a45e-09a8301b3a5c;#38;#HR|2f555653-ed1a-4fe6-8362-9082d95989e5;#37;#RO|feb747a2-64cd-4299-af12-4833ddc30497;#35;#SL|98a412ae-eb01-49e9-ae3d-585a81724cfc;#34;#SK|46d9fce0-ef79-4f71-b89b-cd6aa82426b8;#32;#MT|7df99101-6854-4a26-b5</vt:lpwstr>
  </property>
  <property fmtid="{D5CDD505-2E9C-101B-9397-08002B2CF9AE}" pid="31" name="AvailableTranslations_0">
    <vt:lpwstr>SK|46d9fce0-ef79-4f71-b89b-cd6aa82426b8;EL|6d4f4d51-af9b-4650-94b4-4276bee85c91;FI|87606a43-d45f-42d6-b8c9-e1a3457db5b7;EN|f2175f21-25d7-44a3-96da-d6a61b075e1b;DE|f6b31e5a-26fa-4935-b661-318e46daf27e;SL|98a412ae-eb01-49e9-ae3d-585a81724cfc;RO|feb747a2-64c</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237</vt:i4>
  </property>
  <property fmtid="{D5CDD505-2E9C-101B-9397-08002B2CF9AE}" pid="35" name="DocumentYear">
    <vt:i4>2017</vt:i4>
  </property>
  <property fmtid="{D5CDD505-2E9C-101B-9397-08002B2CF9AE}" pid="36" name="DocumentLanguage">
    <vt:lpwstr>36;#BG|1a1b3951-7821-4e6a-85f5-5673fc08bd2c</vt:lpwstr>
  </property>
</Properties>
</file>