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1286" w14:textId="77777777" w:rsidR="008405A0" w:rsidRPr="00B31A92" w:rsidRDefault="0038799C" w:rsidP="00673BA2">
      <w:pPr>
        <w:snapToGrid w:val="0"/>
        <w:jc w:val="center"/>
      </w:pPr>
      <w:bookmarkStart w:id="0" w:name="_GoBack"/>
      <w:bookmarkEnd w:id="0"/>
      <w:r w:rsidRPr="00B31A92">
        <w:rPr>
          <w:noProof/>
          <w:lang w:val="fr-FR" w:eastAsia="fr-FR"/>
        </w:rPr>
        <w:drawing>
          <wp:inline distT="0" distB="0" distL="0" distR="0" wp14:anchorId="56631570" wp14:editId="5663157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B31A92">
        <w:rPr>
          <w:noProof/>
          <w:lang w:val="fr-FR" w:eastAsia="fr-FR"/>
        </w:rPr>
        <mc:AlternateContent>
          <mc:Choice Requires="wps">
            <w:drawing>
              <wp:anchor distT="0" distB="0" distL="114300" distR="114300" simplePos="0" relativeHeight="251659264" behindDoc="1" locked="0" layoutInCell="0" allowOverlap="1" wp14:anchorId="56631572" wp14:editId="5663157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3158D" w14:textId="77777777" w:rsidR="006B740F" w:rsidRPr="00673BA2" w:rsidRDefault="006B740F" w:rsidP="00000CE8">
                            <w:pPr>
                              <w:snapToGrid w:val="0"/>
                              <w:jc w:val="center"/>
                              <w:rPr>
                                <w:rFonts w:ascii="Arial" w:hAnsi="Arial" w:cs="Arial"/>
                                <w:b/>
                                <w:sz w:val="48"/>
                              </w:rPr>
                            </w:pPr>
                            <w:r w:rsidRPr="00673BA2">
                              <w:rPr>
                                <w:rFonts w:ascii="Arial" w:hAnsi="Arial"/>
                                <w:b/>
                                <w:noProof/>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14:paraId="5663158D" w14:textId="77777777" w:rsidR="006B740F" w:rsidRPr="00673BA2" w:rsidRDefault="006B740F" w:rsidP="00000CE8">
                      <w:pPr>
                        <w:snapToGrid w:val="0"/>
                        <w:jc w:val="center"/>
                        <w:rPr>
                          <w:rFonts w:ascii="Arial" w:hAnsi="Arial" w:cs="Arial"/>
                          <w:b/>
                          <w:sz w:val="48"/>
                        </w:rPr>
                      </w:pPr>
                      <w:r w:rsidRPr="00673BA2">
                        <w:rPr>
                          <w:rFonts w:ascii="Arial" w:hAnsi="Arial"/>
                          <w:b/>
                          <w:noProof/>
                          <w:sz w:val="48"/>
                        </w:rPr>
                        <w:t>FI</w:t>
                      </w:r>
                    </w:p>
                  </w:txbxContent>
                </v:textbox>
                <w10:wrap anchorx="page" anchory="page"/>
              </v:shape>
            </w:pict>
          </mc:Fallback>
        </mc:AlternateContent>
      </w:r>
    </w:p>
    <w:p w14:paraId="56631287" w14:textId="77777777" w:rsidR="008405A0" w:rsidRPr="00B31A92" w:rsidRDefault="008405A0" w:rsidP="00DC4C1F">
      <w:pPr>
        <w:snapToGrid w:val="0"/>
        <w:jc w:val="center"/>
        <w:rPr>
          <w:rFonts w:ascii="Arial" w:eastAsia="MS Mincho" w:hAnsi="Arial" w:cs="Arial"/>
          <w:b/>
          <w:i/>
          <w:sz w:val="20"/>
        </w:rPr>
      </w:pPr>
      <w:r w:rsidRPr="00B31A92">
        <w:rPr>
          <w:rFonts w:ascii="Arial" w:hAnsi="Arial"/>
          <w:b/>
          <w:i/>
          <w:sz w:val="20"/>
        </w:rPr>
        <w:t>Euroopan talous- ja sosiaalikomitea</w:t>
      </w:r>
    </w:p>
    <w:p w14:paraId="56631288" w14:textId="77777777" w:rsidR="00C7512A" w:rsidRPr="00B31A92" w:rsidRDefault="00C7512A" w:rsidP="00DC4C1F">
      <w:pPr>
        <w:rPr>
          <w:rFonts w:ascii="Arial" w:eastAsia="SimSun" w:hAnsi="Arial" w:cs="Arial"/>
          <w:b/>
          <w:i/>
          <w:sz w:val="20"/>
        </w:rPr>
        <w:sectPr w:rsidR="00C7512A" w:rsidRPr="00B31A92" w:rsidSect="00673BA2">
          <w:footerReference w:type="default" r:id="rId14"/>
          <w:pgSz w:w="11907" w:h="16839" w:code="9"/>
          <w:pgMar w:top="1417" w:right="1417" w:bottom="1417" w:left="1417" w:header="709" w:footer="709" w:gutter="0"/>
          <w:pgNumType w:start="1"/>
          <w:cols w:space="708"/>
          <w:docGrid w:linePitch="360"/>
        </w:sectPr>
      </w:pPr>
    </w:p>
    <w:p w14:paraId="56631289" w14:textId="77777777" w:rsidR="008405A0" w:rsidRPr="00B31A92" w:rsidRDefault="008405A0" w:rsidP="00673BA2">
      <w:pPr>
        <w:snapToGrid w:val="0"/>
      </w:pPr>
    </w:p>
    <w:p w14:paraId="5663128A" w14:textId="77777777" w:rsidR="008405A0" w:rsidRPr="00B31A92" w:rsidRDefault="008405A0" w:rsidP="00673BA2">
      <w:pPr>
        <w:snapToGrid w:val="0"/>
      </w:pPr>
    </w:p>
    <w:p w14:paraId="5663128B" w14:textId="6549ECF4" w:rsidR="008405A0" w:rsidRPr="00B31A92" w:rsidRDefault="008405A0" w:rsidP="00673BA2">
      <w:pPr>
        <w:snapToGrid w:val="0"/>
        <w:jc w:val="right"/>
        <w:rPr>
          <w:rFonts w:eastAsia="MS Mincho"/>
        </w:rPr>
      </w:pPr>
      <w:r w:rsidRPr="00B31A92">
        <w:t xml:space="preserve">Bryssel </w:t>
      </w:r>
      <w:r w:rsidR="00745B4D" w:rsidRPr="00B31A92">
        <w:t>5. tammikuuta 2017</w:t>
      </w:r>
    </w:p>
    <w:p w14:paraId="5663128C" w14:textId="77777777" w:rsidR="00874966" w:rsidRPr="00B31A92" w:rsidRDefault="00874966" w:rsidP="00673BA2">
      <w:pPr>
        <w:snapToGrid w:val="0"/>
      </w:pPr>
    </w:p>
    <w:p w14:paraId="5663128D" w14:textId="77777777" w:rsidR="00874966" w:rsidRPr="00B31A92" w:rsidRDefault="00874966" w:rsidP="00673BA2">
      <w:pPr>
        <w:snapToGrid w:val="0"/>
      </w:pPr>
    </w:p>
    <w:p w14:paraId="5663128E" w14:textId="77777777" w:rsidR="008405A0" w:rsidRPr="00B31A92" w:rsidRDefault="008405A0" w:rsidP="00673BA2">
      <w:pPr>
        <w:snapToGrid w:val="0"/>
      </w:pPr>
    </w:p>
    <w:p w14:paraId="5663128F" w14:textId="77777777" w:rsidR="008405A0" w:rsidRPr="00B31A92" w:rsidRDefault="008405A0" w:rsidP="00673BA2">
      <w:pPr>
        <w:snapToGrid w:val="0"/>
      </w:pPr>
    </w:p>
    <w:tbl>
      <w:tblPr>
        <w:tblW w:w="0" w:type="auto"/>
        <w:tblLayout w:type="fixed"/>
        <w:tblLook w:val="0000" w:firstRow="0" w:lastRow="0" w:firstColumn="0" w:lastColumn="0" w:noHBand="0" w:noVBand="0"/>
      </w:tblPr>
      <w:tblGrid>
        <w:gridCol w:w="9243"/>
      </w:tblGrid>
      <w:tr w:rsidR="008405A0" w:rsidRPr="00B31A92" w14:paraId="56631293" w14:textId="77777777" w:rsidTr="008405A0">
        <w:tc>
          <w:tcPr>
            <w:tcW w:w="9243" w:type="dxa"/>
            <w:tcBorders>
              <w:top w:val="nil"/>
              <w:left w:val="nil"/>
              <w:bottom w:val="double" w:sz="4" w:space="0" w:color="auto"/>
              <w:right w:val="nil"/>
            </w:tcBorders>
          </w:tcPr>
          <w:p w14:paraId="56631290" w14:textId="0F7D6CF4" w:rsidR="008405A0" w:rsidRPr="00B31A92" w:rsidRDefault="0072400C" w:rsidP="00673BA2">
            <w:pPr>
              <w:snapToGrid w:val="0"/>
              <w:jc w:val="center"/>
              <w:rPr>
                <w:rFonts w:eastAsia="MS Mincho"/>
                <w:b/>
                <w:sz w:val="32"/>
              </w:rPr>
            </w:pPr>
            <w:r w:rsidRPr="00B31A92">
              <w:rPr>
                <w:b/>
                <w:sz w:val="32"/>
              </w:rPr>
              <w:t xml:space="preserve">TÄYSISTUNNOSSA </w:t>
            </w:r>
            <w:r w:rsidRPr="00B31A92">
              <w:rPr>
                <w:b/>
                <w:sz w:val="32"/>
              </w:rPr>
              <w:br/>
              <w:t xml:space="preserve"> </w:t>
            </w:r>
            <w:r w:rsidRPr="00B31A92">
              <w:rPr>
                <w:b/>
                <w:sz w:val="32"/>
              </w:rPr>
              <w:br/>
              <w:t>1</w:t>
            </w:r>
            <w:r w:rsidR="00771959" w:rsidRPr="00B31A92">
              <w:rPr>
                <w:b/>
                <w:sz w:val="32"/>
              </w:rPr>
              <w:t>4</w:t>
            </w:r>
            <w:r w:rsidRPr="00B31A92">
              <w:rPr>
                <w:b/>
                <w:sz w:val="32"/>
              </w:rPr>
              <w:t xml:space="preserve">. JA </w:t>
            </w:r>
            <w:r w:rsidR="00771959" w:rsidRPr="00B31A92">
              <w:rPr>
                <w:b/>
                <w:sz w:val="32"/>
              </w:rPr>
              <w:t>15</w:t>
            </w:r>
            <w:r w:rsidRPr="00B31A92">
              <w:rPr>
                <w:b/>
                <w:sz w:val="32"/>
              </w:rPr>
              <w:t xml:space="preserve">. </w:t>
            </w:r>
            <w:r w:rsidR="00771959" w:rsidRPr="00B31A92">
              <w:rPr>
                <w:b/>
                <w:sz w:val="32"/>
              </w:rPr>
              <w:t>JOULU</w:t>
            </w:r>
            <w:r w:rsidRPr="00B31A92">
              <w:rPr>
                <w:b/>
                <w:sz w:val="32"/>
              </w:rPr>
              <w:t xml:space="preserve">KUUTA 2016 </w:t>
            </w:r>
            <w:r w:rsidRPr="00B31A92">
              <w:rPr>
                <w:b/>
                <w:sz w:val="32"/>
              </w:rPr>
              <w:br/>
              <w:t xml:space="preserve"> </w:t>
            </w:r>
            <w:r w:rsidRPr="00B31A92">
              <w:rPr>
                <w:b/>
                <w:sz w:val="32"/>
              </w:rPr>
              <w:br/>
              <w:t>ANNETUT LAUSUNNOT</w:t>
            </w:r>
          </w:p>
          <w:p w14:paraId="56631291" w14:textId="77777777" w:rsidR="008405A0" w:rsidRPr="00B31A92" w:rsidRDefault="008405A0" w:rsidP="00673BA2"/>
          <w:p w14:paraId="56631292" w14:textId="77777777" w:rsidR="008405A0" w:rsidRPr="00B31A92" w:rsidRDefault="008405A0" w:rsidP="00673BA2"/>
        </w:tc>
      </w:tr>
      <w:tr w:rsidR="008405A0" w:rsidRPr="00B31A92" w14:paraId="5663129D" w14:textId="77777777" w:rsidTr="008405A0">
        <w:tc>
          <w:tcPr>
            <w:tcW w:w="9243" w:type="dxa"/>
            <w:tcBorders>
              <w:top w:val="double" w:sz="4" w:space="0" w:color="auto"/>
              <w:left w:val="double" w:sz="4" w:space="0" w:color="auto"/>
              <w:bottom w:val="double" w:sz="4" w:space="0" w:color="auto"/>
              <w:right w:val="double" w:sz="4" w:space="0" w:color="auto"/>
            </w:tcBorders>
          </w:tcPr>
          <w:p w14:paraId="56631294" w14:textId="77777777" w:rsidR="008405A0" w:rsidRPr="00B31A92" w:rsidRDefault="00A31921" w:rsidP="00673BA2">
            <w:pPr>
              <w:snapToGrid w:val="0"/>
              <w:jc w:val="center"/>
              <w:rPr>
                <w:rFonts w:eastAsia="MS Mincho"/>
                <w:b/>
              </w:rPr>
            </w:pPr>
            <w:r w:rsidRPr="00B31A92">
              <w:rPr>
                <w:b/>
              </w:rPr>
              <w:t>Tämä asiakirja on saatavana unionin virallisilla kielillä komitean internetsivuilla osoitteessa</w:t>
            </w:r>
          </w:p>
          <w:p w14:paraId="56631295" w14:textId="77777777" w:rsidR="008405A0" w:rsidRPr="00B31A92" w:rsidRDefault="008405A0" w:rsidP="00673BA2">
            <w:pPr>
              <w:snapToGrid w:val="0"/>
              <w:jc w:val="center"/>
              <w:rPr>
                <w:b/>
              </w:rPr>
            </w:pPr>
          </w:p>
          <w:p w14:paraId="56631296" w14:textId="77777777" w:rsidR="008405A0" w:rsidRPr="00B31A92" w:rsidRDefault="00E74D0E" w:rsidP="00673BA2">
            <w:pPr>
              <w:jc w:val="center"/>
              <w:rPr>
                <w:rFonts w:eastAsia="MS Mincho"/>
                <w:b/>
              </w:rPr>
            </w:pPr>
            <w:hyperlink r:id="rId15" w:anchor="/boxTab1-2">
              <w:r w:rsidR="003324EB" w:rsidRPr="00B31A92">
                <w:rPr>
                  <w:rStyle w:val="Hyperlink"/>
                  <w:b/>
                </w:rPr>
                <w:t>http://www.eesc.europa.eu/?i=portal.en.documents#/boxTab1-2</w:t>
              </w:r>
            </w:hyperlink>
          </w:p>
          <w:p w14:paraId="56631297" w14:textId="77777777" w:rsidR="008405A0" w:rsidRPr="00B31A92" w:rsidRDefault="008405A0" w:rsidP="00673BA2">
            <w:pPr>
              <w:snapToGrid w:val="0"/>
              <w:jc w:val="center"/>
            </w:pPr>
          </w:p>
          <w:p w14:paraId="56631298" w14:textId="77777777" w:rsidR="008405A0" w:rsidRPr="00B31A92" w:rsidRDefault="008405A0" w:rsidP="00673BA2">
            <w:pPr>
              <w:snapToGrid w:val="0"/>
              <w:jc w:val="center"/>
              <w:rPr>
                <w:rFonts w:eastAsia="SimSun"/>
                <w:b/>
              </w:rPr>
            </w:pPr>
          </w:p>
          <w:p w14:paraId="56631299" w14:textId="77777777" w:rsidR="008405A0" w:rsidRPr="00B31A92" w:rsidRDefault="008405A0" w:rsidP="00673BA2">
            <w:pPr>
              <w:snapToGrid w:val="0"/>
              <w:jc w:val="center"/>
              <w:rPr>
                <w:rFonts w:eastAsia="MS Mincho"/>
                <w:b/>
              </w:rPr>
            </w:pPr>
            <w:r w:rsidRPr="00B31A92">
              <w:rPr>
                <w:b/>
              </w:rPr>
              <w:t>Mainitut lausunnot ovat haettavissa sähköisessä muodossa komitean hakukoneella</w:t>
            </w:r>
          </w:p>
          <w:p w14:paraId="5663129A" w14:textId="77777777" w:rsidR="008405A0" w:rsidRPr="00B31A92" w:rsidRDefault="008405A0" w:rsidP="00673BA2">
            <w:pPr>
              <w:snapToGrid w:val="0"/>
              <w:jc w:val="center"/>
              <w:rPr>
                <w:b/>
              </w:rPr>
            </w:pPr>
          </w:p>
          <w:p w14:paraId="5663129B" w14:textId="77777777" w:rsidR="008405A0" w:rsidRPr="00B31A92" w:rsidRDefault="00E74D0E" w:rsidP="00673BA2">
            <w:pPr>
              <w:jc w:val="center"/>
              <w:rPr>
                <w:rFonts w:eastAsia="MS Mincho"/>
                <w:b/>
              </w:rPr>
            </w:pPr>
            <w:hyperlink r:id="rId16">
              <w:r w:rsidR="003324EB" w:rsidRPr="00B31A92">
                <w:rPr>
                  <w:rStyle w:val="Hyperlink"/>
                  <w:b/>
                </w:rPr>
                <w:t>http://www.eesc.europa.eu/?i=portal.en.opinions-search</w:t>
              </w:r>
            </w:hyperlink>
          </w:p>
          <w:p w14:paraId="5663129C" w14:textId="77777777" w:rsidR="008405A0" w:rsidRPr="00B31A92" w:rsidRDefault="008405A0" w:rsidP="00673BA2">
            <w:pPr>
              <w:snapToGrid w:val="0"/>
              <w:jc w:val="center"/>
              <w:rPr>
                <w:b/>
                <w:bCs/>
              </w:rPr>
            </w:pPr>
          </w:p>
        </w:tc>
      </w:tr>
    </w:tbl>
    <w:p w14:paraId="5663129E" w14:textId="77777777" w:rsidR="008405A0" w:rsidRPr="00B31A92" w:rsidRDefault="008405A0" w:rsidP="00673BA2">
      <w:pPr>
        <w:snapToGrid w:val="0"/>
      </w:pPr>
    </w:p>
    <w:p w14:paraId="5663129F" w14:textId="77777777" w:rsidR="00A25D87" w:rsidRPr="00B31A92" w:rsidRDefault="00A25D87" w:rsidP="00673BA2">
      <w:pPr>
        <w:rPr>
          <w:rFonts w:eastAsia="SimSun"/>
          <w:b/>
          <w:sz w:val="28"/>
          <w:u w:val="single"/>
        </w:rPr>
        <w:sectPr w:rsidR="00A25D87" w:rsidRPr="00B31A92" w:rsidSect="00673BA2">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417" w:right="1417" w:bottom="1417" w:left="1417" w:header="709" w:footer="709" w:gutter="0"/>
          <w:cols w:space="708"/>
          <w:docGrid w:linePitch="299"/>
        </w:sectPr>
      </w:pPr>
    </w:p>
    <w:p w14:paraId="566312A0" w14:textId="77777777" w:rsidR="008405A0" w:rsidRPr="00B31A92" w:rsidRDefault="008405A0" w:rsidP="00673BA2">
      <w:pPr>
        <w:snapToGrid w:val="0"/>
        <w:rPr>
          <w:rFonts w:eastAsia="MS Mincho"/>
          <w:b/>
          <w:sz w:val="28"/>
          <w:u w:val="single"/>
        </w:rPr>
      </w:pPr>
      <w:r w:rsidRPr="00B31A92">
        <w:rPr>
          <w:b/>
        </w:rPr>
        <w:lastRenderedPageBreak/>
        <w:t>Sisällys</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14:paraId="566312A1" w14:textId="77777777" w:rsidR="00026BD2" w:rsidRPr="00B31A92" w:rsidRDefault="00026BD2" w:rsidP="00673BA2">
          <w:pPr>
            <w:pStyle w:val="TOCHeading"/>
            <w:keepNext w:val="0"/>
            <w:spacing w:before="0" w:line="288" w:lineRule="auto"/>
            <w:jc w:val="both"/>
            <w:rPr>
              <w:rFonts w:ascii="Times New Roman" w:hAnsi="Times New Roman" w:cs="Times New Roman"/>
            </w:rPr>
          </w:pPr>
        </w:p>
        <w:p w14:paraId="2432A30C" w14:textId="77777777" w:rsidR="00436EF0" w:rsidRPr="00B31A92" w:rsidRDefault="00CA5260">
          <w:pPr>
            <w:pStyle w:val="TOC1"/>
            <w:tabs>
              <w:tab w:val="left" w:pos="440"/>
              <w:tab w:val="right" w:leader="dot" w:pos="9063"/>
            </w:tabs>
            <w:rPr>
              <w:rFonts w:asciiTheme="minorHAnsi" w:eastAsiaTheme="minorEastAsia" w:hAnsiTheme="minorHAnsi" w:cstheme="minorBidi"/>
              <w:lang w:eastAsia="fr-BE"/>
            </w:rPr>
          </w:pPr>
          <w:r w:rsidRPr="00B31A92">
            <w:fldChar w:fldCharType="begin"/>
          </w:r>
          <w:r w:rsidRPr="00B31A92">
            <w:instrText xml:space="preserve"> TOC \o "1-3" \h \z \u </w:instrText>
          </w:r>
          <w:r w:rsidRPr="00B31A92">
            <w:fldChar w:fldCharType="separate"/>
          </w:r>
          <w:hyperlink w:anchor="_Toc471377317" w:history="1">
            <w:r w:rsidR="00436EF0" w:rsidRPr="00B31A92">
              <w:rPr>
                <w:rStyle w:val="Hyperlink"/>
                <w:b/>
              </w:rPr>
              <w:t>1.</w:t>
            </w:r>
            <w:r w:rsidR="00436EF0" w:rsidRPr="00B31A92">
              <w:rPr>
                <w:rFonts w:asciiTheme="minorHAnsi" w:eastAsiaTheme="minorEastAsia" w:hAnsiTheme="minorHAnsi" w:cstheme="minorBidi"/>
                <w:lang w:eastAsia="fr-BE"/>
              </w:rPr>
              <w:tab/>
            </w:r>
            <w:r w:rsidR="00436EF0" w:rsidRPr="00B31A92">
              <w:rPr>
                <w:rStyle w:val="Hyperlink"/>
                <w:b/>
              </w:rPr>
              <w:t>TALOUDEN OHJAUS JA HALLINTA / VEROTUS</w:t>
            </w:r>
            <w:r w:rsidR="00436EF0" w:rsidRPr="00B31A92">
              <w:rPr>
                <w:webHidden/>
              </w:rPr>
              <w:tab/>
            </w:r>
            <w:r w:rsidR="00436EF0" w:rsidRPr="00B31A92">
              <w:rPr>
                <w:webHidden/>
              </w:rPr>
              <w:fldChar w:fldCharType="begin"/>
            </w:r>
            <w:r w:rsidR="00436EF0" w:rsidRPr="00B31A92">
              <w:rPr>
                <w:webHidden/>
              </w:rPr>
              <w:instrText xml:space="preserve"> PAGEREF _Toc471377317 \h </w:instrText>
            </w:r>
            <w:r w:rsidR="00436EF0" w:rsidRPr="00B31A92">
              <w:rPr>
                <w:webHidden/>
              </w:rPr>
            </w:r>
            <w:r w:rsidR="00436EF0" w:rsidRPr="00B31A92">
              <w:rPr>
                <w:webHidden/>
              </w:rPr>
              <w:fldChar w:fldCharType="separate"/>
            </w:r>
            <w:r w:rsidR="00436EF0" w:rsidRPr="00B31A92">
              <w:rPr>
                <w:webHidden/>
              </w:rPr>
              <w:t>3</w:t>
            </w:r>
            <w:r w:rsidR="00436EF0" w:rsidRPr="00B31A92">
              <w:rPr>
                <w:webHidden/>
              </w:rPr>
              <w:fldChar w:fldCharType="end"/>
            </w:r>
          </w:hyperlink>
        </w:p>
        <w:p w14:paraId="45A5BDA7" w14:textId="77777777" w:rsidR="00436EF0" w:rsidRPr="00B31A92" w:rsidRDefault="00E74D0E">
          <w:pPr>
            <w:pStyle w:val="TOC1"/>
            <w:tabs>
              <w:tab w:val="left" w:pos="440"/>
              <w:tab w:val="right" w:leader="dot" w:pos="9063"/>
            </w:tabs>
            <w:rPr>
              <w:rFonts w:asciiTheme="minorHAnsi" w:eastAsiaTheme="minorEastAsia" w:hAnsiTheme="minorHAnsi" w:cstheme="minorBidi"/>
              <w:lang w:eastAsia="fr-BE"/>
            </w:rPr>
          </w:pPr>
          <w:hyperlink w:anchor="_Toc471377318" w:history="1">
            <w:r w:rsidR="00436EF0" w:rsidRPr="00B31A92">
              <w:rPr>
                <w:rStyle w:val="Hyperlink"/>
                <w:b/>
              </w:rPr>
              <w:t>2.</w:t>
            </w:r>
            <w:r w:rsidR="00436EF0" w:rsidRPr="00B31A92">
              <w:rPr>
                <w:rFonts w:asciiTheme="minorHAnsi" w:eastAsiaTheme="minorEastAsia" w:hAnsiTheme="minorHAnsi" w:cstheme="minorBidi"/>
                <w:lang w:eastAsia="fr-BE"/>
              </w:rPr>
              <w:tab/>
            </w:r>
            <w:r w:rsidR="00436EF0" w:rsidRPr="00B31A92">
              <w:rPr>
                <w:rStyle w:val="Hyperlink"/>
                <w:b/>
              </w:rPr>
              <w:t>SISÄMARKKINAT</w:t>
            </w:r>
            <w:r w:rsidR="00436EF0" w:rsidRPr="00B31A92">
              <w:rPr>
                <w:webHidden/>
              </w:rPr>
              <w:tab/>
            </w:r>
            <w:r w:rsidR="00436EF0" w:rsidRPr="00B31A92">
              <w:rPr>
                <w:webHidden/>
              </w:rPr>
              <w:fldChar w:fldCharType="begin"/>
            </w:r>
            <w:r w:rsidR="00436EF0" w:rsidRPr="00B31A92">
              <w:rPr>
                <w:webHidden/>
              </w:rPr>
              <w:instrText xml:space="preserve"> PAGEREF _Toc471377318 \h </w:instrText>
            </w:r>
            <w:r w:rsidR="00436EF0" w:rsidRPr="00B31A92">
              <w:rPr>
                <w:webHidden/>
              </w:rPr>
            </w:r>
            <w:r w:rsidR="00436EF0" w:rsidRPr="00B31A92">
              <w:rPr>
                <w:webHidden/>
              </w:rPr>
              <w:fldChar w:fldCharType="separate"/>
            </w:r>
            <w:r w:rsidR="00436EF0" w:rsidRPr="00B31A92">
              <w:rPr>
                <w:webHidden/>
              </w:rPr>
              <w:t>7</w:t>
            </w:r>
            <w:r w:rsidR="00436EF0" w:rsidRPr="00B31A92">
              <w:rPr>
                <w:webHidden/>
              </w:rPr>
              <w:fldChar w:fldCharType="end"/>
            </w:r>
          </w:hyperlink>
        </w:p>
        <w:p w14:paraId="026995A6" w14:textId="77777777" w:rsidR="00436EF0" w:rsidRPr="00B31A92" w:rsidRDefault="00E74D0E">
          <w:pPr>
            <w:pStyle w:val="TOC1"/>
            <w:tabs>
              <w:tab w:val="left" w:pos="440"/>
              <w:tab w:val="right" w:leader="dot" w:pos="9063"/>
            </w:tabs>
            <w:rPr>
              <w:rFonts w:asciiTheme="minorHAnsi" w:eastAsiaTheme="minorEastAsia" w:hAnsiTheme="minorHAnsi" w:cstheme="minorBidi"/>
              <w:lang w:eastAsia="fr-BE"/>
            </w:rPr>
          </w:pPr>
          <w:hyperlink w:anchor="_Toc471377319" w:history="1">
            <w:r w:rsidR="00436EF0" w:rsidRPr="00B31A92">
              <w:rPr>
                <w:rStyle w:val="Hyperlink"/>
                <w:b/>
              </w:rPr>
              <w:t>3.</w:t>
            </w:r>
            <w:r w:rsidR="00436EF0" w:rsidRPr="00B31A92">
              <w:rPr>
                <w:rFonts w:asciiTheme="minorHAnsi" w:eastAsiaTheme="minorEastAsia" w:hAnsiTheme="minorHAnsi" w:cstheme="minorBidi"/>
                <w:lang w:eastAsia="fr-BE"/>
              </w:rPr>
              <w:tab/>
            </w:r>
            <w:r w:rsidR="00436EF0" w:rsidRPr="00B31A92">
              <w:rPr>
                <w:rStyle w:val="Hyperlink"/>
                <w:b/>
              </w:rPr>
              <w:t>YMPÄRISTÖ, MAATALOUS JA KALASTUS</w:t>
            </w:r>
            <w:r w:rsidR="00436EF0" w:rsidRPr="00B31A92">
              <w:rPr>
                <w:webHidden/>
              </w:rPr>
              <w:tab/>
            </w:r>
            <w:r w:rsidR="00436EF0" w:rsidRPr="00B31A92">
              <w:rPr>
                <w:webHidden/>
              </w:rPr>
              <w:fldChar w:fldCharType="begin"/>
            </w:r>
            <w:r w:rsidR="00436EF0" w:rsidRPr="00B31A92">
              <w:rPr>
                <w:webHidden/>
              </w:rPr>
              <w:instrText xml:space="preserve"> PAGEREF _Toc471377319 \h </w:instrText>
            </w:r>
            <w:r w:rsidR="00436EF0" w:rsidRPr="00B31A92">
              <w:rPr>
                <w:webHidden/>
              </w:rPr>
            </w:r>
            <w:r w:rsidR="00436EF0" w:rsidRPr="00B31A92">
              <w:rPr>
                <w:webHidden/>
              </w:rPr>
              <w:fldChar w:fldCharType="separate"/>
            </w:r>
            <w:r w:rsidR="00436EF0" w:rsidRPr="00B31A92">
              <w:rPr>
                <w:webHidden/>
              </w:rPr>
              <w:t>8</w:t>
            </w:r>
            <w:r w:rsidR="00436EF0" w:rsidRPr="00B31A92">
              <w:rPr>
                <w:webHidden/>
              </w:rPr>
              <w:fldChar w:fldCharType="end"/>
            </w:r>
          </w:hyperlink>
        </w:p>
        <w:p w14:paraId="279EBCF3" w14:textId="77777777" w:rsidR="00436EF0" w:rsidRPr="00B31A92" w:rsidRDefault="00E74D0E">
          <w:pPr>
            <w:pStyle w:val="TOC1"/>
            <w:tabs>
              <w:tab w:val="left" w:pos="440"/>
              <w:tab w:val="right" w:leader="dot" w:pos="9063"/>
            </w:tabs>
            <w:rPr>
              <w:rFonts w:asciiTheme="minorHAnsi" w:eastAsiaTheme="minorEastAsia" w:hAnsiTheme="minorHAnsi" w:cstheme="minorBidi"/>
              <w:lang w:eastAsia="fr-BE"/>
            </w:rPr>
          </w:pPr>
          <w:hyperlink w:anchor="_Toc471377320" w:history="1">
            <w:r w:rsidR="00436EF0" w:rsidRPr="00B31A92">
              <w:rPr>
                <w:rStyle w:val="Hyperlink"/>
                <w:b/>
              </w:rPr>
              <w:t>4.</w:t>
            </w:r>
            <w:r w:rsidR="00436EF0" w:rsidRPr="00B31A92">
              <w:rPr>
                <w:rFonts w:asciiTheme="minorHAnsi" w:eastAsiaTheme="minorEastAsia" w:hAnsiTheme="minorHAnsi" w:cstheme="minorBidi"/>
                <w:lang w:eastAsia="fr-BE"/>
              </w:rPr>
              <w:tab/>
            </w:r>
            <w:r w:rsidR="00436EF0" w:rsidRPr="00B31A92">
              <w:rPr>
                <w:rStyle w:val="Hyperlink"/>
                <w:b/>
              </w:rPr>
              <w:t>KULUTTAJA-ASIAT / SOSIAALIASIAT / MUUTTOLIIKE</w:t>
            </w:r>
            <w:r w:rsidR="00436EF0" w:rsidRPr="00B31A92">
              <w:rPr>
                <w:webHidden/>
              </w:rPr>
              <w:tab/>
            </w:r>
            <w:r w:rsidR="00436EF0" w:rsidRPr="00B31A92">
              <w:rPr>
                <w:webHidden/>
              </w:rPr>
              <w:fldChar w:fldCharType="begin"/>
            </w:r>
            <w:r w:rsidR="00436EF0" w:rsidRPr="00B31A92">
              <w:rPr>
                <w:webHidden/>
              </w:rPr>
              <w:instrText xml:space="preserve"> PAGEREF _Toc471377320 \h </w:instrText>
            </w:r>
            <w:r w:rsidR="00436EF0" w:rsidRPr="00B31A92">
              <w:rPr>
                <w:webHidden/>
              </w:rPr>
            </w:r>
            <w:r w:rsidR="00436EF0" w:rsidRPr="00B31A92">
              <w:rPr>
                <w:webHidden/>
              </w:rPr>
              <w:fldChar w:fldCharType="separate"/>
            </w:r>
            <w:r w:rsidR="00436EF0" w:rsidRPr="00B31A92">
              <w:rPr>
                <w:webHidden/>
              </w:rPr>
              <w:t>11</w:t>
            </w:r>
            <w:r w:rsidR="00436EF0" w:rsidRPr="00B31A92">
              <w:rPr>
                <w:webHidden/>
              </w:rPr>
              <w:fldChar w:fldCharType="end"/>
            </w:r>
          </w:hyperlink>
        </w:p>
        <w:p w14:paraId="0FC3803D" w14:textId="77777777" w:rsidR="00436EF0" w:rsidRPr="00B31A92" w:rsidRDefault="00E74D0E">
          <w:pPr>
            <w:pStyle w:val="TOC1"/>
            <w:tabs>
              <w:tab w:val="left" w:pos="440"/>
              <w:tab w:val="right" w:leader="dot" w:pos="9063"/>
            </w:tabs>
            <w:rPr>
              <w:rFonts w:asciiTheme="minorHAnsi" w:eastAsiaTheme="minorEastAsia" w:hAnsiTheme="minorHAnsi" w:cstheme="minorBidi"/>
              <w:lang w:eastAsia="fr-BE"/>
            </w:rPr>
          </w:pPr>
          <w:hyperlink w:anchor="_Toc471377321" w:history="1">
            <w:r w:rsidR="00436EF0" w:rsidRPr="00B31A92">
              <w:rPr>
                <w:rStyle w:val="Hyperlink"/>
                <w:b/>
              </w:rPr>
              <w:t>5.</w:t>
            </w:r>
            <w:r w:rsidR="00436EF0" w:rsidRPr="00B31A92">
              <w:rPr>
                <w:rFonts w:asciiTheme="minorHAnsi" w:eastAsiaTheme="minorEastAsia" w:hAnsiTheme="minorHAnsi" w:cstheme="minorBidi"/>
                <w:lang w:eastAsia="fr-BE"/>
              </w:rPr>
              <w:tab/>
            </w:r>
            <w:r w:rsidR="00436EF0" w:rsidRPr="00B31A92">
              <w:rPr>
                <w:rStyle w:val="Hyperlink"/>
                <w:b/>
              </w:rPr>
              <w:t>TEOLLISUUS / INNOVOINTI</w:t>
            </w:r>
            <w:r w:rsidR="00436EF0" w:rsidRPr="00B31A92">
              <w:rPr>
                <w:webHidden/>
              </w:rPr>
              <w:tab/>
            </w:r>
            <w:r w:rsidR="00436EF0" w:rsidRPr="00B31A92">
              <w:rPr>
                <w:webHidden/>
              </w:rPr>
              <w:fldChar w:fldCharType="begin"/>
            </w:r>
            <w:r w:rsidR="00436EF0" w:rsidRPr="00B31A92">
              <w:rPr>
                <w:webHidden/>
              </w:rPr>
              <w:instrText xml:space="preserve"> PAGEREF _Toc471377321 \h </w:instrText>
            </w:r>
            <w:r w:rsidR="00436EF0" w:rsidRPr="00B31A92">
              <w:rPr>
                <w:webHidden/>
              </w:rPr>
            </w:r>
            <w:r w:rsidR="00436EF0" w:rsidRPr="00B31A92">
              <w:rPr>
                <w:webHidden/>
              </w:rPr>
              <w:fldChar w:fldCharType="separate"/>
            </w:r>
            <w:r w:rsidR="00436EF0" w:rsidRPr="00B31A92">
              <w:rPr>
                <w:webHidden/>
              </w:rPr>
              <w:t>16</w:t>
            </w:r>
            <w:r w:rsidR="00436EF0" w:rsidRPr="00B31A92">
              <w:rPr>
                <w:webHidden/>
              </w:rPr>
              <w:fldChar w:fldCharType="end"/>
            </w:r>
          </w:hyperlink>
        </w:p>
        <w:p w14:paraId="5A1B52FD" w14:textId="77777777" w:rsidR="00436EF0" w:rsidRPr="00B31A92" w:rsidRDefault="00E74D0E">
          <w:pPr>
            <w:pStyle w:val="TOC1"/>
            <w:tabs>
              <w:tab w:val="left" w:pos="440"/>
              <w:tab w:val="right" w:leader="dot" w:pos="9063"/>
            </w:tabs>
            <w:rPr>
              <w:rFonts w:asciiTheme="minorHAnsi" w:eastAsiaTheme="minorEastAsia" w:hAnsiTheme="minorHAnsi" w:cstheme="minorBidi"/>
              <w:lang w:eastAsia="fr-BE"/>
            </w:rPr>
          </w:pPr>
          <w:hyperlink w:anchor="_Toc471377322" w:history="1">
            <w:r w:rsidR="00436EF0" w:rsidRPr="00B31A92">
              <w:rPr>
                <w:rStyle w:val="Hyperlink"/>
                <w:b/>
              </w:rPr>
              <w:t>6.</w:t>
            </w:r>
            <w:r w:rsidR="00436EF0" w:rsidRPr="00B31A92">
              <w:rPr>
                <w:rFonts w:asciiTheme="minorHAnsi" w:eastAsiaTheme="minorEastAsia" w:hAnsiTheme="minorHAnsi" w:cstheme="minorBidi"/>
                <w:lang w:eastAsia="fr-BE"/>
              </w:rPr>
              <w:tab/>
            </w:r>
            <w:r w:rsidR="00436EF0" w:rsidRPr="00B31A92">
              <w:rPr>
                <w:rStyle w:val="Hyperlink"/>
                <w:b/>
              </w:rPr>
              <w:t>TURVALLISUUS</w:t>
            </w:r>
            <w:r w:rsidR="00436EF0" w:rsidRPr="00B31A92">
              <w:rPr>
                <w:webHidden/>
              </w:rPr>
              <w:tab/>
            </w:r>
            <w:r w:rsidR="00436EF0" w:rsidRPr="00B31A92">
              <w:rPr>
                <w:webHidden/>
              </w:rPr>
              <w:fldChar w:fldCharType="begin"/>
            </w:r>
            <w:r w:rsidR="00436EF0" w:rsidRPr="00B31A92">
              <w:rPr>
                <w:webHidden/>
              </w:rPr>
              <w:instrText xml:space="preserve"> PAGEREF _Toc471377322 \h </w:instrText>
            </w:r>
            <w:r w:rsidR="00436EF0" w:rsidRPr="00B31A92">
              <w:rPr>
                <w:webHidden/>
              </w:rPr>
            </w:r>
            <w:r w:rsidR="00436EF0" w:rsidRPr="00B31A92">
              <w:rPr>
                <w:webHidden/>
              </w:rPr>
              <w:fldChar w:fldCharType="separate"/>
            </w:r>
            <w:r w:rsidR="00436EF0" w:rsidRPr="00B31A92">
              <w:rPr>
                <w:webHidden/>
              </w:rPr>
              <w:t>20</w:t>
            </w:r>
            <w:r w:rsidR="00436EF0" w:rsidRPr="00B31A92">
              <w:rPr>
                <w:webHidden/>
              </w:rPr>
              <w:fldChar w:fldCharType="end"/>
            </w:r>
          </w:hyperlink>
        </w:p>
        <w:p w14:paraId="654BA1E7" w14:textId="77777777" w:rsidR="00436EF0" w:rsidRPr="00B31A92" w:rsidRDefault="00E74D0E">
          <w:pPr>
            <w:pStyle w:val="TOC1"/>
            <w:tabs>
              <w:tab w:val="left" w:pos="440"/>
              <w:tab w:val="right" w:leader="dot" w:pos="9063"/>
            </w:tabs>
            <w:rPr>
              <w:rFonts w:asciiTheme="minorHAnsi" w:eastAsiaTheme="minorEastAsia" w:hAnsiTheme="minorHAnsi" w:cstheme="minorBidi"/>
              <w:lang w:eastAsia="fr-BE"/>
            </w:rPr>
          </w:pPr>
          <w:hyperlink w:anchor="_Toc471377323" w:history="1">
            <w:r w:rsidR="00436EF0" w:rsidRPr="00B31A92">
              <w:rPr>
                <w:rStyle w:val="Hyperlink"/>
                <w:b/>
              </w:rPr>
              <w:t>8.</w:t>
            </w:r>
            <w:r w:rsidR="00436EF0" w:rsidRPr="00B31A92">
              <w:rPr>
                <w:rFonts w:asciiTheme="minorHAnsi" w:eastAsiaTheme="minorEastAsia" w:hAnsiTheme="minorHAnsi" w:cstheme="minorBidi"/>
                <w:lang w:eastAsia="fr-BE"/>
              </w:rPr>
              <w:tab/>
            </w:r>
            <w:r w:rsidR="00436EF0" w:rsidRPr="00B31A92">
              <w:rPr>
                <w:rStyle w:val="Hyperlink"/>
                <w:b/>
              </w:rPr>
              <w:t>LIIKENNE / VIESTINTÄ</w:t>
            </w:r>
            <w:r w:rsidR="00436EF0" w:rsidRPr="00B31A92">
              <w:rPr>
                <w:webHidden/>
              </w:rPr>
              <w:tab/>
            </w:r>
            <w:r w:rsidR="00436EF0" w:rsidRPr="00B31A92">
              <w:rPr>
                <w:webHidden/>
              </w:rPr>
              <w:fldChar w:fldCharType="begin"/>
            </w:r>
            <w:r w:rsidR="00436EF0" w:rsidRPr="00B31A92">
              <w:rPr>
                <w:webHidden/>
              </w:rPr>
              <w:instrText xml:space="preserve"> PAGEREF _Toc471377323 \h </w:instrText>
            </w:r>
            <w:r w:rsidR="00436EF0" w:rsidRPr="00B31A92">
              <w:rPr>
                <w:webHidden/>
              </w:rPr>
            </w:r>
            <w:r w:rsidR="00436EF0" w:rsidRPr="00B31A92">
              <w:rPr>
                <w:webHidden/>
              </w:rPr>
              <w:fldChar w:fldCharType="separate"/>
            </w:r>
            <w:r w:rsidR="00436EF0" w:rsidRPr="00B31A92">
              <w:rPr>
                <w:webHidden/>
              </w:rPr>
              <w:t>21</w:t>
            </w:r>
            <w:r w:rsidR="00436EF0" w:rsidRPr="00B31A92">
              <w:rPr>
                <w:webHidden/>
              </w:rPr>
              <w:fldChar w:fldCharType="end"/>
            </w:r>
          </w:hyperlink>
        </w:p>
        <w:p w14:paraId="218F0DA3" w14:textId="77777777" w:rsidR="00436EF0" w:rsidRPr="00B31A92" w:rsidRDefault="00E74D0E">
          <w:pPr>
            <w:pStyle w:val="TOC1"/>
            <w:tabs>
              <w:tab w:val="left" w:pos="440"/>
              <w:tab w:val="right" w:leader="dot" w:pos="9063"/>
            </w:tabs>
            <w:rPr>
              <w:rFonts w:asciiTheme="minorHAnsi" w:eastAsiaTheme="minorEastAsia" w:hAnsiTheme="minorHAnsi" w:cstheme="minorBidi"/>
              <w:lang w:eastAsia="fr-BE"/>
            </w:rPr>
          </w:pPr>
          <w:hyperlink w:anchor="_Toc471377324" w:history="1">
            <w:r w:rsidR="00436EF0" w:rsidRPr="00B31A92">
              <w:rPr>
                <w:rStyle w:val="Hyperlink"/>
                <w:b/>
              </w:rPr>
              <w:t>9.</w:t>
            </w:r>
            <w:r w:rsidR="00436EF0" w:rsidRPr="00B31A92">
              <w:rPr>
                <w:rFonts w:asciiTheme="minorHAnsi" w:eastAsiaTheme="minorEastAsia" w:hAnsiTheme="minorHAnsi" w:cstheme="minorBidi"/>
                <w:lang w:eastAsia="fr-BE"/>
              </w:rPr>
              <w:tab/>
            </w:r>
            <w:r w:rsidR="00436EF0" w:rsidRPr="00B31A92">
              <w:rPr>
                <w:rStyle w:val="Hyperlink"/>
                <w:b/>
              </w:rPr>
              <w:t>ULKOSUHTEET</w:t>
            </w:r>
            <w:r w:rsidR="00436EF0" w:rsidRPr="00B31A92">
              <w:rPr>
                <w:webHidden/>
              </w:rPr>
              <w:tab/>
            </w:r>
            <w:r w:rsidR="00436EF0" w:rsidRPr="00B31A92">
              <w:rPr>
                <w:webHidden/>
              </w:rPr>
              <w:fldChar w:fldCharType="begin"/>
            </w:r>
            <w:r w:rsidR="00436EF0" w:rsidRPr="00B31A92">
              <w:rPr>
                <w:webHidden/>
              </w:rPr>
              <w:instrText xml:space="preserve"> PAGEREF _Toc471377324 \h </w:instrText>
            </w:r>
            <w:r w:rsidR="00436EF0" w:rsidRPr="00B31A92">
              <w:rPr>
                <w:webHidden/>
              </w:rPr>
            </w:r>
            <w:r w:rsidR="00436EF0" w:rsidRPr="00B31A92">
              <w:rPr>
                <w:webHidden/>
              </w:rPr>
              <w:fldChar w:fldCharType="separate"/>
            </w:r>
            <w:r w:rsidR="00436EF0" w:rsidRPr="00B31A92">
              <w:rPr>
                <w:webHidden/>
              </w:rPr>
              <w:t>24</w:t>
            </w:r>
            <w:r w:rsidR="00436EF0" w:rsidRPr="00B31A92">
              <w:rPr>
                <w:webHidden/>
              </w:rPr>
              <w:fldChar w:fldCharType="end"/>
            </w:r>
          </w:hyperlink>
        </w:p>
        <w:p w14:paraId="566312AB" w14:textId="77777777" w:rsidR="0034657E" w:rsidRPr="00B31A92" w:rsidRDefault="00CA5260" w:rsidP="00673BA2">
          <w:pPr>
            <w:pStyle w:val="TOC1"/>
            <w:tabs>
              <w:tab w:val="left" w:pos="440"/>
              <w:tab w:val="right" w:leader="dot" w:pos="9063"/>
            </w:tabs>
            <w:spacing w:after="0"/>
            <w:rPr>
              <w:rFonts w:eastAsiaTheme="minorEastAsia"/>
            </w:rPr>
          </w:pPr>
          <w:r w:rsidRPr="00B31A92">
            <w:rPr>
              <w:rFonts w:eastAsiaTheme="minorEastAsia"/>
            </w:rPr>
            <w:fldChar w:fldCharType="end"/>
          </w:r>
        </w:p>
      </w:sdtContent>
    </w:sdt>
    <w:p w14:paraId="566312AC" w14:textId="77777777" w:rsidR="00026BD2" w:rsidRPr="00B31A92" w:rsidRDefault="00026BD2" w:rsidP="00673BA2"/>
    <w:p w14:paraId="566312AD" w14:textId="77777777" w:rsidR="008405A0" w:rsidRPr="00B31A92" w:rsidRDefault="008405A0" w:rsidP="00673BA2">
      <w:r w:rsidRPr="00B31A92">
        <w:br w:type="page"/>
      </w:r>
    </w:p>
    <w:p w14:paraId="566312AE" w14:textId="2569993C" w:rsidR="008D00A6" w:rsidRPr="00B31A92" w:rsidRDefault="00745B4D" w:rsidP="00673BA2">
      <w:r w:rsidRPr="00B31A92">
        <w:lastRenderedPageBreak/>
        <w:t>Joulu</w:t>
      </w:r>
      <w:r w:rsidR="008405A0" w:rsidRPr="00B31A92">
        <w:t>kuun 1</w:t>
      </w:r>
      <w:r w:rsidRPr="00B31A92">
        <w:t>4</w:t>
      </w:r>
      <w:r w:rsidR="008405A0" w:rsidRPr="00B31A92">
        <w:t>.–</w:t>
      </w:r>
      <w:r w:rsidRPr="00B31A92">
        <w:t>15</w:t>
      </w:r>
      <w:r w:rsidR="008405A0" w:rsidRPr="00B31A92">
        <w:t>. päivänä 2016 pidettyyn täysistuntoon osallistui</w:t>
      </w:r>
      <w:r w:rsidRPr="00B31A92">
        <w:t>vat</w:t>
      </w:r>
      <w:r w:rsidR="008405A0" w:rsidRPr="00B31A92">
        <w:t xml:space="preserve"> </w:t>
      </w:r>
      <w:r w:rsidRPr="00B31A92">
        <w:t xml:space="preserve">Euroopan komission ensimmäinen varapuheenjohtaja </w:t>
      </w:r>
      <w:r w:rsidRPr="00B31A92">
        <w:rPr>
          <w:b/>
        </w:rPr>
        <w:t>Frans Timmermans</w:t>
      </w:r>
      <w:r w:rsidRPr="00B31A92">
        <w:t xml:space="preserve"> ja työllisyydestä, kasvusta, investoinneista ja kilpailukyvystä vastaava Euroopan komission varapuheenjohtaja </w:t>
      </w:r>
      <w:r w:rsidRPr="00B31A92">
        <w:rPr>
          <w:b/>
        </w:rPr>
        <w:t>Jyrki Katainen</w:t>
      </w:r>
      <w:r w:rsidRPr="00B31A92">
        <w:t xml:space="preserve">. Lisäksi sen aikana luovutettiin </w:t>
      </w:r>
      <w:r w:rsidRPr="00B31A92">
        <w:rPr>
          <w:b/>
        </w:rPr>
        <w:t>kansalaisyhteiskuntapalkinto</w:t>
      </w:r>
      <w:r w:rsidRPr="00B31A92">
        <w:t>.</w:t>
      </w:r>
    </w:p>
    <w:p w14:paraId="566312AF" w14:textId="77777777" w:rsidR="008D00A6" w:rsidRPr="00B31A92" w:rsidRDefault="008D00A6" w:rsidP="00673BA2"/>
    <w:p w14:paraId="566312B0" w14:textId="77777777" w:rsidR="0048090F" w:rsidRPr="00B31A92" w:rsidRDefault="008D00A6" w:rsidP="00673BA2">
      <w:r w:rsidRPr="00B31A92">
        <w:t>Täysistunnossa hyväksyttiin seuraavat lausunnot:</w:t>
      </w:r>
      <w:bookmarkStart w:id="1" w:name="_Toc442171220"/>
    </w:p>
    <w:p w14:paraId="566312B1" w14:textId="77777777" w:rsidR="004929C8" w:rsidRPr="00B31A92" w:rsidRDefault="004929C8" w:rsidP="00673BA2"/>
    <w:p w14:paraId="566312B2" w14:textId="77777777" w:rsidR="00673BA2" w:rsidRPr="00B31A92" w:rsidRDefault="00673BA2" w:rsidP="00673BA2"/>
    <w:p w14:paraId="566312B3" w14:textId="3D834AE7" w:rsidR="009F58A3" w:rsidRPr="00B31A92" w:rsidRDefault="00771959" w:rsidP="00771959">
      <w:pPr>
        <w:pStyle w:val="Heading1"/>
        <w:rPr>
          <w:b/>
        </w:rPr>
      </w:pPr>
      <w:bookmarkStart w:id="2" w:name="_Toc471377317"/>
      <w:bookmarkEnd w:id="1"/>
      <w:r w:rsidRPr="00B31A92">
        <w:rPr>
          <w:b/>
        </w:rPr>
        <w:t>TALOUDEN OHJAUS JA HALLINTA / VEROTUS</w:t>
      </w:r>
      <w:bookmarkEnd w:id="2"/>
    </w:p>
    <w:p w14:paraId="566312B4" w14:textId="77777777" w:rsidR="000821ED" w:rsidRPr="00B31A92" w:rsidRDefault="000821ED" w:rsidP="00673BA2">
      <w:pPr>
        <w:keepNext/>
        <w:rPr>
          <w:b/>
          <w:u w:val="single"/>
        </w:rPr>
      </w:pPr>
    </w:p>
    <w:p w14:paraId="566312B5" w14:textId="77777777" w:rsidR="00673BA2" w:rsidRPr="00B31A92" w:rsidRDefault="00673BA2" w:rsidP="00673BA2">
      <w:pPr>
        <w:keepNext/>
        <w:rPr>
          <w:b/>
          <w:u w:val="single"/>
        </w:rPr>
      </w:pPr>
    </w:p>
    <w:p w14:paraId="566312B7" w14:textId="6C086321" w:rsidR="001C365D" w:rsidRPr="00B31A92" w:rsidRDefault="00DF5AA6" w:rsidP="00DF5AA6">
      <w:pPr>
        <w:keepNext/>
        <w:numPr>
          <w:ilvl w:val="0"/>
          <w:numId w:val="5"/>
        </w:numPr>
        <w:overflowPunct w:val="0"/>
        <w:autoSpaceDE w:val="0"/>
        <w:autoSpaceDN w:val="0"/>
        <w:adjustRightInd w:val="0"/>
        <w:ind w:hanging="567"/>
        <w:textAlignment w:val="baseline"/>
        <w:rPr>
          <w:b/>
          <w:i/>
          <w:sz w:val="28"/>
        </w:rPr>
      </w:pPr>
      <w:r w:rsidRPr="00B31A92">
        <w:rPr>
          <w:b/>
          <w:i/>
          <w:sz w:val="28"/>
        </w:rPr>
        <w:t>Asetus eurooppalaisista riskipääomarahastoista annetun asetuksen (EuVECA) ja eurooppalaisista yhteiskunnalliseen yrittäjyyteen erikoistuneista rahastoista annetun asetuksen (EuSEF) muuttamisesta</w:t>
      </w:r>
    </w:p>
    <w:p w14:paraId="4F4FDAED" w14:textId="77777777" w:rsidR="00DF5AA6" w:rsidRPr="00B31A92" w:rsidRDefault="00DF5AA6" w:rsidP="00673BA2">
      <w:pPr>
        <w:keepNext/>
        <w:ind w:left="1701" w:hanging="1701"/>
        <w:rPr>
          <w:b/>
        </w:rPr>
      </w:pPr>
    </w:p>
    <w:p w14:paraId="566312B8" w14:textId="2C4224FC" w:rsidR="001C365D" w:rsidRPr="00B31A92" w:rsidRDefault="001C365D" w:rsidP="00673BA2">
      <w:pPr>
        <w:keepNext/>
        <w:ind w:left="1701" w:hanging="1701"/>
      </w:pPr>
      <w:r w:rsidRPr="00B31A92">
        <w:rPr>
          <w:b/>
        </w:rPr>
        <w:t>Esittelijä:</w:t>
      </w:r>
      <w:r w:rsidRPr="00B31A92">
        <w:tab/>
      </w:r>
      <w:r w:rsidR="00771959" w:rsidRPr="00B31A92">
        <w:tab/>
      </w:r>
      <w:r w:rsidR="00771959" w:rsidRPr="00B31A92">
        <w:rPr>
          <w:rFonts w:eastAsiaTheme="minorEastAsia"/>
        </w:rPr>
        <w:t>Giuseppe GUERINI</w:t>
      </w:r>
      <w:r w:rsidR="00771959" w:rsidRPr="00B31A92">
        <w:t xml:space="preserve"> </w:t>
      </w:r>
      <w:r w:rsidRPr="00B31A92">
        <w:t>(</w:t>
      </w:r>
      <w:r w:rsidR="00771959" w:rsidRPr="00B31A92">
        <w:t xml:space="preserve">muut eturyhmät </w:t>
      </w:r>
      <w:r w:rsidRPr="00B31A92">
        <w:t xml:space="preserve">– </w:t>
      </w:r>
      <w:r w:rsidR="00771959" w:rsidRPr="00B31A92">
        <w:t>IT</w:t>
      </w:r>
      <w:r w:rsidRPr="00B31A92">
        <w:t>)</w:t>
      </w:r>
    </w:p>
    <w:p w14:paraId="566312B9" w14:textId="77777777" w:rsidR="001C365D" w:rsidRPr="00B31A92" w:rsidRDefault="001C365D" w:rsidP="00673BA2">
      <w:pPr>
        <w:keepNext/>
        <w:ind w:left="1701" w:hanging="1701"/>
        <w:rPr>
          <w:b/>
        </w:rPr>
      </w:pPr>
    </w:p>
    <w:p w14:paraId="566312BA" w14:textId="4C59CE0A" w:rsidR="001C365D" w:rsidRPr="00B31A92" w:rsidRDefault="001C365D" w:rsidP="00673BA2">
      <w:pPr>
        <w:keepNext/>
        <w:ind w:left="1701" w:hanging="1701"/>
      </w:pPr>
      <w:r w:rsidRPr="00B31A92">
        <w:rPr>
          <w:b/>
        </w:rPr>
        <w:t>Toinen esittelijä:</w:t>
      </w:r>
      <w:r w:rsidRPr="00B31A92">
        <w:tab/>
      </w:r>
      <w:r w:rsidR="00771959" w:rsidRPr="00B31A92">
        <w:tab/>
      </w:r>
      <w:r w:rsidR="00771959" w:rsidRPr="00B31A92">
        <w:rPr>
          <w:rFonts w:eastAsiaTheme="minorEastAsia"/>
        </w:rPr>
        <w:t xml:space="preserve">Michael IKRATH </w:t>
      </w:r>
      <w:r w:rsidR="00771959" w:rsidRPr="00B31A92">
        <w:t>(muut eturyhmät – AT</w:t>
      </w:r>
      <w:r w:rsidRPr="00B31A92">
        <w:t>)</w:t>
      </w:r>
    </w:p>
    <w:p w14:paraId="566312BB" w14:textId="77777777" w:rsidR="001C365D" w:rsidRPr="00B31A92" w:rsidRDefault="001C365D" w:rsidP="00673BA2">
      <w:pPr>
        <w:keepNext/>
        <w:ind w:left="1701" w:hanging="1701"/>
        <w:rPr>
          <w:b/>
        </w:rPr>
      </w:pPr>
    </w:p>
    <w:p w14:paraId="475E2E1C" w14:textId="0207AA9D" w:rsidR="00771959" w:rsidRPr="00B31A92" w:rsidRDefault="001C365D" w:rsidP="00771959">
      <w:r w:rsidRPr="00B31A92">
        <w:rPr>
          <w:b/>
        </w:rPr>
        <w:t>Viiteasiakirja</w:t>
      </w:r>
      <w:r w:rsidR="000B139C" w:rsidRPr="00B31A92">
        <w:rPr>
          <w:b/>
        </w:rPr>
        <w:t>t</w:t>
      </w:r>
      <w:r w:rsidRPr="00B31A92">
        <w:rPr>
          <w:b/>
        </w:rPr>
        <w:t>:</w:t>
      </w:r>
      <w:r w:rsidRPr="00B31A92">
        <w:tab/>
      </w:r>
      <w:r w:rsidR="00771959" w:rsidRPr="00B31A92">
        <w:tab/>
        <w:t xml:space="preserve">COM(2016) 461 final </w:t>
      </w:r>
      <w:r w:rsidR="00871CDC" w:rsidRPr="00B31A92">
        <w:softHyphen/>
        <w:t>–</w:t>
      </w:r>
      <w:r w:rsidR="00771959" w:rsidRPr="00B31A92">
        <w:t xml:space="preserve"> 2016/0221 COD</w:t>
      </w:r>
    </w:p>
    <w:p w14:paraId="566312BD" w14:textId="009198BD" w:rsidR="001C365D" w:rsidRPr="00B31A92" w:rsidRDefault="00771959" w:rsidP="00771959">
      <w:pPr>
        <w:keepNext/>
        <w:ind w:left="1701" w:hanging="1701"/>
      </w:pPr>
      <w:r w:rsidRPr="00B31A92">
        <w:tab/>
      </w:r>
      <w:r w:rsidRPr="00B31A92">
        <w:tab/>
        <w:t>EESC-2016-04486-AC-TRA</w:t>
      </w:r>
    </w:p>
    <w:p w14:paraId="10FA8B7D" w14:textId="77777777" w:rsidR="00A263B9" w:rsidRPr="00B31A92" w:rsidRDefault="00A263B9" w:rsidP="00673BA2">
      <w:pPr>
        <w:keepNext/>
        <w:rPr>
          <w:b/>
        </w:rPr>
      </w:pPr>
    </w:p>
    <w:p w14:paraId="566312BE" w14:textId="77777777" w:rsidR="0017469D" w:rsidRPr="00B31A92" w:rsidRDefault="0017469D" w:rsidP="00673BA2">
      <w:pPr>
        <w:keepNext/>
        <w:rPr>
          <w:b/>
        </w:rPr>
      </w:pPr>
      <w:r w:rsidRPr="00B31A92">
        <w:rPr>
          <w:b/>
        </w:rPr>
        <w:t>Keskeiset kohdat:</w:t>
      </w:r>
    </w:p>
    <w:p w14:paraId="566312BF" w14:textId="77777777" w:rsidR="0017469D" w:rsidRPr="00B31A92" w:rsidRDefault="0017469D" w:rsidP="00673BA2">
      <w:pPr>
        <w:keepNext/>
        <w:overflowPunct w:val="0"/>
        <w:autoSpaceDE w:val="0"/>
        <w:autoSpaceDN w:val="0"/>
        <w:adjustRightInd w:val="0"/>
        <w:textAlignment w:val="baseline"/>
        <w:rPr>
          <w:szCs w:val="20"/>
        </w:rPr>
      </w:pPr>
    </w:p>
    <w:p w14:paraId="1F069F65" w14:textId="09270B79" w:rsidR="00A263B9" w:rsidRPr="00B31A92" w:rsidRDefault="00A263B9" w:rsidP="00A263B9">
      <w:pPr>
        <w:keepNext/>
        <w:overflowPunct w:val="0"/>
        <w:autoSpaceDE w:val="0"/>
        <w:autoSpaceDN w:val="0"/>
        <w:adjustRightInd w:val="0"/>
        <w:textAlignment w:val="baseline"/>
      </w:pPr>
      <w:r w:rsidRPr="00B31A92">
        <w:t xml:space="preserve">ETSK pitää tervetulleena ja kannattaa Euroopan komission aloitetta aikaistaa eurooppalaisista riskipääomarahastoista </w:t>
      </w:r>
      <w:r w:rsidR="00796624" w:rsidRPr="00B31A92">
        <w:t xml:space="preserve">(EuVECA) </w:t>
      </w:r>
      <w:r w:rsidRPr="00B31A92">
        <w:t xml:space="preserve">ja eurooppalaisista yhteiskunnalliseen yrittäjyyteen erikoistuneista rahastoista </w:t>
      </w:r>
      <w:r w:rsidR="00796624" w:rsidRPr="00B31A92">
        <w:t xml:space="preserve">(EuSEF) </w:t>
      </w:r>
      <w:r w:rsidRPr="00B31A92">
        <w:t xml:space="preserve">annettujen asetusten tarkistusta. </w:t>
      </w:r>
    </w:p>
    <w:p w14:paraId="78BD3EF1" w14:textId="77777777" w:rsidR="00A263B9" w:rsidRPr="00B31A92" w:rsidRDefault="00A263B9" w:rsidP="00A263B9">
      <w:pPr>
        <w:keepNext/>
        <w:overflowPunct w:val="0"/>
        <w:autoSpaceDE w:val="0"/>
        <w:autoSpaceDN w:val="0"/>
        <w:adjustRightInd w:val="0"/>
        <w:textAlignment w:val="baseline"/>
      </w:pPr>
    </w:p>
    <w:p w14:paraId="0B493943" w14:textId="2688EC33" w:rsidR="00A263B9" w:rsidRPr="00B31A92" w:rsidRDefault="00A263B9" w:rsidP="00A263B9">
      <w:pPr>
        <w:keepNext/>
        <w:overflowPunct w:val="0"/>
        <w:autoSpaceDE w:val="0"/>
        <w:autoSpaceDN w:val="0"/>
        <w:adjustRightInd w:val="0"/>
        <w:textAlignment w:val="baseline"/>
      </w:pPr>
      <w:r w:rsidRPr="00B31A92">
        <w:t xml:space="preserve">ETSK katsoo, että </w:t>
      </w:r>
      <w:r w:rsidR="00796624" w:rsidRPr="00B31A92">
        <w:t>tällaisen</w:t>
      </w:r>
      <w:r w:rsidRPr="00B31A92">
        <w:t xml:space="preserve"> asetuksen avulla voidaan yleisesti ottaen rajoittaa erilaisten kansallisten tulkintojen vaaraa ja tällä tavoin edistää </w:t>
      </w:r>
      <w:r w:rsidR="00796624" w:rsidRPr="00B31A92">
        <w:t>pääomamarkkinaunionin luomista.</w:t>
      </w:r>
    </w:p>
    <w:p w14:paraId="13266C00" w14:textId="77777777" w:rsidR="00A263B9" w:rsidRPr="00B31A92" w:rsidRDefault="00A263B9" w:rsidP="00A263B9">
      <w:pPr>
        <w:keepNext/>
        <w:overflowPunct w:val="0"/>
        <w:autoSpaceDE w:val="0"/>
        <w:autoSpaceDN w:val="0"/>
        <w:adjustRightInd w:val="0"/>
        <w:textAlignment w:val="baseline"/>
      </w:pPr>
    </w:p>
    <w:p w14:paraId="566312C0" w14:textId="1AEF703F" w:rsidR="0017469D" w:rsidRPr="00B31A92" w:rsidRDefault="00A263B9" w:rsidP="00A263B9">
      <w:pPr>
        <w:keepNext/>
        <w:overflowPunct w:val="0"/>
        <w:autoSpaceDE w:val="0"/>
        <w:autoSpaceDN w:val="0"/>
        <w:adjustRightInd w:val="0"/>
        <w:textAlignment w:val="baseline"/>
      </w:pPr>
      <w:r w:rsidRPr="00B31A92">
        <w:t>ETSK toteaa, että EU-tasolla on nykyään jo useita rahoituslähteitä,</w:t>
      </w:r>
      <w:r w:rsidR="00D9677B" w:rsidRPr="00B31A92">
        <w:t xml:space="preserve"> ja komitea</w:t>
      </w:r>
      <w:r w:rsidRPr="00B31A92">
        <w:t xml:space="preserve"> odottaakin, että EuVECA- ja EuSEF-rahastojen uudelleensuuntauksen yhteydessä huolehditaan tiiviistä koordinoinnista</w:t>
      </w:r>
      <w:r w:rsidR="00D9677B" w:rsidRPr="00B31A92">
        <w:t xml:space="preserve"> olemassa olevien lähteiden kanssa</w:t>
      </w:r>
      <w:r w:rsidRPr="00B31A92">
        <w:t>. On pidettävä huolta siitä, että komissio höllentää merkittävästi tähänastisia erittäin rajoittavia hyödyntämiskriteereitä</w:t>
      </w:r>
      <w:r w:rsidR="00D9677B" w:rsidRPr="00B31A92">
        <w:t xml:space="preserve"> sekä muita rajoittavia ehtoja.</w:t>
      </w:r>
    </w:p>
    <w:p w14:paraId="54602BD8" w14:textId="77777777" w:rsidR="00D9677B" w:rsidRPr="00B31A92" w:rsidRDefault="00D9677B" w:rsidP="00A263B9">
      <w:pPr>
        <w:keepNext/>
        <w:overflowPunct w:val="0"/>
        <w:autoSpaceDE w:val="0"/>
        <w:autoSpaceDN w:val="0"/>
        <w:adjustRightInd w:val="0"/>
        <w:textAlignment w:val="baseline"/>
      </w:pPr>
    </w:p>
    <w:p w14:paraId="2E181EC9" w14:textId="6A9D8B07" w:rsidR="00D9677B" w:rsidRPr="00B31A92" w:rsidRDefault="00D9677B" w:rsidP="00D9677B">
      <w:pPr>
        <w:keepNext/>
        <w:overflowPunct w:val="0"/>
        <w:autoSpaceDE w:val="0"/>
        <w:autoSpaceDN w:val="0"/>
        <w:adjustRightInd w:val="0"/>
        <w:textAlignment w:val="baseline"/>
        <w:rPr>
          <w:szCs w:val="20"/>
        </w:rPr>
      </w:pPr>
      <w:r w:rsidRPr="00B31A92">
        <w:rPr>
          <w:szCs w:val="20"/>
        </w:rPr>
        <w:t>Jotta osallistumista tällaisiin sijoitusrahastoihin voidaan laajentaa, ETSK ehdottaa muiden kuin yhteisösijoittajien entistä aktiivisempaa osallistumista.</w:t>
      </w:r>
    </w:p>
    <w:p w14:paraId="6E61CCCC" w14:textId="77777777" w:rsidR="00D9677B" w:rsidRPr="00B31A92" w:rsidRDefault="00D9677B" w:rsidP="00D9677B">
      <w:pPr>
        <w:keepNext/>
        <w:overflowPunct w:val="0"/>
        <w:autoSpaceDE w:val="0"/>
        <w:autoSpaceDN w:val="0"/>
        <w:adjustRightInd w:val="0"/>
        <w:textAlignment w:val="baseline"/>
        <w:rPr>
          <w:szCs w:val="20"/>
        </w:rPr>
      </w:pPr>
    </w:p>
    <w:p w14:paraId="58B1D4E6" w14:textId="1E6895D2" w:rsidR="00D9677B" w:rsidRPr="00B31A92" w:rsidRDefault="00D9677B" w:rsidP="00D9677B">
      <w:pPr>
        <w:keepNext/>
        <w:overflowPunct w:val="0"/>
        <w:autoSpaceDE w:val="0"/>
        <w:autoSpaceDN w:val="0"/>
        <w:adjustRightInd w:val="0"/>
        <w:textAlignment w:val="baseline"/>
        <w:rPr>
          <w:szCs w:val="20"/>
        </w:rPr>
      </w:pPr>
      <w:r w:rsidRPr="00B31A92">
        <w:rPr>
          <w:szCs w:val="20"/>
        </w:rPr>
        <w:t>ETSK:sta vaikuttaa yhtä lailla tärkeältä myös luoda edellytykset sosiaalisten sijoitusrahastojen rahoituskohteiden, kuten yhteiskunnallisten yritysten ja yhteiskunnallisesti suuntautuneiden organisaatioiden,</w:t>
      </w:r>
      <w:r w:rsidR="000361E6" w:rsidRPr="00B31A92">
        <w:rPr>
          <w:szCs w:val="20"/>
        </w:rPr>
        <w:t xml:space="preserve"> suotuisalle kehitykselle.</w:t>
      </w:r>
      <w:r w:rsidRPr="00B31A92">
        <w:rPr>
          <w:szCs w:val="20"/>
        </w:rPr>
        <w:t xml:space="preserve"> </w:t>
      </w:r>
    </w:p>
    <w:p w14:paraId="566312C8" w14:textId="77777777" w:rsidR="0017469D" w:rsidRPr="00B31A92" w:rsidRDefault="0017469D" w:rsidP="00673BA2">
      <w:pPr>
        <w:overflowPunct w:val="0"/>
        <w:autoSpaceDE w:val="0"/>
        <w:autoSpaceDN w:val="0"/>
        <w:adjustRightInd w:val="0"/>
        <w:textAlignment w:val="baseline"/>
        <w:rPr>
          <w:szCs w:val="20"/>
        </w:rPr>
      </w:pPr>
    </w:p>
    <w:p w14:paraId="075D7959" w14:textId="7B28EA86" w:rsidR="00CA619A" w:rsidRPr="00B31A92" w:rsidRDefault="00CA619A" w:rsidP="00CA619A">
      <w:pPr>
        <w:tabs>
          <w:tab w:val="left" w:pos="770"/>
        </w:tabs>
        <w:ind w:left="1560" w:hanging="1560"/>
        <w:rPr>
          <w:rStyle w:val="normal--char"/>
          <w:i/>
          <w:iCs/>
        </w:rPr>
      </w:pPr>
      <w:r w:rsidRPr="00B31A92">
        <w:rPr>
          <w:rStyle w:val="normal--char"/>
          <w:b/>
          <w:i/>
        </w:rPr>
        <w:t>Yhteyshenkilö:</w:t>
      </w:r>
      <w:r w:rsidRPr="00B31A92">
        <w:tab/>
      </w:r>
      <w:r w:rsidR="000B139C" w:rsidRPr="00B31A92">
        <w:tab/>
      </w:r>
      <w:r w:rsidRPr="00B31A92">
        <w:rPr>
          <w:bCs/>
          <w:i/>
          <w:iCs/>
        </w:rPr>
        <w:t>Krisztina Perlaky-Tóth</w:t>
      </w:r>
    </w:p>
    <w:p w14:paraId="566312CA" w14:textId="07F4319E" w:rsidR="0017469D" w:rsidRPr="00B31A92" w:rsidRDefault="00CA619A" w:rsidP="00CA619A">
      <w:pPr>
        <w:overflowPunct w:val="0"/>
        <w:autoSpaceDE w:val="0"/>
        <w:autoSpaceDN w:val="0"/>
        <w:adjustRightInd w:val="0"/>
        <w:ind w:left="1134" w:hanging="1134"/>
        <w:rPr>
          <w:i/>
          <w:iCs/>
        </w:rPr>
      </w:pPr>
      <w:r w:rsidRPr="00B31A92">
        <w:rPr>
          <w:rStyle w:val="normal--char"/>
          <w:i/>
        </w:rPr>
        <w:tab/>
      </w:r>
      <w:r w:rsidRPr="00B31A92">
        <w:rPr>
          <w:rStyle w:val="normal--char"/>
          <w:i/>
        </w:rPr>
        <w:tab/>
        <w:t>(P. +32 25469740 – sähköposti:</w:t>
      </w:r>
      <w:r w:rsidRPr="00B31A92">
        <w:t xml:space="preserve"> </w:t>
      </w:r>
      <w:hyperlink r:id="rId23" w:history="1">
        <w:r w:rsidRPr="00B31A92">
          <w:rPr>
            <w:rStyle w:val="Hyperlink"/>
            <w:i/>
          </w:rPr>
          <w:t>krisztina.perlakytoth@eesc.europa.eu</w:t>
        </w:r>
      </w:hyperlink>
      <w:r w:rsidRPr="00B31A92">
        <w:rPr>
          <w:rStyle w:val="normal--char"/>
          <w:i/>
        </w:rPr>
        <w:t>)</w:t>
      </w:r>
    </w:p>
    <w:p w14:paraId="566312CF" w14:textId="77777777" w:rsidR="00673BA2" w:rsidRPr="00B31A92" w:rsidRDefault="00673BA2" w:rsidP="00673BA2">
      <w:pPr>
        <w:keepNext/>
        <w:rPr>
          <w:b/>
          <w:u w:val="single"/>
        </w:rPr>
      </w:pPr>
      <w:bookmarkStart w:id="3" w:name="_Toc461612785"/>
      <w:bookmarkStart w:id="4" w:name="_Toc461612890"/>
      <w:bookmarkStart w:id="5" w:name="_Toc461613014"/>
      <w:bookmarkStart w:id="6" w:name="_Toc461613173"/>
      <w:bookmarkStart w:id="7" w:name="_Toc461613229"/>
      <w:bookmarkEnd w:id="3"/>
      <w:bookmarkEnd w:id="4"/>
      <w:bookmarkEnd w:id="5"/>
      <w:bookmarkEnd w:id="6"/>
      <w:bookmarkEnd w:id="7"/>
    </w:p>
    <w:p w14:paraId="566312D0" w14:textId="2FED4F6C" w:rsidR="00D504C3" w:rsidRPr="00B31A92" w:rsidRDefault="00C3002E" w:rsidP="00C3002E">
      <w:pPr>
        <w:keepNext/>
        <w:numPr>
          <w:ilvl w:val="0"/>
          <w:numId w:val="5"/>
        </w:numPr>
        <w:overflowPunct w:val="0"/>
        <w:autoSpaceDE w:val="0"/>
        <w:autoSpaceDN w:val="0"/>
        <w:adjustRightInd w:val="0"/>
        <w:ind w:hanging="567"/>
        <w:textAlignment w:val="baseline"/>
        <w:rPr>
          <w:b/>
          <w:i/>
          <w:sz w:val="28"/>
        </w:rPr>
      </w:pPr>
      <w:r w:rsidRPr="00B31A92">
        <w:rPr>
          <w:b/>
          <w:i/>
          <w:sz w:val="28"/>
        </w:rPr>
        <w:t>Euroopan tilasto</w:t>
      </w:r>
      <w:r w:rsidR="00070866" w:rsidRPr="00B31A92">
        <w:rPr>
          <w:b/>
          <w:i/>
          <w:sz w:val="28"/>
        </w:rPr>
        <w:t>-ohjelman jatkaminen (2018–2020</w:t>
      </w:r>
      <w:r w:rsidR="00063BFD" w:rsidRPr="00B31A92">
        <w:rPr>
          <w:b/>
          <w:i/>
          <w:sz w:val="28"/>
        </w:rPr>
        <w:t>)</w:t>
      </w:r>
    </w:p>
    <w:p w14:paraId="566312D1" w14:textId="77777777" w:rsidR="00D504C3" w:rsidRPr="00B31A92" w:rsidRDefault="00D504C3" w:rsidP="00673BA2">
      <w:pPr>
        <w:keepNext/>
      </w:pPr>
    </w:p>
    <w:p w14:paraId="566312D2" w14:textId="682ABC59" w:rsidR="00D504C3" w:rsidRPr="00B31A92" w:rsidRDefault="00D504C3" w:rsidP="00673BA2">
      <w:pPr>
        <w:keepNext/>
        <w:ind w:left="1701" w:hanging="1701"/>
      </w:pPr>
      <w:r w:rsidRPr="00B31A92">
        <w:rPr>
          <w:b/>
        </w:rPr>
        <w:t>Esittelijä:</w:t>
      </w:r>
      <w:r w:rsidRPr="00B31A92">
        <w:tab/>
      </w:r>
      <w:r w:rsidR="00D823D6" w:rsidRPr="00B31A92">
        <w:tab/>
        <w:t>Petru Sorin DANDEA (työntekijät – RO</w:t>
      </w:r>
      <w:r w:rsidRPr="00B31A92">
        <w:t>)</w:t>
      </w:r>
    </w:p>
    <w:p w14:paraId="566312D3" w14:textId="77777777" w:rsidR="00D504C3" w:rsidRPr="00B31A92" w:rsidRDefault="00D504C3" w:rsidP="00673BA2">
      <w:pPr>
        <w:keepNext/>
        <w:ind w:left="1701" w:hanging="1701"/>
      </w:pPr>
    </w:p>
    <w:p w14:paraId="0B9F74A4" w14:textId="19FD9296" w:rsidR="00D823D6" w:rsidRPr="00B31A92" w:rsidRDefault="00D504C3" w:rsidP="00D823D6">
      <w:r w:rsidRPr="00B31A92">
        <w:rPr>
          <w:b/>
        </w:rPr>
        <w:t>Viiteasiakirjat:</w:t>
      </w:r>
      <w:r w:rsidRPr="00B31A92">
        <w:tab/>
      </w:r>
      <w:r w:rsidR="00063BFD" w:rsidRPr="00B31A92">
        <w:tab/>
      </w:r>
      <w:r w:rsidR="00D823D6" w:rsidRPr="00B31A92">
        <w:t xml:space="preserve">COM(2016) 557 final </w:t>
      </w:r>
    </w:p>
    <w:p w14:paraId="566312D5" w14:textId="62D7A254" w:rsidR="00031C70" w:rsidRPr="00B31A92" w:rsidRDefault="00D823D6" w:rsidP="00D823D6">
      <w:pPr>
        <w:keepNext/>
        <w:ind w:left="1701" w:hanging="1701"/>
      </w:pPr>
      <w:r w:rsidRPr="00B31A92">
        <w:tab/>
      </w:r>
      <w:r w:rsidRPr="00B31A92">
        <w:tab/>
        <w:t>EESC-2016-05294-00-00-AC-TRA</w:t>
      </w:r>
    </w:p>
    <w:p w14:paraId="566312D6" w14:textId="77777777" w:rsidR="00D504C3" w:rsidRPr="00B31A92" w:rsidRDefault="00D504C3" w:rsidP="00673BA2">
      <w:pPr>
        <w:keepNext/>
        <w:tabs>
          <w:tab w:val="left" w:pos="1620"/>
        </w:tabs>
      </w:pPr>
    </w:p>
    <w:p w14:paraId="566312D7" w14:textId="77777777" w:rsidR="00D504C3" w:rsidRPr="00B31A92" w:rsidRDefault="00D504C3" w:rsidP="00673BA2">
      <w:pPr>
        <w:keepNext/>
        <w:rPr>
          <w:b/>
        </w:rPr>
      </w:pPr>
      <w:r w:rsidRPr="00B31A92">
        <w:rPr>
          <w:b/>
        </w:rPr>
        <w:t>Keskeiset kohdat:</w:t>
      </w:r>
    </w:p>
    <w:p w14:paraId="566312D8" w14:textId="77777777" w:rsidR="00797F04" w:rsidRPr="00B31A92" w:rsidRDefault="00797F04" w:rsidP="00673BA2">
      <w:pPr>
        <w:keepNext/>
      </w:pPr>
    </w:p>
    <w:p w14:paraId="37402AA8" w14:textId="77777777" w:rsidR="00FE0BF9" w:rsidRPr="00B31A92" w:rsidRDefault="00FE0BF9" w:rsidP="00D40041">
      <w:pPr>
        <w:keepNext/>
      </w:pPr>
      <w:r w:rsidRPr="00B31A92">
        <w:t>ETSK</w:t>
      </w:r>
    </w:p>
    <w:p w14:paraId="32FD87EB" w14:textId="77777777" w:rsidR="00FE0BF9" w:rsidRPr="00B31A92" w:rsidRDefault="00FE0BF9" w:rsidP="00D40041">
      <w:pPr>
        <w:keepNext/>
      </w:pPr>
    </w:p>
    <w:p w14:paraId="727F0CC8" w14:textId="33B14700" w:rsidR="00D40041" w:rsidRPr="00B31A92" w:rsidRDefault="00D40041" w:rsidP="00602D6A">
      <w:pPr>
        <w:pStyle w:val="ListParagraph"/>
        <w:numPr>
          <w:ilvl w:val="0"/>
          <w:numId w:val="177"/>
        </w:numPr>
        <w:tabs>
          <w:tab w:val="clear" w:pos="0"/>
        </w:tabs>
        <w:ind w:left="284"/>
      </w:pPr>
      <w:r w:rsidRPr="00B31A92">
        <w:t xml:space="preserve">suhtautuu myönteisesti ja kannattaa komission ehdotusta jatkaa Euroopan tilasto-ohjelmaa vuosina 2018–2020 ja pitää komission valitsemaa toimintavaihtoehtoa tervetulleena.  </w:t>
      </w:r>
    </w:p>
    <w:p w14:paraId="26C11A13" w14:textId="4540B25F" w:rsidR="00D40041" w:rsidRPr="00B31A92" w:rsidRDefault="00D40041" w:rsidP="00602D6A">
      <w:pPr>
        <w:pStyle w:val="ListParagraph"/>
        <w:numPr>
          <w:ilvl w:val="0"/>
          <w:numId w:val="177"/>
        </w:numPr>
        <w:tabs>
          <w:tab w:val="clear" w:pos="0"/>
        </w:tabs>
        <w:ind w:left="284"/>
      </w:pPr>
      <w:r w:rsidRPr="00B31A92">
        <w:t xml:space="preserve">katsoo, </w:t>
      </w:r>
      <w:r w:rsidR="001259B7" w:rsidRPr="00B31A92">
        <w:t>että on parannettava olemassa olevia</w:t>
      </w:r>
      <w:r w:rsidRPr="00B31A92">
        <w:t xml:space="preserve"> tuottei</w:t>
      </w:r>
      <w:r w:rsidR="001259B7" w:rsidRPr="00B31A92">
        <w:t xml:space="preserve">ta </w:t>
      </w:r>
      <w:r w:rsidRPr="00B31A92">
        <w:t xml:space="preserve">ja </w:t>
      </w:r>
      <w:r w:rsidR="001259B7" w:rsidRPr="00B31A92">
        <w:t xml:space="preserve">kehitettävä </w:t>
      </w:r>
      <w:r w:rsidRPr="00B31A92">
        <w:t>uusi</w:t>
      </w:r>
      <w:r w:rsidR="001259B7" w:rsidRPr="00B31A92">
        <w:t>a tuotteita</w:t>
      </w:r>
      <w:r w:rsidRPr="00B31A92">
        <w:t xml:space="preserve">, joilla mitataan EU:n edistymistä Yhdistyneiden Kansakuntien kestävän kehityksen strategian saavuttamisessa. </w:t>
      </w:r>
    </w:p>
    <w:p w14:paraId="5E6FF1F9" w14:textId="37DAFA4E" w:rsidR="00D40041" w:rsidRPr="00B31A92" w:rsidRDefault="00D40041" w:rsidP="00602D6A">
      <w:pPr>
        <w:pStyle w:val="ListParagraph"/>
        <w:numPr>
          <w:ilvl w:val="0"/>
          <w:numId w:val="177"/>
        </w:numPr>
        <w:tabs>
          <w:tab w:val="clear" w:pos="0"/>
        </w:tabs>
        <w:ind w:left="284"/>
      </w:pPr>
      <w:r w:rsidRPr="00B31A92">
        <w:t xml:space="preserve">kehottaa komissiota </w:t>
      </w:r>
      <w:r w:rsidR="001259B7" w:rsidRPr="00B31A92">
        <w:t xml:space="preserve">edistämään </w:t>
      </w:r>
      <w:r w:rsidRPr="00B31A92">
        <w:t>tilastollis</w:t>
      </w:r>
      <w:r w:rsidR="001259B7" w:rsidRPr="00B31A92">
        <w:t>ta</w:t>
      </w:r>
      <w:r w:rsidRPr="00B31A92">
        <w:t xml:space="preserve"> tutkimus</w:t>
      </w:r>
      <w:r w:rsidR="001259B7" w:rsidRPr="00B31A92">
        <w:t>ta</w:t>
      </w:r>
      <w:r w:rsidRPr="00B31A92">
        <w:t xml:space="preserve"> vapaaehtoistoiminnan</w:t>
      </w:r>
      <w:r w:rsidR="001259B7" w:rsidRPr="00B31A92">
        <w:t xml:space="preserve"> tuottaman taloudellisen arvon mittaamiseksi.</w:t>
      </w:r>
    </w:p>
    <w:p w14:paraId="1581BC33" w14:textId="5E6559B2" w:rsidR="00D40041" w:rsidRPr="00B31A92" w:rsidRDefault="001259B7" w:rsidP="00602D6A">
      <w:pPr>
        <w:pStyle w:val="ListParagraph"/>
        <w:numPr>
          <w:ilvl w:val="0"/>
          <w:numId w:val="177"/>
        </w:numPr>
        <w:tabs>
          <w:tab w:val="clear" w:pos="0"/>
        </w:tabs>
        <w:ind w:left="284"/>
      </w:pPr>
      <w:r w:rsidRPr="00B31A92">
        <w:t>katsoo, että</w:t>
      </w:r>
      <w:r w:rsidR="00D40041" w:rsidRPr="00B31A92">
        <w:t xml:space="preserve"> komission ehdottamien globalisaatiota mittaavien uusien tilastotuotteiden yhteyteen on syytä lisätä myös tilastotutkimuksia, joiden avulla voidaan mitata sisämarkkinoihin kohdistuvia myönt</w:t>
      </w:r>
      <w:r w:rsidRPr="00B31A92">
        <w:t>eisiä tai kielteisiä seurauksia</w:t>
      </w:r>
      <w:r w:rsidR="009501C1" w:rsidRPr="00B31A92">
        <w:t>.</w:t>
      </w:r>
    </w:p>
    <w:p w14:paraId="2D1DBDEE" w14:textId="4D94B31C" w:rsidR="00D40041" w:rsidRPr="00B31A92" w:rsidRDefault="009501C1" w:rsidP="00602D6A">
      <w:pPr>
        <w:pStyle w:val="ListParagraph"/>
        <w:numPr>
          <w:ilvl w:val="0"/>
          <w:numId w:val="177"/>
        </w:numPr>
        <w:tabs>
          <w:tab w:val="clear" w:pos="0"/>
        </w:tabs>
        <w:ind w:left="284"/>
      </w:pPr>
      <w:r w:rsidRPr="00B31A92">
        <w:t>suosittaa, että muuttoliikettä ja turvapaikka-asioita koskevien tilastojen puutteet kartoitetaan nopeasti ja korjataan.</w:t>
      </w:r>
    </w:p>
    <w:p w14:paraId="11192CD5" w14:textId="5E80E1BB" w:rsidR="00D40041" w:rsidRPr="00B31A92" w:rsidRDefault="00D40041" w:rsidP="00602D6A">
      <w:pPr>
        <w:pStyle w:val="ListParagraph"/>
        <w:numPr>
          <w:ilvl w:val="0"/>
          <w:numId w:val="177"/>
        </w:numPr>
        <w:tabs>
          <w:tab w:val="clear" w:pos="0"/>
        </w:tabs>
        <w:ind w:left="284"/>
      </w:pPr>
      <w:r w:rsidRPr="00B31A92">
        <w:t xml:space="preserve">kannattaa komission ehdotusta käynnistää selvitystyö uuden EU:n tasoisen sosiaalitutkimuksen valmistelemiseksi.  </w:t>
      </w:r>
    </w:p>
    <w:p w14:paraId="42B0B84D" w14:textId="42F627BB" w:rsidR="00D40041" w:rsidRPr="00B31A92" w:rsidRDefault="00D40041" w:rsidP="00016452">
      <w:pPr>
        <w:pStyle w:val="ListParagraph"/>
        <w:numPr>
          <w:ilvl w:val="0"/>
          <w:numId w:val="177"/>
        </w:numPr>
        <w:tabs>
          <w:tab w:val="clear" w:pos="0"/>
        </w:tabs>
        <w:ind w:left="284"/>
      </w:pPr>
      <w:r w:rsidRPr="00B31A92">
        <w:t>suosittaa, että jäsenvaltiot lisäävät investointejaan Euroopan tilastojärjestelmän kehittämiseksi</w:t>
      </w:r>
      <w:r w:rsidR="00016452" w:rsidRPr="00B31A92">
        <w:t xml:space="preserve"> ja </w:t>
      </w:r>
      <w:r w:rsidRPr="00B31A92">
        <w:t>pyy</w:t>
      </w:r>
      <w:r w:rsidR="00893858" w:rsidRPr="00B31A92">
        <w:t>tää</w:t>
      </w:r>
      <w:r w:rsidRPr="00B31A92">
        <w:t xml:space="preserve"> osoitta</w:t>
      </w:r>
      <w:r w:rsidR="00893858" w:rsidRPr="00B31A92">
        <w:t>maan</w:t>
      </w:r>
      <w:r w:rsidRPr="00B31A92">
        <w:t xml:space="preserve"> Eurostatille ja kansallisille tilastolaitoksille </w:t>
      </w:r>
      <w:r w:rsidR="00016452" w:rsidRPr="00B31A92">
        <w:t>parhaat mahdolliset</w:t>
      </w:r>
      <w:r w:rsidRPr="00B31A92">
        <w:t xml:space="preserve"> henkilöstö</w:t>
      </w:r>
      <w:r w:rsidR="00016452" w:rsidRPr="00B31A92">
        <w:t>-</w:t>
      </w:r>
      <w:r w:rsidRPr="00B31A92">
        <w:t xml:space="preserve"> sekä aineellis</w:t>
      </w:r>
      <w:r w:rsidR="00016452" w:rsidRPr="00B31A92">
        <w:t>et</w:t>
      </w:r>
      <w:r w:rsidRPr="00B31A92">
        <w:t xml:space="preserve"> ja tietotekniikkaresurss</w:t>
      </w:r>
      <w:r w:rsidR="00016452" w:rsidRPr="00B31A92">
        <w:t>it</w:t>
      </w:r>
      <w:r w:rsidRPr="00B31A92">
        <w:t>,</w:t>
      </w:r>
      <w:r w:rsidR="00602D6A" w:rsidRPr="00B31A92">
        <w:t xml:space="preserve"> mutta tä</w:t>
      </w:r>
      <w:r w:rsidR="00016452" w:rsidRPr="00B31A92">
        <w:t>mä</w:t>
      </w:r>
      <w:r w:rsidR="00602D6A" w:rsidRPr="00B31A92">
        <w:t xml:space="preserve"> </w:t>
      </w:r>
      <w:r w:rsidRPr="00B31A92">
        <w:t xml:space="preserve">ei </w:t>
      </w:r>
      <w:r w:rsidR="00602D6A" w:rsidRPr="00B31A92">
        <w:t xml:space="preserve">kuitenkaan saa </w:t>
      </w:r>
      <w:r w:rsidRPr="00B31A92">
        <w:t>joh</w:t>
      </w:r>
      <w:r w:rsidR="00602D6A" w:rsidRPr="00B31A92">
        <w:t>taa</w:t>
      </w:r>
      <w:r w:rsidRPr="00B31A92">
        <w:t xml:space="preserve"> tietojen antajiin, kotitalouksiin tai yrityksiin kohdistuvan hallinnollisen paineen liialliseen kasvuun. </w:t>
      </w:r>
    </w:p>
    <w:p w14:paraId="2C0B0637" w14:textId="77777777" w:rsidR="00602D6A" w:rsidRPr="00B31A92" w:rsidRDefault="00602D6A" w:rsidP="008D65B3">
      <w:pPr>
        <w:tabs>
          <w:tab w:val="left" w:pos="770"/>
        </w:tabs>
        <w:ind w:left="1560" w:hanging="1560"/>
        <w:rPr>
          <w:rStyle w:val="normal--char"/>
          <w:b/>
          <w:i/>
        </w:rPr>
      </w:pPr>
    </w:p>
    <w:p w14:paraId="69916E8F" w14:textId="6BBA1E4D" w:rsidR="008D65B3" w:rsidRPr="00B31A92" w:rsidRDefault="008D65B3" w:rsidP="008D65B3">
      <w:pPr>
        <w:tabs>
          <w:tab w:val="left" w:pos="770"/>
        </w:tabs>
        <w:ind w:left="1560" w:hanging="1560"/>
        <w:rPr>
          <w:rStyle w:val="normal--char"/>
          <w:i/>
          <w:iCs/>
        </w:rPr>
      </w:pPr>
      <w:r w:rsidRPr="00B31A92">
        <w:rPr>
          <w:rStyle w:val="normal--char"/>
          <w:b/>
          <w:i/>
        </w:rPr>
        <w:t>Yhteyshenkilö:</w:t>
      </w:r>
      <w:r w:rsidRPr="00B31A92">
        <w:tab/>
      </w:r>
      <w:r w:rsidR="000B139C" w:rsidRPr="00B31A92">
        <w:tab/>
      </w:r>
      <w:r w:rsidRPr="00B31A92">
        <w:rPr>
          <w:bCs/>
          <w:i/>
          <w:iCs/>
        </w:rPr>
        <w:t>Krisztina Perlaky-Tóth</w:t>
      </w:r>
    </w:p>
    <w:p w14:paraId="0B4B6055" w14:textId="77777777" w:rsidR="008D65B3" w:rsidRPr="00B31A92" w:rsidRDefault="008D65B3" w:rsidP="008D65B3">
      <w:pPr>
        <w:overflowPunct w:val="0"/>
        <w:autoSpaceDE w:val="0"/>
        <w:autoSpaceDN w:val="0"/>
        <w:adjustRightInd w:val="0"/>
        <w:ind w:left="1134" w:hanging="1134"/>
        <w:rPr>
          <w:i/>
          <w:iCs/>
        </w:rPr>
      </w:pPr>
      <w:r w:rsidRPr="00B31A92">
        <w:rPr>
          <w:rStyle w:val="normal--char"/>
          <w:i/>
        </w:rPr>
        <w:tab/>
      </w:r>
      <w:r w:rsidRPr="00B31A92">
        <w:rPr>
          <w:rStyle w:val="normal--char"/>
          <w:i/>
        </w:rPr>
        <w:tab/>
        <w:t>(P. +32 25469740 – sähköposti:</w:t>
      </w:r>
      <w:r w:rsidRPr="00B31A92">
        <w:t xml:space="preserve"> </w:t>
      </w:r>
      <w:hyperlink r:id="rId24" w:history="1">
        <w:r w:rsidRPr="00B31A92">
          <w:rPr>
            <w:rStyle w:val="Hyperlink"/>
            <w:i/>
          </w:rPr>
          <w:t>krisztina.perlakytoth@eesc.europa.eu</w:t>
        </w:r>
      </w:hyperlink>
      <w:r w:rsidRPr="00B31A92">
        <w:rPr>
          <w:rStyle w:val="normal--char"/>
          <w:i/>
        </w:rPr>
        <w:t>)</w:t>
      </w:r>
    </w:p>
    <w:p w14:paraId="566312E4" w14:textId="77777777" w:rsidR="008D270E" w:rsidRPr="00B31A92" w:rsidRDefault="008D270E" w:rsidP="00673BA2">
      <w:pPr>
        <w:rPr>
          <w:bCs/>
          <w:iCs/>
        </w:rPr>
      </w:pPr>
    </w:p>
    <w:p w14:paraId="2EA8A55F" w14:textId="77777777" w:rsidR="00C169F8" w:rsidRPr="00B31A92" w:rsidRDefault="00C169F8" w:rsidP="00673BA2">
      <w:pPr>
        <w:rPr>
          <w:bCs/>
          <w:iCs/>
        </w:rPr>
      </w:pPr>
    </w:p>
    <w:p w14:paraId="566312E5" w14:textId="51A29274" w:rsidR="0064336B" w:rsidRPr="00B31A92" w:rsidRDefault="00620A22" w:rsidP="00620A22">
      <w:pPr>
        <w:keepNext/>
        <w:numPr>
          <w:ilvl w:val="0"/>
          <w:numId w:val="5"/>
        </w:numPr>
        <w:overflowPunct w:val="0"/>
        <w:autoSpaceDE w:val="0"/>
        <w:autoSpaceDN w:val="0"/>
        <w:adjustRightInd w:val="0"/>
        <w:ind w:hanging="567"/>
        <w:textAlignment w:val="baseline"/>
        <w:rPr>
          <w:b/>
          <w:i/>
          <w:sz w:val="28"/>
        </w:rPr>
      </w:pPr>
      <w:r w:rsidRPr="00B31A92">
        <w:rPr>
          <w:b/>
          <w:i/>
          <w:sz w:val="28"/>
        </w:rPr>
        <w:t>ESIR-rahaston voimassaoloajan pidentäminen (ESIR 2.0)</w:t>
      </w:r>
    </w:p>
    <w:p w14:paraId="566312E6" w14:textId="77777777" w:rsidR="00D504C3" w:rsidRPr="00B31A92" w:rsidRDefault="00D504C3" w:rsidP="00673BA2">
      <w:pPr>
        <w:keepNext/>
        <w:rPr>
          <w:i/>
          <w:sz w:val="16"/>
          <w:szCs w:val="16"/>
        </w:rPr>
      </w:pPr>
    </w:p>
    <w:p w14:paraId="566312E7" w14:textId="484C861F" w:rsidR="000D59D3" w:rsidRPr="00B31A92" w:rsidRDefault="000D59D3" w:rsidP="00673BA2">
      <w:pPr>
        <w:keepNext/>
        <w:ind w:left="1701" w:hanging="1701"/>
      </w:pPr>
      <w:r w:rsidRPr="00B31A92">
        <w:rPr>
          <w:b/>
        </w:rPr>
        <w:t>Esittelijä:</w:t>
      </w:r>
      <w:r w:rsidRPr="00B31A92">
        <w:tab/>
      </w:r>
      <w:r w:rsidR="00675502" w:rsidRPr="00B31A92">
        <w:tab/>
        <w:t xml:space="preserve">Alberto MAZZOLA </w:t>
      </w:r>
      <w:r w:rsidRPr="00B31A92">
        <w:t>(työn</w:t>
      </w:r>
      <w:r w:rsidR="00675502" w:rsidRPr="00B31A92">
        <w:t>antajat – IT</w:t>
      </w:r>
      <w:r w:rsidRPr="00B31A92">
        <w:t>)</w:t>
      </w:r>
    </w:p>
    <w:p w14:paraId="566312E8" w14:textId="77777777" w:rsidR="00464A26" w:rsidRPr="00B31A92" w:rsidRDefault="00464A26" w:rsidP="00673BA2">
      <w:pPr>
        <w:keepNext/>
        <w:ind w:left="1701" w:hanging="1701"/>
        <w:rPr>
          <w:sz w:val="16"/>
          <w:szCs w:val="16"/>
        </w:rPr>
      </w:pPr>
    </w:p>
    <w:p w14:paraId="7A036375" w14:textId="3AC234D2" w:rsidR="00675502" w:rsidRPr="00B31A92" w:rsidRDefault="000D59D3" w:rsidP="00675502">
      <w:pPr>
        <w:tabs>
          <w:tab w:val="left" w:pos="1980"/>
        </w:tabs>
      </w:pPr>
      <w:r w:rsidRPr="00B31A92">
        <w:rPr>
          <w:b/>
        </w:rPr>
        <w:t>Viiteasiakirjat:</w:t>
      </w:r>
      <w:r w:rsidRPr="00B31A92">
        <w:tab/>
      </w:r>
      <w:r w:rsidR="00675502" w:rsidRPr="00B31A92">
        <w:tab/>
        <w:t>COM(20016) 597 final</w:t>
      </w:r>
    </w:p>
    <w:p w14:paraId="566312EA" w14:textId="27AD8ED0" w:rsidR="000D59D3" w:rsidRPr="00B31A92" w:rsidRDefault="00675502" w:rsidP="00C169F8">
      <w:pPr>
        <w:ind w:left="1701" w:hanging="1701"/>
      </w:pPr>
      <w:r w:rsidRPr="00B31A92">
        <w:tab/>
      </w:r>
      <w:r w:rsidRPr="00B31A92">
        <w:tab/>
        <w:t>EESC-2016-05518-00-00-AC-TRA</w:t>
      </w:r>
    </w:p>
    <w:p w14:paraId="566312EB" w14:textId="77777777" w:rsidR="000D59D3" w:rsidRPr="00B31A92" w:rsidRDefault="000D59D3" w:rsidP="00673BA2">
      <w:pPr>
        <w:keepNext/>
        <w:ind w:left="-5"/>
        <w:rPr>
          <w:b/>
          <w:sz w:val="16"/>
          <w:szCs w:val="16"/>
        </w:rPr>
      </w:pPr>
    </w:p>
    <w:p w14:paraId="566312EC" w14:textId="77777777" w:rsidR="000D59D3" w:rsidRPr="00B31A92" w:rsidRDefault="000D59D3" w:rsidP="00C169F8">
      <w:pPr>
        <w:keepLines/>
        <w:ind w:left="-5"/>
        <w:rPr>
          <w:b/>
        </w:rPr>
      </w:pPr>
      <w:r w:rsidRPr="00B31A92">
        <w:rPr>
          <w:b/>
        </w:rPr>
        <w:t>Keskeiset kohdat:</w:t>
      </w:r>
    </w:p>
    <w:p w14:paraId="566312ED" w14:textId="77777777" w:rsidR="005207E3" w:rsidRPr="00B31A92" w:rsidRDefault="005207E3" w:rsidP="00C169F8">
      <w:pPr>
        <w:keepLines/>
        <w:rPr>
          <w:bCs/>
          <w:sz w:val="16"/>
          <w:szCs w:val="16"/>
        </w:rPr>
      </w:pPr>
    </w:p>
    <w:p w14:paraId="4BFBDB42" w14:textId="4C619C7C" w:rsidR="004066D3" w:rsidRPr="00B31A92" w:rsidRDefault="004066D3" w:rsidP="00C169F8">
      <w:pPr>
        <w:keepLines/>
      </w:pPr>
      <w:r w:rsidRPr="00B31A92">
        <w:t>ETSK puoltaa voimakkaasti komission aloitetta, jonka tavoitteena on pidentää ESIR</w:t>
      </w:r>
      <w:r w:rsidR="00704639" w:rsidRPr="00B31A92">
        <w:t>in</w:t>
      </w:r>
      <w:r w:rsidRPr="00B31A92">
        <w:t xml:space="preserve"> voimassaol</w:t>
      </w:r>
      <w:r w:rsidR="00704639" w:rsidRPr="00B31A92">
        <w:t xml:space="preserve">oaikaa ja lisätä sen rahoitusta, ja </w:t>
      </w:r>
      <w:r w:rsidRPr="00B31A92">
        <w:t xml:space="preserve">on tyytyväinen ensimmäisen vuoden aikana saavutettuihin myönteisiin tuloksiin </w:t>
      </w:r>
      <w:r w:rsidR="00704639" w:rsidRPr="00B31A92">
        <w:t>sekä</w:t>
      </w:r>
      <w:r w:rsidRPr="00B31A92">
        <w:t xml:space="preserve"> pitää pk-yritysten "investointi-ikkunaa" menestyksenä. </w:t>
      </w:r>
    </w:p>
    <w:p w14:paraId="4FB72D6F" w14:textId="77777777" w:rsidR="004066D3" w:rsidRPr="00B31A92" w:rsidRDefault="004066D3" w:rsidP="004066D3">
      <w:pPr>
        <w:keepNext/>
      </w:pPr>
    </w:p>
    <w:p w14:paraId="0F9DD9D4" w14:textId="77777777" w:rsidR="00704639" w:rsidRPr="00B31A92" w:rsidRDefault="004066D3" w:rsidP="004066D3">
      <w:pPr>
        <w:keepNext/>
      </w:pPr>
      <w:r w:rsidRPr="00B31A92">
        <w:t>Komitea</w:t>
      </w:r>
      <w:r w:rsidR="00704639" w:rsidRPr="00B31A92">
        <w:br/>
      </w:r>
    </w:p>
    <w:p w14:paraId="4156E7AC" w14:textId="75163134" w:rsidR="004066D3" w:rsidRPr="00B31A92" w:rsidRDefault="00F85028" w:rsidP="00351877">
      <w:pPr>
        <w:pStyle w:val="ListParagraph"/>
        <w:numPr>
          <w:ilvl w:val="0"/>
          <w:numId w:val="177"/>
        </w:numPr>
        <w:tabs>
          <w:tab w:val="clear" w:pos="0"/>
        </w:tabs>
        <w:ind w:left="284"/>
      </w:pPr>
      <w:r w:rsidRPr="00B31A92">
        <w:t>suosittaa, että</w:t>
      </w:r>
      <w:r w:rsidR="004066D3" w:rsidRPr="00B31A92">
        <w:t xml:space="preserve"> ESIR 2.0:ssa pyr</w:t>
      </w:r>
      <w:r w:rsidRPr="00B31A92">
        <w:t>ittäisiin</w:t>
      </w:r>
      <w:r w:rsidR="004066D3" w:rsidRPr="00B31A92">
        <w:t xml:space="preserve"> yhä suurempaan yksityisen pääoman osuuteen. </w:t>
      </w:r>
    </w:p>
    <w:p w14:paraId="37F7615B" w14:textId="77777777" w:rsidR="00E152B1" w:rsidRPr="00B31A92" w:rsidRDefault="004066D3" w:rsidP="00351877">
      <w:pPr>
        <w:pStyle w:val="ListParagraph"/>
        <w:numPr>
          <w:ilvl w:val="0"/>
          <w:numId w:val="177"/>
        </w:numPr>
        <w:tabs>
          <w:tab w:val="clear" w:pos="0"/>
        </w:tabs>
        <w:ind w:left="284"/>
      </w:pPr>
      <w:r w:rsidRPr="00B31A92">
        <w:t>korostaa, että markkinapainotteisuudesta tulee pitää kiinni ja ESIR-rahaston täydentävyyttä tulee vahvistaa.</w:t>
      </w:r>
    </w:p>
    <w:p w14:paraId="4BA79781" w14:textId="54730A67" w:rsidR="004066D3" w:rsidRPr="00B31A92" w:rsidRDefault="00E152B1" w:rsidP="00351877">
      <w:pPr>
        <w:pStyle w:val="ListParagraph"/>
        <w:numPr>
          <w:ilvl w:val="0"/>
          <w:numId w:val="177"/>
        </w:numPr>
        <w:tabs>
          <w:tab w:val="clear" w:pos="0"/>
        </w:tabs>
        <w:ind w:left="284"/>
      </w:pPr>
      <w:r w:rsidRPr="00B31A92">
        <w:t>toivoo entistä tasapainoisempaa</w:t>
      </w:r>
      <w:r w:rsidR="004066D3" w:rsidRPr="00B31A92">
        <w:t xml:space="preserve"> maantieteellinen ka</w:t>
      </w:r>
      <w:r w:rsidRPr="00B31A92">
        <w:t>ttavuutta EU:ssa.</w:t>
      </w:r>
    </w:p>
    <w:p w14:paraId="776C0820" w14:textId="13D0A905" w:rsidR="004066D3" w:rsidRPr="00B31A92" w:rsidRDefault="00351877" w:rsidP="00351877">
      <w:pPr>
        <w:pStyle w:val="ListParagraph"/>
        <w:numPr>
          <w:ilvl w:val="0"/>
          <w:numId w:val="177"/>
        </w:numPr>
        <w:tabs>
          <w:tab w:val="clear" w:pos="0"/>
        </w:tabs>
        <w:ind w:left="284"/>
      </w:pPr>
      <w:r w:rsidRPr="00B31A92">
        <w:t>kehottaa vahvistamaan ESIR-rahaston sosiaalista ulottuvuutta.</w:t>
      </w:r>
    </w:p>
    <w:p w14:paraId="1705A201" w14:textId="73335855" w:rsidR="00351877" w:rsidRPr="00B31A92" w:rsidRDefault="00351877" w:rsidP="00351877">
      <w:pPr>
        <w:pStyle w:val="ListParagraph"/>
        <w:numPr>
          <w:ilvl w:val="0"/>
          <w:numId w:val="177"/>
        </w:numPr>
        <w:tabs>
          <w:tab w:val="clear" w:pos="0"/>
        </w:tabs>
        <w:ind w:left="284"/>
      </w:pPr>
      <w:r w:rsidRPr="00B31A92">
        <w:t>kannattaa ESIR-rahaston käyttämistä sen edistämiseen, että kehitetään Euroopan puolustusalalle yhteinen teollinen ja kaksikäyttötekniikan perusta.</w:t>
      </w:r>
    </w:p>
    <w:p w14:paraId="15965B12" w14:textId="4E24C200" w:rsidR="004066D3" w:rsidRPr="00B31A92" w:rsidRDefault="004066D3" w:rsidP="00351877">
      <w:pPr>
        <w:pStyle w:val="ListParagraph"/>
        <w:numPr>
          <w:ilvl w:val="0"/>
          <w:numId w:val="177"/>
        </w:numPr>
        <w:tabs>
          <w:tab w:val="clear" w:pos="0"/>
        </w:tabs>
        <w:ind w:left="284"/>
      </w:pPr>
      <w:r w:rsidRPr="00B31A92">
        <w:t>kehottaa vahvistamaan Euroo</w:t>
      </w:r>
      <w:r w:rsidR="00E152B1" w:rsidRPr="00B31A92">
        <w:t>pan investointineuvontakeskusta</w:t>
      </w:r>
      <w:r w:rsidRPr="00B31A92">
        <w:t xml:space="preserve">. </w:t>
      </w:r>
    </w:p>
    <w:p w14:paraId="21F49B6B" w14:textId="4CCCF2D5" w:rsidR="004066D3" w:rsidRPr="00B31A92" w:rsidRDefault="004066D3" w:rsidP="00351877">
      <w:pPr>
        <w:pStyle w:val="ListParagraph"/>
        <w:numPr>
          <w:ilvl w:val="0"/>
          <w:numId w:val="177"/>
        </w:numPr>
        <w:tabs>
          <w:tab w:val="clear" w:pos="0"/>
        </w:tabs>
        <w:ind w:left="284"/>
      </w:pPr>
      <w:r w:rsidRPr="00B31A92">
        <w:t>suosittaa ESIR</w:t>
      </w:r>
      <w:r w:rsidR="00E152B1" w:rsidRPr="00B31A92">
        <w:t>-rahaston tunnettuuden lisäämistä.</w:t>
      </w:r>
    </w:p>
    <w:p w14:paraId="566312F4" w14:textId="77777777" w:rsidR="005207E3" w:rsidRPr="00B31A92" w:rsidRDefault="005207E3" w:rsidP="00673BA2">
      <w:pPr>
        <w:rPr>
          <w:bCs/>
        </w:rPr>
      </w:pPr>
    </w:p>
    <w:p w14:paraId="3F0FB970" w14:textId="5E2957E6" w:rsidR="00675502" w:rsidRPr="00B31A92" w:rsidRDefault="00675502" w:rsidP="00675502">
      <w:pPr>
        <w:tabs>
          <w:tab w:val="left" w:pos="770"/>
        </w:tabs>
        <w:ind w:left="1560" w:hanging="1560"/>
        <w:rPr>
          <w:rStyle w:val="normal--char"/>
          <w:i/>
          <w:iCs/>
        </w:rPr>
      </w:pPr>
      <w:r w:rsidRPr="00B31A92">
        <w:rPr>
          <w:rStyle w:val="normal--char"/>
          <w:b/>
          <w:i/>
        </w:rPr>
        <w:t>Yhteyshenkilö:</w:t>
      </w:r>
      <w:r w:rsidRPr="00B31A92">
        <w:tab/>
      </w:r>
      <w:r w:rsidR="000B139C" w:rsidRPr="00B31A92">
        <w:tab/>
      </w:r>
      <w:r w:rsidRPr="00B31A92">
        <w:rPr>
          <w:bCs/>
          <w:i/>
          <w:iCs/>
        </w:rPr>
        <w:t>Krisztina Perlaky-Tóth</w:t>
      </w:r>
    </w:p>
    <w:p w14:paraId="5949DFB1" w14:textId="77777777" w:rsidR="00675502" w:rsidRPr="00B31A92" w:rsidRDefault="00675502" w:rsidP="00675502">
      <w:pPr>
        <w:overflowPunct w:val="0"/>
        <w:autoSpaceDE w:val="0"/>
        <w:autoSpaceDN w:val="0"/>
        <w:adjustRightInd w:val="0"/>
        <w:ind w:left="1134" w:hanging="1134"/>
        <w:rPr>
          <w:i/>
          <w:iCs/>
        </w:rPr>
      </w:pPr>
      <w:r w:rsidRPr="00B31A92">
        <w:rPr>
          <w:rStyle w:val="normal--char"/>
          <w:i/>
        </w:rPr>
        <w:tab/>
      </w:r>
      <w:r w:rsidRPr="00B31A92">
        <w:rPr>
          <w:rStyle w:val="normal--char"/>
          <w:i/>
        </w:rPr>
        <w:tab/>
        <w:t>(P. +32 25469740 – sähköposti:</w:t>
      </w:r>
      <w:r w:rsidRPr="00B31A92">
        <w:t xml:space="preserve"> </w:t>
      </w:r>
      <w:hyperlink r:id="rId25" w:history="1">
        <w:r w:rsidRPr="00B31A92">
          <w:rPr>
            <w:rStyle w:val="Hyperlink"/>
            <w:i/>
          </w:rPr>
          <w:t>krisztina.perlakytoth@eesc.europa.eu</w:t>
        </w:r>
      </w:hyperlink>
      <w:r w:rsidRPr="00B31A92">
        <w:rPr>
          <w:rStyle w:val="normal--char"/>
          <w:i/>
        </w:rPr>
        <w:t>)</w:t>
      </w:r>
    </w:p>
    <w:p w14:paraId="566312F8" w14:textId="77777777" w:rsidR="00673BA2" w:rsidRPr="00B31A92" w:rsidRDefault="00673BA2" w:rsidP="00673BA2"/>
    <w:p w14:paraId="0424A166" w14:textId="77777777" w:rsidR="00C169F8" w:rsidRPr="00B31A92" w:rsidRDefault="00C169F8" w:rsidP="00673BA2"/>
    <w:p w14:paraId="566312F9" w14:textId="524C0B68" w:rsidR="000D59D3" w:rsidRPr="00B31A92" w:rsidRDefault="00053194" w:rsidP="00053194">
      <w:pPr>
        <w:keepNext/>
        <w:numPr>
          <w:ilvl w:val="0"/>
          <w:numId w:val="5"/>
        </w:numPr>
        <w:overflowPunct w:val="0"/>
        <w:autoSpaceDE w:val="0"/>
        <w:autoSpaceDN w:val="0"/>
        <w:adjustRightInd w:val="0"/>
        <w:ind w:hanging="567"/>
        <w:textAlignment w:val="baseline"/>
        <w:rPr>
          <w:b/>
          <w:i/>
          <w:sz w:val="28"/>
        </w:rPr>
      </w:pPr>
      <w:r w:rsidRPr="00B31A92">
        <w:rPr>
          <w:b/>
          <w:i/>
          <w:sz w:val="28"/>
        </w:rPr>
        <w:t>Vuosien 2014–2020 monivuotisen rahoituskehyksen väliarviointi</w:t>
      </w:r>
    </w:p>
    <w:p w14:paraId="566312FA" w14:textId="77777777" w:rsidR="000D59D3" w:rsidRPr="00B31A92" w:rsidRDefault="000D59D3" w:rsidP="00673BA2">
      <w:pPr>
        <w:keepNext/>
        <w:rPr>
          <w:b/>
        </w:rPr>
      </w:pPr>
    </w:p>
    <w:p w14:paraId="566312FB" w14:textId="3B0E3BC5" w:rsidR="008736DF" w:rsidRPr="00B31A92" w:rsidRDefault="008736DF" w:rsidP="00673BA2">
      <w:pPr>
        <w:keepNext/>
        <w:ind w:left="1701" w:hanging="1701"/>
        <w:rPr>
          <w:b/>
        </w:rPr>
      </w:pPr>
      <w:r w:rsidRPr="00B31A92">
        <w:rPr>
          <w:b/>
        </w:rPr>
        <w:t>Esittelijä:</w:t>
      </w:r>
      <w:r w:rsidRPr="00B31A92">
        <w:tab/>
      </w:r>
      <w:r w:rsidR="00675502" w:rsidRPr="00B31A92">
        <w:tab/>
        <w:t xml:space="preserve">Stefano PALMIERI </w:t>
      </w:r>
      <w:r w:rsidRPr="00B31A92">
        <w:t>(työn</w:t>
      </w:r>
      <w:r w:rsidR="00675502" w:rsidRPr="00B31A92">
        <w:t>tekijät – IT</w:t>
      </w:r>
      <w:r w:rsidRPr="00B31A92">
        <w:t>)</w:t>
      </w:r>
    </w:p>
    <w:p w14:paraId="566312FC" w14:textId="77777777" w:rsidR="008C4B38" w:rsidRPr="00B31A92" w:rsidRDefault="008C4B38" w:rsidP="00673BA2">
      <w:pPr>
        <w:keepNext/>
        <w:ind w:left="1701" w:hanging="1701"/>
        <w:rPr>
          <w:b/>
          <w:bCs/>
        </w:rPr>
      </w:pPr>
    </w:p>
    <w:p w14:paraId="196E7CBE" w14:textId="731DE9FE" w:rsidR="00675502" w:rsidRPr="00B31A92" w:rsidRDefault="000D59D3" w:rsidP="00675502">
      <w:pPr>
        <w:tabs>
          <w:tab w:val="left" w:pos="1980"/>
        </w:tabs>
      </w:pPr>
      <w:r w:rsidRPr="00B31A92">
        <w:rPr>
          <w:b/>
        </w:rPr>
        <w:t>Viiteasiakirja</w:t>
      </w:r>
      <w:r w:rsidR="000B139C" w:rsidRPr="00B31A92">
        <w:rPr>
          <w:b/>
        </w:rPr>
        <w:t>t</w:t>
      </w:r>
      <w:r w:rsidRPr="00B31A92">
        <w:rPr>
          <w:b/>
        </w:rPr>
        <w:t>:</w:t>
      </w:r>
      <w:r w:rsidRPr="00B31A92">
        <w:tab/>
      </w:r>
      <w:r w:rsidR="00675502" w:rsidRPr="00B31A92">
        <w:tab/>
        <w:t xml:space="preserve">COM(2016) 603 final – COM(2016) 604 final – COM(2016) 605 final </w:t>
      </w:r>
    </w:p>
    <w:p w14:paraId="566312FD" w14:textId="07CF550D" w:rsidR="000D59D3" w:rsidRPr="00B31A92" w:rsidRDefault="00675502" w:rsidP="00675502">
      <w:pPr>
        <w:keepNext/>
        <w:ind w:left="1701" w:hanging="1701"/>
      </w:pPr>
      <w:r w:rsidRPr="00B31A92">
        <w:tab/>
      </w:r>
      <w:r w:rsidRPr="00B31A92">
        <w:tab/>
        <w:t>EESC-2016-05349-00-00-AC-TRA</w:t>
      </w:r>
    </w:p>
    <w:p w14:paraId="566312FE" w14:textId="77777777" w:rsidR="000D59D3" w:rsidRPr="00B31A92" w:rsidRDefault="000D59D3" w:rsidP="00673BA2">
      <w:pPr>
        <w:keepNext/>
      </w:pPr>
    </w:p>
    <w:p w14:paraId="566312FF" w14:textId="77777777" w:rsidR="000D59D3" w:rsidRPr="00B31A92" w:rsidRDefault="000D59D3" w:rsidP="00673BA2">
      <w:pPr>
        <w:keepNext/>
        <w:rPr>
          <w:b/>
        </w:rPr>
      </w:pPr>
      <w:r w:rsidRPr="00B31A92">
        <w:rPr>
          <w:b/>
        </w:rPr>
        <w:t>Keskeiset kohdat:</w:t>
      </w:r>
    </w:p>
    <w:p w14:paraId="56631300" w14:textId="77777777" w:rsidR="008C4B38" w:rsidRPr="00B31A92" w:rsidRDefault="008C4B38" w:rsidP="00673BA2">
      <w:pPr>
        <w:keepNext/>
        <w:tabs>
          <w:tab w:val="left" w:pos="770"/>
        </w:tabs>
        <w:ind w:left="12" w:hanging="12"/>
      </w:pPr>
    </w:p>
    <w:p w14:paraId="3B6EBA9B" w14:textId="77777777" w:rsidR="009E32B5" w:rsidRPr="00B31A92" w:rsidRDefault="009E32B5" w:rsidP="00053194">
      <w:pPr>
        <w:pStyle w:val="ListParagraph"/>
        <w:keepNext/>
        <w:ind w:left="357" w:hanging="360"/>
      </w:pPr>
      <w:r w:rsidRPr="00B31A92">
        <w:t>ETSK</w:t>
      </w:r>
    </w:p>
    <w:p w14:paraId="715CA02F" w14:textId="77777777" w:rsidR="009E32B5" w:rsidRPr="00B31A92" w:rsidRDefault="009E32B5" w:rsidP="00053194">
      <w:pPr>
        <w:pStyle w:val="ListParagraph"/>
        <w:keepNext/>
        <w:ind w:left="357" w:hanging="360"/>
      </w:pPr>
    </w:p>
    <w:p w14:paraId="04DE4473" w14:textId="330DA035" w:rsidR="00053194" w:rsidRPr="00B31A92" w:rsidRDefault="00053194" w:rsidP="009E32B5">
      <w:pPr>
        <w:pStyle w:val="ListParagraph"/>
        <w:numPr>
          <w:ilvl w:val="0"/>
          <w:numId w:val="177"/>
        </w:numPr>
        <w:tabs>
          <w:tab w:val="clear" w:pos="0"/>
        </w:tabs>
        <w:ind w:left="284"/>
      </w:pPr>
      <w:r w:rsidRPr="00B31A92">
        <w:t>katsoo, että nykyisessä ja vuoden 2020 jälkeisessä monivuotisessa rahoituskehyksessä varat on suunnattava o</w:t>
      </w:r>
      <w:r w:rsidR="009E32B5" w:rsidRPr="00B31A92">
        <w:t>hjelmiin, joiden avulla voidaan</w:t>
      </w:r>
    </w:p>
    <w:p w14:paraId="3FB194F3" w14:textId="0DC65B8E" w:rsidR="00053194" w:rsidRPr="00B31A92" w:rsidRDefault="00053194" w:rsidP="009E32B5">
      <w:pPr>
        <w:pStyle w:val="ListParagraph"/>
        <w:numPr>
          <w:ilvl w:val="0"/>
          <w:numId w:val="178"/>
        </w:numPr>
        <w:tabs>
          <w:tab w:val="clear" w:pos="0"/>
        </w:tabs>
        <w:ind w:left="850"/>
      </w:pPr>
      <w:r w:rsidRPr="00B31A92">
        <w:t xml:space="preserve">antaa uutta pontta taloudelliselle, sosiaaliselle ja ympäristöä koskevalle kehitykselle, työllisyydelle, innovoinnille ja kilpailukyvylle </w:t>
      </w:r>
    </w:p>
    <w:p w14:paraId="534D6941" w14:textId="2B6D18C4" w:rsidR="00053194" w:rsidRPr="00B31A92" w:rsidRDefault="00053194" w:rsidP="009E32B5">
      <w:pPr>
        <w:pStyle w:val="ListParagraph"/>
        <w:numPr>
          <w:ilvl w:val="0"/>
          <w:numId w:val="178"/>
        </w:numPr>
        <w:tabs>
          <w:tab w:val="clear" w:pos="0"/>
        </w:tabs>
        <w:ind w:left="850"/>
      </w:pPr>
      <w:r w:rsidRPr="00B31A92">
        <w:t xml:space="preserve">vastata muuttoliike- ja pakolaiskriisiin, sisäiseen turvallisuuteen liittyviin kysymyksiin, ulkoisiin hätätilanteisiin ja maatalousalan kriisiin. </w:t>
      </w:r>
    </w:p>
    <w:p w14:paraId="31266A08" w14:textId="77777777" w:rsidR="00053194" w:rsidRPr="00B31A92" w:rsidRDefault="00053194" w:rsidP="00053194">
      <w:pPr>
        <w:pStyle w:val="ListParagraph"/>
        <w:keepNext/>
        <w:ind w:left="357" w:hanging="360"/>
      </w:pPr>
    </w:p>
    <w:p w14:paraId="29BE7A97" w14:textId="2D3F6CC0" w:rsidR="00053194" w:rsidRPr="00B31A92" w:rsidRDefault="006E2812" w:rsidP="006E2812">
      <w:pPr>
        <w:pStyle w:val="ListParagraph"/>
        <w:numPr>
          <w:ilvl w:val="0"/>
          <w:numId w:val="177"/>
        </w:numPr>
        <w:tabs>
          <w:tab w:val="clear" w:pos="0"/>
        </w:tabs>
        <w:ind w:left="284"/>
      </w:pPr>
      <w:r w:rsidRPr="00B31A92">
        <w:t>katsoo, että m</w:t>
      </w:r>
      <w:r w:rsidR="00053194" w:rsidRPr="00B31A92">
        <w:t xml:space="preserve">onivuotisesta rahoituskehyksestä käytävässä keskustelussa on keskityttävä kehyksen toimivuuteen sekä kohdennettujen määrärahojen että talousarviorakenteen osalta, jotta EU:lle annetaan sen strategisten painopisteiden edellyttämät välineet lisäämättä kansalaisten ja yritysten verotaakkaa, eli on keskityttävä sen kykyyn tuottaa lisäarvoa unionitasolla. </w:t>
      </w:r>
    </w:p>
    <w:p w14:paraId="0B71C9DA" w14:textId="77777777" w:rsidR="00053194" w:rsidRPr="00B31A92" w:rsidRDefault="00053194" w:rsidP="00053194">
      <w:pPr>
        <w:pStyle w:val="ListParagraph"/>
        <w:keepNext/>
        <w:ind w:left="357" w:hanging="360"/>
      </w:pPr>
    </w:p>
    <w:p w14:paraId="2AA7F6CA" w14:textId="6A4DF324" w:rsidR="00053194" w:rsidRPr="00B31A92" w:rsidRDefault="00053194" w:rsidP="006E2812">
      <w:pPr>
        <w:pStyle w:val="ListParagraph"/>
        <w:numPr>
          <w:ilvl w:val="0"/>
          <w:numId w:val="177"/>
        </w:numPr>
        <w:tabs>
          <w:tab w:val="clear" w:pos="0"/>
        </w:tabs>
        <w:ind w:left="284"/>
      </w:pPr>
      <w:r w:rsidRPr="00B31A92">
        <w:t xml:space="preserve">on samaa mieltä varojen lisäämisestä eräissä erittäin tehokkaina pidetyissä menoluvuissa, kuten Horisontti 2020, Verkkojen Eurooppa -väline, Erasmus+, COSME ja Wifi4EU sekä Euroopan strategisten investointien rahaston jatko ja nuorisotyöllisyysaloite </w:t>
      </w:r>
      <w:r w:rsidR="006E2812" w:rsidRPr="00B31A92">
        <w:t>(monivuotisen rahoituskehyksen tarkistuksen määrällinen ulottuvuus).</w:t>
      </w:r>
    </w:p>
    <w:p w14:paraId="08B36360" w14:textId="77777777" w:rsidR="00053194" w:rsidRPr="00B31A92" w:rsidRDefault="00053194" w:rsidP="00053194">
      <w:pPr>
        <w:pStyle w:val="ListParagraph"/>
        <w:keepNext/>
        <w:ind w:left="357" w:hanging="360"/>
      </w:pPr>
    </w:p>
    <w:p w14:paraId="1BD73F5A" w14:textId="52528894" w:rsidR="00053194" w:rsidRPr="00B31A92" w:rsidRDefault="00053194" w:rsidP="00C33EBB">
      <w:pPr>
        <w:pStyle w:val="ListParagraph"/>
        <w:numPr>
          <w:ilvl w:val="0"/>
          <w:numId w:val="177"/>
        </w:numPr>
        <w:tabs>
          <w:tab w:val="clear" w:pos="0"/>
        </w:tabs>
        <w:ind w:left="284"/>
      </w:pPr>
      <w:r w:rsidRPr="00B31A92">
        <w:t>on samaa mieltä tavoitteesta yksinkertaistaa ja joustavoittaa yleisiä ja alakohtaisia varainhoitosääntöjä ja onkin erityisen tyytyväinen EU:n varojen edunsaajiin sovellettavien hallinnollisten vaatimusten sekä valvonnan, tarkastusten ja raportoinnin yksinkertaistamiseen</w:t>
      </w:r>
      <w:r w:rsidR="00C33EBB" w:rsidRPr="00B31A92">
        <w:t xml:space="preserve"> (monivuotisen rahoituskehyksen tarkistuksen laadullinen ulottuvuus).</w:t>
      </w:r>
    </w:p>
    <w:p w14:paraId="2BA61FC3" w14:textId="77777777" w:rsidR="00053194" w:rsidRPr="00B31A92" w:rsidRDefault="00053194" w:rsidP="00053194">
      <w:pPr>
        <w:pStyle w:val="ListParagraph"/>
        <w:keepNext/>
        <w:ind w:left="357" w:hanging="360"/>
      </w:pPr>
    </w:p>
    <w:p w14:paraId="24294BA1" w14:textId="76100471" w:rsidR="005B258F" w:rsidRPr="00B31A92" w:rsidRDefault="005B258F" w:rsidP="005B258F">
      <w:pPr>
        <w:pStyle w:val="ListParagraph"/>
        <w:numPr>
          <w:ilvl w:val="0"/>
          <w:numId w:val="177"/>
        </w:numPr>
        <w:tabs>
          <w:tab w:val="clear" w:pos="0"/>
        </w:tabs>
        <w:ind w:left="284"/>
      </w:pPr>
      <w:r w:rsidRPr="00B31A92">
        <w:t>pitää hyödyllisenä</w:t>
      </w:r>
      <w:r w:rsidR="00053194" w:rsidRPr="00B31A92">
        <w:t xml:space="preserve"> yhdenmukaistaa seuraavien monivuotisten rahoituskehysten kesto komission ja parlamentin poliittisen syklin kanssa.</w:t>
      </w:r>
    </w:p>
    <w:p w14:paraId="5F876C51" w14:textId="77777777" w:rsidR="005B258F" w:rsidRPr="00B31A92" w:rsidRDefault="005B258F" w:rsidP="00053194">
      <w:pPr>
        <w:pStyle w:val="ListParagraph"/>
        <w:keepNext/>
        <w:ind w:left="357" w:hanging="360"/>
      </w:pPr>
    </w:p>
    <w:p w14:paraId="3F6A940D" w14:textId="7B951C6E" w:rsidR="00053194" w:rsidRPr="00B31A92" w:rsidRDefault="00053194" w:rsidP="005B258F">
      <w:pPr>
        <w:pStyle w:val="ListParagraph"/>
        <w:numPr>
          <w:ilvl w:val="0"/>
          <w:numId w:val="177"/>
        </w:numPr>
        <w:tabs>
          <w:tab w:val="clear" w:pos="0"/>
        </w:tabs>
        <w:ind w:left="284"/>
      </w:pPr>
      <w:r w:rsidRPr="00B31A92">
        <w:t>suhtautuu myönteisesti komission pyrkimyksiin ottaa käyttöön uudentyyppisiä omia varoja ja supistaa samalla jäsenvaltioide</w:t>
      </w:r>
      <w:r w:rsidR="005B258F" w:rsidRPr="00B31A92">
        <w:t>n maksuosuuksien järjestelmää.</w:t>
      </w:r>
    </w:p>
    <w:p w14:paraId="09ADFF9D" w14:textId="77777777" w:rsidR="00053194" w:rsidRPr="00B31A92" w:rsidRDefault="00053194" w:rsidP="00053194">
      <w:pPr>
        <w:pStyle w:val="ListParagraph"/>
        <w:keepNext/>
        <w:ind w:left="357" w:hanging="360"/>
      </w:pPr>
    </w:p>
    <w:p w14:paraId="56631307" w14:textId="695356A2" w:rsidR="008C4B38" w:rsidRPr="00B31A92" w:rsidRDefault="00053194" w:rsidP="005B258F">
      <w:pPr>
        <w:pStyle w:val="ListParagraph"/>
        <w:numPr>
          <w:ilvl w:val="0"/>
          <w:numId w:val="177"/>
        </w:numPr>
        <w:tabs>
          <w:tab w:val="clear" w:pos="0"/>
        </w:tabs>
        <w:ind w:left="284"/>
      </w:pPr>
      <w:r w:rsidRPr="00B31A92">
        <w:t>yhtyy viestiin, että tarvitaan enemmän (ja parempia) EU:n toimia eikä vähemmän EU:n toimia. EU:n kriisi johtuu Euroopan tulevaisuutta koskevan strategisen vision puutteesta.</w:t>
      </w:r>
    </w:p>
    <w:p w14:paraId="56631308" w14:textId="77777777" w:rsidR="008C4B38" w:rsidRPr="00B31A92" w:rsidRDefault="008C4B38" w:rsidP="00673BA2"/>
    <w:p w14:paraId="5663130E" w14:textId="7FE0F6E5" w:rsidR="008C4B38" w:rsidRPr="00B31A92" w:rsidRDefault="008C4B38" w:rsidP="00673BA2">
      <w:pPr>
        <w:ind w:left="1134" w:hanging="1134"/>
      </w:pPr>
      <w:r w:rsidRPr="00B31A92">
        <w:rPr>
          <w:rStyle w:val="normal--char"/>
          <w:b/>
          <w:i/>
        </w:rPr>
        <w:t>Yhteyshenkilö:</w:t>
      </w:r>
      <w:r w:rsidR="00562E61" w:rsidRPr="00B31A92">
        <w:tab/>
      </w:r>
      <w:r w:rsidRPr="00B31A92">
        <w:rPr>
          <w:i/>
        </w:rPr>
        <w:t>Gerald Klec</w:t>
      </w:r>
    </w:p>
    <w:p w14:paraId="5663130F" w14:textId="746CA80C" w:rsidR="008C4B38" w:rsidRPr="00B31A92" w:rsidRDefault="00954C4D" w:rsidP="00673BA2">
      <w:pPr>
        <w:ind w:left="1134" w:hanging="1134"/>
        <w:rPr>
          <w:i/>
        </w:rPr>
      </w:pPr>
      <w:r w:rsidRPr="00B31A92">
        <w:tab/>
      </w:r>
      <w:r w:rsidR="00562E61" w:rsidRPr="00B31A92">
        <w:tab/>
      </w:r>
      <w:r w:rsidRPr="00B31A92">
        <w:rPr>
          <w:i/>
        </w:rPr>
        <w:t xml:space="preserve">(P. +32 25469909 – sähköposti: </w:t>
      </w:r>
      <w:hyperlink r:id="rId26" w:history="1">
        <w:r w:rsidRPr="00B31A92">
          <w:rPr>
            <w:rStyle w:val="Hyperlink"/>
            <w:i/>
          </w:rPr>
          <w:t>gerald.klec@eesc.europa.eu</w:t>
        </w:r>
      </w:hyperlink>
      <w:r w:rsidRPr="00B31A92">
        <w:rPr>
          <w:i/>
        </w:rPr>
        <w:t>)</w:t>
      </w:r>
    </w:p>
    <w:p w14:paraId="56631311" w14:textId="77777777" w:rsidR="00673BA2" w:rsidRPr="00B31A92" w:rsidRDefault="00673BA2" w:rsidP="00673BA2">
      <w:pPr>
        <w:ind w:left="-567"/>
      </w:pPr>
    </w:p>
    <w:p w14:paraId="0C5080F4" w14:textId="77777777" w:rsidR="00C169F8" w:rsidRPr="00B31A92" w:rsidRDefault="00C169F8" w:rsidP="00673BA2">
      <w:pPr>
        <w:ind w:left="-567"/>
      </w:pPr>
    </w:p>
    <w:p w14:paraId="56631312" w14:textId="269464DF" w:rsidR="0080274C" w:rsidRPr="00B31A92" w:rsidRDefault="00344183" w:rsidP="00344183">
      <w:pPr>
        <w:keepNext/>
        <w:numPr>
          <w:ilvl w:val="0"/>
          <w:numId w:val="5"/>
        </w:numPr>
        <w:overflowPunct w:val="0"/>
        <w:autoSpaceDE w:val="0"/>
        <w:autoSpaceDN w:val="0"/>
        <w:adjustRightInd w:val="0"/>
        <w:ind w:hanging="567"/>
        <w:textAlignment w:val="baseline"/>
        <w:rPr>
          <w:b/>
          <w:i/>
          <w:sz w:val="28"/>
        </w:rPr>
      </w:pPr>
      <w:r w:rsidRPr="00B31A92">
        <w:rPr>
          <w:b/>
          <w:i/>
          <w:sz w:val="28"/>
        </w:rPr>
        <w:t>Verokohtelun eroavuuksiin liittyvä veronkiertokäytäntöjen torjunta</w:t>
      </w:r>
    </w:p>
    <w:p w14:paraId="56631313" w14:textId="77777777" w:rsidR="0080274C" w:rsidRPr="00B31A92" w:rsidRDefault="0080274C" w:rsidP="00673BA2">
      <w:pPr>
        <w:keepNext/>
        <w:rPr>
          <w:b/>
        </w:rPr>
      </w:pPr>
    </w:p>
    <w:p w14:paraId="56631314" w14:textId="152DD262" w:rsidR="0080274C" w:rsidRPr="00B31A92" w:rsidRDefault="0080274C" w:rsidP="00673BA2">
      <w:pPr>
        <w:keepNext/>
        <w:ind w:left="1701" w:hanging="1701"/>
      </w:pPr>
      <w:r w:rsidRPr="00B31A92">
        <w:rPr>
          <w:b/>
        </w:rPr>
        <w:t>Esittelijä:</w:t>
      </w:r>
      <w:r w:rsidRPr="00B31A92">
        <w:tab/>
      </w:r>
      <w:r w:rsidR="003B0560" w:rsidRPr="00B31A92">
        <w:tab/>
        <w:t xml:space="preserve">Mihai IVAȘCU </w:t>
      </w:r>
      <w:r w:rsidRPr="00B31A92">
        <w:t>(</w:t>
      </w:r>
      <w:r w:rsidR="003B0560" w:rsidRPr="00B31A92">
        <w:t>muut eturyhmät – RO</w:t>
      </w:r>
      <w:r w:rsidRPr="00B31A92">
        <w:t>)</w:t>
      </w:r>
    </w:p>
    <w:p w14:paraId="56631315" w14:textId="77777777" w:rsidR="0080274C" w:rsidRPr="00B31A92" w:rsidRDefault="0080274C" w:rsidP="00673BA2">
      <w:pPr>
        <w:keepNext/>
        <w:ind w:left="1701" w:hanging="1701"/>
        <w:rPr>
          <w:b/>
        </w:rPr>
      </w:pPr>
    </w:p>
    <w:p w14:paraId="1B96DDC1" w14:textId="19ECB58C" w:rsidR="003B0560" w:rsidRPr="00B31A92" w:rsidRDefault="0080274C" w:rsidP="003B0560">
      <w:pPr>
        <w:tabs>
          <w:tab w:val="left" w:pos="1980"/>
        </w:tabs>
      </w:pPr>
      <w:r w:rsidRPr="00B31A92">
        <w:rPr>
          <w:b/>
        </w:rPr>
        <w:t>Viiteasiakirjat:</w:t>
      </w:r>
      <w:r w:rsidRPr="00B31A92">
        <w:tab/>
      </w:r>
      <w:r w:rsidR="003B0560" w:rsidRPr="00B31A92">
        <w:tab/>
        <w:t xml:space="preserve">COM(2016) 687 final </w:t>
      </w:r>
    </w:p>
    <w:p w14:paraId="56631317" w14:textId="63609480" w:rsidR="0080274C" w:rsidRPr="00B31A92" w:rsidRDefault="003B0560" w:rsidP="003B0560">
      <w:pPr>
        <w:keepNext/>
        <w:ind w:left="1701" w:hanging="1701"/>
      </w:pPr>
      <w:r w:rsidRPr="00B31A92">
        <w:tab/>
      </w:r>
      <w:r w:rsidRPr="00B31A92">
        <w:tab/>
        <w:t>EESC-2016-0</w:t>
      </w:r>
      <w:r w:rsidR="00BA119F" w:rsidRPr="00B31A92">
        <w:t>5994</w:t>
      </w:r>
      <w:r w:rsidRPr="00B31A92">
        <w:t>-00-00-AC-TRA</w:t>
      </w:r>
    </w:p>
    <w:p w14:paraId="56631318" w14:textId="77777777" w:rsidR="0080274C" w:rsidRPr="00B31A92" w:rsidRDefault="0080274C" w:rsidP="00673BA2">
      <w:pPr>
        <w:keepNext/>
        <w:rPr>
          <w:b/>
        </w:rPr>
      </w:pPr>
    </w:p>
    <w:p w14:paraId="56631319" w14:textId="77777777" w:rsidR="0080274C" w:rsidRPr="00B31A92" w:rsidRDefault="0080274C" w:rsidP="00673BA2">
      <w:pPr>
        <w:keepNext/>
        <w:rPr>
          <w:b/>
        </w:rPr>
      </w:pPr>
      <w:r w:rsidRPr="00B31A92">
        <w:rPr>
          <w:b/>
        </w:rPr>
        <w:t>Keskeiset kohdat:</w:t>
      </w:r>
    </w:p>
    <w:p w14:paraId="5663131A" w14:textId="77777777" w:rsidR="008A6EC0" w:rsidRPr="00B31A92" w:rsidRDefault="008A6EC0" w:rsidP="00673BA2">
      <w:pPr>
        <w:keepNext/>
        <w:tabs>
          <w:tab w:val="left" w:pos="770"/>
        </w:tabs>
        <w:ind w:left="12" w:hanging="12"/>
      </w:pPr>
    </w:p>
    <w:p w14:paraId="5C93861F" w14:textId="77777777" w:rsidR="00344183" w:rsidRPr="00B31A92" w:rsidRDefault="00344183" w:rsidP="00344183">
      <w:pPr>
        <w:keepNext/>
      </w:pPr>
      <w:r w:rsidRPr="00B31A92">
        <w:t>ETSK</w:t>
      </w:r>
    </w:p>
    <w:p w14:paraId="211001B1" w14:textId="77777777" w:rsidR="00344183" w:rsidRPr="00B31A92" w:rsidRDefault="00344183" w:rsidP="00344183">
      <w:pPr>
        <w:keepNext/>
      </w:pPr>
    </w:p>
    <w:p w14:paraId="0E899C79" w14:textId="77777777" w:rsidR="00344183" w:rsidRPr="00B31A92" w:rsidRDefault="00344183" w:rsidP="00344183">
      <w:pPr>
        <w:pStyle w:val="ListParagraph"/>
        <w:numPr>
          <w:ilvl w:val="0"/>
          <w:numId w:val="177"/>
        </w:numPr>
        <w:tabs>
          <w:tab w:val="clear" w:pos="0"/>
        </w:tabs>
        <w:ind w:left="284"/>
      </w:pPr>
      <w:r w:rsidRPr="00B31A92">
        <w:t>arvostaa toimia, joiden avulla komissio pyrkii torjumaan aggressiivista verosuunnittelua.</w:t>
      </w:r>
    </w:p>
    <w:p w14:paraId="45E0F39A" w14:textId="77777777" w:rsidR="00344183" w:rsidRPr="00B31A92" w:rsidRDefault="00344183" w:rsidP="00344183">
      <w:pPr>
        <w:pStyle w:val="ListParagraph"/>
        <w:numPr>
          <w:ilvl w:val="0"/>
          <w:numId w:val="177"/>
        </w:numPr>
        <w:tabs>
          <w:tab w:val="clear" w:pos="0"/>
        </w:tabs>
        <w:ind w:left="284"/>
      </w:pPr>
      <w:r w:rsidRPr="00B31A92">
        <w:t>arvelee, että veron kiertämisen torjuntaa koskevan direktiivin muuttamista siltä osin kuin on kyse verokohtelun eroavuuksista kolmansien maiden kanssa koskevan ehdotuksen hyväksyminen tulee lisäämään yhteisöveron määrää merkittävästi kaikissa jäsenvaltioissa.</w:t>
      </w:r>
    </w:p>
    <w:p w14:paraId="3AB0CECC" w14:textId="7CA90B6F" w:rsidR="00344183" w:rsidRPr="00B31A92" w:rsidRDefault="00344183" w:rsidP="00344183">
      <w:pPr>
        <w:pStyle w:val="ListParagraph"/>
        <w:numPr>
          <w:ilvl w:val="0"/>
          <w:numId w:val="177"/>
        </w:numPr>
        <w:tabs>
          <w:tab w:val="clear" w:pos="0"/>
        </w:tabs>
        <w:ind w:left="284"/>
      </w:pPr>
      <w:r w:rsidRPr="00B31A92">
        <w:t>katsoo, että direktiivistä voidaan saada kaikki hyöty vain, jos vastaavia sääntöjä otetaan käyttöön myös kolmansissa maissa.</w:t>
      </w:r>
    </w:p>
    <w:p w14:paraId="4081429C" w14:textId="77777777" w:rsidR="00344183" w:rsidRPr="00B31A92" w:rsidRDefault="00344183" w:rsidP="00344183">
      <w:pPr>
        <w:pStyle w:val="ListParagraph"/>
        <w:numPr>
          <w:ilvl w:val="0"/>
          <w:numId w:val="177"/>
        </w:numPr>
        <w:tabs>
          <w:tab w:val="clear" w:pos="0"/>
        </w:tabs>
        <w:ind w:left="284"/>
      </w:pPr>
      <w:r w:rsidRPr="00B31A92">
        <w:t>katsoo, että jäsenvaltioiden ei pitäisi vain pyrkiä keräämään verotuloja vaan myös pohtia verokohtelun eroavuuksiin liittyvien järjestelyjen syitä, tukkia mahdollisia porsaanreikiä ja ehkäistä aggressiivista verosuunnittelua.</w:t>
      </w:r>
    </w:p>
    <w:p w14:paraId="5663131B" w14:textId="4484D33C" w:rsidR="008A6EC0" w:rsidRPr="00B31A92" w:rsidRDefault="00344183" w:rsidP="00C169F8">
      <w:pPr>
        <w:pStyle w:val="ListParagraph"/>
        <w:keepLines/>
        <w:numPr>
          <w:ilvl w:val="0"/>
          <w:numId w:val="177"/>
        </w:numPr>
        <w:tabs>
          <w:tab w:val="clear" w:pos="0"/>
        </w:tabs>
        <w:ind w:left="284"/>
      </w:pPr>
      <w:r w:rsidRPr="00B31A92">
        <w:t>suosittaa, että kaikki jäsenvaltiot tutkisivat mahdollisuutta ottaa käyttöön ja langettaa verokohtelun eroavuuksista hyötyville verovelvollisille seuraamuksia, jotta tällaisia käytäntöjä v</w:t>
      </w:r>
      <w:r w:rsidR="000D1BD5" w:rsidRPr="00B31A92">
        <w:t>oidaan ehkäistä ja/tai torjua.</w:t>
      </w:r>
    </w:p>
    <w:p w14:paraId="56631336" w14:textId="77777777" w:rsidR="008A6EC0" w:rsidRPr="00B31A92" w:rsidRDefault="008A6EC0" w:rsidP="00C169F8">
      <w:pPr>
        <w:keepLines/>
        <w:outlineLvl w:val="1"/>
      </w:pPr>
    </w:p>
    <w:p w14:paraId="56631337" w14:textId="1AD27B00" w:rsidR="008A6EC0" w:rsidRPr="00B31A92" w:rsidRDefault="008A6EC0" w:rsidP="00C169F8">
      <w:pPr>
        <w:keepLines/>
        <w:ind w:left="1134" w:hanging="1134"/>
      </w:pPr>
      <w:r w:rsidRPr="00B31A92">
        <w:rPr>
          <w:rStyle w:val="normal--char"/>
          <w:b/>
          <w:i/>
        </w:rPr>
        <w:t>Yhteyshenkilö:</w:t>
      </w:r>
      <w:r w:rsidR="0027679F" w:rsidRPr="00B31A92">
        <w:tab/>
      </w:r>
      <w:r w:rsidRPr="00B31A92">
        <w:rPr>
          <w:i/>
        </w:rPr>
        <w:t>Gerald Klec</w:t>
      </w:r>
    </w:p>
    <w:p w14:paraId="56631338" w14:textId="17C57FB3" w:rsidR="008A6EC0" w:rsidRPr="00B31A92" w:rsidRDefault="0027679F" w:rsidP="00C169F8">
      <w:pPr>
        <w:keepLines/>
        <w:ind w:left="1134" w:hanging="1134"/>
        <w:rPr>
          <w:i/>
        </w:rPr>
      </w:pPr>
      <w:r w:rsidRPr="00B31A92">
        <w:tab/>
      </w:r>
      <w:r w:rsidR="008A6EC0" w:rsidRPr="00B31A92">
        <w:tab/>
      </w:r>
      <w:r w:rsidR="008A6EC0" w:rsidRPr="00B31A92">
        <w:rPr>
          <w:i/>
        </w:rPr>
        <w:t xml:space="preserve">(P. +32 25469909 – sähköposti: </w:t>
      </w:r>
      <w:hyperlink r:id="rId27" w:history="1">
        <w:r w:rsidR="008A6EC0" w:rsidRPr="00B31A92">
          <w:rPr>
            <w:rStyle w:val="Hyperlink"/>
            <w:i/>
          </w:rPr>
          <w:t>gerald.klec@eesc.europa.eu</w:t>
        </w:r>
      </w:hyperlink>
      <w:r w:rsidR="008A6EC0" w:rsidRPr="00B31A92">
        <w:rPr>
          <w:i/>
        </w:rPr>
        <w:t>)</w:t>
      </w:r>
    </w:p>
    <w:p w14:paraId="56631339" w14:textId="77777777" w:rsidR="000D59D3" w:rsidRPr="00B31A92" w:rsidRDefault="000D59D3" w:rsidP="00673BA2"/>
    <w:p w14:paraId="5663133A" w14:textId="77777777" w:rsidR="00673BA2" w:rsidRPr="00B31A92" w:rsidRDefault="00673BA2" w:rsidP="00673BA2"/>
    <w:p w14:paraId="5663133B" w14:textId="77777777" w:rsidR="001E74A2" w:rsidRPr="00B31A92" w:rsidRDefault="000D59D3" w:rsidP="00673BA2">
      <w:pPr>
        <w:pStyle w:val="Heading1"/>
        <w:keepNext/>
        <w:rPr>
          <w:b/>
        </w:rPr>
      </w:pPr>
      <w:bookmarkStart w:id="8" w:name="_Toc461612787"/>
      <w:bookmarkStart w:id="9" w:name="_Toc461612892"/>
      <w:bookmarkStart w:id="10" w:name="_Toc461613016"/>
      <w:bookmarkStart w:id="11" w:name="_Toc461613175"/>
      <w:bookmarkStart w:id="12" w:name="_Toc461613231"/>
      <w:bookmarkStart w:id="13" w:name="_Toc464460178"/>
      <w:bookmarkStart w:id="14" w:name="_Toc471377318"/>
      <w:bookmarkEnd w:id="8"/>
      <w:bookmarkEnd w:id="9"/>
      <w:bookmarkEnd w:id="10"/>
      <w:bookmarkEnd w:id="11"/>
      <w:bookmarkEnd w:id="12"/>
      <w:r w:rsidRPr="00B31A92">
        <w:rPr>
          <w:b/>
        </w:rPr>
        <w:t>SISÄMARKKINAT</w:t>
      </w:r>
      <w:bookmarkEnd w:id="13"/>
      <w:bookmarkEnd w:id="14"/>
    </w:p>
    <w:p w14:paraId="5663133D" w14:textId="77777777" w:rsidR="00673BA2" w:rsidRPr="00B31A92" w:rsidRDefault="00673BA2" w:rsidP="00673BA2">
      <w:pPr>
        <w:keepNext/>
      </w:pPr>
    </w:p>
    <w:p w14:paraId="5663133E" w14:textId="6D0341E0" w:rsidR="007E170F" w:rsidRPr="00B31A92" w:rsidRDefault="001C75CA" w:rsidP="001C75CA">
      <w:pPr>
        <w:keepNext/>
        <w:numPr>
          <w:ilvl w:val="0"/>
          <w:numId w:val="5"/>
        </w:numPr>
        <w:overflowPunct w:val="0"/>
        <w:autoSpaceDE w:val="0"/>
        <w:autoSpaceDN w:val="0"/>
        <w:adjustRightInd w:val="0"/>
        <w:ind w:hanging="567"/>
        <w:textAlignment w:val="baseline"/>
        <w:rPr>
          <w:b/>
          <w:i/>
          <w:sz w:val="28"/>
        </w:rPr>
      </w:pPr>
      <w:r w:rsidRPr="00B31A92">
        <w:rPr>
          <w:b/>
          <w:i/>
          <w:sz w:val="28"/>
        </w:rPr>
        <w:t>Eurooppalainen standardointi 2017</w:t>
      </w:r>
    </w:p>
    <w:p w14:paraId="5663133F" w14:textId="77777777" w:rsidR="007E170F" w:rsidRPr="00B31A92" w:rsidRDefault="007E170F" w:rsidP="00673BA2">
      <w:pPr>
        <w:keepNext/>
      </w:pPr>
    </w:p>
    <w:p w14:paraId="56631340" w14:textId="7EB91092" w:rsidR="007E170F" w:rsidRPr="00B31A92" w:rsidRDefault="00AC0F80" w:rsidP="00673BA2">
      <w:pPr>
        <w:keepNext/>
        <w:ind w:left="1701" w:hanging="1701"/>
        <w:rPr>
          <w:b/>
        </w:rPr>
      </w:pPr>
      <w:r w:rsidRPr="00B31A92">
        <w:rPr>
          <w:b/>
        </w:rPr>
        <w:t>Ainoa e</w:t>
      </w:r>
      <w:r w:rsidR="007E170F" w:rsidRPr="00B31A92">
        <w:rPr>
          <w:b/>
        </w:rPr>
        <w:t>sittelijä:</w:t>
      </w:r>
      <w:r w:rsidR="007E170F" w:rsidRPr="00B31A92">
        <w:tab/>
      </w:r>
      <w:r w:rsidRPr="00B31A92">
        <w:tab/>
        <w:t xml:space="preserve">Elżbieta SZADZIŃSKA </w:t>
      </w:r>
      <w:r w:rsidR="007E170F" w:rsidRPr="00B31A92">
        <w:t>(</w:t>
      </w:r>
      <w:r w:rsidRPr="00B31A92">
        <w:t>muut eturyhmä</w:t>
      </w:r>
      <w:r w:rsidR="007E170F" w:rsidRPr="00B31A92">
        <w:t>t</w:t>
      </w:r>
      <w:r w:rsidRPr="00B31A92">
        <w:t xml:space="preserve"> – PL</w:t>
      </w:r>
      <w:r w:rsidR="007E170F" w:rsidRPr="00B31A92">
        <w:t>)</w:t>
      </w:r>
    </w:p>
    <w:p w14:paraId="56631341" w14:textId="77777777" w:rsidR="007E170F" w:rsidRPr="00B31A92" w:rsidRDefault="007E170F" w:rsidP="00673BA2">
      <w:pPr>
        <w:keepNext/>
        <w:ind w:left="1701" w:hanging="1701"/>
      </w:pPr>
    </w:p>
    <w:p w14:paraId="01C43E1D" w14:textId="1CBDB4C4" w:rsidR="00AC0F80" w:rsidRPr="00B31A92" w:rsidRDefault="007E170F" w:rsidP="00AC0F80">
      <w:pPr>
        <w:tabs>
          <w:tab w:val="left" w:pos="1980"/>
        </w:tabs>
      </w:pPr>
      <w:r w:rsidRPr="00B31A92">
        <w:rPr>
          <w:b/>
        </w:rPr>
        <w:t>Viiteasiakirjat:</w:t>
      </w:r>
      <w:r w:rsidRPr="00B31A92">
        <w:tab/>
      </w:r>
      <w:r w:rsidR="00AC0F80" w:rsidRPr="00B31A92">
        <w:tab/>
        <w:t>COM(2016) 357 final</w:t>
      </w:r>
    </w:p>
    <w:p w14:paraId="56631343" w14:textId="34CC831E" w:rsidR="007E170F" w:rsidRPr="00B31A92" w:rsidRDefault="00AC0F80" w:rsidP="00AC0F80">
      <w:pPr>
        <w:keepNext/>
        <w:ind w:left="1701" w:hanging="1701"/>
      </w:pPr>
      <w:r w:rsidRPr="00B31A92">
        <w:tab/>
      </w:r>
      <w:r w:rsidRPr="00B31A92">
        <w:tab/>
        <w:t>EESC-2016-05417-00-00-AC-TRA</w:t>
      </w:r>
    </w:p>
    <w:p w14:paraId="56631344" w14:textId="77777777" w:rsidR="007E170F" w:rsidRPr="00B31A92" w:rsidRDefault="007E170F" w:rsidP="00673BA2">
      <w:pPr>
        <w:keepNext/>
      </w:pPr>
    </w:p>
    <w:p w14:paraId="56631345" w14:textId="77777777" w:rsidR="007E170F" w:rsidRPr="00B31A92" w:rsidRDefault="007E170F" w:rsidP="00673BA2">
      <w:pPr>
        <w:keepNext/>
        <w:rPr>
          <w:b/>
        </w:rPr>
      </w:pPr>
      <w:r w:rsidRPr="00B31A92">
        <w:rPr>
          <w:b/>
        </w:rPr>
        <w:t>Keskeiset kohdat:</w:t>
      </w:r>
    </w:p>
    <w:p w14:paraId="56631346" w14:textId="77777777" w:rsidR="008D270E" w:rsidRPr="00B31A92" w:rsidRDefault="008D270E" w:rsidP="00673BA2">
      <w:pPr>
        <w:keepNext/>
      </w:pPr>
    </w:p>
    <w:p w14:paraId="7F75BF77" w14:textId="77777777" w:rsidR="00724F28" w:rsidRPr="00B31A92" w:rsidRDefault="0020370A" w:rsidP="00724F28">
      <w:pPr>
        <w:pStyle w:val="ListParagraph"/>
        <w:numPr>
          <w:ilvl w:val="0"/>
          <w:numId w:val="177"/>
        </w:numPr>
        <w:tabs>
          <w:tab w:val="clear" w:pos="0"/>
        </w:tabs>
        <w:ind w:left="284"/>
      </w:pPr>
      <w:r w:rsidRPr="00B31A92">
        <w:t>Komitea korostaa jälleen standardien merkitystä sisämarkkinoiden kilpailukyvyn parantamisessa ja innovatiivisten tuotteiden ja palvelujen kehittämisessä sekä niiden laadun ja turvallisuuden parantamisessa kuluttajien, työntekijöiden, yritysten ja ympäristön hyväksi.</w:t>
      </w:r>
    </w:p>
    <w:p w14:paraId="2B42C27E" w14:textId="633F22DA" w:rsidR="0020370A" w:rsidRPr="00B31A92" w:rsidRDefault="0020370A" w:rsidP="00724F28">
      <w:pPr>
        <w:pStyle w:val="ListParagraph"/>
        <w:numPr>
          <w:ilvl w:val="0"/>
          <w:numId w:val="177"/>
        </w:numPr>
        <w:tabs>
          <w:tab w:val="clear" w:pos="0"/>
        </w:tabs>
        <w:ind w:left="284"/>
      </w:pPr>
      <w:r w:rsidRPr="00B31A92">
        <w:t xml:space="preserve">Järjestäytyneen kansalaisyhteiskunnan edustajana komitea kannattaa sellaista standardointijärjestelmää, joka vastaa sekä yhteiskunnan että talouden tarpeisiin.  </w:t>
      </w:r>
    </w:p>
    <w:p w14:paraId="25BE8E63" w14:textId="77777777" w:rsidR="00724F28" w:rsidRPr="00B31A92" w:rsidRDefault="0020370A" w:rsidP="00724F28">
      <w:pPr>
        <w:pStyle w:val="ListParagraph"/>
        <w:numPr>
          <w:ilvl w:val="0"/>
          <w:numId w:val="177"/>
        </w:numPr>
        <w:tabs>
          <w:tab w:val="clear" w:pos="0"/>
        </w:tabs>
        <w:ind w:left="284"/>
      </w:pPr>
      <w:r w:rsidRPr="00B31A92">
        <w:t>Eurooppalaisen standardointijärjestelmän moniarvoisuuden turvaaminen ottamalla sen piiriin asetuksen (EU) N:o 1025/2012 liitteessä III tarkoitetut organisaatiot takaa paremman avoimuuden ja järjestelmään pääsyn.</w:t>
      </w:r>
    </w:p>
    <w:p w14:paraId="5192D182" w14:textId="77777777" w:rsidR="00724F28" w:rsidRPr="00B31A92" w:rsidRDefault="0020370A" w:rsidP="00724F28">
      <w:pPr>
        <w:pStyle w:val="ListParagraph"/>
        <w:numPr>
          <w:ilvl w:val="0"/>
          <w:numId w:val="177"/>
        </w:numPr>
        <w:tabs>
          <w:tab w:val="clear" w:pos="0"/>
        </w:tabs>
        <w:ind w:left="284"/>
      </w:pPr>
      <w:r w:rsidRPr="00B31A92">
        <w:t>Komitea kehottaa kiinnittämään huomiota siihen, että on välttämätöntä tukea pk-yritysten kilpailukykyä antamalla niille mahdollisuus osallistua standardien laatimis- ja täytäntöönpanoprosessiin ja tarjoamalla tarkoituksenmukaista koulutusta standardien hyödyistä tiedottamiseksi.</w:t>
      </w:r>
    </w:p>
    <w:p w14:paraId="56631347" w14:textId="087C45D1" w:rsidR="00797F04" w:rsidRPr="00B31A92" w:rsidRDefault="0020370A" w:rsidP="00724F28">
      <w:pPr>
        <w:pStyle w:val="ListParagraph"/>
        <w:numPr>
          <w:ilvl w:val="0"/>
          <w:numId w:val="177"/>
        </w:numPr>
        <w:tabs>
          <w:tab w:val="clear" w:pos="0"/>
        </w:tabs>
        <w:ind w:left="284"/>
      </w:pPr>
      <w:r w:rsidRPr="00B31A92">
        <w:t>Komitea tukee ehdotusta toimielinten välisen vuoropuhelun käynnistämisestä standardoinnin alalla, kuten se on maininnut jo aiemmassa lausunnossaan.</w:t>
      </w:r>
    </w:p>
    <w:p w14:paraId="5663134C" w14:textId="77777777" w:rsidR="00797F04" w:rsidRPr="00B31A92" w:rsidRDefault="00797F04" w:rsidP="00673BA2">
      <w:pPr>
        <w:ind w:left="720"/>
        <w:contextualSpacing/>
      </w:pPr>
    </w:p>
    <w:p w14:paraId="5663134D" w14:textId="77777777" w:rsidR="00797F04" w:rsidRPr="00B31A92" w:rsidRDefault="00797F04" w:rsidP="00673BA2">
      <w:pPr>
        <w:overflowPunct w:val="0"/>
        <w:autoSpaceDE w:val="0"/>
        <w:autoSpaceDN w:val="0"/>
        <w:adjustRightInd w:val="0"/>
        <w:ind w:left="1134" w:hanging="1134"/>
        <w:rPr>
          <w:i/>
          <w:szCs w:val="20"/>
        </w:rPr>
      </w:pPr>
      <w:r w:rsidRPr="00B31A92">
        <w:rPr>
          <w:b/>
          <w:i/>
        </w:rPr>
        <w:t>Yhteyshenkilö:</w:t>
      </w:r>
      <w:r w:rsidRPr="00B31A92">
        <w:tab/>
      </w:r>
      <w:r w:rsidRPr="00B31A92">
        <w:rPr>
          <w:i/>
        </w:rPr>
        <w:t>Jean-Pierre Faure</w:t>
      </w:r>
    </w:p>
    <w:p w14:paraId="5663134E" w14:textId="0738466D" w:rsidR="00797F04" w:rsidRPr="00B31A92" w:rsidRDefault="00954C4D" w:rsidP="00673BA2">
      <w:pPr>
        <w:overflowPunct w:val="0"/>
        <w:autoSpaceDE w:val="0"/>
        <w:autoSpaceDN w:val="0"/>
        <w:adjustRightInd w:val="0"/>
        <w:ind w:left="1134" w:hanging="1134"/>
        <w:rPr>
          <w:i/>
          <w:szCs w:val="20"/>
        </w:rPr>
      </w:pPr>
      <w:r w:rsidRPr="00B31A92">
        <w:tab/>
      </w:r>
      <w:r w:rsidR="00E63A5F" w:rsidRPr="00B31A92">
        <w:tab/>
      </w:r>
      <w:r w:rsidRPr="00B31A92">
        <w:rPr>
          <w:i/>
        </w:rPr>
        <w:t xml:space="preserve">(P. +32 25469615 – sähköposti: </w:t>
      </w:r>
      <w:hyperlink r:id="rId28" w:history="1">
        <w:r w:rsidRPr="00B31A92">
          <w:rPr>
            <w:rStyle w:val="Hyperlink"/>
            <w:i/>
          </w:rPr>
          <w:t>jean-pierre.faure@eesc.europa.eu</w:t>
        </w:r>
      </w:hyperlink>
      <w:r w:rsidRPr="00B31A92">
        <w:rPr>
          <w:i/>
        </w:rPr>
        <w:t>)</w:t>
      </w:r>
    </w:p>
    <w:p w14:paraId="5663134F" w14:textId="77777777" w:rsidR="001C365D" w:rsidRPr="00B31A92" w:rsidRDefault="001C365D" w:rsidP="00673BA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631350" w14:textId="77777777" w:rsidR="00673BA2" w:rsidRPr="00B31A92" w:rsidRDefault="00673BA2" w:rsidP="00673BA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631351" w14:textId="42204F68" w:rsidR="00CD1811" w:rsidRPr="00B31A92" w:rsidRDefault="005A1CB4" w:rsidP="005A1CB4">
      <w:pPr>
        <w:keepNext/>
        <w:numPr>
          <w:ilvl w:val="0"/>
          <w:numId w:val="5"/>
        </w:numPr>
        <w:overflowPunct w:val="0"/>
        <w:autoSpaceDE w:val="0"/>
        <w:autoSpaceDN w:val="0"/>
        <w:adjustRightInd w:val="0"/>
        <w:ind w:hanging="567"/>
        <w:textAlignment w:val="baseline"/>
        <w:rPr>
          <w:b/>
          <w:i/>
          <w:sz w:val="28"/>
        </w:rPr>
      </w:pPr>
      <w:r w:rsidRPr="00B31A92">
        <w:rPr>
          <w:b/>
          <w:i/>
          <w:sz w:val="28"/>
        </w:rPr>
        <w:t>PRIIP-tuotteet – soveltamisen alkamispäivämäärä</w:t>
      </w:r>
    </w:p>
    <w:p w14:paraId="56631352" w14:textId="77777777" w:rsidR="00CD1811" w:rsidRPr="00B31A92" w:rsidRDefault="00CD1811" w:rsidP="00673BA2">
      <w:pPr>
        <w:keepNext/>
        <w:rPr>
          <w:b/>
        </w:rPr>
      </w:pPr>
    </w:p>
    <w:p w14:paraId="56631353" w14:textId="33FCE2B9" w:rsidR="00CD1811" w:rsidRPr="00B31A92" w:rsidRDefault="00AC0F80" w:rsidP="00673BA2">
      <w:pPr>
        <w:keepNext/>
        <w:ind w:left="1701" w:hanging="1701"/>
      </w:pPr>
      <w:r w:rsidRPr="00B31A92">
        <w:rPr>
          <w:b/>
        </w:rPr>
        <w:t>Yleise</w:t>
      </w:r>
      <w:r w:rsidR="00CD1811" w:rsidRPr="00B31A92">
        <w:rPr>
          <w:b/>
        </w:rPr>
        <w:t>sittelijä:</w:t>
      </w:r>
      <w:r w:rsidR="00CD1811" w:rsidRPr="00B31A92">
        <w:tab/>
      </w:r>
      <w:r w:rsidRPr="00B31A92">
        <w:tab/>
        <w:t>Daniel MAREELS (työnantajat – BE</w:t>
      </w:r>
      <w:r w:rsidR="00CD1811" w:rsidRPr="00B31A92">
        <w:t>)</w:t>
      </w:r>
    </w:p>
    <w:p w14:paraId="56631354" w14:textId="77777777" w:rsidR="00CD1811" w:rsidRPr="00B31A92" w:rsidRDefault="00CD1811" w:rsidP="00673BA2">
      <w:pPr>
        <w:keepNext/>
        <w:ind w:left="1701" w:hanging="1701"/>
        <w:rPr>
          <w:b/>
        </w:rPr>
      </w:pPr>
    </w:p>
    <w:p w14:paraId="7BF79102" w14:textId="0792B25F" w:rsidR="00AC0F80" w:rsidRPr="00B31A92" w:rsidRDefault="00CD1811" w:rsidP="00AC0F80">
      <w:pPr>
        <w:tabs>
          <w:tab w:val="left" w:pos="1980"/>
        </w:tabs>
      </w:pPr>
      <w:r w:rsidRPr="00B31A92">
        <w:rPr>
          <w:b/>
        </w:rPr>
        <w:t>Viiteasiakirjat:</w:t>
      </w:r>
      <w:r w:rsidR="00AC0F80" w:rsidRPr="00B31A92">
        <w:rPr>
          <w:b/>
        </w:rPr>
        <w:tab/>
      </w:r>
      <w:r w:rsidRPr="00B31A92">
        <w:tab/>
      </w:r>
      <w:r w:rsidR="00AC0F80" w:rsidRPr="00B31A92">
        <w:t>COM(2016) 709 final – 2016/0355 (COD)</w:t>
      </w:r>
    </w:p>
    <w:p w14:paraId="56631356" w14:textId="21D18DDA" w:rsidR="00CD1811" w:rsidRPr="00B31A92" w:rsidRDefault="00AC0F80" w:rsidP="00AC0F80">
      <w:pPr>
        <w:keepNext/>
        <w:ind w:left="1701" w:hanging="1701"/>
      </w:pPr>
      <w:r w:rsidRPr="00B31A92">
        <w:tab/>
      </w:r>
      <w:r w:rsidRPr="00B31A92">
        <w:tab/>
        <w:t>EESC-2016-06321-00-00-AC-TRA</w:t>
      </w:r>
    </w:p>
    <w:p w14:paraId="56631357" w14:textId="77777777" w:rsidR="00954C4D" w:rsidRPr="00B31A92" w:rsidRDefault="00954C4D" w:rsidP="00673BA2">
      <w:pPr>
        <w:keepNext/>
        <w:rPr>
          <w:b/>
        </w:rPr>
      </w:pPr>
    </w:p>
    <w:p w14:paraId="56631358" w14:textId="77777777" w:rsidR="00CD1811" w:rsidRPr="00B31A92" w:rsidRDefault="00CD1811" w:rsidP="00673BA2">
      <w:pPr>
        <w:keepNext/>
        <w:rPr>
          <w:b/>
        </w:rPr>
      </w:pPr>
      <w:r w:rsidRPr="00B31A92">
        <w:rPr>
          <w:b/>
        </w:rPr>
        <w:t>Keskeiset kohdat:</w:t>
      </w:r>
    </w:p>
    <w:p w14:paraId="56631359" w14:textId="77777777" w:rsidR="008D270E" w:rsidRPr="00B31A92" w:rsidRDefault="008D270E" w:rsidP="00673BA2">
      <w:pPr>
        <w:keepNext/>
        <w:overflowPunct w:val="0"/>
        <w:autoSpaceDE w:val="0"/>
        <w:autoSpaceDN w:val="0"/>
        <w:adjustRightInd w:val="0"/>
        <w:textAlignment w:val="baseline"/>
        <w:rPr>
          <w:szCs w:val="20"/>
        </w:rPr>
      </w:pPr>
    </w:p>
    <w:p w14:paraId="71B263C8" w14:textId="1C7B4A00" w:rsidR="00B21341" w:rsidRPr="00B31A92" w:rsidRDefault="00B21341" w:rsidP="00B21341">
      <w:pPr>
        <w:pStyle w:val="ListParagraph"/>
        <w:numPr>
          <w:ilvl w:val="0"/>
          <w:numId w:val="177"/>
        </w:numPr>
        <w:tabs>
          <w:tab w:val="clear" w:pos="0"/>
        </w:tabs>
        <w:ind w:left="284"/>
      </w:pPr>
      <w:r w:rsidRPr="00B31A92">
        <w:t xml:space="preserve">ETSK kannattaa komission ehdotusta ja katsoo, että valittu vuoden aikamäärä on hyväksyttävissä, sitäkin suuremmalla syyllä, koska asetuksen voimaantulo osuu yksiin uuden MiFID II -säädöspaketin voimaantulon kanssa. </w:t>
      </w:r>
    </w:p>
    <w:p w14:paraId="0F14F49C" w14:textId="77777777" w:rsidR="00B21341" w:rsidRPr="00B31A92" w:rsidRDefault="00B21341" w:rsidP="00B21341">
      <w:pPr>
        <w:pStyle w:val="ListParagraph"/>
        <w:numPr>
          <w:ilvl w:val="0"/>
          <w:numId w:val="177"/>
        </w:numPr>
        <w:tabs>
          <w:tab w:val="clear" w:pos="0"/>
        </w:tabs>
        <w:ind w:left="284"/>
      </w:pPr>
      <w:r w:rsidRPr="00B31A92">
        <w:lastRenderedPageBreak/>
        <w:t xml:space="preserve">Komitea pitää välttämättömänä huolehtia siitä, että kyse on poikkeuksellisesta ja ainutkertaisesta lykkäyksestä. </w:t>
      </w:r>
    </w:p>
    <w:p w14:paraId="5663135A" w14:textId="71AD3C4E" w:rsidR="00797F04" w:rsidRPr="00B31A92" w:rsidRDefault="00B21341" w:rsidP="00B21341">
      <w:pPr>
        <w:pStyle w:val="ListParagraph"/>
        <w:numPr>
          <w:ilvl w:val="0"/>
          <w:numId w:val="177"/>
        </w:numPr>
        <w:tabs>
          <w:tab w:val="clear" w:pos="0"/>
        </w:tabs>
        <w:ind w:left="284"/>
      </w:pPr>
      <w:r w:rsidRPr="00B31A92">
        <w:t>PRIIP-tuotteita koskevan asetuksen tavoitteita ja saavutuksia ei saa vaarantaa tämän toimenpiteen yhteydessä. Sen vuoksi on välttämätöntä, että delegoituun säädökseen mahdollisesti tehtävät mukautukset noudattavat mainittuja suuntaviivoja.</w:t>
      </w:r>
    </w:p>
    <w:p w14:paraId="56631360" w14:textId="77777777" w:rsidR="00797F04" w:rsidRPr="00B31A92" w:rsidRDefault="00797F04" w:rsidP="00673BA2">
      <w:pPr>
        <w:overflowPunct w:val="0"/>
        <w:autoSpaceDE w:val="0"/>
        <w:autoSpaceDN w:val="0"/>
        <w:adjustRightInd w:val="0"/>
        <w:textAlignment w:val="baseline"/>
      </w:pPr>
    </w:p>
    <w:p w14:paraId="56631361" w14:textId="2E4A3B3B" w:rsidR="00797F04" w:rsidRPr="00B31A92" w:rsidRDefault="00797F04" w:rsidP="00673BA2">
      <w:pPr>
        <w:overflowPunct w:val="0"/>
        <w:autoSpaceDE w:val="0"/>
        <w:autoSpaceDN w:val="0"/>
        <w:adjustRightInd w:val="0"/>
        <w:ind w:left="1134" w:hanging="1134"/>
        <w:rPr>
          <w:i/>
          <w:szCs w:val="20"/>
        </w:rPr>
      </w:pPr>
      <w:r w:rsidRPr="00B31A92">
        <w:rPr>
          <w:b/>
          <w:i/>
        </w:rPr>
        <w:t>Yhteyshenkilö:</w:t>
      </w:r>
      <w:r w:rsidR="00AC0F80" w:rsidRPr="00B31A92">
        <w:rPr>
          <w:b/>
          <w:i/>
        </w:rPr>
        <w:tab/>
      </w:r>
      <w:r w:rsidRPr="00B31A92">
        <w:rPr>
          <w:i/>
        </w:rPr>
        <w:t>Luís Lobo</w:t>
      </w:r>
    </w:p>
    <w:p w14:paraId="56631362" w14:textId="70CF24C4" w:rsidR="00797F04" w:rsidRPr="00B31A92" w:rsidRDefault="00AC0F80" w:rsidP="00673BA2">
      <w:pPr>
        <w:overflowPunct w:val="0"/>
        <w:autoSpaceDE w:val="0"/>
        <w:autoSpaceDN w:val="0"/>
        <w:adjustRightInd w:val="0"/>
        <w:ind w:left="1134" w:hanging="1134"/>
        <w:rPr>
          <w:i/>
          <w:szCs w:val="20"/>
        </w:rPr>
      </w:pPr>
      <w:r w:rsidRPr="00B31A92">
        <w:tab/>
      </w:r>
      <w:r w:rsidR="00954C4D" w:rsidRPr="00B31A92">
        <w:tab/>
      </w:r>
      <w:r w:rsidR="00954C4D" w:rsidRPr="00B31A92">
        <w:rPr>
          <w:i/>
        </w:rPr>
        <w:t xml:space="preserve">(P. +32 25469717 – sähköposti: </w:t>
      </w:r>
      <w:hyperlink r:id="rId29" w:history="1">
        <w:r w:rsidR="00954C4D" w:rsidRPr="00B31A92">
          <w:rPr>
            <w:rStyle w:val="Hyperlink"/>
            <w:i/>
          </w:rPr>
          <w:t>luis.lobo@eesc.europa.eu</w:t>
        </w:r>
      </w:hyperlink>
      <w:r w:rsidR="00954C4D" w:rsidRPr="00B31A92">
        <w:rPr>
          <w:i/>
        </w:rPr>
        <w:t>)</w:t>
      </w:r>
    </w:p>
    <w:p w14:paraId="56631364" w14:textId="77777777" w:rsidR="00673BA2" w:rsidRPr="00B31A92" w:rsidRDefault="00673BA2" w:rsidP="00673BA2">
      <w:pPr>
        <w:rPr>
          <w:b/>
          <w:u w:val="single"/>
        </w:rPr>
      </w:pPr>
    </w:p>
    <w:p w14:paraId="5663138B" w14:textId="77777777" w:rsidR="00673BA2" w:rsidRPr="00B31A92" w:rsidRDefault="00673BA2" w:rsidP="00673BA2"/>
    <w:p w14:paraId="5663138C" w14:textId="77777777" w:rsidR="00740EA8" w:rsidRPr="00B31A92" w:rsidRDefault="00D238B9" w:rsidP="00673BA2">
      <w:pPr>
        <w:pStyle w:val="Heading1"/>
        <w:keepNext/>
        <w:rPr>
          <w:b/>
        </w:rPr>
      </w:pPr>
      <w:bookmarkStart w:id="15" w:name="_Toc464460179"/>
      <w:bookmarkStart w:id="16" w:name="_Toc471377319"/>
      <w:r w:rsidRPr="00B31A92">
        <w:rPr>
          <w:b/>
        </w:rPr>
        <w:t>YMPÄRISTÖ, MAATALOUS JA KALASTUS</w:t>
      </w:r>
      <w:bookmarkEnd w:id="15"/>
      <w:bookmarkEnd w:id="16"/>
    </w:p>
    <w:p w14:paraId="5663138E" w14:textId="77777777" w:rsidR="00673BA2" w:rsidRPr="00B31A92" w:rsidRDefault="00673BA2" w:rsidP="00673BA2">
      <w:pPr>
        <w:keepNext/>
      </w:pPr>
    </w:p>
    <w:p w14:paraId="5663138F" w14:textId="7604A8EB" w:rsidR="00F32EE8" w:rsidRPr="00B31A92" w:rsidRDefault="00EC0253" w:rsidP="00EC0253">
      <w:pPr>
        <w:keepNext/>
        <w:numPr>
          <w:ilvl w:val="0"/>
          <w:numId w:val="5"/>
        </w:numPr>
        <w:overflowPunct w:val="0"/>
        <w:autoSpaceDE w:val="0"/>
        <w:autoSpaceDN w:val="0"/>
        <w:adjustRightInd w:val="0"/>
        <w:ind w:hanging="567"/>
        <w:textAlignment w:val="baseline"/>
        <w:rPr>
          <w:b/>
          <w:i/>
          <w:sz w:val="28"/>
        </w:rPr>
      </w:pPr>
      <w:r w:rsidRPr="00B31A92">
        <w:rPr>
          <w:b/>
          <w:i/>
          <w:sz w:val="28"/>
        </w:rPr>
        <w:t>Vuoden 2020 jälkeiseen YMP:hen vaikuttavat tekijät (oma-aloitteinen lausunto)</w:t>
      </w:r>
    </w:p>
    <w:p w14:paraId="56631390" w14:textId="77777777" w:rsidR="00F32EE8" w:rsidRPr="00B31A92" w:rsidRDefault="00F32EE8" w:rsidP="00673BA2">
      <w:pPr>
        <w:keepNext/>
      </w:pPr>
    </w:p>
    <w:p w14:paraId="56631391" w14:textId="32CF3FE0" w:rsidR="00F32EE8" w:rsidRPr="00B31A92" w:rsidRDefault="00F32EE8" w:rsidP="00673BA2">
      <w:pPr>
        <w:keepNext/>
        <w:ind w:left="1701" w:hanging="1701"/>
        <w:rPr>
          <w:bCs/>
        </w:rPr>
      </w:pPr>
      <w:r w:rsidRPr="00B31A92">
        <w:rPr>
          <w:b/>
        </w:rPr>
        <w:t>Esittelijä:</w:t>
      </w:r>
      <w:r w:rsidRPr="00B31A92">
        <w:tab/>
      </w:r>
      <w:r w:rsidR="00320A5F" w:rsidRPr="00B31A92">
        <w:tab/>
        <w:t xml:space="preserve">Simo TIAINEN </w:t>
      </w:r>
      <w:r w:rsidRPr="00B31A92">
        <w:t>(</w:t>
      </w:r>
      <w:r w:rsidR="00320A5F" w:rsidRPr="00B31A92">
        <w:t>muut eturyhmä</w:t>
      </w:r>
      <w:r w:rsidRPr="00B31A92">
        <w:t xml:space="preserve">t – </w:t>
      </w:r>
      <w:r w:rsidR="00320A5F" w:rsidRPr="00B31A92">
        <w:t>FI</w:t>
      </w:r>
      <w:r w:rsidRPr="00B31A92">
        <w:t>)</w:t>
      </w:r>
    </w:p>
    <w:p w14:paraId="56631392" w14:textId="77777777" w:rsidR="00A7009D" w:rsidRPr="00B31A92" w:rsidRDefault="00A7009D" w:rsidP="00673BA2">
      <w:pPr>
        <w:keepNext/>
        <w:ind w:left="1701" w:hanging="1701"/>
        <w:rPr>
          <w:sz w:val="16"/>
          <w:szCs w:val="16"/>
        </w:rPr>
      </w:pPr>
    </w:p>
    <w:p w14:paraId="56631394" w14:textId="5DA6B480" w:rsidR="00F32EE8" w:rsidRPr="00B31A92" w:rsidRDefault="00E6466A" w:rsidP="00320A5F">
      <w:pPr>
        <w:keepNext/>
        <w:ind w:left="1701" w:hanging="1701"/>
        <w:rPr>
          <w:bCs/>
        </w:rPr>
      </w:pPr>
      <w:r w:rsidRPr="00B31A92">
        <w:rPr>
          <w:b/>
        </w:rPr>
        <w:t>Viiteasiakirja:</w:t>
      </w:r>
      <w:r w:rsidRPr="00B31A92">
        <w:t xml:space="preserve"> </w:t>
      </w:r>
      <w:r w:rsidRPr="00B31A92">
        <w:tab/>
      </w:r>
      <w:r w:rsidR="00320A5F" w:rsidRPr="00B31A92">
        <w:tab/>
        <w:t>EESC-2016-00801-00-00-AC-TRA</w:t>
      </w:r>
    </w:p>
    <w:p w14:paraId="56631395" w14:textId="77777777" w:rsidR="00F32EE8" w:rsidRPr="00B31A92" w:rsidRDefault="00F32EE8" w:rsidP="00673BA2">
      <w:pPr>
        <w:keepNext/>
        <w:rPr>
          <w:sz w:val="16"/>
          <w:szCs w:val="16"/>
        </w:rPr>
      </w:pPr>
    </w:p>
    <w:p w14:paraId="56631396" w14:textId="77777777" w:rsidR="008C7465" w:rsidRPr="00B31A92" w:rsidRDefault="00E6466A" w:rsidP="00673BA2">
      <w:pPr>
        <w:keepNext/>
      </w:pPr>
      <w:r w:rsidRPr="00B31A92">
        <w:rPr>
          <w:b/>
        </w:rPr>
        <w:t>Keskeiset kohdat:</w:t>
      </w:r>
    </w:p>
    <w:p w14:paraId="56631397" w14:textId="77777777" w:rsidR="00E6466A" w:rsidRPr="00B31A92" w:rsidRDefault="00E6466A" w:rsidP="00673BA2">
      <w:pPr>
        <w:keepNext/>
        <w:rPr>
          <w:sz w:val="16"/>
          <w:szCs w:val="16"/>
        </w:rPr>
      </w:pPr>
    </w:p>
    <w:p w14:paraId="30E962D4" w14:textId="77777777" w:rsidR="009366DA" w:rsidRPr="00B31A92" w:rsidRDefault="009366DA" w:rsidP="009366DA">
      <w:r w:rsidRPr="00B31A92">
        <w:t xml:space="preserve">Yhteinen maatalouspolitiikka (YMP) on auttanut rakentamaan Euroopan unionia puoli vuosisataa. Paluu perusasioihin voisi nyt tarjota mahdollisuuden uuden pitkän aikavälin vision laatimiseen YMP:tä varten ja sitä kautta selkeiden ja konkreettisten suuntaviivojen antamiseen sekä maataloustuottajille että myös miljoonille kansalaisille. Komitea on aina ollut sitä mieltä, että tulevalla YMP:llä tulee puolustaa eurooppalaista maatalousmallia, joka perustuu elintarvikeomavaraisuuden ja kestävän kehityksen periaatteisiin sekä Euroopan kansalaisten – niin maataloustuottajien, maatalousalan työntekijöiden kuin kuluttajienkin – todellisiin tarpeisiin vastaamiseen.  </w:t>
      </w:r>
    </w:p>
    <w:p w14:paraId="6A2A555A" w14:textId="77777777" w:rsidR="009366DA" w:rsidRPr="00B31A92" w:rsidRDefault="009366DA" w:rsidP="009366DA">
      <w:pPr>
        <w:rPr>
          <w:sz w:val="16"/>
          <w:szCs w:val="16"/>
        </w:rPr>
      </w:pPr>
    </w:p>
    <w:p w14:paraId="751951E8" w14:textId="77777777" w:rsidR="009366DA" w:rsidRPr="00B31A92" w:rsidRDefault="009366DA" w:rsidP="009366DA">
      <w:r w:rsidRPr="00B31A92">
        <w:t xml:space="preserve">ETSK suhtautuu myönteisesti alustaviin keskusteluihin ja ajatuksiin vuoden 2020 jälkeisestä tulevasta YMP:stä. Vaikka perussopimuksissa asetetut YMP:n tavoitteet ovat nyt tärkeämpiä kuin koskaan, nykyisen YMP:n ja sen edellisen uudistuksen tulosten perinpohjainen analysointi on välttämätöntä. Tässä lausunnossa on tarkoitus esittää ehdotuksia ja osallistua YMP:n tulevaisuutta käsittelevään pohdiskeluun. </w:t>
      </w:r>
    </w:p>
    <w:p w14:paraId="21A9E5F5" w14:textId="77777777" w:rsidR="009366DA" w:rsidRPr="00B31A92" w:rsidRDefault="009366DA" w:rsidP="009366DA">
      <w:pPr>
        <w:rPr>
          <w:sz w:val="16"/>
          <w:szCs w:val="16"/>
        </w:rPr>
      </w:pPr>
    </w:p>
    <w:p w14:paraId="0DE7A0A7" w14:textId="77777777" w:rsidR="009366DA" w:rsidRPr="00B31A92" w:rsidRDefault="009366DA" w:rsidP="009366DA">
      <w:r w:rsidRPr="00B31A92">
        <w:t xml:space="preserve">Kun otetaan huomioon YMP:n monimutkaisuus ja edellisen uudistuksen toteuttamisen hankaluus, maataloustuottajat tarvitsevat ennen muuta poliittista vakautta ja pitkän aikavälin näkemystä maatalouspolitiikasta. Pohdiskeluun, tavoitteista sopimiseen, haasteista keskustelemiseen ja ratkaisujen löytämiseen kuluu väistämättä varsinkin Lissabonin sopimusta sovellettaessa useita vuosia. EU:n toimielinten tulisi siksi pikaisesti sopia nykyisen YMP:n jatkamisesta vähintään kahdella vuodella.  </w:t>
      </w:r>
    </w:p>
    <w:p w14:paraId="5F36F9E7" w14:textId="77777777" w:rsidR="009366DA" w:rsidRPr="00B31A92" w:rsidRDefault="009366DA" w:rsidP="009366DA">
      <w:pPr>
        <w:rPr>
          <w:sz w:val="16"/>
          <w:szCs w:val="16"/>
        </w:rPr>
      </w:pPr>
    </w:p>
    <w:p w14:paraId="5B1DFAFE" w14:textId="77777777" w:rsidR="009366DA" w:rsidRPr="00B31A92" w:rsidRDefault="009366DA" w:rsidP="00C169F8">
      <w:pPr>
        <w:keepLines/>
      </w:pPr>
      <w:r w:rsidRPr="00B31A92">
        <w:t xml:space="preserve">YMP:n aikataulu tulisi sovittaa Euroopan parlamentin vaalien mukaan. Siihen tulisi sisällyttää säännöksiä, joita sovelletaan kymmenen vuoden ajan, ja mahdollisuus tehdä väliarviointi viiden vuoden välein. Tällainen ehdotus toisi enemmän vakautta maatalousalalle, mahdollistaisi sujuvan kehittämisen ja antaisi kunkin kauden parlamentille ja komissiolle mahdollisuuden puuttua mahdollisesti ilmeneviin ongelmiin. </w:t>
      </w:r>
    </w:p>
    <w:p w14:paraId="3F1F426C" w14:textId="77777777" w:rsidR="009366DA" w:rsidRPr="00B31A92" w:rsidRDefault="009366DA" w:rsidP="009366DA"/>
    <w:p w14:paraId="2D43F1EB" w14:textId="77777777" w:rsidR="009366DA" w:rsidRPr="00B31A92" w:rsidRDefault="009366DA" w:rsidP="009366DA">
      <w:r w:rsidRPr="00B31A92">
        <w:t xml:space="preserve">YMP:llä olisi helpotettava nuorten ja uusien viljelijöiden asettautumista paitsi erityisin välinein myös tarjoamalla todellista poliittista vakautta. Maataloustuottajat tarvitsevat enemmän vakautta voidakseen tehdä vuosikymmenten päähän ulottuvia investointeja ja ratkaista sukupolvenvaihdosten asettamat haasteet.  </w:t>
      </w:r>
    </w:p>
    <w:p w14:paraId="1BB044D5" w14:textId="77777777" w:rsidR="009366DA" w:rsidRPr="00B31A92" w:rsidRDefault="009366DA" w:rsidP="009366DA"/>
    <w:p w14:paraId="544D6489" w14:textId="77777777" w:rsidR="009366DA" w:rsidRPr="00B31A92" w:rsidRDefault="009366DA" w:rsidP="009366DA">
      <w:r w:rsidRPr="00B31A92">
        <w:t xml:space="preserve">Tulevassa YMP:ssä olisi otettava huomioon toisaalta maatalousmallien moninaisuus ja alueelliset erityispiirteet ja toisaalta YMP:n erilaiset taloudelliset, sosiaaliset ja ympäristöön liittyvät tavoitteet. Oma elintarviketuotanto ja oma maatalous ovat tärkeitä ja kuuluvat jokaisen kansakunnan kulttuuriin maailmassa. Eurooppalaisen elintarvikepolitiikan tulisi perustua terveelliseen ja laadukkaaseen ruokaan ja luoda synergiaa YMP:n kanssa. Yhtenä YMP:n perusperiaatteena tulisi olla elinvoimaisen ja kestäväpohjaisen maatalouden säilyttäminen kaikilla EU:n alueilla. </w:t>
      </w:r>
    </w:p>
    <w:p w14:paraId="5E04E805" w14:textId="77777777" w:rsidR="009366DA" w:rsidRPr="00B31A92" w:rsidRDefault="009366DA" w:rsidP="009366DA"/>
    <w:p w14:paraId="7D45E1BA" w14:textId="77777777" w:rsidR="009366DA" w:rsidRPr="00B31A92" w:rsidRDefault="009366DA" w:rsidP="009366DA">
      <w:r w:rsidRPr="00B31A92">
        <w:t xml:space="preserve">Seuraavan YMP:n uudistuksen tärkeimpänä tausta-ajatuksena tulisi olla yksinkertaistaminen. YMP:n täytäntöönpanon tulee olla sujuvampaa, ja on kehitettävä järkevämpiä valvonta- ja seuraamusjärjestelmiä. On erittäin tärkeää, että viljelijöille maksetaan tukimaksut ajoissa.  </w:t>
      </w:r>
    </w:p>
    <w:p w14:paraId="5BEA2BBF" w14:textId="77777777" w:rsidR="009366DA" w:rsidRPr="00B31A92" w:rsidRDefault="009366DA" w:rsidP="009366DA"/>
    <w:p w14:paraId="419D1408" w14:textId="77777777" w:rsidR="009366DA" w:rsidRPr="00B31A92" w:rsidRDefault="009366DA" w:rsidP="009366DA">
      <w:r w:rsidRPr="00B31A92">
        <w:t xml:space="preserve">Koska YMP on ala, johon liittyy suoria EU-tason toimia, ja koska yhteisön etuuskohtelun purkaminen johtaa tuottajahintojen alenemiseen, tulevalla YMP:llä on pystyttävä vastaamaan kaikkiin sen edessä oleviin haasteisiin, myös markkinahäiriöihin. Tästä syystä on tarpeen kasvattaa maatalousbudjettia unionin tasolla.  </w:t>
      </w:r>
    </w:p>
    <w:p w14:paraId="6AEE3A89" w14:textId="77777777" w:rsidR="009366DA" w:rsidRPr="00B31A92" w:rsidRDefault="009366DA" w:rsidP="009366DA"/>
    <w:p w14:paraId="566313A2" w14:textId="50487961" w:rsidR="00E6466A" w:rsidRPr="00B31A92" w:rsidRDefault="009366DA" w:rsidP="009366DA">
      <w:r w:rsidRPr="00B31A92">
        <w:t>Euroopan komissio aikoo jatkaa työtään vuonna 2017 ja järjestää laajan kuulemisen YMP:n yksinkertaistamisesta ja uudistamisesta. On tärkeää, että Euroopan kansalaisyhteiskunnalla on aktiivinen rooli tässä prosessissa. ETSK:n olisi perustettava valmisteluryhmä seuraamaan prosessia ja osallistumaan siihen.</w:t>
      </w:r>
    </w:p>
    <w:p w14:paraId="566313A3" w14:textId="77777777" w:rsidR="00954C4D" w:rsidRPr="00B31A92" w:rsidRDefault="00954C4D" w:rsidP="00673BA2">
      <w:pPr>
        <w:tabs>
          <w:tab w:val="left" w:pos="770"/>
        </w:tabs>
        <w:ind w:left="1430" w:hanging="1430"/>
        <w:rPr>
          <w:bCs/>
          <w:iCs/>
        </w:rPr>
      </w:pPr>
    </w:p>
    <w:p w14:paraId="048256D2" w14:textId="339254CE" w:rsidR="00320A5F" w:rsidRPr="00B31A92" w:rsidRDefault="00320A5F" w:rsidP="00320A5F">
      <w:pPr>
        <w:tabs>
          <w:tab w:val="center" w:pos="284"/>
        </w:tabs>
        <w:spacing w:line="280" w:lineRule="auto"/>
        <w:ind w:left="266" w:hanging="266"/>
        <w:rPr>
          <w:i/>
          <w:iCs/>
        </w:rPr>
      </w:pPr>
      <w:r w:rsidRPr="00B31A92">
        <w:rPr>
          <w:b/>
          <w:i/>
        </w:rPr>
        <w:t>Yhteyshenkilö</w:t>
      </w:r>
      <w:r w:rsidRPr="00B31A92">
        <w:rPr>
          <w:i/>
        </w:rPr>
        <w:t>:</w:t>
      </w:r>
      <w:r w:rsidRPr="00B31A92">
        <w:rPr>
          <w:i/>
        </w:rPr>
        <w:tab/>
      </w:r>
      <w:r w:rsidRPr="00B31A92">
        <w:rPr>
          <w:i/>
          <w:iCs/>
        </w:rPr>
        <w:t>Maarit Laurila</w:t>
      </w:r>
    </w:p>
    <w:p w14:paraId="17495E3B" w14:textId="5F677CAC" w:rsidR="00320A5F" w:rsidRPr="00B31A92" w:rsidRDefault="00320A5F" w:rsidP="00320A5F">
      <w:pPr>
        <w:rPr>
          <w:i/>
          <w:iCs/>
        </w:rPr>
      </w:pPr>
      <w:r w:rsidRPr="00B31A92">
        <w:rPr>
          <w:i/>
          <w:iCs/>
        </w:rPr>
        <w:tab/>
      </w:r>
      <w:r w:rsidRPr="00B31A92">
        <w:rPr>
          <w:i/>
          <w:iCs/>
        </w:rPr>
        <w:tab/>
      </w:r>
      <w:r w:rsidR="000B139C" w:rsidRPr="00B31A92">
        <w:rPr>
          <w:i/>
          <w:iCs/>
        </w:rPr>
        <w:tab/>
      </w:r>
      <w:r w:rsidRPr="00B31A92">
        <w:rPr>
          <w:i/>
          <w:iCs/>
        </w:rPr>
        <w:t xml:space="preserve">(P. +32 25469739 – sähköposti: </w:t>
      </w:r>
      <w:hyperlink r:id="rId30" w:history="1">
        <w:r w:rsidRPr="00B31A92">
          <w:rPr>
            <w:rStyle w:val="Hyperlink"/>
            <w:i/>
            <w:iCs/>
          </w:rPr>
          <w:t>maarit.laurila@eesc.europa.eu</w:t>
        </w:r>
      </w:hyperlink>
      <w:r w:rsidRPr="00B31A92">
        <w:rPr>
          <w:i/>
          <w:iCs/>
        </w:rPr>
        <w:t>)</w:t>
      </w:r>
    </w:p>
    <w:p w14:paraId="566313A7" w14:textId="77777777" w:rsidR="00673BA2" w:rsidRPr="00B31A92" w:rsidRDefault="00673BA2" w:rsidP="00673BA2">
      <w:pPr>
        <w:rPr>
          <w:b/>
          <w:iCs/>
          <w:highlight w:val="yellow"/>
          <w:u w:val="single"/>
        </w:rPr>
      </w:pPr>
    </w:p>
    <w:p w14:paraId="4F98A96D" w14:textId="77777777" w:rsidR="00C169F8" w:rsidRPr="00B31A92" w:rsidRDefault="00C169F8" w:rsidP="00673BA2">
      <w:pPr>
        <w:rPr>
          <w:b/>
          <w:iCs/>
          <w:highlight w:val="yellow"/>
          <w:u w:val="single"/>
        </w:rPr>
      </w:pPr>
    </w:p>
    <w:p w14:paraId="566313A8" w14:textId="1282B3CA" w:rsidR="00D238B9" w:rsidRPr="00B31A92" w:rsidRDefault="00457653" w:rsidP="00457653">
      <w:pPr>
        <w:keepNext/>
        <w:numPr>
          <w:ilvl w:val="0"/>
          <w:numId w:val="5"/>
        </w:numPr>
        <w:overflowPunct w:val="0"/>
        <w:autoSpaceDE w:val="0"/>
        <w:autoSpaceDN w:val="0"/>
        <w:adjustRightInd w:val="0"/>
        <w:ind w:hanging="567"/>
        <w:textAlignment w:val="baseline"/>
        <w:rPr>
          <w:b/>
          <w:i/>
          <w:sz w:val="28"/>
        </w:rPr>
      </w:pPr>
      <w:r w:rsidRPr="00B31A92">
        <w:rPr>
          <w:b/>
          <w:i/>
          <w:sz w:val="28"/>
        </w:rPr>
        <w:t>Taakanjakopäätös ilmasto- ja energiapolitiikan puitteissa 2030 ja päästöjen osalta sekä maankäytön, maankäytön muutoksen ja metsätalouden poissulkeminen (LULUCF)</w:t>
      </w:r>
    </w:p>
    <w:p w14:paraId="566313A9" w14:textId="77777777" w:rsidR="00D238B9" w:rsidRPr="00B31A92" w:rsidRDefault="00D238B9" w:rsidP="00673BA2">
      <w:pPr>
        <w:keepNext/>
        <w:ind w:firstLine="17"/>
      </w:pPr>
    </w:p>
    <w:p w14:paraId="566313AA" w14:textId="18946562" w:rsidR="00D238B9" w:rsidRPr="00B31A92" w:rsidRDefault="00D238B9" w:rsidP="00673BA2">
      <w:pPr>
        <w:keepNext/>
        <w:ind w:left="1701" w:hanging="1701"/>
      </w:pPr>
      <w:r w:rsidRPr="00B31A92">
        <w:rPr>
          <w:b/>
        </w:rPr>
        <w:t>Esittelijä:</w:t>
      </w:r>
      <w:r w:rsidRPr="00B31A92">
        <w:tab/>
      </w:r>
      <w:r w:rsidR="003F1EC5" w:rsidRPr="00B31A92">
        <w:tab/>
        <w:t xml:space="preserve">Tellervo KYLÄ-HARAKKA-RUONALA </w:t>
      </w:r>
      <w:r w:rsidRPr="00B31A92">
        <w:t>(t</w:t>
      </w:r>
      <w:r w:rsidR="003F1EC5" w:rsidRPr="00B31A92">
        <w:t>yöntekijä</w:t>
      </w:r>
      <w:r w:rsidRPr="00B31A92">
        <w:t xml:space="preserve">t – </w:t>
      </w:r>
      <w:r w:rsidR="003F1EC5" w:rsidRPr="00B31A92">
        <w:t>FI</w:t>
      </w:r>
      <w:r w:rsidRPr="00B31A92">
        <w:t>)</w:t>
      </w:r>
    </w:p>
    <w:p w14:paraId="566313AB" w14:textId="77777777" w:rsidR="00D238B9" w:rsidRPr="00B31A92" w:rsidRDefault="00D238B9" w:rsidP="00673BA2">
      <w:pPr>
        <w:keepNext/>
        <w:ind w:left="1701" w:hanging="1701"/>
        <w:rPr>
          <w:sz w:val="16"/>
          <w:szCs w:val="16"/>
        </w:rPr>
      </w:pPr>
    </w:p>
    <w:p w14:paraId="5948DC63" w14:textId="2026BB16" w:rsidR="003F1EC5" w:rsidRPr="00B31A92" w:rsidRDefault="00D238B9" w:rsidP="003F1EC5">
      <w:pPr>
        <w:tabs>
          <w:tab w:val="left" w:pos="1980"/>
        </w:tabs>
      </w:pPr>
      <w:r w:rsidRPr="00B31A92">
        <w:rPr>
          <w:b/>
        </w:rPr>
        <w:t>Viiteasiakirja</w:t>
      </w:r>
      <w:r w:rsidR="000B139C" w:rsidRPr="00B31A92">
        <w:rPr>
          <w:b/>
        </w:rPr>
        <w:t>t</w:t>
      </w:r>
      <w:r w:rsidRPr="00B31A92">
        <w:rPr>
          <w:b/>
        </w:rPr>
        <w:t>:</w:t>
      </w:r>
      <w:r w:rsidRPr="00B31A92">
        <w:tab/>
      </w:r>
      <w:r w:rsidR="003F1EC5" w:rsidRPr="00B31A92">
        <w:tab/>
        <w:t>COM(2016) 482 final – 2016/0231 COD</w:t>
      </w:r>
    </w:p>
    <w:p w14:paraId="5B3BB74D" w14:textId="4903244C" w:rsidR="003F1EC5" w:rsidRPr="00B31A92" w:rsidRDefault="003F1EC5" w:rsidP="003F1EC5">
      <w:pPr>
        <w:tabs>
          <w:tab w:val="left" w:pos="1980"/>
        </w:tabs>
      </w:pPr>
      <w:r w:rsidRPr="00B31A92">
        <w:tab/>
      </w:r>
      <w:r w:rsidRPr="00B31A92">
        <w:tab/>
        <w:t>COM(2016) 479 final – 2016/0230 COD</w:t>
      </w:r>
    </w:p>
    <w:p w14:paraId="566313AC" w14:textId="554CC57D" w:rsidR="00D238B9" w:rsidRPr="00B31A92" w:rsidRDefault="003F1EC5" w:rsidP="003F1EC5">
      <w:pPr>
        <w:keepNext/>
        <w:ind w:left="1701" w:hanging="1701"/>
      </w:pPr>
      <w:r w:rsidRPr="00B31A92">
        <w:tab/>
      </w:r>
      <w:r w:rsidRPr="00B31A92">
        <w:tab/>
        <w:t>EESC-2016-04477-00-00-AC-TRA</w:t>
      </w:r>
    </w:p>
    <w:p w14:paraId="566313AD" w14:textId="77777777" w:rsidR="00D238B9" w:rsidRPr="00B31A92" w:rsidRDefault="00D238B9" w:rsidP="00673BA2">
      <w:pPr>
        <w:keepNext/>
        <w:ind w:left="-5"/>
        <w:rPr>
          <w:sz w:val="16"/>
          <w:szCs w:val="16"/>
        </w:rPr>
      </w:pPr>
      <w:r w:rsidRPr="00B31A92">
        <w:tab/>
      </w:r>
    </w:p>
    <w:p w14:paraId="566313AE" w14:textId="77777777" w:rsidR="00D238B9" w:rsidRPr="00B31A92" w:rsidRDefault="00D238B9" w:rsidP="00673BA2">
      <w:pPr>
        <w:keepNext/>
        <w:ind w:left="-5"/>
        <w:rPr>
          <w:b/>
        </w:rPr>
      </w:pPr>
      <w:r w:rsidRPr="00B31A92">
        <w:rPr>
          <w:b/>
        </w:rPr>
        <w:t>Keskeiset kohdat:</w:t>
      </w:r>
    </w:p>
    <w:p w14:paraId="566313AF" w14:textId="77777777" w:rsidR="008D270E" w:rsidRPr="00B31A92" w:rsidRDefault="008D270E" w:rsidP="00C169F8">
      <w:pPr>
        <w:keepLines/>
        <w:rPr>
          <w:bCs/>
          <w:iCs/>
          <w:sz w:val="16"/>
          <w:szCs w:val="16"/>
        </w:rPr>
      </w:pPr>
    </w:p>
    <w:p w14:paraId="2E581AA3" w14:textId="77777777" w:rsidR="00D3457F" w:rsidRPr="00B31A92" w:rsidRDefault="00D3457F" w:rsidP="00D3457F">
      <w:r w:rsidRPr="00B31A92">
        <w:t xml:space="preserve">ETSK suhtautuu myönteisesti komission oikea-aikaisiin ehdotuksiin, joiden tarkoituksena on panna täytäntöön EU:n sitoumus vähentää kasvihuonekaasupäästöjään kaikilla talous- ja yhteiskuntaelämän aloilla vuoteen 2030 mennessä. Komitea korostaa kuitenkin tarvetta ottaa samalla huomioon </w:t>
      </w:r>
      <w:r w:rsidRPr="00B31A92">
        <w:lastRenderedPageBreak/>
        <w:t xml:space="preserve">ilmastonmuutoksen hillitsemisen maailmanlaajuinen pitkän aikavälin haaste. Tämä edellyttää perusteellista arviointi siitä, onko EU:n nykyinen ilmastopoliittinen lähestymistapa omiaan tasoittamaan tietä hiilineutraalille maailmalle, kun ajatellaan globaalin, EU- ja valtiotason toimia.  </w:t>
      </w:r>
    </w:p>
    <w:p w14:paraId="54A77E13" w14:textId="77777777" w:rsidR="00D3457F" w:rsidRPr="00B31A92" w:rsidRDefault="00D3457F" w:rsidP="00D3457F"/>
    <w:p w14:paraId="389C8F72" w14:textId="77777777" w:rsidR="00D3457F" w:rsidRPr="00B31A92" w:rsidRDefault="00D3457F" w:rsidP="00D3457F">
      <w:r w:rsidRPr="00B31A92">
        <w:t xml:space="preserve">ETSK on taakanjaon osalta täysin samaa mieltä siitä, että jäsenvaltioiden väliset erot on otettava huomioon oikeudenmukaisuuden ja kustannustehokkuuden varmistamiseksi. Jotta todelliseen kustannustehokkuuteen päästään oikeudenmukaisella tavalla, taakanjakolaskelmissa olisi kuitenkin huomioitava molemmat näkökohdat yhtä aikaa kaikkien jäsenvaltioiden osalta ja asetettava tavoitteet niin, että suhteelliset kustannukset ovat samat kaikille maille. Taakanjaon puutteiden vuoksi ETSK katsoo, että on tärkeää ottaa käyttöön joustomekanismeja ja kehittää niitä edelleen. </w:t>
      </w:r>
    </w:p>
    <w:p w14:paraId="6937DB82" w14:textId="77777777" w:rsidR="00D3457F" w:rsidRPr="00B31A92" w:rsidRDefault="00D3457F" w:rsidP="00D3457F"/>
    <w:p w14:paraId="037CF4C1" w14:textId="77777777" w:rsidR="00D3457F" w:rsidRPr="00B31A92" w:rsidRDefault="00D3457F" w:rsidP="00D3457F">
      <w:r w:rsidRPr="00B31A92">
        <w:t xml:space="preserve">Maankäytön, maankäytön muutoksen ja metsätalouden (LULUCF) sisällyttäminen vuoteen 2030 ulottuviin puitteisiin tuo merkittävän uuden elementin EU:n ilmastopolitiikkaan. Biopohjaisten luonnonvarojen kestävä käyttö ja aktiivinen hoito eli kestävä biotalous, mm. kestävä metsänhoito ja ilmaston kannalta älykäs elintarviketuotanto, on tämän siirtymän avaintekijöitä. Maa- ja metsätalouden rooli vaatii EU:n ilmastopolitiikalta kokonaisvaltaista lähestymistapaa. Huomiota on kiinnitettävä sekä päästöjen vähentämiseen että hiilensidontaan samoin kuin sopeutumisen ja elintarviketurvan haasteisiin. </w:t>
      </w:r>
    </w:p>
    <w:p w14:paraId="2F10758E" w14:textId="77777777" w:rsidR="00D3457F" w:rsidRPr="00B31A92" w:rsidRDefault="00D3457F" w:rsidP="00D3457F"/>
    <w:p w14:paraId="257AA1AD" w14:textId="77777777" w:rsidR="00D3457F" w:rsidRPr="00B31A92" w:rsidRDefault="00D3457F" w:rsidP="00D3457F">
      <w:r w:rsidRPr="00B31A92">
        <w:t xml:space="preserve">ETSK pitää tärkeänä, että kasvihuonekaasujen päästöjä ja poistumia arvioidaan tieteellisesti, avoimesti ja yhteisiä mittareita käyttäen. Komitea kehottaa komissiota kehittämään maan- ja metsänhoidon tilinpitosääntöjä niin, että ne vastaavat todellista päästömäärää ja hiilensidonta-astetta. Lisäksi jäsenvaltioiden on syytä määrittää kansalliset metsäalan vertailutasot metsävarojen suunnitellun kestävän käytön pohjalta. On myös tärkeää, ettei biomassaan liittyviä LULUCF-alojen päästöjä kirjata tilinpitoon enää toistamiseen muilla aloilla. </w:t>
      </w:r>
    </w:p>
    <w:p w14:paraId="4E9B6A8C" w14:textId="77777777" w:rsidR="00D3457F" w:rsidRPr="00B31A92" w:rsidRDefault="00D3457F" w:rsidP="00D3457F"/>
    <w:p w14:paraId="566313B0" w14:textId="3B536DC7" w:rsidR="00963089" w:rsidRPr="00B31A92" w:rsidRDefault="00D3457F" w:rsidP="00D3457F">
      <w:r w:rsidRPr="00B31A92">
        <w:t>ETSK kannustaa yksittäisiä jäsenvaltioita laatimaan kunnianhimoisia kansallisia alhaalta ylöspäin suuntautuvia toimintalinjoja LULUCF-aloja varten ja ottamaan kansalaisyhteiskunnan tiiviisti mukaan tähän prosessiin valtio-, alue- ja paikallistasolla. Lisäksi komitea toteaa, että näiden kunnianhimoisten ehdotusten onnistuminen edellyttää huomattavia taloudellisia resursseja.</w:t>
      </w:r>
    </w:p>
    <w:p w14:paraId="566313B1" w14:textId="77777777" w:rsidR="00963089" w:rsidRPr="00B31A92" w:rsidRDefault="00963089" w:rsidP="00673BA2"/>
    <w:p w14:paraId="4A876C9A" w14:textId="56862453" w:rsidR="0006168C" w:rsidRPr="00B31A92" w:rsidRDefault="0006168C" w:rsidP="0006168C">
      <w:pPr>
        <w:tabs>
          <w:tab w:val="left" w:pos="1560"/>
        </w:tabs>
        <w:rPr>
          <w:i/>
        </w:rPr>
      </w:pPr>
      <w:r w:rsidRPr="00B31A92">
        <w:rPr>
          <w:b/>
          <w:i/>
        </w:rPr>
        <w:t>Yhteyshenkilö:</w:t>
      </w:r>
      <w:r w:rsidRPr="00B31A92">
        <w:rPr>
          <w:b/>
          <w:i/>
        </w:rPr>
        <w:tab/>
      </w:r>
      <w:r w:rsidR="008C471F" w:rsidRPr="00B31A92">
        <w:rPr>
          <w:b/>
          <w:i/>
        </w:rPr>
        <w:tab/>
      </w:r>
      <w:r w:rsidRPr="00B31A92">
        <w:rPr>
          <w:i/>
        </w:rPr>
        <w:t>Stella Brozek-Everaert</w:t>
      </w:r>
    </w:p>
    <w:p w14:paraId="485E2DAE" w14:textId="281C08B1" w:rsidR="0006168C" w:rsidRPr="00B31A92" w:rsidRDefault="0006168C" w:rsidP="0006168C">
      <w:pPr>
        <w:rPr>
          <w:i/>
        </w:rPr>
      </w:pPr>
      <w:r w:rsidRPr="00B31A92">
        <w:rPr>
          <w:i/>
        </w:rPr>
        <w:tab/>
      </w:r>
      <w:r w:rsidRPr="00B31A92">
        <w:rPr>
          <w:i/>
        </w:rPr>
        <w:tab/>
      </w:r>
      <w:r w:rsidR="008C471F" w:rsidRPr="00B31A92">
        <w:rPr>
          <w:i/>
        </w:rPr>
        <w:tab/>
      </w:r>
      <w:r w:rsidRPr="00B31A92">
        <w:rPr>
          <w:i/>
        </w:rPr>
        <w:t xml:space="preserve">(P. +32 25469202 – sähköposti: </w:t>
      </w:r>
      <w:hyperlink r:id="rId31">
        <w:r w:rsidRPr="00B31A92">
          <w:rPr>
            <w:i/>
            <w:color w:val="0000FF"/>
            <w:u w:val="single"/>
          </w:rPr>
          <w:t>stella.brozekeveraert@eesc.europa.eu</w:t>
        </w:r>
      </w:hyperlink>
      <w:r w:rsidRPr="00B31A92">
        <w:rPr>
          <w:i/>
        </w:rPr>
        <w:t>)</w:t>
      </w:r>
    </w:p>
    <w:p w14:paraId="566313B5" w14:textId="77777777" w:rsidR="00673BA2" w:rsidRPr="00B31A92" w:rsidRDefault="00673BA2" w:rsidP="00673BA2">
      <w:pPr>
        <w:rPr>
          <w:i/>
          <w:iCs/>
        </w:rPr>
      </w:pPr>
    </w:p>
    <w:p w14:paraId="572988BF" w14:textId="77777777" w:rsidR="00C169F8" w:rsidRPr="00B31A92" w:rsidRDefault="00C169F8" w:rsidP="00673BA2">
      <w:pPr>
        <w:rPr>
          <w:i/>
          <w:iCs/>
        </w:rPr>
      </w:pPr>
    </w:p>
    <w:p w14:paraId="566313B6" w14:textId="47B6352C" w:rsidR="00D238B9" w:rsidRPr="00B31A92" w:rsidRDefault="009260D0" w:rsidP="009260D0">
      <w:pPr>
        <w:keepNext/>
        <w:numPr>
          <w:ilvl w:val="0"/>
          <w:numId w:val="5"/>
        </w:numPr>
        <w:overflowPunct w:val="0"/>
        <w:autoSpaceDE w:val="0"/>
        <w:autoSpaceDN w:val="0"/>
        <w:adjustRightInd w:val="0"/>
        <w:ind w:hanging="567"/>
        <w:textAlignment w:val="baseline"/>
        <w:rPr>
          <w:b/>
          <w:i/>
          <w:sz w:val="28"/>
        </w:rPr>
      </w:pPr>
      <w:r w:rsidRPr="00B31A92">
        <w:rPr>
          <w:b/>
          <w:i/>
          <w:sz w:val="28"/>
        </w:rPr>
        <w:t>Pohjan</w:t>
      </w:r>
      <w:r w:rsidR="009A0CD7" w:rsidRPr="00B31A92">
        <w:rPr>
          <w:b/>
          <w:i/>
          <w:sz w:val="28"/>
        </w:rPr>
        <w:t xml:space="preserve">meren pohjakalakantoja koskeva </w:t>
      </w:r>
      <w:r w:rsidRPr="00B31A92">
        <w:rPr>
          <w:b/>
          <w:i/>
          <w:sz w:val="28"/>
        </w:rPr>
        <w:t>monivuotinen suunnitelma</w:t>
      </w:r>
    </w:p>
    <w:p w14:paraId="566313B7" w14:textId="77777777" w:rsidR="00D238B9" w:rsidRPr="00B31A92" w:rsidRDefault="00D238B9" w:rsidP="00673BA2">
      <w:pPr>
        <w:keepNext/>
        <w:ind w:firstLine="17"/>
        <w:rPr>
          <w:sz w:val="16"/>
          <w:szCs w:val="16"/>
        </w:rPr>
      </w:pPr>
    </w:p>
    <w:p w14:paraId="566313B8" w14:textId="3BA22C0A" w:rsidR="00D238B9" w:rsidRPr="00B31A92" w:rsidRDefault="00D238B9" w:rsidP="00673BA2">
      <w:pPr>
        <w:keepNext/>
        <w:ind w:left="1701" w:hanging="1701"/>
      </w:pPr>
      <w:r w:rsidRPr="00B31A92">
        <w:rPr>
          <w:b/>
        </w:rPr>
        <w:t>Esittelijä:</w:t>
      </w:r>
      <w:r w:rsidRPr="00B31A92">
        <w:tab/>
      </w:r>
      <w:r w:rsidR="00F66170" w:rsidRPr="00B31A92">
        <w:tab/>
        <w:t xml:space="preserve">Thomas MCDONOGH </w:t>
      </w:r>
      <w:r w:rsidRPr="00B31A92">
        <w:t>(</w:t>
      </w:r>
      <w:r w:rsidR="00F66170" w:rsidRPr="00B31A92">
        <w:t>työnantajat – IE</w:t>
      </w:r>
      <w:r w:rsidRPr="00B31A92">
        <w:t>)</w:t>
      </w:r>
    </w:p>
    <w:p w14:paraId="566313B9" w14:textId="77777777" w:rsidR="00D238B9" w:rsidRPr="00B31A92" w:rsidRDefault="00D238B9" w:rsidP="00673BA2">
      <w:pPr>
        <w:keepNext/>
        <w:ind w:left="1701" w:hanging="1701"/>
        <w:rPr>
          <w:sz w:val="16"/>
          <w:szCs w:val="16"/>
        </w:rPr>
      </w:pPr>
    </w:p>
    <w:p w14:paraId="63F65FE4" w14:textId="578041FD" w:rsidR="00F66170" w:rsidRPr="00B31A92" w:rsidRDefault="00D238B9" w:rsidP="00F66170">
      <w:pPr>
        <w:tabs>
          <w:tab w:val="left" w:pos="1980"/>
        </w:tabs>
      </w:pPr>
      <w:r w:rsidRPr="00B31A92">
        <w:rPr>
          <w:b/>
        </w:rPr>
        <w:t>Viiteasiakirjat:</w:t>
      </w:r>
      <w:r w:rsidR="00F66170" w:rsidRPr="00B31A92">
        <w:rPr>
          <w:b/>
        </w:rPr>
        <w:tab/>
      </w:r>
      <w:r w:rsidRPr="00B31A92">
        <w:tab/>
      </w:r>
      <w:r w:rsidR="00F66170" w:rsidRPr="00B31A92">
        <w:t>COM(2016) 493 – 2016/0238 COD</w:t>
      </w:r>
    </w:p>
    <w:p w14:paraId="566313BB" w14:textId="6E707640" w:rsidR="00D238B9" w:rsidRPr="00B31A92" w:rsidRDefault="00F66170" w:rsidP="00C169F8">
      <w:pPr>
        <w:ind w:left="1701" w:hanging="1701"/>
      </w:pPr>
      <w:r w:rsidRPr="00B31A92">
        <w:tab/>
      </w:r>
      <w:r w:rsidRPr="00B31A92">
        <w:tab/>
        <w:t>EESC-2016-04324-00-00-AC-TRA</w:t>
      </w:r>
    </w:p>
    <w:p w14:paraId="566313BC" w14:textId="77777777" w:rsidR="00D238B9" w:rsidRPr="00B31A92" w:rsidRDefault="00D238B9" w:rsidP="00C169F8">
      <w:pPr>
        <w:ind w:left="-5"/>
        <w:rPr>
          <w:sz w:val="16"/>
          <w:szCs w:val="16"/>
        </w:rPr>
      </w:pPr>
      <w:r w:rsidRPr="00B31A92">
        <w:tab/>
      </w:r>
    </w:p>
    <w:p w14:paraId="566313BD" w14:textId="77777777" w:rsidR="00D238B9" w:rsidRPr="00B31A92" w:rsidRDefault="00D238B9" w:rsidP="00C169F8">
      <w:pPr>
        <w:ind w:left="-5"/>
        <w:rPr>
          <w:bCs/>
          <w:iCs/>
        </w:rPr>
      </w:pPr>
      <w:r w:rsidRPr="00B31A92">
        <w:rPr>
          <w:b/>
        </w:rPr>
        <w:t>Keskeiset kohdat:</w:t>
      </w:r>
    </w:p>
    <w:p w14:paraId="566313BE" w14:textId="77777777" w:rsidR="008D270E" w:rsidRPr="00B31A92" w:rsidRDefault="008D270E" w:rsidP="00C169F8">
      <w:pPr>
        <w:rPr>
          <w:sz w:val="16"/>
          <w:szCs w:val="16"/>
        </w:rPr>
      </w:pPr>
    </w:p>
    <w:p w14:paraId="760140F4" w14:textId="77777777" w:rsidR="00F45071" w:rsidRPr="00B31A92" w:rsidRDefault="00F45071" w:rsidP="00C169F8">
      <w:r w:rsidRPr="00B31A92">
        <w:t xml:space="preserve">Kalastus Pohjanmerellä ja sen lähialueilla on luonteeltaan erittäin monimutkaista, sillä siihen osallistuu vähintään seitsemän rannikkojäsenvaltion ja Norjan aluksia, jotka käyttävät monia erilaisia pyyntivälineitä monien erilaisten kala- ja äyriäislajien pyytämiseen. Keskeinen ongelma on se, että </w:t>
      </w:r>
      <w:r w:rsidRPr="00B31A92">
        <w:lastRenderedPageBreak/>
        <w:t xml:space="preserve">monia tärkeimmistä pohjakalakannoista (eli merenpohjalla tai lähellä pohjaa elävistä kalakannoista) pyydetään sekakalastuksessa. Käytännössä tämä tarkoittaa sitä, että joka kerta kun alus nostaa pyydyksensä alukselle, saalis koostuu eri kalalajeista. Sekoituksen koostumus vaihtelee käytetyn pyydyksen ja sen mukaan, milloin ja missä pyydystä käytetään. </w:t>
      </w:r>
    </w:p>
    <w:p w14:paraId="2B033DA1" w14:textId="77777777" w:rsidR="00F45071" w:rsidRPr="00B31A92" w:rsidRDefault="00F45071" w:rsidP="00F45071"/>
    <w:p w14:paraId="36602427" w14:textId="6C52B71E" w:rsidR="00F45071" w:rsidRPr="00B31A92" w:rsidRDefault="00F45071" w:rsidP="00F45071">
      <w:r w:rsidRPr="00B31A92">
        <w:t xml:space="preserve">Purkamisvelvollisuuden seurauksena kiintiön ylittävien saaliiden poisheittämisestä tulee laitonta sen jälkeen, kun asetus on pantu täysimääräisesti täytäntöön. Näin ollen alusten on mahdollisesti lopetettava kalastus varhain ennen vuoden päättymistä niiden rajoittavimman kannan kiintiön täytyttyä. Tässä tapauksessa rajoittavimmista kannoista muodostuu niin sanottuja "tukahduttavia lajeja", sillä tällaisen kannan kiintiön täyttyminen estää mahdollisuuden jatkaa muiden kantojen kalastamista. </w:t>
      </w:r>
    </w:p>
    <w:p w14:paraId="3E17DAA0" w14:textId="77777777" w:rsidR="00F45071" w:rsidRPr="00B31A92" w:rsidRDefault="00F45071" w:rsidP="00F45071"/>
    <w:p w14:paraId="342AFE79" w14:textId="77777777" w:rsidR="00F45071" w:rsidRPr="00B31A92" w:rsidRDefault="00F45071" w:rsidP="00F45071">
      <w:r w:rsidRPr="00B31A92">
        <w:t xml:space="preserve">Pohjanmeren pohjakalakantoja säännellään nykyisin kahdella hoitosuunnitelmalla, jotka eivät ole yhteensopivia uuden yhteisen kalastuspolitiikan kanssa. Tästä on aiheutunut raskaita sääntöjä Pohjanmeren pohjakalojen kalastajille (pääasiassa pk-yrityksille ja mikroyrityksille). Tilanteesta kärsivät jäsenvaltiot ja sidosryhmät ovat pyytäneet uutta hoitokehystä vuodesta 2011 asti. </w:t>
      </w:r>
    </w:p>
    <w:p w14:paraId="41CB39BE" w14:textId="77777777" w:rsidR="00F45071" w:rsidRPr="00B31A92" w:rsidRDefault="00F45071" w:rsidP="00F45071"/>
    <w:p w14:paraId="2C72FD39" w14:textId="77777777" w:rsidR="00F45071" w:rsidRPr="00B31A92" w:rsidRDefault="00F45071" w:rsidP="00F45071">
      <w:r w:rsidRPr="00B31A92">
        <w:t xml:space="preserve">Edellä mainittujen ongelmien ratkaisemiseksi aloitteella i) vähennetään alikalastuksen vaaraa, ii) säädetään tavoitteena olevat kalastuskuolevuuden vaihteluvälit kestävän enimmäistuoton tasolla, iii) säädetään biomassaa koskevat suojatoimet varautuvan lähestymistavan noudattamiseksi, iv) helpotetaan purkamisvelvollisuuden soveltamista, v) säädetään Pohjanmerellä toteutettavan alueellistamisen täytäntöönpanoa varten tarvittava kehys ja vi) poistetaan merelläolopäiväjärjestelmä. </w:t>
      </w:r>
    </w:p>
    <w:p w14:paraId="4A1D6BE3" w14:textId="77777777" w:rsidR="00F45071" w:rsidRPr="00B31A92" w:rsidRDefault="00F45071" w:rsidP="00F45071"/>
    <w:p w14:paraId="566313BF" w14:textId="0C1217B9" w:rsidR="006E3C3D" w:rsidRPr="00B31A92" w:rsidRDefault="00F45071" w:rsidP="00F45071">
      <w:r w:rsidRPr="00B31A92">
        <w:t>Komitea on tyytyväinen komission ehdottamiin toimiin, joista monet kuuluvat WGNSSK-työryhmän vuoden 2016 kertomuksessa</w:t>
      </w:r>
      <w:r w:rsidRPr="00B31A92">
        <w:rPr>
          <w:color w:val="000000" w:themeColor="text1"/>
          <w:vertAlign w:val="superscript"/>
        </w:rPr>
        <w:footnoteReference w:id="2"/>
      </w:r>
      <w:r w:rsidRPr="00B31A92">
        <w:t xml:space="preserve"> esitettyjen toimenpiteiden joukkoon.</w:t>
      </w:r>
    </w:p>
    <w:p w14:paraId="566313C0" w14:textId="77777777" w:rsidR="006E3C3D" w:rsidRPr="00B31A92" w:rsidRDefault="006E3C3D" w:rsidP="00673BA2">
      <w:pPr>
        <w:ind w:left="-5"/>
        <w:rPr>
          <w:bCs/>
          <w:iCs/>
        </w:rPr>
      </w:pPr>
    </w:p>
    <w:p w14:paraId="566313C1" w14:textId="59327745" w:rsidR="006E3C3D" w:rsidRPr="00B31A92" w:rsidRDefault="006E3C3D" w:rsidP="00673BA2">
      <w:pPr>
        <w:ind w:left="1134" w:hanging="1134"/>
        <w:rPr>
          <w:i/>
          <w:iCs/>
        </w:rPr>
      </w:pPr>
      <w:r w:rsidRPr="00B31A92">
        <w:rPr>
          <w:b/>
          <w:i/>
        </w:rPr>
        <w:t>Yhteyshenkilö:</w:t>
      </w:r>
      <w:r w:rsidR="009C2AB9" w:rsidRPr="00B31A92">
        <w:tab/>
      </w:r>
      <w:r w:rsidRPr="00B31A92">
        <w:rPr>
          <w:i/>
        </w:rPr>
        <w:t>Arturo Iñiguez</w:t>
      </w:r>
    </w:p>
    <w:p w14:paraId="566313C2" w14:textId="4D37024C" w:rsidR="006E3C3D" w:rsidRPr="00B31A92" w:rsidRDefault="009C2AB9" w:rsidP="00673BA2">
      <w:pPr>
        <w:ind w:left="1134" w:hanging="1134"/>
        <w:rPr>
          <w:i/>
          <w:iCs/>
        </w:rPr>
      </w:pPr>
      <w:r w:rsidRPr="00B31A92">
        <w:rPr>
          <w:i/>
        </w:rPr>
        <w:tab/>
      </w:r>
      <w:r w:rsidRPr="00B31A92">
        <w:rPr>
          <w:i/>
        </w:rPr>
        <w:tab/>
      </w:r>
      <w:r w:rsidR="00954C4D" w:rsidRPr="00B31A92">
        <w:rPr>
          <w:i/>
        </w:rPr>
        <w:t xml:space="preserve">(P. +32 25468768 – sähköposti: </w:t>
      </w:r>
      <w:hyperlink r:id="rId32" w:history="1">
        <w:r w:rsidR="00954C4D" w:rsidRPr="00B31A92">
          <w:rPr>
            <w:rStyle w:val="Hyperlink"/>
            <w:i/>
          </w:rPr>
          <w:t>arturo.iniguez@eesc.europa.eu</w:t>
        </w:r>
      </w:hyperlink>
      <w:r w:rsidR="00954C4D" w:rsidRPr="00B31A92">
        <w:t>)</w:t>
      </w:r>
    </w:p>
    <w:p w14:paraId="566313C3" w14:textId="77777777" w:rsidR="008D270E" w:rsidRPr="00B31A92" w:rsidRDefault="008D270E" w:rsidP="00673BA2">
      <w:pPr>
        <w:rPr>
          <w:b/>
          <w:iCs/>
          <w:highlight w:val="yellow"/>
          <w:u w:val="single"/>
        </w:rPr>
      </w:pPr>
    </w:p>
    <w:p w14:paraId="566313D3" w14:textId="77777777" w:rsidR="00673BA2" w:rsidRPr="00B31A92" w:rsidRDefault="00673BA2" w:rsidP="00673BA2">
      <w:pPr>
        <w:rPr>
          <w:i/>
        </w:rPr>
      </w:pPr>
    </w:p>
    <w:p w14:paraId="566313D4" w14:textId="77777777" w:rsidR="00740EA8" w:rsidRPr="00B31A92" w:rsidRDefault="00D238B9" w:rsidP="00C169F8">
      <w:pPr>
        <w:pStyle w:val="Heading1"/>
        <w:rPr>
          <w:b/>
        </w:rPr>
      </w:pPr>
      <w:bookmarkStart w:id="17" w:name="_Toc461612793"/>
      <w:bookmarkStart w:id="18" w:name="_Toc461612895"/>
      <w:bookmarkStart w:id="19" w:name="_Toc461613019"/>
      <w:bookmarkStart w:id="20" w:name="_Toc461613178"/>
      <w:bookmarkStart w:id="21" w:name="_Toc461613234"/>
      <w:bookmarkStart w:id="22" w:name="_Toc464460180"/>
      <w:bookmarkStart w:id="23" w:name="_Toc471377320"/>
      <w:bookmarkEnd w:id="17"/>
      <w:bookmarkEnd w:id="18"/>
      <w:bookmarkEnd w:id="19"/>
      <w:bookmarkEnd w:id="20"/>
      <w:bookmarkEnd w:id="21"/>
      <w:r w:rsidRPr="00B31A92">
        <w:rPr>
          <w:b/>
        </w:rPr>
        <w:t>KULUTTAJA-ASIAT / SOSIAALIASIAT / MUUTTOLIIKE</w:t>
      </w:r>
      <w:bookmarkEnd w:id="22"/>
      <w:bookmarkEnd w:id="23"/>
    </w:p>
    <w:p w14:paraId="566313D6" w14:textId="77777777" w:rsidR="00673BA2" w:rsidRPr="00B31A92" w:rsidRDefault="00673BA2" w:rsidP="00C169F8">
      <w:pPr>
        <w:rPr>
          <w:sz w:val="16"/>
          <w:szCs w:val="16"/>
        </w:rPr>
      </w:pPr>
    </w:p>
    <w:p w14:paraId="566313D7" w14:textId="4F48D8E0" w:rsidR="00D354D8" w:rsidRPr="00B31A92" w:rsidRDefault="00193629" w:rsidP="00C169F8">
      <w:pPr>
        <w:numPr>
          <w:ilvl w:val="0"/>
          <w:numId w:val="5"/>
        </w:numPr>
        <w:overflowPunct w:val="0"/>
        <w:autoSpaceDE w:val="0"/>
        <w:autoSpaceDN w:val="0"/>
        <w:adjustRightInd w:val="0"/>
        <w:ind w:hanging="567"/>
        <w:textAlignment w:val="baseline"/>
        <w:rPr>
          <w:b/>
          <w:i/>
          <w:sz w:val="28"/>
        </w:rPr>
      </w:pPr>
      <w:r w:rsidRPr="00B31A92">
        <w:rPr>
          <w:b/>
          <w:i/>
          <w:sz w:val="28"/>
        </w:rPr>
        <w:t>Kohti johdonmukaista työvoiman maahanmuuttopolitiikkaa EU:ssa – EU:n sininen kortti</w:t>
      </w:r>
    </w:p>
    <w:p w14:paraId="566313D8" w14:textId="77777777" w:rsidR="00D354D8" w:rsidRPr="00B31A92" w:rsidRDefault="00D354D8" w:rsidP="00C169F8">
      <w:pPr>
        <w:rPr>
          <w:sz w:val="16"/>
          <w:szCs w:val="16"/>
        </w:rPr>
      </w:pPr>
    </w:p>
    <w:p w14:paraId="566313D9" w14:textId="135809D5" w:rsidR="00180A82" w:rsidRPr="00B31A92" w:rsidRDefault="00180A82" w:rsidP="00C169F8">
      <w:pPr>
        <w:ind w:left="1701" w:hanging="1701"/>
      </w:pPr>
      <w:r w:rsidRPr="00B31A92">
        <w:rPr>
          <w:b/>
        </w:rPr>
        <w:t>Esittelijä:</w:t>
      </w:r>
      <w:r w:rsidRPr="00B31A92">
        <w:tab/>
      </w:r>
      <w:r w:rsidR="00745164" w:rsidRPr="00B31A92">
        <w:tab/>
        <w:t xml:space="preserve">Peter CLEVER </w:t>
      </w:r>
      <w:r w:rsidRPr="00B31A92">
        <w:t>(ty</w:t>
      </w:r>
      <w:r w:rsidR="00745164" w:rsidRPr="00B31A92">
        <w:t>önantajat – DE</w:t>
      </w:r>
      <w:r w:rsidRPr="00B31A92">
        <w:t>)</w:t>
      </w:r>
    </w:p>
    <w:p w14:paraId="566313DA" w14:textId="77777777" w:rsidR="00180A82" w:rsidRPr="00B31A92" w:rsidRDefault="00180A82" w:rsidP="00C169F8">
      <w:pPr>
        <w:ind w:left="1701" w:hanging="1701"/>
        <w:rPr>
          <w:b/>
          <w:sz w:val="16"/>
          <w:szCs w:val="16"/>
        </w:rPr>
      </w:pPr>
    </w:p>
    <w:p w14:paraId="566313DB" w14:textId="337DF5CD" w:rsidR="00D354D8" w:rsidRPr="00B31A92" w:rsidRDefault="00D354D8" w:rsidP="00C169F8">
      <w:pPr>
        <w:ind w:left="1701" w:hanging="1701"/>
      </w:pPr>
      <w:r w:rsidRPr="00B31A92">
        <w:rPr>
          <w:b/>
        </w:rPr>
        <w:t>Viiteasiakirja:</w:t>
      </w:r>
      <w:r w:rsidR="00745164" w:rsidRPr="00B31A92">
        <w:rPr>
          <w:b/>
        </w:rPr>
        <w:tab/>
      </w:r>
      <w:r w:rsidR="00745164" w:rsidRPr="00B31A92">
        <w:rPr>
          <w:b/>
        </w:rPr>
        <w:tab/>
      </w:r>
      <w:r w:rsidR="00745164" w:rsidRPr="00B31A92">
        <w:t>EESC-2016-02508-00-00-AC-TRA</w:t>
      </w:r>
    </w:p>
    <w:p w14:paraId="566313DC" w14:textId="77777777" w:rsidR="00D354D8" w:rsidRPr="00B31A92" w:rsidRDefault="00D354D8" w:rsidP="00C169F8">
      <w:pPr>
        <w:rPr>
          <w:sz w:val="16"/>
          <w:szCs w:val="16"/>
        </w:rPr>
      </w:pPr>
    </w:p>
    <w:p w14:paraId="566313DD" w14:textId="77777777" w:rsidR="00180A82" w:rsidRPr="00B31A92" w:rsidRDefault="00180A82" w:rsidP="00C169F8">
      <w:pPr>
        <w:rPr>
          <w:b/>
        </w:rPr>
      </w:pPr>
      <w:r w:rsidRPr="00B31A92">
        <w:rPr>
          <w:b/>
        </w:rPr>
        <w:t>Keskeiset kohdat:</w:t>
      </w:r>
    </w:p>
    <w:p w14:paraId="566313DE" w14:textId="77777777" w:rsidR="001D4E3C" w:rsidRPr="00B31A92" w:rsidRDefault="001D4E3C" w:rsidP="00C169F8">
      <w:pPr>
        <w:overflowPunct w:val="0"/>
        <w:autoSpaceDE w:val="0"/>
        <w:autoSpaceDN w:val="0"/>
        <w:adjustRightInd w:val="0"/>
        <w:textAlignment w:val="baseline"/>
        <w:rPr>
          <w:sz w:val="16"/>
          <w:szCs w:val="16"/>
        </w:rPr>
      </w:pPr>
    </w:p>
    <w:p w14:paraId="031D45AD" w14:textId="453B8DD0" w:rsidR="00887BCF" w:rsidRPr="00B31A92" w:rsidRDefault="00887BCF" w:rsidP="00887BCF">
      <w:pPr>
        <w:overflowPunct w:val="0"/>
        <w:autoSpaceDE w:val="0"/>
        <w:autoSpaceDN w:val="0"/>
        <w:adjustRightInd w:val="0"/>
        <w:textAlignment w:val="baseline"/>
      </w:pPr>
      <w:r w:rsidRPr="00B31A92">
        <w:t xml:space="preserve">Lausunnossa muistutetaan, että kun otetaan huomioon väestörakenteen muutos, EU on myös riippuvainen myös korkean osaamistason työntekijöiden maahanmuutosta kasvun ja hyvinvoinnin </w:t>
      </w:r>
      <w:r w:rsidRPr="00B31A92">
        <w:lastRenderedPageBreak/>
        <w:t>varmistamiseksi. Siksi tarvitaan yhteistä eurooppalaista ammattitaitoisen työvoiman rekrytointistrategiaa, sillä EU:lla voi globaalissa kilpailussa ammattitaitoisesta työvoimasta olla kokonaisuutena parempi asema kuin yksittäisillä jäsenvaltioilla.</w:t>
      </w:r>
    </w:p>
    <w:p w14:paraId="3DDEA28B" w14:textId="77777777" w:rsidR="00887BCF" w:rsidRPr="00B31A92" w:rsidRDefault="00887BCF" w:rsidP="00887BCF">
      <w:pPr>
        <w:overflowPunct w:val="0"/>
        <w:autoSpaceDE w:val="0"/>
        <w:autoSpaceDN w:val="0"/>
        <w:adjustRightInd w:val="0"/>
        <w:textAlignment w:val="baseline"/>
      </w:pPr>
    </w:p>
    <w:p w14:paraId="566313F1" w14:textId="4628BE30" w:rsidR="001D4E3C" w:rsidRPr="00B31A92" w:rsidRDefault="00887BCF" w:rsidP="00887BCF">
      <w:pPr>
        <w:overflowPunct w:val="0"/>
        <w:autoSpaceDE w:val="0"/>
        <w:autoSpaceDN w:val="0"/>
        <w:adjustRightInd w:val="0"/>
        <w:textAlignment w:val="baseline"/>
      </w:pPr>
      <w:r w:rsidRPr="00B31A92">
        <w:t>Lausunnossa suhtaudutaan sinistä korttia koskevan direktiivin tarkistamiseen yleisesti ottaen myönteisesti, koska sen myötä sinisestä kortista tulee houkuttava EU:hun pääsyn väline ja erityisesti sinisen kortin haltijoiden liikkuminen EU:n sisällä helpottuu huomattavasti.</w:t>
      </w:r>
    </w:p>
    <w:p w14:paraId="241507D6" w14:textId="77777777" w:rsidR="00887BCF" w:rsidRPr="00B31A92" w:rsidRDefault="00887BCF" w:rsidP="00887BCF">
      <w:pPr>
        <w:overflowPunct w:val="0"/>
        <w:autoSpaceDE w:val="0"/>
        <w:autoSpaceDN w:val="0"/>
        <w:adjustRightInd w:val="0"/>
        <w:textAlignment w:val="baseline"/>
      </w:pPr>
    </w:p>
    <w:p w14:paraId="55DA72C2" w14:textId="66BE35EC" w:rsidR="00887BCF" w:rsidRPr="00B31A92" w:rsidRDefault="00887BCF" w:rsidP="00887BCF">
      <w:pPr>
        <w:overflowPunct w:val="0"/>
        <w:autoSpaceDE w:val="0"/>
        <w:autoSpaceDN w:val="0"/>
        <w:adjustRightInd w:val="0"/>
        <w:textAlignment w:val="baseline"/>
      </w:pPr>
      <w:r w:rsidRPr="00B31A92">
        <w:t>Kolmansista maista tulevan ammattitaitoisen työvoiman yhteisen rekrytointistrategian olisi 1.2oltava kokonaisvaltainen, ja sen olisi katettava kaikki asianomaiset alat ensimmäisestä yhteydenotosta maahanmuutosta kiinnostuneisiin ammattitaitoisiin työntekijöihin aina eläkeoikeuksien käsittelyyn. Tässä yhteydessä olisi otettava huomioon myös maahanmuuttajat, jotka suorittavat osan korkeakouluopinnoistaan kyseisessä maassa. Lisäksi on kiinnitettävä huomiota ammattitaitoisen työvoiman maahanmuutosta aiheutuviin vaikutuksiin alkuperämaissa</w:t>
      </w:r>
      <w:r w:rsidR="00BC67D3" w:rsidRPr="00B31A92">
        <w:t>.</w:t>
      </w:r>
    </w:p>
    <w:p w14:paraId="5B51A89B" w14:textId="77777777" w:rsidR="00BC67D3" w:rsidRPr="00B31A92" w:rsidRDefault="00BC67D3" w:rsidP="00887BCF">
      <w:pPr>
        <w:overflowPunct w:val="0"/>
        <w:autoSpaceDE w:val="0"/>
        <w:autoSpaceDN w:val="0"/>
        <w:adjustRightInd w:val="0"/>
        <w:textAlignment w:val="baseline"/>
      </w:pPr>
    </w:p>
    <w:p w14:paraId="2A2782FD" w14:textId="417886B1" w:rsidR="00BC67D3" w:rsidRPr="00B31A92" w:rsidRDefault="00653125" w:rsidP="00887BCF">
      <w:pPr>
        <w:overflowPunct w:val="0"/>
        <w:autoSpaceDE w:val="0"/>
        <w:autoSpaceDN w:val="0"/>
        <w:adjustRightInd w:val="0"/>
        <w:textAlignment w:val="baseline"/>
      </w:pPr>
      <w:r w:rsidRPr="00B31A92">
        <w:t>On myös tärkeää päästä mahdollisimman laajaan yhteisymmärrykseen, joka mahdollistaa sen, 1.3että jäsenvaltiot sitoutuvat kyseiseen strategiaan ja toteuttavat johdonmukaisesti EU-tasolla päätettyjä toimia. Tässä yhteydessä on otettava huomioon jäsenvaltio- ja unionitason työmarkkinaosapuolten tiivis osallistuminen. Kolmansien maiden kansalaisia rekrytoitaessa on varmistettava yhtäläiset mahdollisuudet ja syrjimättömyys.</w:t>
      </w:r>
    </w:p>
    <w:p w14:paraId="47D3FC88" w14:textId="77777777" w:rsidR="00653125" w:rsidRPr="00B31A92" w:rsidRDefault="00653125" w:rsidP="00887BCF">
      <w:pPr>
        <w:overflowPunct w:val="0"/>
        <w:autoSpaceDE w:val="0"/>
        <w:autoSpaceDN w:val="0"/>
        <w:adjustRightInd w:val="0"/>
        <w:textAlignment w:val="baseline"/>
      </w:pPr>
    </w:p>
    <w:p w14:paraId="2A8BCB25" w14:textId="0E28623B" w:rsidR="00653125" w:rsidRPr="00B31A92" w:rsidRDefault="00586A23" w:rsidP="00887BCF">
      <w:pPr>
        <w:overflowPunct w:val="0"/>
        <w:autoSpaceDE w:val="0"/>
        <w:autoSpaceDN w:val="0"/>
        <w:adjustRightInd w:val="0"/>
        <w:textAlignment w:val="baseline"/>
      </w:pPr>
      <w:r w:rsidRPr="00B31A92">
        <w:t>M</w:t>
      </w:r>
      <w:r w:rsidR="00653125" w:rsidRPr="00B31A92">
        <w:t>aahanpääsypolitiika</w:t>
      </w:r>
      <w:r w:rsidRPr="00B31A92">
        <w:t>n osalta lausunnossa katsotaan, että</w:t>
      </w:r>
      <w:r w:rsidR="00653125" w:rsidRPr="00B31A92">
        <w:t xml:space="preserve"> yhteiset säännökset voivat helpottaa kolmansien maiden kansalaisten pääsyä Euroopan työmarkkinoille. Maahanpääsypolitiikan täydellinen yhdenmukaistaminen ei </w:t>
      </w:r>
      <w:r w:rsidRPr="00B31A92">
        <w:t xml:space="preserve">kuitenkaan </w:t>
      </w:r>
      <w:r w:rsidR="00653125" w:rsidRPr="00B31A92">
        <w:t>nykytilanteessa vaikuta järkevältä eikä tarpeelliselta.</w:t>
      </w:r>
    </w:p>
    <w:p w14:paraId="3E4D2A3B" w14:textId="77777777" w:rsidR="00586A23" w:rsidRPr="00B31A92" w:rsidRDefault="00586A23" w:rsidP="00887BCF">
      <w:pPr>
        <w:overflowPunct w:val="0"/>
        <w:autoSpaceDE w:val="0"/>
        <w:autoSpaceDN w:val="0"/>
        <w:adjustRightInd w:val="0"/>
        <w:textAlignment w:val="baseline"/>
      </w:pPr>
    </w:p>
    <w:p w14:paraId="3159E723" w14:textId="72EE13B5" w:rsidR="00586A23" w:rsidRPr="00B31A92" w:rsidRDefault="00756787" w:rsidP="00887BCF">
      <w:pPr>
        <w:overflowPunct w:val="0"/>
        <w:autoSpaceDE w:val="0"/>
        <w:autoSpaceDN w:val="0"/>
        <w:adjustRightInd w:val="0"/>
        <w:textAlignment w:val="baseline"/>
      </w:pPr>
      <w:r w:rsidRPr="00B31A92">
        <w:t>Komissio ehdottaa yhtä EU:n laajuista järjestelmää, joka korvaisi korkeasti koulutettua työvoimaa koskevat rinnakkaiset kansalliset järjestelmät, mutta ETSK katsoo, että</w:t>
      </w:r>
      <w:r w:rsidR="00787F6E" w:rsidRPr="00B31A92">
        <w:t xml:space="preserve"> ehdotus menee tässä tilanteessa liian pitkälle, sillä se poistaa jäsenvaltioilta mahdollisuuden ylläpitää omia, erityistarpeisiinsa mukautettuja maahanpääsyväyliä korkean osaamistason työntekijöille.</w:t>
      </w:r>
    </w:p>
    <w:p w14:paraId="3277095B" w14:textId="77777777" w:rsidR="00756787" w:rsidRPr="00B31A92" w:rsidRDefault="00756787" w:rsidP="00887BCF">
      <w:pPr>
        <w:overflowPunct w:val="0"/>
        <w:autoSpaceDE w:val="0"/>
        <w:autoSpaceDN w:val="0"/>
        <w:adjustRightInd w:val="0"/>
        <w:textAlignment w:val="baseline"/>
      </w:pPr>
    </w:p>
    <w:p w14:paraId="1BAEB29D" w14:textId="2D25C7E9" w:rsidR="00756787" w:rsidRPr="00B31A92" w:rsidRDefault="00632B38" w:rsidP="00887BCF">
      <w:pPr>
        <w:overflowPunct w:val="0"/>
        <w:autoSpaceDE w:val="0"/>
        <w:autoSpaceDN w:val="0"/>
        <w:adjustRightInd w:val="0"/>
        <w:textAlignment w:val="baseline"/>
      </w:pPr>
      <w:r w:rsidRPr="00B31A92">
        <w:t>Lausunnossa kannatetaan</w:t>
      </w:r>
      <w:r w:rsidR="009E2533" w:rsidRPr="00B31A92">
        <w:t xml:space="preserve"> helpotuks</w:t>
      </w:r>
      <w:r w:rsidRPr="00B31A92">
        <w:t>ia</w:t>
      </w:r>
      <w:r w:rsidR="009E2533" w:rsidRPr="00B31A92">
        <w:t xml:space="preserve"> sinisen kortin myöntämisessä</w:t>
      </w:r>
      <w:r w:rsidRPr="00B31A92">
        <w:t>, mutta siinä suhtaudutaan kriittisesti p</w:t>
      </w:r>
      <w:r w:rsidR="009E2533" w:rsidRPr="00B31A92">
        <w:t>alkkakynnysten alentamiseen. Korkean osaamistason työntekijät torjuvat keskimääräisiä tuloja alemman tulotason.</w:t>
      </w:r>
    </w:p>
    <w:p w14:paraId="1D731003" w14:textId="77777777" w:rsidR="00632B38" w:rsidRPr="00B31A92" w:rsidRDefault="00632B38" w:rsidP="00887BCF">
      <w:pPr>
        <w:overflowPunct w:val="0"/>
        <w:autoSpaceDE w:val="0"/>
        <w:autoSpaceDN w:val="0"/>
        <w:adjustRightInd w:val="0"/>
        <w:textAlignment w:val="baseline"/>
      </w:pPr>
    </w:p>
    <w:p w14:paraId="6239F8D0" w14:textId="3F62810C" w:rsidR="00632B38" w:rsidRPr="00B31A92" w:rsidRDefault="00644220" w:rsidP="00887BCF">
      <w:pPr>
        <w:overflowPunct w:val="0"/>
        <w:autoSpaceDE w:val="0"/>
        <w:autoSpaceDN w:val="0"/>
        <w:adjustRightInd w:val="0"/>
        <w:textAlignment w:val="baseline"/>
      </w:pPr>
      <w:r w:rsidRPr="00B31A92">
        <w:t>Sama koskee myös vaihtoehtoista mahdollisuutta korvata korkeakoulututkinto asianmukaisella työkokemuksella.</w:t>
      </w:r>
    </w:p>
    <w:p w14:paraId="40FD8B84" w14:textId="77777777" w:rsidR="00644220" w:rsidRPr="00B31A92" w:rsidRDefault="00644220" w:rsidP="00887BCF">
      <w:pPr>
        <w:overflowPunct w:val="0"/>
        <w:autoSpaceDE w:val="0"/>
        <w:autoSpaceDN w:val="0"/>
        <w:adjustRightInd w:val="0"/>
        <w:textAlignment w:val="baseline"/>
      </w:pPr>
    </w:p>
    <w:p w14:paraId="59DE1ED8" w14:textId="49DFFCF2" w:rsidR="00644220" w:rsidRPr="00B31A92" w:rsidRDefault="00B7174B" w:rsidP="00C169F8">
      <w:pPr>
        <w:keepLines/>
        <w:overflowPunct w:val="0"/>
        <w:autoSpaceDE w:val="0"/>
        <w:autoSpaceDN w:val="0"/>
        <w:adjustRightInd w:val="0"/>
        <w:textAlignment w:val="baseline"/>
      </w:pPr>
      <w:r w:rsidRPr="00B31A92">
        <w:t>Lopuksi lausunnossa katsotaan, että o</w:t>
      </w:r>
      <w:r w:rsidR="002F608B" w:rsidRPr="00B31A92">
        <w:t xml:space="preserve">n tärkeää päästä mahdollisimman laajaan yhteisymmärrykseen, joka mahdollistaa sen, että jäsenvaltiot sitoutuvat kyseiseen strategiaan ja toteuttavat johdonmukaisesti EU-tasolla päätettyjä toimia. </w:t>
      </w:r>
      <w:r w:rsidRPr="00B31A92">
        <w:t>Tarvitaan</w:t>
      </w:r>
      <w:r w:rsidR="002F608B" w:rsidRPr="00B31A92">
        <w:t xml:space="preserve"> jäsenvaltio- ja unionitason työmarkkinaosapuolten tiivis</w:t>
      </w:r>
      <w:r w:rsidRPr="00B31A92">
        <w:t>tä</w:t>
      </w:r>
      <w:r w:rsidR="002F608B" w:rsidRPr="00B31A92">
        <w:t xml:space="preserve"> osallistumi</w:t>
      </w:r>
      <w:r w:rsidRPr="00B31A92">
        <w:t>sta</w:t>
      </w:r>
      <w:r w:rsidR="002F608B" w:rsidRPr="00B31A92">
        <w:t>. Kolmansien maiden kansalaisia rekrytoitaessa on varmistettava yhtäläiset mahdollisuudet ja syrjimättömyys.</w:t>
      </w:r>
    </w:p>
    <w:p w14:paraId="566313F2" w14:textId="77777777" w:rsidR="001D4E3C" w:rsidRPr="00B31A92" w:rsidRDefault="001D4E3C" w:rsidP="00C169F8">
      <w:pPr>
        <w:keepLines/>
        <w:overflowPunct w:val="0"/>
        <w:autoSpaceDE w:val="0"/>
        <w:autoSpaceDN w:val="0"/>
        <w:adjustRightInd w:val="0"/>
        <w:textAlignment w:val="baseline"/>
        <w:rPr>
          <w:szCs w:val="20"/>
        </w:rPr>
      </w:pPr>
    </w:p>
    <w:p w14:paraId="60A77EA5" w14:textId="3F93BC2A" w:rsidR="00745164" w:rsidRPr="00B31A92" w:rsidRDefault="00745164" w:rsidP="00C169F8">
      <w:pPr>
        <w:keepLines/>
        <w:rPr>
          <w:i/>
        </w:rPr>
      </w:pPr>
      <w:r w:rsidRPr="00B31A92">
        <w:rPr>
          <w:b/>
          <w:i/>
        </w:rPr>
        <w:t>Yhteyshenkilö</w:t>
      </w:r>
      <w:r w:rsidRPr="00B31A92">
        <w:rPr>
          <w:i/>
        </w:rPr>
        <w:t>:</w:t>
      </w:r>
      <w:r w:rsidRPr="00B31A92">
        <w:rPr>
          <w:i/>
        </w:rPr>
        <w:tab/>
        <w:t>Ana Dumitrache</w:t>
      </w:r>
    </w:p>
    <w:p w14:paraId="14B2695E" w14:textId="52FE046D" w:rsidR="00745164" w:rsidRPr="00B31A92" w:rsidRDefault="00745164" w:rsidP="00C169F8">
      <w:pPr>
        <w:keepLines/>
        <w:rPr>
          <w:i/>
        </w:rPr>
      </w:pPr>
      <w:r w:rsidRPr="00B31A92">
        <w:rPr>
          <w:i/>
        </w:rPr>
        <w:tab/>
      </w:r>
      <w:r w:rsidRPr="00B31A92">
        <w:rPr>
          <w:i/>
        </w:rPr>
        <w:tab/>
      </w:r>
      <w:r w:rsidR="002E19C5" w:rsidRPr="00B31A92">
        <w:rPr>
          <w:i/>
        </w:rPr>
        <w:tab/>
      </w:r>
      <w:r w:rsidRPr="00B31A92">
        <w:rPr>
          <w:i/>
        </w:rPr>
        <w:t xml:space="preserve">(P. +32 25468131 – </w:t>
      </w:r>
      <w:r w:rsidRPr="00B31A92">
        <w:rPr>
          <w:i/>
          <w:iCs/>
        </w:rPr>
        <w:t>sähköposti</w:t>
      </w:r>
      <w:r w:rsidRPr="00B31A92">
        <w:rPr>
          <w:i/>
        </w:rPr>
        <w:t xml:space="preserve">: </w:t>
      </w:r>
      <w:hyperlink r:id="rId33" w:history="1">
        <w:r w:rsidRPr="00B31A92">
          <w:rPr>
            <w:rStyle w:val="Hyperlink"/>
            <w:i/>
          </w:rPr>
          <w:t>ana.dumitrache@eesc.europa.eu</w:t>
        </w:r>
      </w:hyperlink>
      <w:r w:rsidRPr="00B31A92">
        <w:rPr>
          <w:i/>
        </w:rPr>
        <w:t>)</w:t>
      </w:r>
    </w:p>
    <w:p w14:paraId="566313F6" w14:textId="77777777" w:rsidR="00673BA2" w:rsidRPr="00B31A92" w:rsidRDefault="00673BA2" w:rsidP="00673BA2"/>
    <w:p w14:paraId="566313F7" w14:textId="45117C16" w:rsidR="00D504C3" w:rsidRPr="00B31A92" w:rsidRDefault="00FC2F38" w:rsidP="00FC2F38">
      <w:pPr>
        <w:pStyle w:val="ListParagraph"/>
        <w:keepNext/>
        <w:numPr>
          <w:ilvl w:val="0"/>
          <w:numId w:val="121"/>
        </w:numPr>
        <w:ind w:left="567" w:hanging="567"/>
        <w:rPr>
          <w:b/>
          <w:i/>
          <w:sz w:val="28"/>
        </w:rPr>
      </w:pPr>
      <w:r w:rsidRPr="00B31A92">
        <w:rPr>
          <w:b/>
          <w:i/>
          <w:sz w:val="28"/>
        </w:rPr>
        <w:lastRenderedPageBreak/>
        <w:t>Työntekijöiden lähettämistä koskevan direktiivin tarkistus</w:t>
      </w:r>
    </w:p>
    <w:p w14:paraId="566313F8" w14:textId="77777777" w:rsidR="00D504C3" w:rsidRPr="00B31A92" w:rsidRDefault="00D504C3" w:rsidP="00673BA2">
      <w:pPr>
        <w:keepNext/>
      </w:pPr>
    </w:p>
    <w:p w14:paraId="43283EDD" w14:textId="77777777" w:rsidR="00516AD9" w:rsidRPr="00B31A92" w:rsidRDefault="00D504C3" w:rsidP="00516AD9">
      <w:pPr>
        <w:tabs>
          <w:tab w:val="left" w:pos="1980"/>
        </w:tabs>
      </w:pPr>
      <w:r w:rsidRPr="00B31A92">
        <w:rPr>
          <w:b/>
        </w:rPr>
        <w:t>Esittelijä</w:t>
      </w:r>
      <w:r w:rsidR="00516AD9" w:rsidRPr="00B31A92">
        <w:rPr>
          <w:b/>
        </w:rPr>
        <w:t>t</w:t>
      </w:r>
      <w:r w:rsidRPr="00B31A92">
        <w:rPr>
          <w:b/>
        </w:rPr>
        <w:t>:</w:t>
      </w:r>
      <w:r w:rsidRPr="00B31A92">
        <w:tab/>
      </w:r>
      <w:r w:rsidR="00516AD9" w:rsidRPr="00B31A92">
        <w:tab/>
        <w:t>Vladimíra DRBALOVÁ (työnantajat – CZ) ja</w:t>
      </w:r>
    </w:p>
    <w:p w14:paraId="566313F9" w14:textId="020871C0" w:rsidR="00D504C3" w:rsidRPr="00B31A92" w:rsidRDefault="00516AD9" w:rsidP="00516AD9">
      <w:pPr>
        <w:tabs>
          <w:tab w:val="left" w:pos="1980"/>
        </w:tabs>
      </w:pPr>
      <w:r w:rsidRPr="00B31A92">
        <w:tab/>
      </w:r>
      <w:r w:rsidRPr="00B31A92">
        <w:tab/>
        <w:t xml:space="preserve">Ellen NYGREN </w:t>
      </w:r>
      <w:r w:rsidR="00D504C3" w:rsidRPr="00B31A92">
        <w:t>(työntekijät – S</w:t>
      </w:r>
      <w:r w:rsidRPr="00B31A92">
        <w:t>E</w:t>
      </w:r>
      <w:r w:rsidR="00D504C3" w:rsidRPr="00B31A92">
        <w:t>)</w:t>
      </w:r>
    </w:p>
    <w:p w14:paraId="566313FA" w14:textId="77777777" w:rsidR="002C5D72" w:rsidRPr="00B31A92" w:rsidRDefault="002C5D72" w:rsidP="00673BA2">
      <w:pPr>
        <w:keepNext/>
        <w:ind w:left="1701" w:hanging="1701"/>
      </w:pPr>
    </w:p>
    <w:p w14:paraId="566313FB" w14:textId="019739B5" w:rsidR="00D504C3" w:rsidRPr="00B31A92" w:rsidRDefault="00D504C3" w:rsidP="00673BA2">
      <w:pPr>
        <w:keepNext/>
        <w:ind w:left="1701" w:hanging="1701"/>
      </w:pPr>
      <w:r w:rsidRPr="00B31A92">
        <w:rPr>
          <w:b/>
        </w:rPr>
        <w:t>Viiteasiakirja:</w:t>
      </w:r>
      <w:r w:rsidRPr="00B31A92">
        <w:tab/>
      </w:r>
      <w:r w:rsidR="00516AD9" w:rsidRPr="00B31A92">
        <w:tab/>
        <w:t>EESC-2016-02470-00-00-AC-TRA</w:t>
      </w:r>
    </w:p>
    <w:p w14:paraId="566313FC" w14:textId="77777777" w:rsidR="00D504C3" w:rsidRPr="00B31A92" w:rsidRDefault="00D504C3" w:rsidP="00673BA2">
      <w:pPr>
        <w:keepNext/>
      </w:pPr>
    </w:p>
    <w:p w14:paraId="566313FD" w14:textId="77777777" w:rsidR="00F04B25" w:rsidRPr="00B31A92" w:rsidRDefault="00F04B25" w:rsidP="00673BA2">
      <w:pPr>
        <w:keepNext/>
        <w:ind w:left="-5"/>
        <w:rPr>
          <w:b/>
        </w:rPr>
      </w:pPr>
      <w:r w:rsidRPr="00B31A92">
        <w:rPr>
          <w:b/>
        </w:rPr>
        <w:t>Keskeiset kohdat:</w:t>
      </w:r>
    </w:p>
    <w:p w14:paraId="566313FE" w14:textId="77777777" w:rsidR="00345B23" w:rsidRPr="00B31A92" w:rsidRDefault="00345B23" w:rsidP="00673BA2">
      <w:pPr>
        <w:keepNext/>
        <w:ind w:left="-5"/>
      </w:pPr>
    </w:p>
    <w:p w14:paraId="35D809ED" w14:textId="267F9C43" w:rsidR="0084216A" w:rsidRPr="00B31A92" w:rsidRDefault="0084216A" w:rsidP="0084216A">
      <w:pPr>
        <w:keepNext/>
        <w:ind w:left="-5"/>
      </w:pPr>
      <w:r w:rsidRPr="00B31A92">
        <w:t>Nykyisessä, vuodelta 1996 olevassa työntekijöiden lähettämistä koskevassa direktiivissä säädetään vastaanottavassa jäsenvaltiossa sovellettavat keskeiset työehdot ja -olot</w:t>
      </w:r>
      <w:r w:rsidR="00E84517" w:rsidRPr="00B31A92">
        <w:t xml:space="preserve"> niissä tapauksissa</w:t>
      </w:r>
      <w:r w:rsidRPr="00B31A92">
        <w:t xml:space="preserve">, </w:t>
      </w:r>
      <w:r w:rsidR="00E84517" w:rsidRPr="00B31A92">
        <w:t>joissa työntekijä lähetetään jäsenvaltiosta toiseen. Ne ovat</w:t>
      </w:r>
      <w:r w:rsidRPr="00B31A92">
        <w:t xml:space="preserve"> mm. seuraavat: vähimmäispalkat; enimmäistyöajat ja vähimmäislepoajat; palkallisten vuosilomien vähimmäiskesto; työturvallisuus, työterveys ja työhygienia; suojatoimenpiteet</w:t>
      </w:r>
      <w:r w:rsidR="006B5121" w:rsidRPr="00B31A92">
        <w:t xml:space="preserve"> </w:t>
      </w:r>
      <w:r w:rsidRPr="00B31A92">
        <w:t xml:space="preserve">ja syrjimättömyyttä koskevat säännökset. </w:t>
      </w:r>
    </w:p>
    <w:p w14:paraId="273BF2B2" w14:textId="77777777" w:rsidR="0084216A" w:rsidRPr="00B31A92" w:rsidRDefault="0084216A" w:rsidP="0084216A">
      <w:pPr>
        <w:keepNext/>
        <w:ind w:left="-5"/>
      </w:pPr>
    </w:p>
    <w:p w14:paraId="41DA5FA5" w14:textId="77777777" w:rsidR="0084216A" w:rsidRPr="00B31A92" w:rsidRDefault="0084216A" w:rsidP="0084216A">
      <w:pPr>
        <w:keepNext/>
        <w:ind w:left="-5"/>
      </w:pPr>
      <w:r w:rsidRPr="00B31A92">
        <w:t xml:space="preserve">Ehdotetulla tarkistuksella pyritään muutoksiin kolmella pääasiallisella alalla.  </w:t>
      </w:r>
    </w:p>
    <w:p w14:paraId="58C20DC2" w14:textId="77777777" w:rsidR="0084216A" w:rsidRPr="00B31A92" w:rsidRDefault="0084216A" w:rsidP="0084216A">
      <w:pPr>
        <w:keepNext/>
        <w:ind w:left="-5"/>
      </w:pPr>
    </w:p>
    <w:p w14:paraId="56020A7B" w14:textId="63625D1E" w:rsidR="0084216A" w:rsidRPr="00B31A92" w:rsidRDefault="0084216A" w:rsidP="00E84517">
      <w:pPr>
        <w:pStyle w:val="ListParagraph"/>
        <w:numPr>
          <w:ilvl w:val="0"/>
          <w:numId w:val="177"/>
        </w:numPr>
        <w:tabs>
          <w:tab w:val="clear" w:pos="0"/>
        </w:tabs>
        <w:ind w:left="284"/>
      </w:pPr>
      <w:r w:rsidRPr="00B31A92">
        <w:t>Lähetettyihin työnteki</w:t>
      </w:r>
      <w:r w:rsidR="00E84517" w:rsidRPr="00B31A92">
        <w:t>jöihin sovellettavat korvaukset</w:t>
      </w:r>
      <w:r w:rsidRPr="00B31A92">
        <w:t>:</w:t>
      </w:r>
      <w:r w:rsidR="00E84517" w:rsidRPr="00B31A92">
        <w:t xml:space="preserve"> </w:t>
      </w:r>
      <w:r w:rsidRPr="00B31A92">
        <w:t xml:space="preserve">Korvauksiin eivät sisälly pelkästään vähimmäispalkat vaan myös muut osat, kuten tapauskohtaiset bonukset ja korvaukset. </w:t>
      </w:r>
    </w:p>
    <w:p w14:paraId="798B650A" w14:textId="6BA3244B" w:rsidR="0084216A" w:rsidRPr="00B31A92" w:rsidRDefault="00E84517" w:rsidP="00E84517">
      <w:pPr>
        <w:pStyle w:val="ListParagraph"/>
        <w:numPr>
          <w:ilvl w:val="0"/>
          <w:numId w:val="177"/>
        </w:numPr>
        <w:tabs>
          <w:tab w:val="clear" w:pos="0"/>
        </w:tabs>
        <w:ind w:left="284"/>
      </w:pPr>
      <w:r w:rsidRPr="00B31A92">
        <w:t>V</w:t>
      </w:r>
      <w:r w:rsidR="0084216A" w:rsidRPr="00B31A92">
        <w:t xml:space="preserve">uokratyöntekijöihin sovellettavat säännöt: vuokrayrityksen vuokratyöntekijöitä koskevia kansallisia sääntöjä sovelletaan asianomaisen jäsenvaltion ulkopuolelle sijoittautuneen vuokrayrityksen työntekijöihin.  </w:t>
      </w:r>
    </w:p>
    <w:p w14:paraId="1456C08F" w14:textId="105DF40B" w:rsidR="0084216A" w:rsidRPr="00B31A92" w:rsidRDefault="0084216A" w:rsidP="00E84517">
      <w:pPr>
        <w:pStyle w:val="ListParagraph"/>
        <w:numPr>
          <w:ilvl w:val="0"/>
          <w:numId w:val="177"/>
        </w:numPr>
        <w:tabs>
          <w:tab w:val="clear" w:pos="0"/>
        </w:tabs>
        <w:ind w:left="284"/>
      </w:pPr>
      <w:r w:rsidRPr="00B31A92">
        <w:t xml:space="preserve">Pitkäksi ajaksi lähetetyt työntekijät: jos lähettämisen kesto on yli 24 kuukautta, on sovellettava vastaanottavan jäsenvaltion työlainsäädännön säännöksiä, jos se on lähetetyn työntekijän etujen mukaista. </w:t>
      </w:r>
    </w:p>
    <w:p w14:paraId="5F25E8B1" w14:textId="77777777" w:rsidR="0084216A" w:rsidRPr="00B31A92" w:rsidRDefault="0084216A" w:rsidP="0084216A">
      <w:pPr>
        <w:keepNext/>
        <w:ind w:left="-5"/>
      </w:pPr>
    </w:p>
    <w:p w14:paraId="0829945E" w14:textId="77777777" w:rsidR="0084216A" w:rsidRPr="00B31A92" w:rsidRDefault="0084216A" w:rsidP="00C169F8">
      <w:pPr>
        <w:ind w:left="-6"/>
      </w:pPr>
      <w:r w:rsidRPr="00B31A92">
        <w:t xml:space="preserve">Lausunto alkaa hiljattain annetun täytäntöönpanodirektiivin 2014/67/EU ja työntekijöiden lähettämistä koskevan direktiivin tarkistuksen välisen yhteyden selvittämisellä. </w:t>
      </w:r>
    </w:p>
    <w:p w14:paraId="7653F123" w14:textId="77777777" w:rsidR="0084216A" w:rsidRPr="00B31A92" w:rsidRDefault="0084216A" w:rsidP="00C169F8">
      <w:pPr>
        <w:ind w:left="-6"/>
      </w:pPr>
    </w:p>
    <w:p w14:paraId="0D56BEE2" w14:textId="77777777" w:rsidR="0084216A" w:rsidRPr="00B31A92" w:rsidRDefault="0084216A" w:rsidP="00C169F8">
      <w:pPr>
        <w:ind w:left="-6"/>
      </w:pPr>
      <w:r w:rsidRPr="00B31A92">
        <w:t xml:space="preserve">ETSK kannattaa täytäntöönpanodirektiivin tavoitetta parantaa työntekijöiden lähettämisestä annetun direktiivin yhteistä tulkintaa ja täytäntöönpanoa. Kahdessa direktiivissä käsitellään työntekijöiden lähettämisen eri puolia. Ne eivät pelkästään täydennä toisiaan, vaan täytäntöönpanodirektiivin käyttöönoton tulokset voivat myös antaa selkeämmän kuvan todellisesta tilanteesta. </w:t>
      </w:r>
    </w:p>
    <w:p w14:paraId="53E59E9F" w14:textId="77777777" w:rsidR="0084216A" w:rsidRPr="00B31A92" w:rsidRDefault="0084216A" w:rsidP="00C169F8">
      <w:pPr>
        <w:ind w:left="-6"/>
      </w:pPr>
    </w:p>
    <w:p w14:paraId="2F47B5CD" w14:textId="77777777" w:rsidR="0084216A" w:rsidRPr="00B31A92" w:rsidRDefault="0084216A" w:rsidP="00C169F8">
      <w:pPr>
        <w:ind w:left="-6"/>
      </w:pPr>
      <w:r w:rsidRPr="00B31A92">
        <w:t xml:space="preserve">ETSK kannattaa lähtökohtaisesti komission ehdotusta työntekijöiden lähettämistä koskevan direktiivin uudelleen laatimiseksi. Periaate, jonka mukaan samassa paikassa tehtävästä samasta työstä olisi saatava sama korvaus, on Euroopan sosiaalisten oikeuksien pilarin keskeinen osa. </w:t>
      </w:r>
    </w:p>
    <w:p w14:paraId="0A50AF37" w14:textId="77777777" w:rsidR="0084216A" w:rsidRPr="00B31A92" w:rsidRDefault="0084216A" w:rsidP="00C169F8">
      <w:pPr>
        <w:ind w:left="-6"/>
      </w:pPr>
    </w:p>
    <w:p w14:paraId="545E8A4D" w14:textId="77777777" w:rsidR="0084216A" w:rsidRPr="00B31A92" w:rsidRDefault="0084216A" w:rsidP="00C169F8">
      <w:pPr>
        <w:ind w:left="-6"/>
      </w:pPr>
      <w:r w:rsidRPr="00B31A92">
        <w:t xml:space="preserve">ETSK katsoo, että työehtosopimukset ovat mittapuu korvauksen suuruudelle. </w:t>
      </w:r>
    </w:p>
    <w:p w14:paraId="11943136" w14:textId="77777777" w:rsidR="0084216A" w:rsidRPr="00B31A92" w:rsidRDefault="0084216A" w:rsidP="00C169F8">
      <w:pPr>
        <w:ind w:left="-6"/>
      </w:pPr>
    </w:p>
    <w:p w14:paraId="7D30A9B3" w14:textId="77777777" w:rsidR="0084216A" w:rsidRPr="00B31A92" w:rsidRDefault="0084216A" w:rsidP="00C169F8">
      <w:pPr>
        <w:ind w:left="-6"/>
      </w:pPr>
      <w:r w:rsidRPr="00B31A92">
        <w:t xml:space="preserve">ETSK korostaa, että työmarkkinaosapuolten yksinoikeudellista asemaa ei ole kunnioitettu, ja ihmettelee, miksei ole järjestetty asianmukaista työmarkkinaosapuolten kuulemista EU:n toiminnasta tehdyn sopimuksen (SEUT) 154 artiklan 2 kohdan mukaisesti. </w:t>
      </w:r>
    </w:p>
    <w:p w14:paraId="2DD0E41A" w14:textId="77777777" w:rsidR="0084216A" w:rsidRPr="00B31A92" w:rsidRDefault="0084216A" w:rsidP="0084216A">
      <w:pPr>
        <w:keepNext/>
        <w:ind w:left="-5"/>
      </w:pPr>
    </w:p>
    <w:p w14:paraId="41CB7397" w14:textId="49DA2EF7" w:rsidR="0084216A" w:rsidRPr="00B31A92" w:rsidRDefault="0084216A" w:rsidP="0084216A">
      <w:pPr>
        <w:keepNext/>
        <w:ind w:left="-5"/>
      </w:pPr>
      <w:r w:rsidRPr="00B31A92">
        <w:t xml:space="preserve">ETSK pitää lähtökohtaisesti tervetulleena, että komissio määrittelee konkreettisesti lähettämiskauden enimmäiskeston. Sen rajoittaminen 24 kuukauteen on askel oikeaan </w:t>
      </w:r>
      <w:r w:rsidR="006B740F" w:rsidRPr="00B31A92">
        <w:t>suuntaan, mutta rajoittaminen 6 </w:t>
      </w:r>
      <w:r w:rsidRPr="00B31A92">
        <w:t xml:space="preserve">kuukauteen vastaisi paremmin yritystoiminnan todellisuutta. </w:t>
      </w:r>
    </w:p>
    <w:p w14:paraId="351E3FE6" w14:textId="77777777" w:rsidR="0084216A" w:rsidRPr="00B31A92" w:rsidRDefault="0084216A" w:rsidP="0084216A">
      <w:pPr>
        <w:keepNext/>
        <w:ind w:left="-5"/>
      </w:pPr>
    </w:p>
    <w:p w14:paraId="218D8383" w14:textId="084A9E42" w:rsidR="00516AD9" w:rsidRPr="00B31A92" w:rsidRDefault="0084216A" w:rsidP="0084216A">
      <w:pPr>
        <w:keepNext/>
        <w:ind w:left="-5"/>
      </w:pPr>
      <w:r w:rsidRPr="00B31A92">
        <w:t>ETSK vaatii, että työntekijöiden lähettämistä koskevassa direktiivissä tehdään selväksi, ettei siinä ole kyse enimmäis- vaan vähimmäisstandardista. Tätä varten on laajennettava oikeusperustaa.</w:t>
      </w:r>
    </w:p>
    <w:p w14:paraId="56631406" w14:textId="77777777" w:rsidR="00F04B25" w:rsidRPr="00B31A92" w:rsidRDefault="00F04B25" w:rsidP="00673BA2"/>
    <w:p w14:paraId="10C33C98" w14:textId="77777777" w:rsidR="00516AD9" w:rsidRPr="00B31A92" w:rsidRDefault="00516AD9" w:rsidP="00516AD9">
      <w:pPr>
        <w:rPr>
          <w:i/>
        </w:rPr>
      </w:pPr>
      <w:r w:rsidRPr="00B31A92">
        <w:rPr>
          <w:b/>
          <w:i/>
        </w:rPr>
        <w:t>Yhteyshenkilö</w:t>
      </w:r>
      <w:r w:rsidRPr="00B31A92">
        <w:rPr>
          <w:i/>
        </w:rPr>
        <w:t>:</w:t>
      </w:r>
      <w:r w:rsidRPr="00B31A92">
        <w:rPr>
          <w:i/>
        </w:rPr>
        <w:tab/>
        <w:t>Ana Dumitrache</w:t>
      </w:r>
    </w:p>
    <w:p w14:paraId="2CF84785" w14:textId="75FCB92A" w:rsidR="00516AD9" w:rsidRPr="00B31A92" w:rsidRDefault="00516AD9" w:rsidP="00516AD9">
      <w:pPr>
        <w:rPr>
          <w:i/>
        </w:rPr>
      </w:pPr>
      <w:r w:rsidRPr="00B31A92">
        <w:rPr>
          <w:i/>
        </w:rPr>
        <w:tab/>
      </w:r>
      <w:r w:rsidRPr="00B31A92">
        <w:rPr>
          <w:i/>
        </w:rPr>
        <w:tab/>
      </w:r>
      <w:r w:rsidR="002E19C5" w:rsidRPr="00B31A92">
        <w:rPr>
          <w:i/>
        </w:rPr>
        <w:tab/>
      </w:r>
      <w:r w:rsidRPr="00B31A92">
        <w:rPr>
          <w:i/>
        </w:rPr>
        <w:t xml:space="preserve">(P. +32 25468131 – </w:t>
      </w:r>
      <w:r w:rsidRPr="00B31A92">
        <w:rPr>
          <w:i/>
          <w:iCs/>
        </w:rPr>
        <w:t>sähköposti</w:t>
      </w:r>
      <w:r w:rsidRPr="00B31A92">
        <w:rPr>
          <w:i/>
        </w:rPr>
        <w:t xml:space="preserve">: </w:t>
      </w:r>
      <w:hyperlink r:id="rId34" w:history="1">
        <w:r w:rsidRPr="00B31A92">
          <w:rPr>
            <w:rStyle w:val="Hyperlink"/>
            <w:i/>
          </w:rPr>
          <w:t>ana.dumitrache@eesc.europa.eu</w:t>
        </w:r>
      </w:hyperlink>
      <w:r w:rsidRPr="00B31A92">
        <w:rPr>
          <w:i/>
        </w:rPr>
        <w:t>)</w:t>
      </w:r>
    </w:p>
    <w:p w14:paraId="5663140A" w14:textId="77777777" w:rsidR="00673BA2" w:rsidRPr="00B31A92" w:rsidRDefault="00673BA2" w:rsidP="00673BA2"/>
    <w:p w14:paraId="3C9ED1C1" w14:textId="77777777" w:rsidR="00C169F8" w:rsidRPr="00B31A92" w:rsidRDefault="00C169F8" w:rsidP="00673BA2"/>
    <w:p w14:paraId="5663140B" w14:textId="5F8F1892" w:rsidR="004F0B26" w:rsidRPr="00B31A92" w:rsidRDefault="00E96264" w:rsidP="00E96264">
      <w:pPr>
        <w:pStyle w:val="ListParagraph"/>
        <w:keepNext/>
        <w:numPr>
          <w:ilvl w:val="0"/>
          <w:numId w:val="121"/>
        </w:numPr>
        <w:ind w:left="567" w:hanging="567"/>
        <w:rPr>
          <w:b/>
          <w:i/>
          <w:sz w:val="28"/>
        </w:rPr>
      </w:pPr>
      <w:r w:rsidRPr="00B31A92">
        <w:rPr>
          <w:b/>
          <w:i/>
          <w:sz w:val="28"/>
        </w:rPr>
        <w:t>Euroopan yhteisen turvapaikkajärjestelmän uudistamista koskeva paketti</w:t>
      </w:r>
      <w:r w:rsidR="005B0A78" w:rsidRPr="00B31A92">
        <w:rPr>
          <w:b/>
          <w:i/>
          <w:sz w:val="28"/>
        </w:rPr>
        <w:t> </w:t>
      </w:r>
      <w:r w:rsidRPr="00B31A92">
        <w:rPr>
          <w:b/>
          <w:i/>
          <w:sz w:val="28"/>
        </w:rPr>
        <w:t>II</w:t>
      </w:r>
    </w:p>
    <w:p w14:paraId="5663140C" w14:textId="77777777" w:rsidR="004F0B26" w:rsidRPr="00B31A92" w:rsidRDefault="004F0B26" w:rsidP="00673BA2">
      <w:pPr>
        <w:keepNext/>
      </w:pPr>
    </w:p>
    <w:p w14:paraId="25E0D154" w14:textId="53CCCD82" w:rsidR="00516AD9" w:rsidRPr="00B31A92" w:rsidRDefault="00516AD9" w:rsidP="00516AD9">
      <w:pPr>
        <w:tabs>
          <w:tab w:val="left" w:pos="1980"/>
        </w:tabs>
      </w:pPr>
      <w:r w:rsidRPr="00B31A92">
        <w:rPr>
          <w:b/>
        </w:rPr>
        <w:t>Esittelijä:</w:t>
      </w:r>
      <w:r w:rsidRPr="00B31A92">
        <w:tab/>
      </w:r>
      <w:r w:rsidRPr="00B31A92">
        <w:tab/>
        <w:t>José Antonio MORENO DÍAZ (muut eturyhmät – ES)</w:t>
      </w:r>
    </w:p>
    <w:p w14:paraId="2E80FFC4" w14:textId="77777777" w:rsidR="00516AD9" w:rsidRPr="00B31A92" w:rsidRDefault="00516AD9" w:rsidP="00673BA2">
      <w:pPr>
        <w:pStyle w:val="Default"/>
        <w:keepNext/>
        <w:spacing w:line="288" w:lineRule="auto"/>
        <w:ind w:left="1701" w:hanging="1701"/>
        <w:jc w:val="both"/>
        <w:rPr>
          <w:b/>
        </w:rPr>
      </w:pPr>
    </w:p>
    <w:p w14:paraId="5663140E" w14:textId="08E4045A" w:rsidR="004F0B26" w:rsidRPr="00B31A92" w:rsidRDefault="004F0B26" w:rsidP="00516AD9">
      <w:pPr>
        <w:pStyle w:val="Default"/>
        <w:keepNext/>
        <w:spacing w:line="288" w:lineRule="auto"/>
        <w:ind w:left="1701" w:hanging="1701"/>
        <w:jc w:val="both"/>
      </w:pPr>
      <w:r w:rsidRPr="00B31A92">
        <w:rPr>
          <w:b/>
        </w:rPr>
        <w:t>Viiteasiakirja:</w:t>
      </w:r>
      <w:r w:rsidR="00516AD9" w:rsidRPr="00B31A92">
        <w:rPr>
          <w:b/>
        </w:rPr>
        <w:tab/>
      </w:r>
      <w:r w:rsidRPr="00B31A92">
        <w:tab/>
      </w:r>
      <w:r w:rsidR="00516AD9" w:rsidRPr="00B31A92">
        <w:t>EESC-2016-04410-00-00-AC-TRA</w:t>
      </w:r>
    </w:p>
    <w:p w14:paraId="5663140F" w14:textId="77777777" w:rsidR="004F0B26" w:rsidRPr="00B31A92" w:rsidRDefault="004F0B26" w:rsidP="00673BA2">
      <w:pPr>
        <w:keepNext/>
      </w:pPr>
    </w:p>
    <w:p w14:paraId="56631410" w14:textId="77777777" w:rsidR="004F0B26" w:rsidRPr="00B31A92" w:rsidRDefault="004F0B26" w:rsidP="00673BA2">
      <w:pPr>
        <w:keepNext/>
      </w:pPr>
      <w:r w:rsidRPr="00B31A92">
        <w:rPr>
          <w:b/>
        </w:rPr>
        <w:t>Keskeiset kohdat:</w:t>
      </w:r>
    </w:p>
    <w:p w14:paraId="56631411" w14:textId="77777777" w:rsidR="00253B72" w:rsidRPr="00B31A92" w:rsidRDefault="00253B72" w:rsidP="00673BA2">
      <w:pPr>
        <w:keepNext/>
      </w:pPr>
    </w:p>
    <w:p w14:paraId="466C140E" w14:textId="77777777" w:rsidR="0058386D" w:rsidRPr="00B31A92" w:rsidRDefault="0058386D" w:rsidP="0058386D">
      <w:r w:rsidRPr="00B31A92">
        <w:t xml:space="preserve">ETSK suhtautuu myönteisesti Euroopan yhteisen turvapaikkajärjestelmän ehdotettuihin parannuksiin eli muun muassa menettelyyn pääsyyn liittyvien oikeuksien ja velvoitteiden täsmentämiseen, haavoittuvuuden käsitteen korvaamiseen erityistarpeiden käsitteellä ja selkeiden kriteerien asettamiseen tämän arvioimiseksi, parempien takeiden myöntämiseen alaikäisille ja perheen käsitteen laajentamiseen. </w:t>
      </w:r>
    </w:p>
    <w:p w14:paraId="278646A7" w14:textId="77777777" w:rsidR="0058386D" w:rsidRPr="00B31A92" w:rsidRDefault="0058386D" w:rsidP="0058386D"/>
    <w:p w14:paraId="655141EB" w14:textId="77777777" w:rsidR="0058386D" w:rsidRPr="00B31A92" w:rsidRDefault="0058386D" w:rsidP="0058386D">
      <w:r w:rsidRPr="00B31A92">
        <w:t xml:space="preserve">ETSK on huolissaan perusoikeuksien rajoituksista, joita ovat muun muassa vapaan liikkuvuuden rajoittaminen, alaikäisten rajallinen oikeus päästä koulutukseen, erityisen menettelyn soveltaminen rajalla ilman huoltajaa oleviin alaikäisiin, tapauskohtaisen tarkastelun mahdollinen puuttuminen arvioitaessa turvallisen maan käsitteitä, rajalliset takeet myöhempien hakemusten ja nopeutettujen menettelyjen tapauksessa, suojeluaseman automaattinen uudelleentarkastelu ja vastaanotto-olosuhteiden rajoituksiin liittyvä rankaiseva lähestymistapa. </w:t>
      </w:r>
    </w:p>
    <w:p w14:paraId="795AB89F" w14:textId="77777777" w:rsidR="0058386D" w:rsidRPr="00B31A92" w:rsidRDefault="0058386D" w:rsidP="0058386D"/>
    <w:p w14:paraId="3FC58945" w14:textId="2B2DE404" w:rsidR="0058386D" w:rsidRPr="00B31A92" w:rsidRDefault="0058386D" w:rsidP="0058386D">
      <w:pPr>
        <w:rPr>
          <w:b/>
        </w:rPr>
      </w:pPr>
      <w:r w:rsidRPr="00B31A92">
        <w:rPr>
          <w:b/>
        </w:rPr>
        <w:t>Aseman määrittelyä koskevan asetusehdotuksen osalta ETSK suosittaa seuraavaa:</w:t>
      </w:r>
    </w:p>
    <w:p w14:paraId="16A7BAA5" w14:textId="263DB214" w:rsidR="0058386D" w:rsidRPr="00B31A92" w:rsidRDefault="0058386D" w:rsidP="0058386D">
      <w:pPr>
        <w:pStyle w:val="ListParagraph"/>
        <w:numPr>
          <w:ilvl w:val="0"/>
          <w:numId w:val="179"/>
        </w:numPr>
        <w:tabs>
          <w:tab w:val="clear" w:pos="0"/>
        </w:tabs>
        <w:ind w:left="284"/>
      </w:pPr>
      <w:r w:rsidRPr="00B31A92">
        <w:t>Sisäisen paon vaihtoehdon arvioinnissa tulisi käyttää YK:n pakolaisjärjestön (UNHCR) kriteereitä.</w:t>
      </w:r>
    </w:p>
    <w:p w14:paraId="3CEA10CF" w14:textId="25240704" w:rsidR="0058386D" w:rsidRPr="00B31A92" w:rsidRDefault="0058386D" w:rsidP="0058386D">
      <w:pPr>
        <w:pStyle w:val="ListParagraph"/>
        <w:numPr>
          <w:ilvl w:val="0"/>
          <w:numId w:val="179"/>
        </w:numPr>
        <w:tabs>
          <w:tab w:val="clear" w:pos="0"/>
        </w:tabs>
        <w:ind w:left="284"/>
      </w:pPr>
      <w:r w:rsidRPr="00B31A92">
        <w:t>Aseman määrittelyä koskevasta asetuksesta olisi poistettava 12 artiklan 6 kohta, jotta epäämisperusteita, joissa ei oteta huomioon hakijoiden yksilöllistä taustatilannetta, ei sovellettaisi automaattisesti.</w:t>
      </w:r>
    </w:p>
    <w:p w14:paraId="69E6948B" w14:textId="658DEBC6" w:rsidR="0058386D" w:rsidRPr="00B31A92" w:rsidRDefault="0058386D" w:rsidP="0058386D">
      <w:pPr>
        <w:pStyle w:val="ListParagraph"/>
        <w:numPr>
          <w:ilvl w:val="0"/>
          <w:numId w:val="179"/>
        </w:numPr>
        <w:tabs>
          <w:tab w:val="clear" w:pos="0"/>
        </w:tabs>
        <w:ind w:left="284"/>
      </w:pPr>
      <w:r w:rsidRPr="00B31A92">
        <w:t>Todistustaakka tulisi jakaa hakijan ja määrittävän viranomaisen kesken.</w:t>
      </w:r>
    </w:p>
    <w:p w14:paraId="4DDD8F2F" w14:textId="77777777" w:rsidR="0058386D" w:rsidRPr="00B31A92" w:rsidRDefault="0058386D" w:rsidP="0058386D"/>
    <w:p w14:paraId="3C3C0E1C" w14:textId="2A56ED05" w:rsidR="0058386D" w:rsidRPr="00B31A92" w:rsidRDefault="0058386D" w:rsidP="0058386D">
      <w:pPr>
        <w:rPr>
          <w:b/>
        </w:rPr>
      </w:pPr>
      <w:r w:rsidRPr="00B31A92">
        <w:rPr>
          <w:b/>
        </w:rPr>
        <w:t>Yhteistä menettelyä koskevan asetusehdotuksen osalta ETSK suosittaa seuraavaa:</w:t>
      </w:r>
    </w:p>
    <w:p w14:paraId="6E9A87E9" w14:textId="29560F19" w:rsidR="0058386D" w:rsidRPr="00B31A92" w:rsidRDefault="0058386D" w:rsidP="0058386D">
      <w:pPr>
        <w:pStyle w:val="ListParagraph"/>
        <w:numPr>
          <w:ilvl w:val="0"/>
          <w:numId w:val="179"/>
        </w:numPr>
        <w:tabs>
          <w:tab w:val="clear" w:pos="0"/>
        </w:tabs>
        <w:ind w:left="284"/>
      </w:pPr>
      <w:r w:rsidRPr="00B31A92">
        <w:t>Luovutaan turvallisen kolmannen maan, ensimmäisen turvapaikkamaan ja turvallisen alkuperämaan käsitteiden automaattisesta soveltamisesta sekä määräaikojen lyhennyksistä.</w:t>
      </w:r>
    </w:p>
    <w:p w14:paraId="78C4BD29" w14:textId="4A7FB064" w:rsidR="0058386D" w:rsidRPr="00B31A92" w:rsidRDefault="0058386D" w:rsidP="0058386D">
      <w:pPr>
        <w:pStyle w:val="ListParagraph"/>
        <w:numPr>
          <w:ilvl w:val="0"/>
          <w:numId w:val="179"/>
        </w:numPr>
        <w:tabs>
          <w:tab w:val="clear" w:pos="0"/>
        </w:tabs>
        <w:ind w:left="284"/>
      </w:pPr>
      <w:r w:rsidRPr="00B31A92">
        <w:lastRenderedPageBreak/>
        <w:t>Vahvistetaan hallinnolliseen säilöönottoon liittyviä takeita siten, että asetetaan säilöönotolle selkeät aikarajat ja rajataan se poikkeustapauksiin.</w:t>
      </w:r>
    </w:p>
    <w:p w14:paraId="5AE0E525" w14:textId="77777777" w:rsidR="0058386D" w:rsidRPr="00B31A92" w:rsidRDefault="0058386D" w:rsidP="0058386D"/>
    <w:p w14:paraId="00C39F33" w14:textId="3B69C21B" w:rsidR="0058386D" w:rsidRPr="00B31A92" w:rsidRDefault="0058386D" w:rsidP="0058386D">
      <w:pPr>
        <w:rPr>
          <w:b/>
        </w:rPr>
      </w:pPr>
      <w:r w:rsidRPr="00B31A92">
        <w:rPr>
          <w:b/>
        </w:rPr>
        <w:t>Vastaanottovaatimuksia koskevan direktiiviehdotuksen osalta ETSK suosittaa seuraavaa:</w:t>
      </w:r>
    </w:p>
    <w:p w14:paraId="6D38BEAC" w14:textId="03EC84D5" w:rsidR="0058386D" w:rsidRPr="00B31A92" w:rsidRDefault="0058386D" w:rsidP="0058386D">
      <w:pPr>
        <w:pStyle w:val="ListParagraph"/>
        <w:numPr>
          <w:ilvl w:val="0"/>
          <w:numId w:val="179"/>
        </w:numPr>
        <w:tabs>
          <w:tab w:val="clear" w:pos="0"/>
        </w:tabs>
        <w:ind w:left="284"/>
      </w:pPr>
      <w:r w:rsidRPr="00B31A92">
        <w:t>Torjutaan edelleen liikkumista myönteisellä, kannustavalla lähestymistavalla mieluummin kuin rankaisevalla lähestymistavalla eli vastaanotto-olosuhteiden epäämisellä, rajoittamisella, peruuttamisella tai korvaamisella.</w:t>
      </w:r>
    </w:p>
    <w:p w14:paraId="1F9FC2B1" w14:textId="50092DF7" w:rsidR="0058386D" w:rsidRPr="00B31A92" w:rsidRDefault="0058386D" w:rsidP="0058386D">
      <w:pPr>
        <w:pStyle w:val="ListParagraph"/>
        <w:numPr>
          <w:ilvl w:val="0"/>
          <w:numId w:val="179"/>
        </w:numPr>
        <w:tabs>
          <w:tab w:val="clear" w:pos="0"/>
        </w:tabs>
        <w:ind w:left="284"/>
      </w:pPr>
      <w:r w:rsidRPr="00B31A92">
        <w:t>Vastaanotto-olosuhteita, menettelyjä ja suojelun myöntämisen perusteita olisi säänneltävä samalla oikeudellisella välineellä.</w:t>
      </w:r>
    </w:p>
    <w:p w14:paraId="56631412" w14:textId="16BA0B57" w:rsidR="00253B72" w:rsidRPr="00B31A92" w:rsidRDefault="0058386D" w:rsidP="0058386D">
      <w:pPr>
        <w:pStyle w:val="ListParagraph"/>
        <w:numPr>
          <w:ilvl w:val="0"/>
          <w:numId w:val="179"/>
        </w:numPr>
        <w:tabs>
          <w:tab w:val="clear" w:pos="0"/>
        </w:tabs>
        <w:ind w:left="284"/>
      </w:pPr>
      <w:r w:rsidRPr="00B31A92">
        <w:t>Myös muut perheenjäsenet, kuten sisarukset ja muut sukulaiset, olisi sisällytettävä soveltamisalaan Dublin-asetusehdotuksen mukaisesti.</w:t>
      </w:r>
    </w:p>
    <w:p w14:paraId="56631413" w14:textId="77777777" w:rsidR="004F0B26" w:rsidRPr="00B31A92" w:rsidRDefault="004F0B26" w:rsidP="00673BA2">
      <w:pPr>
        <w:shd w:val="clear" w:color="auto" w:fill="FFFFFF" w:themeFill="background1"/>
      </w:pPr>
    </w:p>
    <w:p w14:paraId="78A510F5" w14:textId="0F9A0590" w:rsidR="00777329" w:rsidRPr="00B31A92" w:rsidRDefault="00777329" w:rsidP="00777329">
      <w:pPr>
        <w:rPr>
          <w:i/>
        </w:rPr>
      </w:pPr>
      <w:r w:rsidRPr="00B31A92">
        <w:rPr>
          <w:b/>
          <w:i/>
        </w:rPr>
        <w:t>Yhteyshenkilö:</w:t>
      </w:r>
      <w:r w:rsidRPr="00B31A92">
        <w:rPr>
          <w:b/>
          <w:i/>
        </w:rPr>
        <w:tab/>
      </w:r>
      <w:r w:rsidRPr="00B31A92">
        <w:rPr>
          <w:i/>
        </w:rPr>
        <w:t>Barbara Walentynowicz</w:t>
      </w:r>
    </w:p>
    <w:p w14:paraId="6F8887CE" w14:textId="7B586BDA" w:rsidR="00777329" w:rsidRPr="00B31A92" w:rsidRDefault="00777329" w:rsidP="00777329">
      <w:pPr>
        <w:tabs>
          <w:tab w:val="left" w:pos="0"/>
          <w:tab w:val="left" w:pos="770"/>
        </w:tabs>
        <w:rPr>
          <w:i/>
        </w:rPr>
      </w:pPr>
      <w:r w:rsidRPr="00B31A92">
        <w:rPr>
          <w:i/>
        </w:rPr>
        <w:tab/>
      </w:r>
      <w:r w:rsidRPr="00B31A92">
        <w:rPr>
          <w:i/>
        </w:rPr>
        <w:tab/>
      </w:r>
      <w:r w:rsidR="002E19C5" w:rsidRPr="00B31A92">
        <w:rPr>
          <w:i/>
        </w:rPr>
        <w:tab/>
      </w:r>
      <w:r w:rsidRPr="00B31A92">
        <w:rPr>
          <w:i/>
        </w:rPr>
        <w:t xml:space="preserve">(P. +32 25468219 – </w:t>
      </w:r>
      <w:r w:rsidRPr="00B31A92">
        <w:rPr>
          <w:i/>
          <w:iCs/>
        </w:rPr>
        <w:t>sähköposti</w:t>
      </w:r>
      <w:r w:rsidRPr="00B31A92">
        <w:rPr>
          <w:i/>
        </w:rPr>
        <w:t xml:space="preserve">: </w:t>
      </w:r>
      <w:hyperlink r:id="rId35" w:history="1">
        <w:r w:rsidRPr="00B31A92">
          <w:rPr>
            <w:rStyle w:val="Hyperlink"/>
            <w:i/>
          </w:rPr>
          <w:t>barbara.walentynowicz@eesc.europa.eu</w:t>
        </w:r>
      </w:hyperlink>
      <w:r w:rsidRPr="00B31A92">
        <w:rPr>
          <w:i/>
        </w:rPr>
        <w:t>)</w:t>
      </w:r>
    </w:p>
    <w:p w14:paraId="56631417" w14:textId="77777777" w:rsidR="00673BA2" w:rsidRPr="00B31A92" w:rsidRDefault="00673BA2" w:rsidP="00673BA2">
      <w:pPr>
        <w:ind w:left="1134" w:hanging="1134"/>
        <w:rPr>
          <w:i/>
        </w:rPr>
      </w:pPr>
    </w:p>
    <w:p w14:paraId="33E19E0C" w14:textId="77777777" w:rsidR="00C169F8" w:rsidRPr="00B31A92" w:rsidRDefault="00C169F8" w:rsidP="00673BA2">
      <w:pPr>
        <w:ind w:left="1134" w:hanging="1134"/>
        <w:rPr>
          <w:i/>
        </w:rPr>
      </w:pPr>
    </w:p>
    <w:p w14:paraId="56631418" w14:textId="67A7C8EF" w:rsidR="004F0B26" w:rsidRPr="00B31A92" w:rsidRDefault="00236693" w:rsidP="00236693">
      <w:pPr>
        <w:pStyle w:val="ListParagraph"/>
        <w:keepNext/>
        <w:numPr>
          <w:ilvl w:val="0"/>
          <w:numId w:val="121"/>
        </w:numPr>
        <w:ind w:left="567" w:hanging="567"/>
        <w:rPr>
          <w:b/>
          <w:i/>
          <w:sz w:val="28"/>
        </w:rPr>
      </w:pPr>
      <w:r w:rsidRPr="00B31A92">
        <w:rPr>
          <w:b/>
          <w:i/>
          <w:sz w:val="28"/>
        </w:rPr>
        <w:t>Kuluttajansuojadirektiivi (arviointi)</w:t>
      </w:r>
    </w:p>
    <w:p w14:paraId="56631419" w14:textId="77777777" w:rsidR="004F0B26" w:rsidRPr="00B31A92" w:rsidRDefault="004F0B26" w:rsidP="00673BA2">
      <w:pPr>
        <w:keepNext/>
      </w:pPr>
    </w:p>
    <w:p w14:paraId="5663141A" w14:textId="6D7FC008" w:rsidR="001B28BC" w:rsidRPr="00B31A92" w:rsidRDefault="001B28BC" w:rsidP="00673BA2">
      <w:pPr>
        <w:keepNext/>
        <w:ind w:left="1701" w:hanging="1701"/>
      </w:pPr>
      <w:r w:rsidRPr="00B31A92">
        <w:rPr>
          <w:b/>
        </w:rPr>
        <w:t>Esittelijä:</w:t>
      </w:r>
      <w:r w:rsidRPr="00B31A92">
        <w:tab/>
      </w:r>
      <w:r w:rsidR="00764CA6" w:rsidRPr="00B31A92">
        <w:tab/>
      </w:r>
      <w:r w:rsidRPr="00B31A92">
        <w:t xml:space="preserve">Bernardo </w:t>
      </w:r>
      <w:r w:rsidR="00764CA6" w:rsidRPr="00B31A92">
        <w:t xml:space="preserve">HERNÁNDEZ BATALLER </w:t>
      </w:r>
      <w:r w:rsidRPr="00B31A92">
        <w:t>(muut eturyhmät – ES)</w:t>
      </w:r>
    </w:p>
    <w:p w14:paraId="5663141B" w14:textId="77777777" w:rsidR="004F0B26" w:rsidRPr="00B31A92" w:rsidRDefault="004F0B26" w:rsidP="00673BA2">
      <w:pPr>
        <w:keepNext/>
        <w:ind w:left="1701" w:hanging="1701"/>
      </w:pPr>
    </w:p>
    <w:p w14:paraId="7BB3C20F" w14:textId="56C4E444" w:rsidR="00764CA6" w:rsidRPr="00B31A92" w:rsidRDefault="00764CA6" w:rsidP="00673BA2">
      <w:pPr>
        <w:keepNext/>
        <w:ind w:left="1701" w:hanging="1701"/>
        <w:rPr>
          <w:b/>
        </w:rPr>
      </w:pPr>
      <w:r w:rsidRPr="00B31A92">
        <w:rPr>
          <w:b/>
        </w:rPr>
        <w:t xml:space="preserve">Toinen esittelijä: </w:t>
      </w:r>
      <w:r w:rsidR="00F661B5" w:rsidRPr="00B31A92">
        <w:rPr>
          <w:b/>
        </w:rPr>
        <w:tab/>
      </w:r>
      <w:r w:rsidRPr="00B31A92">
        <w:rPr>
          <w:b/>
        </w:rPr>
        <w:tab/>
      </w:r>
      <w:r w:rsidRPr="00B31A92">
        <w:t>Alberto MAZZOLA (työnantajat – IT)</w:t>
      </w:r>
    </w:p>
    <w:p w14:paraId="3A28C2A5" w14:textId="77777777" w:rsidR="00764CA6" w:rsidRPr="00B31A92" w:rsidRDefault="00764CA6" w:rsidP="00673BA2">
      <w:pPr>
        <w:keepNext/>
        <w:ind w:left="1701" w:hanging="1701"/>
        <w:rPr>
          <w:b/>
        </w:rPr>
      </w:pPr>
    </w:p>
    <w:p w14:paraId="019A7F1F" w14:textId="2E879D81" w:rsidR="0086061B" w:rsidRPr="00B31A92" w:rsidRDefault="004F0B26" w:rsidP="0086061B">
      <w:pPr>
        <w:tabs>
          <w:tab w:val="left" w:pos="1980"/>
        </w:tabs>
      </w:pPr>
      <w:r w:rsidRPr="00B31A92">
        <w:rPr>
          <w:b/>
        </w:rPr>
        <w:t>Viiteasiakirja:</w:t>
      </w:r>
      <w:r w:rsidRPr="00B31A92">
        <w:tab/>
      </w:r>
      <w:r w:rsidR="00764CA6" w:rsidRPr="00B31A92">
        <w:tab/>
      </w:r>
      <w:r w:rsidR="0086061B" w:rsidRPr="00B31A92">
        <w:t xml:space="preserve">tiedonanto </w:t>
      </w:r>
    </w:p>
    <w:p w14:paraId="5663141D" w14:textId="15889F7E" w:rsidR="004F0B26" w:rsidRPr="00B31A92" w:rsidRDefault="0086061B" w:rsidP="0086061B">
      <w:pPr>
        <w:keepNext/>
        <w:ind w:left="1701" w:hanging="1701"/>
      </w:pPr>
      <w:r w:rsidRPr="00B31A92">
        <w:tab/>
      </w:r>
      <w:r w:rsidRPr="00B31A92">
        <w:tab/>
        <w:t>EESC-2016-03297-00-01-RI-TRA</w:t>
      </w:r>
    </w:p>
    <w:p w14:paraId="5663141E" w14:textId="77777777" w:rsidR="004F0B26" w:rsidRPr="00B31A92" w:rsidRDefault="004F0B26" w:rsidP="00673BA2">
      <w:pPr>
        <w:keepNext/>
      </w:pPr>
    </w:p>
    <w:p w14:paraId="5663141F" w14:textId="77777777" w:rsidR="004F0B26" w:rsidRPr="00B31A92" w:rsidRDefault="004F0B26" w:rsidP="00673BA2">
      <w:pPr>
        <w:keepNext/>
      </w:pPr>
      <w:r w:rsidRPr="00B31A92">
        <w:rPr>
          <w:b/>
        </w:rPr>
        <w:t>Keskeiset kohdat:</w:t>
      </w:r>
    </w:p>
    <w:p w14:paraId="56631420" w14:textId="77777777" w:rsidR="00345B23" w:rsidRPr="00B31A92" w:rsidRDefault="00345B23" w:rsidP="00673BA2">
      <w:pPr>
        <w:keepNext/>
        <w:overflowPunct w:val="0"/>
        <w:autoSpaceDE w:val="0"/>
        <w:autoSpaceDN w:val="0"/>
        <w:adjustRightInd w:val="0"/>
        <w:textAlignment w:val="baseline"/>
        <w:rPr>
          <w:szCs w:val="20"/>
        </w:rPr>
      </w:pPr>
    </w:p>
    <w:p w14:paraId="45CF15F5" w14:textId="77777777" w:rsidR="00236693" w:rsidRPr="00B31A92" w:rsidRDefault="00236693" w:rsidP="00236693">
      <w:pPr>
        <w:keepNext/>
        <w:overflowPunct w:val="0"/>
        <w:autoSpaceDE w:val="0"/>
        <w:autoSpaceDN w:val="0"/>
        <w:adjustRightInd w:val="0"/>
        <w:textAlignment w:val="baseline"/>
      </w:pPr>
      <w:r w:rsidRPr="00B31A92">
        <w:t>ETSK</w:t>
      </w:r>
    </w:p>
    <w:p w14:paraId="33B58801" w14:textId="77777777" w:rsidR="00236693" w:rsidRPr="00B31A92" w:rsidRDefault="00236693" w:rsidP="00236693">
      <w:pPr>
        <w:keepNext/>
        <w:overflowPunct w:val="0"/>
        <w:autoSpaceDE w:val="0"/>
        <w:autoSpaceDN w:val="0"/>
        <w:adjustRightInd w:val="0"/>
        <w:textAlignment w:val="baseline"/>
      </w:pPr>
    </w:p>
    <w:p w14:paraId="596E3D0B" w14:textId="77777777" w:rsidR="00236693" w:rsidRPr="00B31A92" w:rsidRDefault="00236693" w:rsidP="00236693">
      <w:pPr>
        <w:pStyle w:val="ListParagraph"/>
        <w:numPr>
          <w:ilvl w:val="0"/>
          <w:numId w:val="177"/>
        </w:numPr>
        <w:tabs>
          <w:tab w:val="clear" w:pos="0"/>
        </w:tabs>
        <w:ind w:left="284"/>
      </w:pPr>
      <w:r w:rsidRPr="00B31A92">
        <w:t>arvioi sitä, miten EU:n kansalaisyhteiskunnan organisaatiot näkevät ja kokevat kuluttajan oikeuksista annetun direktiivin (2011/83/EU) täytäntöönpanon.</w:t>
      </w:r>
    </w:p>
    <w:p w14:paraId="3C4D6E97" w14:textId="5B50C99B" w:rsidR="00236693" w:rsidRPr="00B31A92" w:rsidRDefault="00236693" w:rsidP="00EF3559">
      <w:pPr>
        <w:pStyle w:val="ListParagraph"/>
        <w:numPr>
          <w:ilvl w:val="0"/>
          <w:numId w:val="177"/>
        </w:numPr>
        <w:tabs>
          <w:tab w:val="clear" w:pos="0"/>
        </w:tabs>
        <w:ind w:left="284"/>
      </w:pPr>
      <w:r w:rsidRPr="00B31A92">
        <w:t>on koonnut tietoja ja ehdotta</w:t>
      </w:r>
      <w:r w:rsidR="00EF3559" w:rsidRPr="00B31A92">
        <w:t>a</w:t>
      </w:r>
      <w:r w:rsidRPr="00B31A92">
        <w:t xml:space="preserve"> </w:t>
      </w:r>
      <w:r w:rsidR="002063BB" w:rsidRPr="00B31A92">
        <w:t>ratkaisuja</w:t>
      </w:r>
      <w:r w:rsidRPr="00B31A92">
        <w:t>, jotka pohjautuvat kyselylomakkeeseen saatuihin vastauksiin, viiteen tiedonkeruumatkaan (jotka suuntautuivat Riikaan, Roomaan, Varsovaan, Madridiin ja Brysseliin) sekä asiantuntijakuulemiseen.</w:t>
      </w:r>
    </w:p>
    <w:p w14:paraId="52F21B16" w14:textId="75706276" w:rsidR="00236693" w:rsidRPr="00B31A92" w:rsidRDefault="00236693" w:rsidP="00236693">
      <w:pPr>
        <w:pStyle w:val="ListParagraph"/>
        <w:numPr>
          <w:ilvl w:val="0"/>
          <w:numId w:val="177"/>
        </w:numPr>
        <w:tabs>
          <w:tab w:val="clear" w:pos="0"/>
        </w:tabs>
        <w:ind w:left="284"/>
      </w:pPr>
      <w:r w:rsidRPr="00B31A92">
        <w:t xml:space="preserve">on suorittanut arvioinnin, joka perustuu seuraaviin näkökohtiin: </w:t>
      </w:r>
    </w:p>
    <w:p w14:paraId="04C76ADE" w14:textId="6049A9E1" w:rsidR="00236693" w:rsidRPr="00B31A92" w:rsidRDefault="00236693" w:rsidP="00236693">
      <w:pPr>
        <w:pStyle w:val="ListParagraph"/>
        <w:numPr>
          <w:ilvl w:val="0"/>
          <w:numId w:val="180"/>
        </w:numPr>
        <w:tabs>
          <w:tab w:val="clear" w:pos="0"/>
        </w:tabs>
        <w:overflowPunct w:val="0"/>
        <w:autoSpaceDE w:val="0"/>
        <w:autoSpaceDN w:val="0"/>
        <w:adjustRightInd w:val="0"/>
        <w:ind w:left="850"/>
        <w:textAlignment w:val="baseline"/>
      </w:pPr>
      <w:r w:rsidRPr="00B31A92">
        <w:t>tietoisuus ja mielikuvat</w:t>
      </w:r>
    </w:p>
    <w:p w14:paraId="630DDBC4" w14:textId="2B769D72" w:rsidR="00236693" w:rsidRPr="00B31A92" w:rsidRDefault="00236693" w:rsidP="00236693">
      <w:pPr>
        <w:pStyle w:val="ListParagraph"/>
        <w:numPr>
          <w:ilvl w:val="0"/>
          <w:numId w:val="180"/>
        </w:numPr>
        <w:tabs>
          <w:tab w:val="clear" w:pos="0"/>
        </w:tabs>
        <w:overflowPunct w:val="0"/>
        <w:autoSpaceDE w:val="0"/>
        <w:autoSpaceDN w:val="0"/>
        <w:adjustRightInd w:val="0"/>
        <w:ind w:left="850"/>
        <w:textAlignment w:val="baseline"/>
      </w:pPr>
      <w:r w:rsidRPr="00B31A92">
        <w:t>täytäntöönpano</w:t>
      </w:r>
    </w:p>
    <w:p w14:paraId="25B4DE73" w14:textId="4572953E" w:rsidR="00236693" w:rsidRPr="00B31A92" w:rsidRDefault="00236693" w:rsidP="00236693">
      <w:pPr>
        <w:pStyle w:val="ListParagraph"/>
        <w:numPr>
          <w:ilvl w:val="0"/>
          <w:numId w:val="180"/>
        </w:numPr>
        <w:tabs>
          <w:tab w:val="clear" w:pos="0"/>
        </w:tabs>
        <w:overflowPunct w:val="0"/>
        <w:autoSpaceDE w:val="0"/>
        <w:autoSpaceDN w:val="0"/>
        <w:adjustRightInd w:val="0"/>
        <w:ind w:left="850"/>
        <w:textAlignment w:val="baseline"/>
      </w:pPr>
      <w:r w:rsidRPr="00B31A92">
        <w:t xml:space="preserve">direktiivin soveltamisala </w:t>
      </w:r>
    </w:p>
    <w:p w14:paraId="0E306872" w14:textId="09934B2A" w:rsidR="00236693" w:rsidRPr="00B31A92" w:rsidRDefault="00236693" w:rsidP="00236693">
      <w:pPr>
        <w:pStyle w:val="ListParagraph"/>
        <w:numPr>
          <w:ilvl w:val="0"/>
          <w:numId w:val="180"/>
        </w:numPr>
        <w:tabs>
          <w:tab w:val="clear" w:pos="0"/>
        </w:tabs>
        <w:overflowPunct w:val="0"/>
        <w:autoSpaceDE w:val="0"/>
        <w:autoSpaceDN w:val="0"/>
        <w:adjustRightInd w:val="0"/>
        <w:ind w:left="850"/>
        <w:textAlignment w:val="baseline"/>
      </w:pPr>
      <w:r w:rsidRPr="00B31A92">
        <w:t>direktiivin vaikutukset</w:t>
      </w:r>
    </w:p>
    <w:p w14:paraId="72239801" w14:textId="1FB3C1F7" w:rsidR="00236693" w:rsidRPr="00B31A92" w:rsidRDefault="00236693" w:rsidP="00236693">
      <w:pPr>
        <w:pStyle w:val="ListParagraph"/>
        <w:numPr>
          <w:ilvl w:val="0"/>
          <w:numId w:val="180"/>
        </w:numPr>
        <w:tabs>
          <w:tab w:val="clear" w:pos="0"/>
        </w:tabs>
        <w:overflowPunct w:val="0"/>
        <w:autoSpaceDE w:val="0"/>
        <w:autoSpaceDN w:val="0"/>
        <w:adjustRightInd w:val="0"/>
        <w:ind w:left="850"/>
        <w:textAlignment w:val="baseline"/>
      </w:pPr>
      <w:r w:rsidRPr="00B31A92">
        <w:t>katse tulevaisuuteen (sisämarkkinat, yksinkertaistaminen ja tulevaisuuden vaatimukset).</w:t>
      </w:r>
    </w:p>
    <w:p w14:paraId="56631427" w14:textId="77777777" w:rsidR="00797F04" w:rsidRPr="00B31A92" w:rsidRDefault="00797F04" w:rsidP="00673BA2">
      <w:pPr>
        <w:overflowPunct w:val="0"/>
        <w:autoSpaceDE w:val="0"/>
        <w:autoSpaceDN w:val="0"/>
        <w:adjustRightInd w:val="0"/>
        <w:ind w:left="1134" w:hanging="425"/>
        <w:textAlignment w:val="baseline"/>
      </w:pPr>
    </w:p>
    <w:p w14:paraId="79018D9F" w14:textId="6D34FC36" w:rsidR="006918D2" w:rsidRPr="00B31A92" w:rsidRDefault="006918D2" w:rsidP="006918D2">
      <w:pPr>
        <w:rPr>
          <w:i/>
        </w:rPr>
      </w:pPr>
      <w:r w:rsidRPr="00B31A92">
        <w:rPr>
          <w:b/>
          <w:i/>
        </w:rPr>
        <w:t>Yhteyshenkilö</w:t>
      </w:r>
      <w:r w:rsidRPr="00B31A92">
        <w:t>:</w:t>
      </w:r>
      <w:r w:rsidRPr="00B31A92">
        <w:tab/>
      </w:r>
      <w:r w:rsidRPr="00B31A92">
        <w:rPr>
          <w:i/>
        </w:rPr>
        <w:t>Janine Borg</w:t>
      </w:r>
    </w:p>
    <w:p w14:paraId="4BA31129" w14:textId="0A2E841B" w:rsidR="006918D2" w:rsidRPr="00B31A92" w:rsidRDefault="006918D2" w:rsidP="006918D2">
      <w:pPr>
        <w:rPr>
          <w:i/>
        </w:rPr>
      </w:pPr>
      <w:r w:rsidRPr="00B31A92">
        <w:rPr>
          <w:i/>
        </w:rPr>
        <w:tab/>
      </w:r>
      <w:r w:rsidRPr="00B31A92">
        <w:rPr>
          <w:i/>
        </w:rPr>
        <w:tab/>
      </w:r>
      <w:r w:rsidR="002E19C5" w:rsidRPr="00B31A92">
        <w:rPr>
          <w:i/>
        </w:rPr>
        <w:tab/>
      </w:r>
      <w:r w:rsidRPr="00B31A92">
        <w:rPr>
          <w:i/>
        </w:rPr>
        <w:t xml:space="preserve">(P. +32 25468879 – </w:t>
      </w:r>
      <w:r w:rsidRPr="00B31A92">
        <w:rPr>
          <w:i/>
          <w:iCs/>
        </w:rPr>
        <w:t>sähköposti</w:t>
      </w:r>
      <w:r w:rsidRPr="00B31A92">
        <w:rPr>
          <w:i/>
        </w:rPr>
        <w:t xml:space="preserve">: </w:t>
      </w:r>
      <w:hyperlink r:id="rId36" w:history="1">
        <w:r w:rsidRPr="00B31A92">
          <w:rPr>
            <w:rStyle w:val="Hyperlink"/>
            <w:i/>
          </w:rPr>
          <w:t>janine.borg@eesc.europa.eu</w:t>
        </w:r>
      </w:hyperlink>
      <w:r w:rsidRPr="00B31A92">
        <w:rPr>
          <w:i/>
        </w:rPr>
        <w:t>)</w:t>
      </w:r>
    </w:p>
    <w:p w14:paraId="5663142B" w14:textId="77777777" w:rsidR="00673BA2" w:rsidRPr="00B31A92" w:rsidRDefault="00673BA2" w:rsidP="00673BA2"/>
    <w:p w14:paraId="5663142C" w14:textId="0061E31D" w:rsidR="001B28BC" w:rsidRPr="00B31A92" w:rsidRDefault="00615F2A" w:rsidP="00615F2A">
      <w:pPr>
        <w:keepNext/>
        <w:numPr>
          <w:ilvl w:val="0"/>
          <w:numId w:val="153"/>
        </w:numPr>
        <w:overflowPunct w:val="0"/>
        <w:autoSpaceDE w:val="0"/>
        <w:autoSpaceDN w:val="0"/>
        <w:adjustRightInd w:val="0"/>
        <w:ind w:left="567" w:hanging="567"/>
        <w:rPr>
          <w:b/>
          <w:i/>
          <w:sz w:val="28"/>
        </w:rPr>
      </w:pPr>
      <w:r w:rsidRPr="00B31A92">
        <w:rPr>
          <w:b/>
          <w:i/>
          <w:sz w:val="28"/>
        </w:rPr>
        <w:lastRenderedPageBreak/>
        <w:t>Kuluttaja- ja markkinaoikeus (toimivuustarkastus)</w:t>
      </w:r>
    </w:p>
    <w:p w14:paraId="5663142D" w14:textId="77777777" w:rsidR="001B28BC" w:rsidRPr="00B31A92" w:rsidRDefault="001B28BC" w:rsidP="00673BA2">
      <w:pPr>
        <w:keepNext/>
      </w:pPr>
    </w:p>
    <w:p w14:paraId="5663142E" w14:textId="00C2210D" w:rsidR="001B28BC" w:rsidRPr="00B31A92" w:rsidRDefault="001B28BC" w:rsidP="00673BA2">
      <w:pPr>
        <w:keepNext/>
        <w:ind w:left="1701" w:hanging="1701"/>
      </w:pPr>
      <w:r w:rsidRPr="00B31A92">
        <w:rPr>
          <w:b/>
        </w:rPr>
        <w:t>Esittelijä:</w:t>
      </w:r>
      <w:r w:rsidRPr="00B31A92">
        <w:tab/>
      </w:r>
      <w:r w:rsidR="006918D2" w:rsidRPr="00B31A92">
        <w:tab/>
        <w:t>Jorge PEGADO LIZ (muut eturyhmät – PT</w:t>
      </w:r>
      <w:r w:rsidRPr="00B31A92">
        <w:t>)</w:t>
      </w:r>
    </w:p>
    <w:p w14:paraId="5663142F" w14:textId="77777777" w:rsidR="001B28BC" w:rsidRPr="00B31A92" w:rsidRDefault="001B28BC" w:rsidP="00673BA2">
      <w:pPr>
        <w:keepNext/>
        <w:ind w:left="1701" w:hanging="1701"/>
      </w:pPr>
    </w:p>
    <w:p w14:paraId="534D09FC" w14:textId="71F2933E" w:rsidR="006918D2" w:rsidRPr="00B31A92" w:rsidRDefault="001B28BC" w:rsidP="006918D2">
      <w:pPr>
        <w:tabs>
          <w:tab w:val="left" w:pos="1980"/>
        </w:tabs>
      </w:pPr>
      <w:r w:rsidRPr="00B31A92">
        <w:rPr>
          <w:b/>
        </w:rPr>
        <w:t>Viiteasiakirja:</w:t>
      </w:r>
      <w:r w:rsidRPr="00B31A92">
        <w:tab/>
      </w:r>
      <w:r w:rsidR="006918D2" w:rsidRPr="00B31A92">
        <w:tab/>
        <w:t>tiedonanto</w:t>
      </w:r>
    </w:p>
    <w:p w14:paraId="56631431" w14:textId="7ED2390D" w:rsidR="001B28BC" w:rsidRPr="00B31A92" w:rsidRDefault="006918D2" w:rsidP="006918D2">
      <w:pPr>
        <w:keepNext/>
        <w:ind w:left="1701" w:hanging="1701"/>
      </w:pPr>
      <w:r w:rsidRPr="00B31A92">
        <w:tab/>
      </w:r>
      <w:r w:rsidRPr="00B31A92">
        <w:tab/>
        <w:t>EESC-2016-03300-00-01-RI-TRA</w:t>
      </w:r>
    </w:p>
    <w:p w14:paraId="56631432" w14:textId="77777777" w:rsidR="001B28BC" w:rsidRPr="00B31A92" w:rsidRDefault="001B28BC" w:rsidP="00673BA2">
      <w:pPr>
        <w:keepNext/>
      </w:pPr>
    </w:p>
    <w:p w14:paraId="56631433" w14:textId="77777777" w:rsidR="001B28BC" w:rsidRPr="00B31A92" w:rsidRDefault="001B28BC" w:rsidP="00673BA2">
      <w:pPr>
        <w:keepNext/>
      </w:pPr>
      <w:r w:rsidRPr="00B31A92">
        <w:rPr>
          <w:b/>
        </w:rPr>
        <w:t>Keskeiset kohdat:</w:t>
      </w:r>
    </w:p>
    <w:p w14:paraId="56631434" w14:textId="77777777" w:rsidR="00345B23" w:rsidRPr="00B31A92" w:rsidRDefault="00345B23" w:rsidP="00673BA2">
      <w:pPr>
        <w:keepNext/>
        <w:overflowPunct w:val="0"/>
        <w:autoSpaceDE w:val="0"/>
        <w:autoSpaceDN w:val="0"/>
        <w:adjustRightInd w:val="0"/>
        <w:textAlignment w:val="baseline"/>
        <w:rPr>
          <w:szCs w:val="20"/>
        </w:rPr>
      </w:pPr>
    </w:p>
    <w:p w14:paraId="6EA7DD3A" w14:textId="77777777" w:rsidR="00DE734F" w:rsidRPr="00B31A92" w:rsidRDefault="00DE734F" w:rsidP="00615F2A">
      <w:pPr>
        <w:keepNext/>
        <w:overflowPunct w:val="0"/>
        <w:autoSpaceDE w:val="0"/>
        <w:autoSpaceDN w:val="0"/>
        <w:adjustRightInd w:val="0"/>
        <w:textAlignment w:val="baseline"/>
      </w:pPr>
      <w:r w:rsidRPr="00B31A92">
        <w:t>ETSK</w:t>
      </w:r>
    </w:p>
    <w:p w14:paraId="24B73BCE" w14:textId="77777777" w:rsidR="00DE734F" w:rsidRPr="00B31A92" w:rsidRDefault="00DE734F" w:rsidP="00615F2A">
      <w:pPr>
        <w:keepNext/>
        <w:overflowPunct w:val="0"/>
        <w:autoSpaceDE w:val="0"/>
        <w:autoSpaceDN w:val="0"/>
        <w:adjustRightInd w:val="0"/>
        <w:textAlignment w:val="baseline"/>
      </w:pPr>
    </w:p>
    <w:p w14:paraId="247E1266" w14:textId="73C84AEF" w:rsidR="00DE734F" w:rsidRPr="00B31A92" w:rsidRDefault="00DE734F" w:rsidP="000E0FCC">
      <w:pPr>
        <w:pStyle w:val="ListParagraph"/>
        <w:numPr>
          <w:ilvl w:val="0"/>
          <w:numId w:val="177"/>
        </w:numPr>
        <w:tabs>
          <w:tab w:val="clear" w:pos="0"/>
        </w:tabs>
        <w:ind w:left="284"/>
      </w:pPr>
      <w:r w:rsidRPr="00B31A92">
        <w:t>arvioi sitä, millaisena kansalaisyhteiskunnan organisaatiot eri puolilla unionia näkevät ja kokevat EU:n kuluttaja- ja markkinaoikeuden täytäntöönpanon jäsenvaltioissa. Kyse on erityisesti direktiivistä 2005/29/EY, joka koskee sopimattomia kaupallisia menettelyjä, sekä kauppaa ja takuita koskevasta direktiivistä 1999/44/EY, kohtuuttomia sopimusehtoja koskevasta direktiivistä 93/13/ETY ja harhaanjohtavaa ja vertailevaa mainontaa koskevasta direktiivistä 2006/114/EY.</w:t>
      </w:r>
    </w:p>
    <w:p w14:paraId="2F50E552" w14:textId="3B485EF8" w:rsidR="00615F2A" w:rsidRPr="00B31A92" w:rsidRDefault="00DE734F" w:rsidP="000E0FCC">
      <w:pPr>
        <w:pStyle w:val="ListParagraph"/>
        <w:numPr>
          <w:ilvl w:val="0"/>
          <w:numId w:val="177"/>
        </w:numPr>
        <w:tabs>
          <w:tab w:val="clear" w:pos="0"/>
        </w:tabs>
        <w:ind w:left="284"/>
      </w:pPr>
      <w:r w:rsidRPr="00B31A92">
        <w:t>teki k</w:t>
      </w:r>
      <w:r w:rsidR="00615F2A" w:rsidRPr="00B31A92">
        <w:t>oott</w:t>
      </w:r>
      <w:r w:rsidRPr="00B31A92">
        <w:t>ujen tietojen pohjalta johtopäätöksiä siitä, mikä näkemys kansalaisyhteiskunnan organisaatioilla on seuraavista kriteereistä:</w:t>
      </w:r>
    </w:p>
    <w:p w14:paraId="222D64D6" w14:textId="77777777" w:rsidR="00DE734F" w:rsidRPr="00B31A92" w:rsidRDefault="00DE734F" w:rsidP="000E0FCC">
      <w:pPr>
        <w:pStyle w:val="ListParagraph"/>
        <w:numPr>
          <w:ilvl w:val="0"/>
          <w:numId w:val="180"/>
        </w:numPr>
        <w:tabs>
          <w:tab w:val="clear" w:pos="0"/>
        </w:tabs>
        <w:overflowPunct w:val="0"/>
        <w:autoSpaceDE w:val="0"/>
        <w:autoSpaceDN w:val="0"/>
        <w:adjustRightInd w:val="0"/>
        <w:ind w:left="850"/>
        <w:textAlignment w:val="baseline"/>
      </w:pPr>
      <w:r w:rsidRPr="00B31A92">
        <w:t>Onko tavoitteet saavutettu? (v</w:t>
      </w:r>
      <w:r w:rsidR="00615F2A" w:rsidRPr="00B31A92">
        <w:t>aikuttavuus</w:t>
      </w:r>
      <w:r w:rsidRPr="00B31A92">
        <w:t>)</w:t>
      </w:r>
    </w:p>
    <w:p w14:paraId="141CFF89" w14:textId="425A2ACE" w:rsidR="00615F2A" w:rsidRPr="00B31A92" w:rsidRDefault="0006220B" w:rsidP="000E0FCC">
      <w:pPr>
        <w:pStyle w:val="ListParagraph"/>
        <w:numPr>
          <w:ilvl w:val="0"/>
          <w:numId w:val="180"/>
        </w:numPr>
        <w:tabs>
          <w:tab w:val="clear" w:pos="0"/>
        </w:tabs>
        <w:overflowPunct w:val="0"/>
        <w:autoSpaceDE w:val="0"/>
        <w:autoSpaceDN w:val="0"/>
        <w:adjustRightInd w:val="0"/>
        <w:ind w:left="850"/>
        <w:textAlignment w:val="baseline"/>
      </w:pPr>
      <w:r w:rsidRPr="00B31A92">
        <w:t>Mitkä ovat kustannukset ja hyödyt? (t</w:t>
      </w:r>
      <w:r w:rsidR="00615F2A" w:rsidRPr="00B31A92">
        <w:t>ehokkuus</w:t>
      </w:r>
      <w:r w:rsidRPr="00B31A92">
        <w:t>)</w:t>
      </w:r>
      <w:r w:rsidR="00615F2A" w:rsidRPr="00B31A92">
        <w:t xml:space="preserve"> </w:t>
      </w:r>
    </w:p>
    <w:p w14:paraId="5A5EF822" w14:textId="7ED8A579" w:rsidR="00615F2A" w:rsidRPr="00B31A92" w:rsidRDefault="00526548" w:rsidP="000E0FCC">
      <w:pPr>
        <w:pStyle w:val="ListParagraph"/>
        <w:numPr>
          <w:ilvl w:val="0"/>
          <w:numId w:val="180"/>
        </w:numPr>
        <w:tabs>
          <w:tab w:val="clear" w:pos="0"/>
        </w:tabs>
        <w:overflowPunct w:val="0"/>
        <w:autoSpaceDE w:val="0"/>
        <w:autoSpaceDN w:val="0"/>
        <w:adjustRightInd w:val="0"/>
        <w:ind w:left="850"/>
        <w:textAlignment w:val="baseline"/>
      </w:pPr>
      <w:r w:rsidRPr="00B31A92">
        <w:t>Onko lainsäädäntökehyksessä aukkoja, ristiriitoja ja/tai päällekkäisyyksiä? (j</w:t>
      </w:r>
      <w:r w:rsidR="00615F2A" w:rsidRPr="00B31A92">
        <w:t>ohdonmukaisuus</w:t>
      </w:r>
      <w:r w:rsidRPr="00B31A92">
        <w:t>)</w:t>
      </w:r>
      <w:r w:rsidR="00615F2A" w:rsidRPr="00B31A92">
        <w:t xml:space="preserve"> </w:t>
      </w:r>
    </w:p>
    <w:p w14:paraId="362A9495" w14:textId="254FCDFB" w:rsidR="00615F2A" w:rsidRPr="00B31A92" w:rsidRDefault="000E0FCC" w:rsidP="000E0FCC">
      <w:pPr>
        <w:pStyle w:val="ListParagraph"/>
        <w:numPr>
          <w:ilvl w:val="0"/>
          <w:numId w:val="180"/>
        </w:numPr>
        <w:tabs>
          <w:tab w:val="clear" w:pos="0"/>
        </w:tabs>
        <w:overflowPunct w:val="0"/>
        <w:autoSpaceDE w:val="0"/>
        <w:autoSpaceDN w:val="0"/>
        <w:adjustRightInd w:val="0"/>
        <w:ind w:left="850"/>
        <w:textAlignment w:val="baseline"/>
      </w:pPr>
      <w:r w:rsidRPr="00B31A92">
        <w:t>Voidaanko lainsäädäntökehyksen avulla ratkaista keskeiset nykyisin esiintyvät ongelmat? (t</w:t>
      </w:r>
      <w:r w:rsidR="00615F2A" w:rsidRPr="00B31A92">
        <w:t>arkoituksenmukaisuus</w:t>
      </w:r>
      <w:r w:rsidRPr="00B31A92">
        <w:t>)</w:t>
      </w:r>
      <w:r w:rsidR="00615F2A" w:rsidRPr="00B31A92">
        <w:t xml:space="preserve"> </w:t>
      </w:r>
    </w:p>
    <w:p w14:paraId="56631435" w14:textId="7A38A3E0" w:rsidR="00797F04" w:rsidRPr="00B31A92" w:rsidRDefault="000E0FCC" w:rsidP="000E0FCC">
      <w:pPr>
        <w:pStyle w:val="ListParagraph"/>
        <w:numPr>
          <w:ilvl w:val="0"/>
          <w:numId w:val="180"/>
        </w:numPr>
        <w:tabs>
          <w:tab w:val="clear" w:pos="0"/>
        </w:tabs>
        <w:overflowPunct w:val="0"/>
        <w:autoSpaceDE w:val="0"/>
        <w:autoSpaceDN w:val="0"/>
        <w:adjustRightInd w:val="0"/>
        <w:ind w:left="850"/>
        <w:textAlignment w:val="baseline"/>
      </w:pPr>
      <w:r w:rsidRPr="00B31A92">
        <w:t>Tuottavatko EU:n toimet lisäarvoa?</w:t>
      </w:r>
      <w:r w:rsidR="00615F2A" w:rsidRPr="00B31A92">
        <w:t xml:space="preserve"> </w:t>
      </w:r>
      <w:r w:rsidRPr="00B31A92">
        <w:t>(</w:t>
      </w:r>
      <w:r w:rsidR="00615F2A" w:rsidRPr="00B31A92">
        <w:t>EU:n toiminnan lisäarvo</w:t>
      </w:r>
      <w:r w:rsidRPr="00B31A92">
        <w:t>)</w:t>
      </w:r>
    </w:p>
    <w:p w14:paraId="5663143A" w14:textId="77777777" w:rsidR="00797F04" w:rsidRPr="00B31A92" w:rsidRDefault="00797F04" w:rsidP="00673BA2">
      <w:pPr>
        <w:overflowPunct w:val="0"/>
        <w:autoSpaceDE w:val="0"/>
        <w:autoSpaceDN w:val="0"/>
        <w:adjustRightInd w:val="0"/>
        <w:ind w:left="1134" w:hanging="425"/>
        <w:textAlignment w:val="baseline"/>
      </w:pPr>
    </w:p>
    <w:p w14:paraId="79E26C96" w14:textId="77777777" w:rsidR="00030D28" w:rsidRPr="00B31A92" w:rsidRDefault="00030D28" w:rsidP="00030D28">
      <w:pPr>
        <w:rPr>
          <w:i/>
        </w:rPr>
      </w:pPr>
      <w:r w:rsidRPr="00B31A92">
        <w:rPr>
          <w:b/>
          <w:i/>
        </w:rPr>
        <w:t>Yhteyshenkilö</w:t>
      </w:r>
      <w:r w:rsidRPr="00B31A92">
        <w:t>:</w:t>
      </w:r>
      <w:r w:rsidRPr="00B31A92">
        <w:tab/>
      </w:r>
      <w:r w:rsidRPr="00B31A92">
        <w:rPr>
          <w:i/>
        </w:rPr>
        <w:t>Janine Borg</w:t>
      </w:r>
    </w:p>
    <w:p w14:paraId="7E6CA23C" w14:textId="358EC7AA" w:rsidR="00030D28" w:rsidRPr="00B31A92" w:rsidRDefault="00030D28" w:rsidP="00030D28">
      <w:pPr>
        <w:rPr>
          <w:i/>
        </w:rPr>
      </w:pPr>
      <w:r w:rsidRPr="00B31A92">
        <w:rPr>
          <w:i/>
        </w:rPr>
        <w:tab/>
      </w:r>
      <w:r w:rsidRPr="00B31A92">
        <w:rPr>
          <w:i/>
        </w:rPr>
        <w:tab/>
      </w:r>
      <w:r w:rsidR="002E19C5" w:rsidRPr="00B31A92">
        <w:rPr>
          <w:i/>
        </w:rPr>
        <w:tab/>
      </w:r>
      <w:r w:rsidRPr="00B31A92">
        <w:rPr>
          <w:i/>
        </w:rPr>
        <w:t xml:space="preserve">(P. +32 25468879 – </w:t>
      </w:r>
      <w:r w:rsidRPr="00B31A92">
        <w:rPr>
          <w:i/>
          <w:iCs/>
        </w:rPr>
        <w:t>sähköposti</w:t>
      </w:r>
      <w:r w:rsidRPr="00B31A92">
        <w:rPr>
          <w:i/>
        </w:rPr>
        <w:t xml:space="preserve">: </w:t>
      </w:r>
      <w:hyperlink r:id="rId37" w:history="1">
        <w:r w:rsidRPr="00B31A92">
          <w:rPr>
            <w:rStyle w:val="Hyperlink"/>
            <w:i/>
          </w:rPr>
          <w:t>janine.borg@eesc.europa.eu</w:t>
        </w:r>
      </w:hyperlink>
      <w:r w:rsidRPr="00B31A92">
        <w:rPr>
          <w:i/>
        </w:rPr>
        <w:t>)</w:t>
      </w:r>
    </w:p>
    <w:p w14:paraId="5663143D" w14:textId="77777777" w:rsidR="001B28BC" w:rsidRPr="00B31A92" w:rsidRDefault="001B28BC" w:rsidP="00673BA2">
      <w:pPr>
        <w:shd w:val="clear" w:color="auto" w:fill="FFFFFF" w:themeFill="background1"/>
      </w:pPr>
    </w:p>
    <w:p w14:paraId="5663143E" w14:textId="77777777" w:rsidR="00673BA2" w:rsidRPr="00B31A92" w:rsidRDefault="00673BA2" w:rsidP="00673BA2">
      <w:pPr>
        <w:shd w:val="clear" w:color="auto" w:fill="FFFFFF" w:themeFill="background1"/>
      </w:pPr>
    </w:p>
    <w:p w14:paraId="5663143F" w14:textId="255F3598" w:rsidR="0034657E" w:rsidRPr="00B31A92" w:rsidRDefault="00030D28" w:rsidP="00673BA2">
      <w:pPr>
        <w:pStyle w:val="Heading1"/>
        <w:keepNext/>
        <w:rPr>
          <w:b/>
        </w:rPr>
      </w:pPr>
      <w:bookmarkStart w:id="24" w:name="_Toc471377321"/>
      <w:r w:rsidRPr="00B31A92">
        <w:rPr>
          <w:b/>
        </w:rPr>
        <w:t>TEOLLISUUS / INNOVOINTI</w:t>
      </w:r>
      <w:bookmarkEnd w:id="24"/>
    </w:p>
    <w:p w14:paraId="56631441" w14:textId="77777777" w:rsidR="00673BA2" w:rsidRPr="00B31A92" w:rsidRDefault="00673BA2" w:rsidP="00673BA2">
      <w:pPr>
        <w:keepNext/>
      </w:pPr>
    </w:p>
    <w:p w14:paraId="56631442" w14:textId="2F58F50E" w:rsidR="009F7736" w:rsidRPr="00B31A92" w:rsidRDefault="00997395" w:rsidP="00997395">
      <w:pPr>
        <w:keepNext/>
        <w:numPr>
          <w:ilvl w:val="0"/>
          <w:numId w:val="153"/>
        </w:numPr>
        <w:overflowPunct w:val="0"/>
        <w:autoSpaceDE w:val="0"/>
        <w:autoSpaceDN w:val="0"/>
        <w:adjustRightInd w:val="0"/>
        <w:ind w:left="567" w:hanging="567"/>
        <w:rPr>
          <w:b/>
          <w:i/>
          <w:sz w:val="28"/>
        </w:rPr>
      </w:pPr>
      <w:r w:rsidRPr="00B31A92">
        <w:rPr>
          <w:b/>
          <w:i/>
          <w:sz w:val="28"/>
        </w:rPr>
        <w:t>Nudge-ajattelun soveltaminen EU-politiikassa (oma-aloitteinen lausunto)</w:t>
      </w:r>
    </w:p>
    <w:p w14:paraId="56631443" w14:textId="77777777" w:rsidR="009F7736" w:rsidRPr="00B31A92" w:rsidRDefault="009F7736" w:rsidP="00673BA2">
      <w:pPr>
        <w:keepNext/>
        <w:rPr>
          <w:bCs/>
          <w:szCs w:val="20"/>
        </w:rPr>
      </w:pPr>
    </w:p>
    <w:p w14:paraId="56631444" w14:textId="72FB5649" w:rsidR="009F7736" w:rsidRPr="00B31A92" w:rsidRDefault="009F7736" w:rsidP="00673BA2">
      <w:pPr>
        <w:keepNext/>
        <w:ind w:left="1701" w:hanging="1701"/>
        <w:rPr>
          <w:bCs/>
        </w:rPr>
      </w:pPr>
      <w:r w:rsidRPr="00B31A92">
        <w:rPr>
          <w:b/>
        </w:rPr>
        <w:t>Esittelijä:</w:t>
      </w:r>
      <w:r w:rsidRPr="00B31A92">
        <w:tab/>
      </w:r>
      <w:r w:rsidR="003D53DE" w:rsidRPr="00B31A92">
        <w:tab/>
      </w:r>
      <w:r w:rsidR="00077147" w:rsidRPr="00B31A92">
        <w:t xml:space="preserve">Thierry LIBAERT </w:t>
      </w:r>
      <w:r w:rsidRPr="00B31A92">
        <w:t>(</w:t>
      </w:r>
      <w:r w:rsidR="00077147" w:rsidRPr="00B31A92">
        <w:t>muut eturyhmät</w:t>
      </w:r>
      <w:r w:rsidRPr="00B31A92">
        <w:t xml:space="preserve"> – </w:t>
      </w:r>
      <w:r w:rsidR="00077147" w:rsidRPr="00B31A92">
        <w:t>FR</w:t>
      </w:r>
      <w:r w:rsidRPr="00B31A92">
        <w:t>)</w:t>
      </w:r>
    </w:p>
    <w:p w14:paraId="56631445" w14:textId="77777777" w:rsidR="001B28BC" w:rsidRPr="00B31A92" w:rsidRDefault="001B28BC" w:rsidP="00673BA2">
      <w:pPr>
        <w:keepNext/>
        <w:tabs>
          <w:tab w:val="num" w:pos="550"/>
        </w:tabs>
        <w:ind w:left="1701" w:hanging="1701"/>
        <w:rPr>
          <w:b/>
        </w:rPr>
      </w:pPr>
    </w:p>
    <w:p w14:paraId="56631446" w14:textId="2F2A316C" w:rsidR="009F7736" w:rsidRPr="00B31A92" w:rsidRDefault="009F7736" w:rsidP="00673BA2">
      <w:pPr>
        <w:keepNext/>
        <w:ind w:left="1701" w:hanging="1701"/>
        <w:rPr>
          <w:bCs/>
        </w:rPr>
      </w:pPr>
      <w:r w:rsidRPr="00B31A92">
        <w:rPr>
          <w:b/>
        </w:rPr>
        <w:t>Viiteasiakirja:</w:t>
      </w:r>
      <w:r w:rsidRPr="00B31A92">
        <w:tab/>
      </w:r>
      <w:r w:rsidR="003D53DE" w:rsidRPr="00B31A92">
        <w:tab/>
      </w:r>
      <w:r w:rsidR="00077147" w:rsidRPr="00B31A92">
        <w:t>EESC-2016-01333-00-00-AC-TRA</w:t>
      </w:r>
    </w:p>
    <w:p w14:paraId="56631447" w14:textId="77777777" w:rsidR="009F7736" w:rsidRPr="00B31A92" w:rsidRDefault="009F7736" w:rsidP="00673BA2">
      <w:pPr>
        <w:keepNext/>
        <w:rPr>
          <w:szCs w:val="20"/>
        </w:rPr>
      </w:pPr>
    </w:p>
    <w:p w14:paraId="56631448" w14:textId="77777777" w:rsidR="009F7736" w:rsidRPr="00B31A92" w:rsidRDefault="009F7736" w:rsidP="00673BA2">
      <w:pPr>
        <w:keepNext/>
        <w:rPr>
          <w:b/>
        </w:rPr>
      </w:pPr>
      <w:r w:rsidRPr="00B31A92">
        <w:rPr>
          <w:b/>
        </w:rPr>
        <w:t>Keskeiset kohdat:</w:t>
      </w:r>
    </w:p>
    <w:p w14:paraId="56631449" w14:textId="77777777" w:rsidR="00E55EF4" w:rsidRPr="00B31A92" w:rsidRDefault="00E55EF4" w:rsidP="00673BA2">
      <w:pPr>
        <w:keepNext/>
      </w:pPr>
    </w:p>
    <w:p w14:paraId="2433CFBA" w14:textId="15D240A6" w:rsidR="00997395" w:rsidRPr="00B31A92" w:rsidRDefault="00997395" w:rsidP="00997395">
      <w:r w:rsidRPr="00B31A92">
        <w:t xml:space="preserve">Lausunnossa katsotaan yleisesti, että </w:t>
      </w:r>
      <w:r w:rsidRPr="00B31A92">
        <w:rPr>
          <w:i/>
        </w:rPr>
        <w:t>nudge</w:t>
      </w:r>
      <w:r w:rsidRPr="00B31A92">
        <w:t xml:space="preserve">-menetelmät täydentävät perinteisiä julkisen politiikan välineitä. Siinä esitellään alan viimeaikaista kehitystä ja tuodaan erityisesti esille monissa maissa, muun muassa Yhdysvalloissa, Ranskassa ja Yhdistyneessä kuningaskunnassa, ja Euroopan komissiossa perustetut </w:t>
      </w:r>
      <w:r w:rsidRPr="00B31A92">
        <w:rPr>
          <w:i/>
        </w:rPr>
        <w:t>nudge</w:t>
      </w:r>
      <w:r w:rsidRPr="00B31A92">
        <w:t xml:space="preserve">-yksiköt. </w:t>
      </w:r>
    </w:p>
    <w:p w14:paraId="1E2114E2" w14:textId="77777777" w:rsidR="00997395" w:rsidRPr="00B31A92" w:rsidRDefault="00997395" w:rsidP="00997395"/>
    <w:p w14:paraId="762AF2CC" w14:textId="77777777" w:rsidR="00997395" w:rsidRPr="00B31A92" w:rsidRDefault="00997395" w:rsidP="00997395">
      <w:r w:rsidRPr="00B31A92">
        <w:lastRenderedPageBreak/>
        <w:t xml:space="preserve">Lausunnossa annetaan useita suosituksia: </w:t>
      </w:r>
    </w:p>
    <w:p w14:paraId="79D5D36F" w14:textId="77777777" w:rsidR="00997395" w:rsidRPr="00B31A92" w:rsidRDefault="00997395" w:rsidP="00997395">
      <w:pPr>
        <w:rPr>
          <w:sz w:val="18"/>
          <w:szCs w:val="18"/>
        </w:rPr>
      </w:pPr>
    </w:p>
    <w:p w14:paraId="1B1D3692" w14:textId="2A1C4D1E" w:rsidR="00997395" w:rsidRPr="00B31A92" w:rsidRDefault="00997395" w:rsidP="00997395">
      <w:pPr>
        <w:pStyle w:val="ListParagraph"/>
        <w:numPr>
          <w:ilvl w:val="0"/>
          <w:numId w:val="177"/>
        </w:numPr>
        <w:tabs>
          <w:tab w:val="clear" w:pos="0"/>
        </w:tabs>
        <w:ind w:left="284"/>
      </w:pPr>
      <w:r w:rsidRPr="00B31A92">
        <w:t xml:space="preserve">Kannustetaan </w:t>
      </w:r>
      <w:r w:rsidRPr="00B31A92">
        <w:rPr>
          <w:i/>
        </w:rPr>
        <w:t>nudge</w:t>
      </w:r>
      <w:r w:rsidRPr="00B31A92">
        <w:t xml:space="preserve">-menetelmien käyttämiseen julkisessa politiikassa perinteisten välineiden rinnalla erityisesti silloin, kun ne auttavat ympäristöön liittyvien, sosiaalisten tai muiden, kestävään kehitykseen liittyvien tavoitteiden saavuttamista. </w:t>
      </w:r>
    </w:p>
    <w:p w14:paraId="423E4C88" w14:textId="36FE130A" w:rsidR="00997395" w:rsidRPr="00B31A92" w:rsidRDefault="00997395" w:rsidP="00997395">
      <w:pPr>
        <w:pStyle w:val="ListParagraph"/>
        <w:numPr>
          <w:ilvl w:val="0"/>
          <w:numId w:val="177"/>
        </w:numPr>
        <w:tabs>
          <w:tab w:val="clear" w:pos="0"/>
        </w:tabs>
        <w:ind w:left="284"/>
      </w:pPr>
      <w:r w:rsidRPr="00B31A92">
        <w:t xml:space="preserve">Edistetään </w:t>
      </w:r>
      <w:r w:rsidRPr="00B31A92">
        <w:rPr>
          <w:i/>
        </w:rPr>
        <w:t>nudge</w:t>
      </w:r>
      <w:r w:rsidRPr="00B31A92">
        <w:t xml:space="preserve">-menetelmiä koskevan tiedon ja hyvien käytänteiden vaihtoa ja </w:t>
      </w:r>
      <w:r w:rsidRPr="00B31A92">
        <w:rPr>
          <w:i/>
        </w:rPr>
        <w:t>nudge</w:t>
      </w:r>
      <w:r w:rsidRPr="00B31A92">
        <w:t xml:space="preserve">-menetelmien tieteidenvälistä tutkimusta. </w:t>
      </w:r>
    </w:p>
    <w:p w14:paraId="1B3DCE8F" w14:textId="3BD2F9D1" w:rsidR="00997395" w:rsidRPr="00B31A92" w:rsidRDefault="00997395" w:rsidP="00997395">
      <w:pPr>
        <w:pStyle w:val="ListParagraph"/>
        <w:numPr>
          <w:ilvl w:val="0"/>
          <w:numId w:val="177"/>
        </w:numPr>
        <w:tabs>
          <w:tab w:val="clear" w:pos="0"/>
        </w:tabs>
        <w:ind w:left="284"/>
      </w:pPr>
      <w:r w:rsidRPr="00B31A92">
        <w:t xml:space="preserve">Määritetään </w:t>
      </w:r>
      <w:r w:rsidRPr="00B31A92">
        <w:rPr>
          <w:i/>
        </w:rPr>
        <w:t>nudge</w:t>
      </w:r>
      <w:r w:rsidRPr="00B31A92">
        <w:t xml:space="preserve">-lähestymistavan käytön menettelyt ja eettiset säännöt ja varmistetaan erityisesti avoimuus, yksilöiden vallinnanvapaus ja </w:t>
      </w:r>
      <w:r w:rsidRPr="00B31A92">
        <w:rPr>
          <w:i/>
        </w:rPr>
        <w:t>nudge</w:t>
      </w:r>
      <w:r w:rsidRPr="00B31A92">
        <w:t xml:space="preserve">-menetelmien perustana olevan tiedon luotettavuus ja pyritään välttämään yksilöiden syyllistämistä. </w:t>
      </w:r>
    </w:p>
    <w:p w14:paraId="410DFF5A" w14:textId="096E7840" w:rsidR="00997395" w:rsidRPr="00B31A92" w:rsidRDefault="00997395" w:rsidP="00997395">
      <w:pPr>
        <w:pStyle w:val="ListParagraph"/>
        <w:numPr>
          <w:ilvl w:val="0"/>
          <w:numId w:val="177"/>
        </w:numPr>
        <w:tabs>
          <w:tab w:val="clear" w:pos="0"/>
        </w:tabs>
        <w:ind w:left="284"/>
      </w:pPr>
      <w:r w:rsidRPr="00B31A92">
        <w:t xml:space="preserve">Harkitaan ensimmäisen eurooppalaisen </w:t>
      </w:r>
      <w:r w:rsidRPr="00B31A92">
        <w:rPr>
          <w:i/>
        </w:rPr>
        <w:t>nudge</w:t>
      </w:r>
      <w:r w:rsidRPr="00B31A92">
        <w:t xml:space="preserve">-konferenssin järjestämistä ETSK:ssa. </w:t>
      </w:r>
    </w:p>
    <w:p w14:paraId="069FCF7B" w14:textId="77777777" w:rsidR="00997395" w:rsidRPr="00B31A92" w:rsidRDefault="00997395" w:rsidP="00997395">
      <w:pPr>
        <w:rPr>
          <w:sz w:val="18"/>
          <w:szCs w:val="18"/>
        </w:rPr>
      </w:pPr>
    </w:p>
    <w:p w14:paraId="5663144E" w14:textId="3BE74F51" w:rsidR="00E55EF4" w:rsidRPr="00B31A92" w:rsidRDefault="00997395" w:rsidP="00997395">
      <w:r w:rsidRPr="00B31A92">
        <w:t>Lausunto on osa ETSK:n toimia, jotka liittyvät uusiin kestäväpohjaisiin talousmalleihin, yhdessä muun muassa kiertotalouspakettia koskevan lausunnon (NAT/676), toiminnallista taloutta koskevan lausunnon (INT/784), yhteistyötaloutta koskevan lausunnon (INT/793) ja jakamistaloutta ja itsesääntelyä koskevan lausunnon (INT/779) kanssa. Lausuntoa käsitellään täysistunnossa komission varapuheenjohtajan Jyrki Kataisen kanssa uusista kestäväpohjaisista talousmalleista käytävän keskustelun yhteydessä.</w:t>
      </w:r>
    </w:p>
    <w:p w14:paraId="5663144F" w14:textId="77777777" w:rsidR="00E55EF4" w:rsidRPr="00B31A92" w:rsidRDefault="00E55EF4" w:rsidP="00673BA2">
      <w:pPr>
        <w:rPr>
          <w:sz w:val="18"/>
          <w:szCs w:val="18"/>
        </w:rPr>
      </w:pPr>
    </w:p>
    <w:p w14:paraId="73B25489" w14:textId="20A2BBAA" w:rsidR="00077147" w:rsidRPr="00B31A92" w:rsidRDefault="00077147" w:rsidP="00077147">
      <w:pPr>
        <w:rPr>
          <w:i/>
          <w:iCs/>
        </w:rPr>
      </w:pPr>
      <w:r w:rsidRPr="00B31A92">
        <w:rPr>
          <w:b/>
          <w:bCs/>
          <w:i/>
          <w:iCs/>
        </w:rPr>
        <w:t>Yhteyshenkilö:</w:t>
      </w:r>
      <w:r w:rsidRPr="00B31A92">
        <w:rPr>
          <w:b/>
          <w:bCs/>
          <w:i/>
          <w:iCs/>
        </w:rPr>
        <w:tab/>
      </w:r>
      <w:r w:rsidRPr="00B31A92">
        <w:rPr>
          <w:i/>
          <w:iCs/>
        </w:rPr>
        <w:t>Fabien Porcher</w:t>
      </w:r>
    </w:p>
    <w:p w14:paraId="1B61F26D" w14:textId="418EA604" w:rsidR="00077147" w:rsidRPr="00B31A92" w:rsidRDefault="00077147" w:rsidP="00077147">
      <w:pPr>
        <w:tabs>
          <w:tab w:val="left" w:pos="0"/>
          <w:tab w:val="left" w:pos="770"/>
        </w:tabs>
        <w:rPr>
          <w:rStyle w:val="normal--char"/>
          <w:i/>
          <w:iCs/>
        </w:rPr>
      </w:pPr>
      <w:r w:rsidRPr="00B31A92">
        <w:rPr>
          <w:i/>
          <w:iCs/>
        </w:rPr>
        <w:tab/>
      </w:r>
      <w:r w:rsidRPr="00B31A92">
        <w:rPr>
          <w:i/>
          <w:iCs/>
        </w:rPr>
        <w:tab/>
      </w:r>
      <w:r w:rsidR="002E19C5" w:rsidRPr="00B31A92">
        <w:rPr>
          <w:i/>
          <w:iCs/>
        </w:rPr>
        <w:tab/>
      </w:r>
      <w:r w:rsidRPr="00B31A92">
        <w:rPr>
          <w:i/>
          <w:iCs/>
        </w:rPr>
        <w:t>(P. +32 25469098 – sähköposti:</w:t>
      </w:r>
      <w:r w:rsidRPr="00B31A92">
        <w:t xml:space="preserve"> </w:t>
      </w:r>
      <w:hyperlink r:id="rId38" w:history="1">
        <w:r w:rsidRPr="00B31A92">
          <w:rPr>
            <w:rStyle w:val="Hyperlink"/>
            <w:i/>
            <w:iCs/>
          </w:rPr>
          <w:t>fabien.porcher@eesc.europa.eu</w:t>
        </w:r>
      </w:hyperlink>
      <w:r w:rsidRPr="00B31A92">
        <w:rPr>
          <w:rStyle w:val="normal--char"/>
          <w:i/>
          <w:iCs/>
        </w:rPr>
        <w:t>)</w:t>
      </w:r>
    </w:p>
    <w:p w14:paraId="56631453" w14:textId="77777777" w:rsidR="00D05BB8" w:rsidRPr="00B31A92" w:rsidRDefault="00D05BB8" w:rsidP="00673BA2">
      <w:pPr>
        <w:rPr>
          <w:i/>
          <w:iCs/>
          <w:sz w:val="18"/>
          <w:szCs w:val="18"/>
        </w:rPr>
      </w:pPr>
    </w:p>
    <w:p w14:paraId="71791064" w14:textId="77777777" w:rsidR="00C169F8" w:rsidRPr="00B31A92" w:rsidRDefault="00C169F8" w:rsidP="00673BA2">
      <w:pPr>
        <w:rPr>
          <w:i/>
          <w:iCs/>
          <w:sz w:val="18"/>
          <w:szCs w:val="18"/>
        </w:rPr>
      </w:pPr>
    </w:p>
    <w:p w14:paraId="56631454" w14:textId="7948B3E8" w:rsidR="009F7736" w:rsidRPr="00B31A92" w:rsidRDefault="00B363B6" w:rsidP="00B363B6">
      <w:pPr>
        <w:keepNext/>
        <w:numPr>
          <w:ilvl w:val="0"/>
          <w:numId w:val="153"/>
        </w:numPr>
        <w:overflowPunct w:val="0"/>
        <w:autoSpaceDE w:val="0"/>
        <w:autoSpaceDN w:val="0"/>
        <w:adjustRightInd w:val="0"/>
        <w:ind w:left="567" w:hanging="567"/>
        <w:rPr>
          <w:b/>
          <w:i/>
          <w:sz w:val="28"/>
        </w:rPr>
      </w:pPr>
      <w:r w:rsidRPr="00B31A92">
        <w:rPr>
          <w:b/>
          <w:i/>
          <w:sz w:val="28"/>
        </w:rPr>
        <w:t>Innovatiivisten yritysten ja kasvuyritysten edistäminen</w:t>
      </w:r>
    </w:p>
    <w:p w14:paraId="56631455" w14:textId="77777777" w:rsidR="009F7736" w:rsidRPr="00B31A92" w:rsidRDefault="009F7736" w:rsidP="00673BA2">
      <w:pPr>
        <w:keepNext/>
        <w:rPr>
          <w:bCs/>
          <w:sz w:val="18"/>
          <w:szCs w:val="18"/>
        </w:rPr>
      </w:pPr>
    </w:p>
    <w:p w14:paraId="56631456" w14:textId="160D7652" w:rsidR="009F7736" w:rsidRPr="00B31A92" w:rsidRDefault="009F7736" w:rsidP="00673BA2">
      <w:pPr>
        <w:keepNext/>
        <w:ind w:left="1701" w:hanging="1701"/>
        <w:rPr>
          <w:bCs/>
        </w:rPr>
      </w:pPr>
      <w:r w:rsidRPr="00B31A92">
        <w:rPr>
          <w:b/>
        </w:rPr>
        <w:t>Esittelijä:</w:t>
      </w:r>
      <w:r w:rsidRPr="00B31A92">
        <w:tab/>
      </w:r>
      <w:r w:rsidR="003D53DE" w:rsidRPr="00B31A92">
        <w:tab/>
      </w:r>
      <w:r w:rsidR="00F3249C" w:rsidRPr="00B31A92">
        <w:t>Antonio GARCÌA DEL RIEGO (työnantajat – ES</w:t>
      </w:r>
      <w:r w:rsidRPr="00B31A92">
        <w:t>)</w:t>
      </w:r>
    </w:p>
    <w:p w14:paraId="56631457" w14:textId="77777777" w:rsidR="001B28BC" w:rsidRPr="00B31A92" w:rsidRDefault="001B28BC" w:rsidP="00673BA2">
      <w:pPr>
        <w:keepNext/>
        <w:tabs>
          <w:tab w:val="num" w:pos="550"/>
        </w:tabs>
        <w:ind w:left="1701" w:hanging="1701"/>
        <w:rPr>
          <w:b/>
          <w:sz w:val="18"/>
          <w:szCs w:val="18"/>
        </w:rPr>
      </w:pPr>
    </w:p>
    <w:p w14:paraId="56631458" w14:textId="1D80D86C" w:rsidR="009F7736" w:rsidRPr="00B31A92" w:rsidRDefault="009F7736" w:rsidP="00673BA2">
      <w:pPr>
        <w:keepNext/>
        <w:tabs>
          <w:tab w:val="num" w:pos="550"/>
        </w:tabs>
        <w:ind w:left="1701" w:hanging="1701"/>
        <w:rPr>
          <w:bCs/>
        </w:rPr>
      </w:pPr>
      <w:r w:rsidRPr="00B31A92">
        <w:rPr>
          <w:b/>
        </w:rPr>
        <w:t>Viiteasiakirja:</w:t>
      </w:r>
      <w:r w:rsidRPr="00B31A92">
        <w:tab/>
      </w:r>
      <w:r w:rsidR="003D53DE" w:rsidRPr="00B31A92">
        <w:tab/>
      </w:r>
      <w:r w:rsidR="00F3249C" w:rsidRPr="00B31A92">
        <w:t>EESC-2016-00899-00-00-AC-TRA</w:t>
      </w:r>
    </w:p>
    <w:p w14:paraId="56631459" w14:textId="77777777" w:rsidR="009F7736" w:rsidRPr="00B31A92" w:rsidRDefault="009F7736" w:rsidP="00673BA2">
      <w:pPr>
        <w:keepNext/>
        <w:rPr>
          <w:sz w:val="18"/>
          <w:szCs w:val="18"/>
        </w:rPr>
      </w:pPr>
    </w:p>
    <w:p w14:paraId="5663145A" w14:textId="77777777" w:rsidR="009F7736" w:rsidRPr="00B31A92" w:rsidRDefault="009F7736" w:rsidP="00673BA2">
      <w:pPr>
        <w:keepNext/>
        <w:rPr>
          <w:b/>
        </w:rPr>
      </w:pPr>
      <w:r w:rsidRPr="00B31A92">
        <w:rPr>
          <w:b/>
        </w:rPr>
        <w:t>Keskeiset kohdat:</w:t>
      </w:r>
    </w:p>
    <w:p w14:paraId="5663145B" w14:textId="77777777" w:rsidR="007149F9" w:rsidRPr="00B31A92" w:rsidRDefault="007149F9" w:rsidP="00673BA2">
      <w:pPr>
        <w:keepNext/>
        <w:rPr>
          <w:sz w:val="18"/>
          <w:szCs w:val="18"/>
        </w:rPr>
      </w:pPr>
    </w:p>
    <w:p w14:paraId="4F3230B7" w14:textId="77777777" w:rsidR="002577EA" w:rsidRPr="00B31A92" w:rsidRDefault="002577EA" w:rsidP="002577EA">
      <w:r w:rsidRPr="00B31A92">
        <w:t>ETSK</w:t>
      </w:r>
    </w:p>
    <w:p w14:paraId="00F30293" w14:textId="77777777" w:rsidR="002577EA" w:rsidRPr="00B31A92" w:rsidRDefault="002577EA" w:rsidP="002577EA">
      <w:pPr>
        <w:rPr>
          <w:sz w:val="18"/>
          <w:szCs w:val="18"/>
        </w:rPr>
      </w:pPr>
    </w:p>
    <w:p w14:paraId="3B77869B" w14:textId="77777777" w:rsidR="0088364E" w:rsidRPr="00B31A92" w:rsidRDefault="002577EA" w:rsidP="00246610">
      <w:pPr>
        <w:pStyle w:val="ListParagraph"/>
        <w:numPr>
          <w:ilvl w:val="0"/>
          <w:numId w:val="177"/>
        </w:numPr>
        <w:tabs>
          <w:tab w:val="clear" w:pos="0"/>
        </w:tabs>
        <w:ind w:left="284"/>
      </w:pPr>
      <w:r w:rsidRPr="00B31A92">
        <w:t>kannustaa komissiota jatkamaan toimintapoliittisten ehdotusten laatimista innovatiivisten yritysten ja kasvuyritysten perustamisen edistämiseksi</w:t>
      </w:r>
    </w:p>
    <w:p w14:paraId="52155554" w14:textId="77777777" w:rsidR="00246610" w:rsidRPr="00B31A92" w:rsidRDefault="00246610" w:rsidP="0046340B">
      <w:pPr>
        <w:keepNext/>
        <w:rPr>
          <w:szCs w:val="20"/>
        </w:rPr>
      </w:pPr>
    </w:p>
    <w:p w14:paraId="13B73BBE" w14:textId="77777777" w:rsidR="00246610" w:rsidRPr="00B31A92" w:rsidRDefault="002577EA" w:rsidP="00246610">
      <w:pPr>
        <w:pStyle w:val="ListParagraph"/>
        <w:numPr>
          <w:ilvl w:val="0"/>
          <w:numId w:val="177"/>
        </w:numPr>
        <w:tabs>
          <w:tab w:val="clear" w:pos="0"/>
        </w:tabs>
        <w:ind w:left="284"/>
      </w:pPr>
      <w:r w:rsidRPr="00B31A92">
        <w:t>suosittaa, että aloitteiden toteuttamisesta, johtamisesta ja koordinoinnista vastaisi yksi hallintoyksikkö, jonka tehtävänä olisi arvioida ja seurata eri pääosastojen innovaatiopolitiikkaa ja saada aikaan synergiaa niiden välille.</w:t>
      </w:r>
    </w:p>
    <w:p w14:paraId="17775208" w14:textId="77777777" w:rsidR="00246610" w:rsidRPr="00B31A92" w:rsidRDefault="00246610" w:rsidP="0046340B">
      <w:pPr>
        <w:keepNext/>
        <w:rPr>
          <w:szCs w:val="20"/>
        </w:rPr>
      </w:pPr>
    </w:p>
    <w:p w14:paraId="31E15446" w14:textId="77777777" w:rsidR="00246610" w:rsidRPr="00B31A92" w:rsidRDefault="00246610" w:rsidP="00246610">
      <w:pPr>
        <w:pStyle w:val="ListParagraph"/>
        <w:numPr>
          <w:ilvl w:val="0"/>
          <w:numId w:val="177"/>
        </w:numPr>
        <w:tabs>
          <w:tab w:val="clear" w:pos="0"/>
        </w:tabs>
        <w:ind w:left="284"/>
      </w:pPr>
      <w:r w:rsidRPr="00B31A92">
        <w:t>vaatii, että t</w:t>
      </w:r>
      <w:r w:rsidR="002577EA" w:rsidRPr="00B31A92">
        <w:t>oimintapoliittisilla ehdotuksilla</w:t>
      </w:r>
    </w:p>
    <w:p w14:paraId="6BF82DAA" w14:textId="77777777" w:rsidR="00246610" w:rsidRPr="00B31A92" w:rsidRDefault="002577EA" w:rsidP="00246610">
      <w:pPr>
        <w:pStyle w:val="ListParagraph"/>
        <w:numPr>
          <w:ilvl w:val="0"/>
          <w:numId w:val="180"/>
        </w:numPr>
        <w:tabs>
          <w:tab w:val="clear" w:pos="0"/>
        </w:tabs>
        <w:overflowPunct w:val="0"/>
        <w:autoSpaceDE w:val="0"/>
        <w:autoSpaceDN w:val="0"/>
        <w:adjustRightInd w:val="0"/>
        <w:ind w:left="850"/>
        <w:textAlignment w:val="baseline"/>
      </w:pPr>
      <w:r w:rsidRPr="00B31A92">
        <w:t>lujit</w:t>
      </w:r>
      <w:r w:rsidR="00246610" w:rsidRPr="00B31A92">
        <w:t>e</w:t>
      </w:r>
      <w:r w:rsidRPr="00B31A92">
        <w:t>taa</w:t>
      </w:r>
      <w:r w:rsidR="00246610" w:rsidRPr="00B31A92">
        <w:t>n</w:t>
      </w:r>
      <w:r w:rsidRPr="00B31A92">
        <w:t xml:space="preserve"> sisämarkkinoita</w:t>
      </w:r>
    </w:p>
    <w:p w14:paraId="3EF8EEC3" w14:textId="77777777" w:rsidR="00246610" w:rsidRPr="00B31A92" w:rsidRDefault="002577EA" w:rsidP="00246610">
      <w:pPr>
        <w:pStyle w:val="ListParagraph"/>
        <w:numPr>
          <w:ilvl w:val="0"/>
          <w:numId w:val="180"/>
        </w:numPr>
        <w:tabs>
          <w:tab w:val="clear" w:pos="0"/>
        </w:tabs>
        <w:overflowPunct w:val="0"/>
        <w:autoSpaceDE w:val="0"/>
        <w:autoSpaceDN w:val="0"/>
        <w:adjustRightInd w:val="0"/>
        <w:ind w:left="850"/>
        <w:textAlignment w:val="baseline"/>
      </w:pPr>
      <w:r w:rsidRPr="00B31A92">
        <w:t>vahvist</w:t>
      </w:r>
      <w:r w:rsidR="00246610" w:rsidRPr="00B31A92">
        <w:t>et</w:t>
      </w:r>
      <w:r w:rsidRPr="00B31A92">
        <w:t>aa</w:t>
      </w:r>
      <w:r w:rsidR="00246610" w:rsidRPr="00B31A92">
        <w:t>n</w:t>
      </w:r>
      <w:r w:rsidRPr="00B31A92">
        <w:t xml:space="preserve"> klustereita ja ekosysteemejä, joissa syntyy innovatiivisia startup-yrityksiä</w:t>
      </w:r>
    </w:p>
    <w:p w14:paraId="215F461B" w14:textId="77777777" w:rsidR="00246610" w:rsidRPr="00B31A92" w:rsidRDefault="002577EA" w:rsidP="00C169F8">
      <w:pPr>
        <w:pStyle w:val="ListParagraph"/>
        <w:keepLines/>
        <w:numPr>
          <w:ilvl w:val="0"/>
          <w:numId w:val="180"/>
        </w:numPr>
        <w:tabs>
          <w:tab w:val="clear" w:pos="0"/>
        </w:tabs>
        <w:overflowPunct w:val="0"/>
        <w:autoSpaceDE w:val="0"/>
        <w:autoSpaceDN w:val="0"/>
        <w:adjustRightInd w:val="0"/>
        <w:ind w:left="851" w:hanging="284"/>
        <w:textAlignment w:val="baseline"/>
      </w:pPr>
      <w:r w:rsidRPr="00B31A92">
        <w:t>kehit</w:t>
      </w:r>
      <w:r w:rsidR="00246610" w:rsidRPr="00B31A92">
        <w:t>e</w:t>
      </w:r>
      <w:r w:rsidRPr="00B31A92">
        <w:t>tää</w:t>
      </w:r>
      <w:r w:rsidR="00246610" w:rsidRPr="00B31A92">
        <w:t>n</w:t>
      </w:r>
      <w:r w:rsidRPr="00B31A92">
        <w:t xml:space="preserve"> oman pääoman komponenttia Euroopan pääomamarkkinoilla</w:t>
      </w:r>
    </w:p>
    <w:p w14:paraId="2DB335DD" w14:textId="77777777" w:rsidR="00246610" w:rsidRPr="00B31A92" w:rsidRDefault="002577EA" w:rsidP="00C169F8">
      <w:pPr>
        <w:pStyle w:val="ListParagraph"/>
        <w:keepLines/>
        <w:numPr>
          <w:ilvl w:val="0"/>
          <w:numId w:val="180"/>
        </w:numPr>
        <w:tabs>
          <w:tab w:val="clear" w:pos="0"/>
        </w:tabs>
        <w:overflowPunct w:val="0"/>
        <w:autoSpaceDE w:val="0"/>
        <w:autoSpaceDN w:val="0"/>
        <w:adjustRightInd w:val="0"/>
        <w:ind w:left="851" w:hanging="284"/>
        <w:textAlignment w:val="baseline"/>
      </w:pPr>
      <w:r w:rsidRPr="00B31A92">
        <w:t>kannust</w:t>
      </w:r>
      <w:r w:rsidR="00246610" w:rsidRPr="00B31A92">
        <w:t>et</w:t>
      </w:r>
      <w:r w:rsidRPr="00B31A92">
        <w:t>aa</w:t>
      </w:r>
      <w:r w:rsidR="00246610" w:rsidRPr="00B31A92">
        <w:t>n</w:t>
      </w:r>
      <w:r w:rsidRPr="00B31A92">
        <w:t xml:space="preserve"> tiedemaailmaa keskittymään tulevaisuuden työpaikkoihin</w:t>
      </w:r>
    </w:p>
    <w:p w14:paraId="45EB8568" w14:textId="01C6C064" w:rsidR="002577EA" w:rsidRPr="00B31A92" w:rsidRDefault="002577EA" w:rsidP="00C169F8">
      <w:pPr>
        <w:pStyle w:val="ListParagraph"/>
        <w:keepLines/>
        <w:numPr>
          <w:ilvl w:val="0"/>
          <w:numId w:val="180"/>
        </w:numPr>
        <w:tabs>
          <w:tab w:val="clear" w:pos="0"/>
        </w:tabs>
        <w:overflowPunct w:val="0"/>
        <w:autoSpaceDE w:val="0"/>
        <w:autoSpaceDN w:val="0"/>
        <w:adjustRightInd w:val="0"/>
        <w:ind w:left="851" w:hanging="284"/>
        <w:textAlignment w:val="baseline"/>
      </w:pPr>
      <w:r w:rsidRPr="00B31A92">
        <w:t>minimoida</w:t>
      </w:r>
      <w:r w:rsidR="00246610" w:rsidRPr="00B31A92">
        <w:t>an</w:t>
      </w:r>
      <w:r w:rsidRPr="00B31A92">
        <w:t xml:space="preserve"> uuden yrityksen perustamiseen liittyvät kustannukset ja byrokratia. </w:t>
      </w:r>
    </w:p>
    <w:p w14:paraId="317969A1" w14:textId="77777777" w:rsidR="002577EA" w:rsidRPr="00B31A92" w:rsidRDefault="002577EA" w:rsidP="002577EA"/>
    <w:p w14:paraId="19D61B49" w14:textId="42EB25C9" w:rsidR="002577EA" w:rsidRPr="00B31A92" w:rsidRDefault="00246610" w:rsidP="00246610">
      <w:pPr>
        <w:pStyle w:val="ListParagraph"/>
        <w:numPr>
          <w:ilvl w:val="0"/>
          <w:numId w:val="177"/>
        </w:numPr>
        <w:tabs>
          <w:tab w:val="clear" w:pos="0"/>
        </w:tabs>
        <w:ind w:left="284"/>
      </w:pPr>
      <w:r w:rsidRPr="00B31A92">
        <w:lastRenderedPageBreak/>
        <w:t>toivoo, että k</w:t>
      </w:r>
      <w:r w:rsidR="002577EA" w:rsidRPr="00B31A92">
        <w:t xml:space="preserve">omissio jatkaa työtään pitkän aikavälin yhteensovittamishankkeiden, kuten kirjanpito- ja maksukyvyttömyyssääntöjen yhdenmukaistamisen, sekä ammatti- ja korkeakoulututkintojen automaattisen tunnustamisen, digitaalisia sisämarkkinoita koskevan strategian täytäntöönpanon vauhdittamisen ja pääomamarkkinaunionia koskevan aloitteen täysimääräisen täytäntöönpanon parissa. </w:t>
      </w:r>
    </w:p>
    <w:p w14:paraId="74E5D3BA" w14:textId="77777777" w:rsidR="002577EA" w:rsidRPr="00B31A92" w:rsidRDefault="002577EA" w:rsidP="00246610">
      <w:pPr>
        <w:pStyle w:val="ListParagraph"/>
        <w:ind w:left="284"/>
      </w:pPr>
    </w:p>
    <w:p w14:paraId="2FF88D4B" w14:textId="38838248" w:rsidR="002577EA" w:rsidRPr="00B31A92" w:rsidRDefault="00B13DDD" w:rsidP="00246610">
      <w:pPr>
        <w:pStyle w:val="ListParagraph"/>
        <w:numPr>
          <w:ilvl w:val="0"/>
          <w:numId w:val="177"/>
        </w:numPr>
        <w:tabs>
          <w:tab w:val="clear" w:pos="0"/>
        </w:tabs>
        <w:ind w:left="284"/>
      </w:pPr>
      <w:r w:rsidRPr="00B31A92">
        <w:t>toivoo, että k</w:t>
      </w:r>
      <w:r w:rsidR="002577EA" w:rsidRPr="00B31A92">
        <w:t>orkeakoulujen ja yritysmaailman välisten uudentyyppisten yhteistyömallien kehittämistä tehost</w:t>
      </w:r>
      <w:r w:rsidRPr="00B31A92">
        <w:t>et</w:t>
      </w:r>
      <w:r w:rsidR="002577EA" w:rsidRPr="00B31A92">
        <w:t>aa</w:t>
      </w:r>
      <w:r w:rsidRPr="00B31A92">
        <w:t>n</w:t>
      </w:r>
      <w:r w:rsidR="002577EA" w:rsidRPr="00B31A92">
        <w:t xml:space="preserve"> ja nopeut</w:t>
      </w:r>
      <w:r w:rsidRPr="00B31A92">
        <w:t>e</w:t>
      </w:r>
      <w:r w:rsidR="002577EA" w:rsidRPr="00B31A92">
        <w:t>taa</w:t>
      </w:r>
      <w:r w:rsidRPr="00B31A92">
        <w:t>n</w:t>
      </w:r>
      <w:r w:rsidR="002577EA" w:rsidRPr="00B31A92">
        <w:t xml:space="preserve"> kaikissa jäsenvaltioissa. </w:t>
      </w:r>
    </w:p>
    <w:p w14:paraId="611E88D2" w14:textId="77777777" w:rsidR="002577EA" w:rsidRPr="00B31A92" w:rsidRDefault="002577EA" w:rsidP="002577EA"/>
    <w:p w14:paraId="478FD848" w14:textId="6775E57B" w:rsidR="00126820" w:rsidRPr="00B31A92" w:rsidRDefault="00B13DDD" w:rsidP="00246610">
      <w:pPr>
        <w:pStyle w:val="ListParagraph"/>
        <w:numPr>
          <w:ilvl w:val="0"/>
          <w:numId w:val="177"/>
        </w:numPr>
        <w:tabs>
          <w:tab w:val="clear" w:pos="0"/>
        </w:tabs>
        <w:ind w:left="284"/>
      </w:pPr>
      <w:r w:rsidRPr="00B31A92">
        <w:t xml:space="preserve">pyytää </w:t>
      </w:r>
      <w:r w:rsidR="002577EA" w:rsidRPr="00B31A92">
        <w:t>Euroopan investointirahastoa (EIR) ja Euroopan investointipankkia (EIP) tukemaan innovatiivisia yrityksiä erityisellä riski- ja alkupääomalla, jolla helpotetaan teknologian siirtoa korkeako</w:t>
      </w:r>
      <w:r w:rsidR="00126820" w:rsidRPr="00B31A92">
        <w:t>uluista ja tutkimuskeskuksista.</w:t>
      </w:r>
    </w:p>
    <w:p w14:paraId="026C0B66" w14:textId="77777777" w:rsidR="00126820" w:rsidRPr="00B31A92" w:rsidRDefault="00126820" w:rsidP="00126820"/>
    <w:p w14:paraId="5663145E" w14:textId="16372525" w:rsidR="007149F9" w:rsidRPr="00B31A92" w:rsidRDefault="00B13DDD" w:rsidP="00246610">
      <w:pPr>
        <w:pStyle w:val="ListParagraph"/>
        <w:numPr>
          <w:ilvl w:val="0"/>
          <w:numId w:val="177"/>
        </w:numPr>
        <w:tabs>
          <w:tab w:val="clear" w:pos="0"/>
        </w:tabs>
        <w:ind w:left="284"/>
      </w:pPr>
      <w:r w:rsidRPr="00B31A92">
        <w:t>suosittaa, että</w:t>
      </w:r>
      <w:r w:rsidR="002577EA" w:rsidRPr="00B31A92">
        <w:t xml:space="preserve"> Euroopan strategisten investointien rahasto (ESIR) </w:t>
      </w:r>
      <w:r w:rsidRPr="00B31A92">
        <w:t>toimisi</w:t>
      </w:r>
      <w:r w:rsidR="002577EA" w:rsidRPr="00B31A92">
        <w:t xml:space="preserve"> mallina tuleville EU:n talousarvioille, joissa tulisi siirtyä perinteisestä apurahapohjaisesta hankkeiden rahoitusmallista tehokkaampaan sijoitusvetoiseen malliin, jossa hankkeille kerättäisiin rahoitusta "joukkorahoituksella".</w:t>
      </w:r>
    </w:p>
    <w:p w14:paraId="5663145F" w14:textId="77777777" w:rsidR="007149F9" w:rsidRPr="00B31A92" w:rsidRDefault="007149F9" w:rsidP="00673BA2"/>
    <w:p w14:paraId="42A4E3A4" w14:textId="77777777" w:rsidR="003D53DE" w:rsidRPr="00B31A92" w:rsidRDefault="003D53DE" w:rsidP="003D53DE">
      <w:pPr>
        <w:ind w:left="1134" w:hanging="1134"/>
      </w:pPr>
      <w:r w:rsidRPr="00B31A92">
        <w:rPr>
          <w:rStyle w:val="normal--char"/>
          <w:b/>
          <w:i/>
        </w:rPr>
        <w:t>Yhteyshenkilö:</w:t>
      </w:r>
      <w:r w:rsidRPr="00B31A92">
        <w:tab/>
      </w:r>
      <w:r w:rsidRPr="00B31A92">
        <w:rPr>
          <w:i/>
        </w:rPr>
        <w:t>Gerald Klec</w:t>
      </w:r>
    </w:p>
    <w:p w14:paraId="4ABDD67B" w14:textId="77777777" w:rsidR="003D53DE" w:rsidRPr="00B31A92" w:rsidRDefault="003D53DE" w:rsidP="003D53DE">
      <w:pPr>
        <w:ind w:left="1134" w:hanging="1134"/>
        <w:rPr>
          <w:i/>
        </w:rPr>
      </w:pPr>
      <w:r w:rsidRPr="00B31A92">
        <w:tab/>
      </w:r>
      <w:r w:rsidRPr="00B31A92">
        <w:tab/>
      </w:r>
      <w:r w:rsidRPr="00B31A92">
        <w:rPr>
          <w:i/>
        </w:rPr>
        <w:t xml:space="preserve">(P. +32 25469909 – sähköposti: </w:t>
      </w:r>
      <w:hyperlink r:id="rId39" w:history="1">
        <w:r w:rsidRPr="00B31A92">
          <w:rPr>
            <w:rStyle w:val="Hyperlink"/>
            <w:i/>
          </w:rPr>
          <w:t>gerald.klec@eesc.europa.eu</w:t>
        </w:r>
      </w:hyperlink>
      <w:r w:rsidRPr="00B31A92">
        <w:rPr>
          <w:i/>
        </w:rPr>
        <w:t>)</w:t>
      </w:r>
    </w:p>
    <w:p w14:paraId="56631463" w14:textId="77777777" w:rsidR="00673BA2" w:rsidRPr="00B31A92" w:rsidRDefault="00673BA2" w:rsidP="00673BA2">
      <w:pPr>
        <w:widowControl w:val="0"/>
      </w:pPr>
    </w:p>
    <w:p w14:paraId="338FBE49" w14:textId="77777777" w:rsidR="00C169F8" w:rsidRPr="00B31A92" w:rsidRDefault="00C169F8" w:rsidP="00673BA2">
      <w:pPr>
        <w:widowControl w:val="0"/>
      </w:pPr>
    </w:p>
    <w:p w14:paraId="56631464" w14:textId="37573026" w:rsidR="009F7736" w:rsidRPr="00B31A92" w:rsidRDefault="001F21F2" w:rsidP="00473B7F">
      <w:pPr>
        <w:keepNext/>
        <w:numPr>
          <w:ilvl w:val="0"/>
          <w:numId w:val="153"/>
        </w:numPr>
        <w:overflowPunct w:val="0"/>
        <w:autoSpaceDE w:val="0"/>
        <w:autoSpaceDN w:val="0"/>
        <w:adjustRightInd w:val="0"/>
        <w:ind w:left="567" w:hanging="567"/>
        <w:rPr>
          <w:b/>
          <w:i/>
          <w:sz w:val="28"/>
        </w:rPr>
      </w:pPr>
      <w:r w:rsidRPr="00B31A92">
        <w:rPr>
          <w:b/>
          <w:i/>
          <w:sz w:val="28"/>
        </w:rPr>
        <w:t>Asianmukaiset puitteet yritysten avoimuutta ajatellen</w:t>
      </w:r>
    </w:p>
    <w:p w14:paraId="56631465" w14:textId="77777777" w:rsidR="009F7736" w:rsidRPr="00B31A92" w:rsidRDefault="009F7736" w:rsidP="00673BA2">
      <w:pPr>
        <w:keepNext/>
        <w:rPr>
          <w:bCs/>
          <w:szCs w:val="20"/>
        </w:rPr>
      </w:pPr>
    </w:p>
    <w:p w14:paraId="56631466" w14:textId="6BB09BFC" w:rsidR="00F86641" w:rsidRPr="00B31A92" w:rsidRDefault="009F7736" w:rsidP="00673BA2">
      <w:pPr>
        <w:keepNext/>
        <w:ind w:left="1701" w:hanging="1701"/>
        <w:rPr>
          <w:bCs/>
        </w:rPr>
      </w:pPr>
      <w:r w:rsidRPr="00B31A92">
        <w:rPr>
          <w:b/>
        </w:rPr>
        <w:t>Esittelijä:</w:t>
      </w:r>
      <w:r w:rsidRPr="00B31A92">
        <w:tab/>
      </w:r>
      <w:r w:rsidR="003D53DE" w:rsidRPr="00B31A92">
        <w:tab/>
        <w:t>Vladimíra DRBALOVÁ (työnantajat – CZ</w:t>
      </w:r>
      <w:r w:rsidRPr="00B31A92">
        <w:t>)</w:t>
      </w:r>
    </w:p>
    <w:p w14:paraId="56631467" w14:textId="77777777" w:rsidR="009F7736" w:rsidRPr="00B31A92" w:rsidRDefault="009F7736" w:rsidP="00673BA2">
      <w:pPr>
        <w:keepNext/>
        <w:ind w:left="1701" w:hanging="1701"/>
        <w:rPr>
          <w:bCs/>
        </w:rPr>
      </w:pPr>
    </w:p>
    <w:p w14:paraId="56631469" w14:textId="23B2292B" w:rsidR="009F7736" w:rsidRPr="00B31A92" w:rsidRDefault="009F7736" w:rsidP="003D53DE">
      <w:pPr>
        <w:keepNext/>
        <w:tabs>
          <w:tab w:val="num" w:pos="550"/>
        </w:tabs>
        <w:ind w:left="1701" w:hanging="1701"/>
        <w:rPr>
          <w:bCs/>
        </w:rPr>
      </w:pPr>
      <w:r w:rsidRPr="00B31A92">
        <w:rPr>
          <w:b/>
        </w:rPr>
        <w:t>Viiteasiakirja:</w:t>
      </w:r>
      <w:r w:rsidRPr="00B31A92">
        <w:t xml:space="preserve"> </w:t>
      </w:r>
      <w:r w:rsidRPr="00B31A92">
        <w:tab/>
      </w:r>
      <w:r w:rsidR="003D53DE" w:rsidRPr="00B31A92">
        <w:tab/>
        <w:t>EESC-2016-00828-00-00-AC-TRA</w:t>
      </w:r>
    </w:p>
    <w:p w14:paraId="5663146A" w14:textId="77777777" w:rsidR="009F7736" w:rsidRPr="00B31A92" w:rsidRDefault="009F7736" w:rsidP="00673BA2">
      <w:pPr>
        <w:keepNext/>
        <w:rPr>
          <w:szCs w:val="20"/>
        </w:rPr>
      </w:pPr>
    </w:p>
    <w:p w14:paraId="5663146B" w14:textId="77777777" w:rsidR="009F7736" w:rsidRPr="00B31A92" w:rsidRDefault="009F7736" w:rsidP="00673BA2">
      <w:pPr>
        <w:keepNext/>
        <w:rPr>
          <w:b/>
        </w:rPr>
      </w:pPr>
      <w:r w:rsidRPr="00B31A92">
        <w:rPr>
          <w:b/>
        </w:rPr>
        <w:t>Keskeiset kohdat:</w:t>
      </w:r>
    </w:p>
    <w:p w14:paraId="5663146C" w14:textId="77777777" w:rsidR="00516F22" w:rsidRPr="00B31A92" w:rsidRDefault="00516F22" w:rsidP="00673BA2">
      <w:pPr>
        <w:keepNext/>
      </w:pPr>
    </w:p>
    <w:p w14:paraId="030698F6" w14:textId="77777777" w:rsidR="00261933" w:rsidRPr="00B31A92" w:rsidRDefault="00473B7F" w:rsidP="00473B7F">
      <w:r w:rsidRPr="00B31A92">
        <w:t>Komitea</w:t>
      </w:r>
    </w:p>
    <w:p w14:paraId="7C55F642" w14:textId="77777777" w:rsidR="00261933" w:rsidRPr="00B31A92" w:rsidRDefault="00261933" w:rsidP="00473B7F"/>
    <w:p w14:paraId="4F2E2CD9" w14:textId="78E77150" w:rsidR="00473B7F" w:rsidRPr="00B31A92" w:rsidRDefault="00473B7F" w:rsidP="00A02395">
      <w:pPr>
        <w:pStyle w:val="ListParagraph"/>
        <w:numPr>
          <w:ilvl w:val="0"/>
          <w:numId w:val="177"/>
        </w:numPr>
        <w:tabs>
          <w:tab w:val="clear" w:pos="0"/>
        </w:tabs>
        <w:ind w:left="284"/>
      </w:pPr>
      <w:r w:rsidRPr="00B31A92">
        <w:t xml:space="preserve">pitää </w:t>
      </w:r>
      <w:r w:rsidR="00261933" w:rsidRPr="00B31A92">
        <w:t xml:space="preserve">avoimuutta oleellisena, sillä se </w:t>
      </w:r>
      <w:r w:rsidRPr="00B31A92">
        <w:t>on tärkeää kaikkien sidosryhmien ja myös itse yritysten kannalta niiden imagon parantamiseksi sekä työntekijöiden, kuluttajien ja sijoittaji</w:t>
      </w:r>
      <w:r w:rsidR="00261933" w:rsidRPr="00B31A92">
        <w:t>en luottamuksen lujittamiseksi.</w:t>
      </w:r>
    </w:p>
    <w:p w14:paraId="6BF305FF" w14:textId="03A4F478" w:rsidR="00473B7F" w:rsidRPr="00B31A92" w:rsidRDefault="00473B7F" w:rsidP="00A02395">
      <w:pPr>
        <w:pStyle w:val="ListParagraph"/>
        <w:numPr>
          <w:ilvl w:val="0"/>
          <w:numId w:val="177"/>
        </w:numPr>
        <w:tabs>
          <w:tab w:val="clear" w:pos="0"/>
        </w:tabs>
        <w:ind w:left="284"/>
      </w:pPr>
      <w:r w:rsidRPr="00B31A92">
        <w:t>toteaa, että suurin osa EU:ssa toimivista yrityksistä noudattaa avoimuutta</w:t>
      </w:r>
      <w:r w:rsidR="00261933" w:rsidRPr="00B31A92">
        <w:t xml:space="preserve"> ja että </w:t>
      </w:r>
      <w:r w:rsidR="00A02395" w:rsidRPr="00B31A92">
        <w:t>sijoittajat ja osakkeenomistajat kiinnittävät yhä enemmän huomiota yhteiskuntavastuuta koskeviin laatuindikaattoreihin</w:t>
      </w:r>
      <w:r w:rsidRPr="00B31A92">
        <w:t xml:space="preserve">. </w:t>
      </w:r>
    </w:p>
    <w:p w14:paraId="7B97348E" w14:textId="77777777" w:rsidR="00261933" w:rsidRPr="00B31A92" w:rsidRDefault="00473B7F" w:rsidP="00A02395">
      <w:pPr>
        <w:pStyle w:val="ListParagraph"/>
        <w:numPr>
          <w:ilvl w:val="0"/>
          <w:numId w:val="177"/>
        </w:numPr>
        <w:tabs>
          <w:tab w:val="clear" w:pos="0"/>
        </w:tabs>
        <w:ind w:left="284"/>
      </w:pPr>
      <w:r w:rsidRPr="00B31A92">
        <w:t>katsoo, että huomiota tulee kiinnittää samanaikaisesti sekä annettavien tietojen tarkoituksenmukaisuuteen ja laajuuteen että niiden laatuun ja todenmukaisuuteen.</w:t>
      </w:r>
    </w:p>
    <w:p w14:paraId="3E15CCD3" w14:textId="6F224E49" w:rsidR="00473B7F" w:rsidRPr="00B31A92" w:rsidRDefault="00A02395" w:rsidP="00A02395">
      <w:pPr>
        <w:pStyle w:val="ListParagraph"/>
        <w:numPr>
          <w:ilvl w:val="0"/>
          <w:numId w:val="177"/>
        </w:numPr>
        <w:tabs>
          <w:tab w:val="clear" w:pos="0"/>
        </w:tabs>
        <w:ind w:left="284"/>
      </w:pPr>
      <w:r w:rsidRPr="00B31A92">
        <w:t>ymmärtää yleisesti ottaen</w:t>
      </w:r>
      <w:r w:rsidR="00473B7F" w:rsidRPr="00B31A92">
        <w:t>, että pienet ja keskisuuret yritykset toimivat vaihtelevissa olosuhteissa</w:t>
      </w:r>
      <w:r w:rsidRPr="00B31A92">
        <w:t>, ja katsoo, että n</w:t>
      </w:r>
      <w:r w:rsidR="00473B7F" w:rsidRPr="00B31A92">
        <w:t>iitä koskevia sääntöj</w:t>
      </w:r>
      <w:r w:rsidRPr="00B31A92">
        <w:t>ä olisikin yksinkertaistettava.</w:t>
      </w:r>
    </w:p>
    <w:p w14:paraId="3642F976" w14:textId="122231F8" w:rsidR="00261933" w:rsidRPr="00B31A92" w:rsidRDefault="00473B7F" w:rsidP="00A02395">
      <w:pPr>
        <w:pStyle w:val="ListParagraph"/>
        <w:numPr>
          <w:ilvl w:val="0"/>
          <w:numId w:val="177"/>
        </w:numPr>
        <w:tabs>
          <w:tab w:val="clear" w:pos="0"/>
        </w:tabs>
        <w:ind w:left="284"/>
      </w:pPr>
      <w:r w:rsidRPr="00B31A92">
        <w:t>katsoo, että tietojen julkistamista koskevien mahdollisten uusien aloitteiden tulisi sisältyä yhteinen indikaattorijoukko, mutta samanaikaisesti olisi otettava huomioon yri</w:t>
      </w:r>
      <w:r w:rsidR="00261933" w:rsidRPr="00B31A92">
        <w:t>tyksen ja sen toimialan luonne.</w:t>
      </w:r>
    </w:p>
    <w:p w14:paraId="56631473" w14:textId="69F48CE1" w:rsidR="00516F22" w:rsidRPr="00B31A92" w:rsidRDefault="00473B7F" w:rsidP="00A02395">
      <w:pPr>
        <w:pStyle w:val="ListParagraph"/>
        <w:numPr>
          <w:ilvl w:val="0"/>
          <w:numId w:val="177"/>
        </w:numPr>
        <w:tabs>
          <w:tab w:val="clear" w:pos="0"/>
        </w:tabs>
        <w:ind w:left="284"/>
      </w:pPr>
      <w:r w:rsidRPr="00B31A92">
        <w:lastRenderedPageBreak/>
        <w:t xml:space="preserve">korostaa, että </w:t>
      </w:r>
      <w:r w:rsidR="00A02395" w:rsidRPr="00B31A92">
        <w:t xml:space="preserve">työntekijät olisi kutsuttava mukaan työmarkkinaosapuolten välisiin kuulemisiin </w:t>
      </w:r>
      <w:r w:rsidRPr="00B31A92">
        <w:t>yritysten yhteiskunta</w:t>
      </w:r>
      <w:r w:rsidR="00A02395" w:rsidRPr="00B31A92">
        <w:t>vastuu- ja avoimuuspolitiikoista</w:t>
      </w:r>
      <w:r w:rsidRPr="00B31A92">
        <w:t>.</w:t>
      </w:r>
    </w:p>
    <w:p w14:paraId="56631474" w14:textId="77777777" w:rsidR="00516F22" w:rsidRPr="00B31A92" w:rsidRDefault="00516F22" w:rsidP="00673BA2"/>
    <w:p w14:paraId="6C1650DA" w14:textId="1883B874" w:rsidR="00A64309" w:rsidRPr="00B31A92" w:rsidRDefault="00A64309" w:rsidP="00A64309">
      <w:pPr>
        <w:tabs>
          <w:tab w:val="left" w:pos="770"/>
        </w:tabs>
        <w:ind w:left="1560" w:hanging="1560"/>
        <w:rPr>
          <w:rStyle w:val="normal--char"/>
          <w:i/>
          <w:iCs/>
        </w:rPr>
      </w:pPr>
      <w:r w:rsidRPr="00B31A92">
        <w:rPr>
          <w:rStyle w:val="normal--char"/>
          <w:b/>
          <w:i/>
        </w:rPr>
        <w:t>Yhteyshenkilö:</w:t>
      </w:r>
      <w:r w:rsidRPr="00B31A92">
        <w:tab/>
      </w:r>
      <w:r w:rsidR="002E19C5" w:rsidRPr="00B31A92">
        <w:tab/>
      </w:r>
      <w:r w:rsidRPr="00B31A92">
        <w:rPr>
          <w:bCs/>
          <w:i/>
          <w:iCs/>
        </w:rPr>
        <w:t>Krisztina Perlaky-Tóth</w:t>
      </w:r>
    </w:p>
    <w:p w14:paraId="2F28A18C" w14:textId="77777777" w:rsidR="00A64309" w:rsidRPr="00B31A92" w:rsidRDefault="00A64309" w:rsidP="00A64309">
      <w:pPr>
        <w:overflowPunct w:val="0"/>
        <w:autoSpaceDE w:val="0"/>
        <w:autoSpaceDN w:val="0"/>
        <w:adjustRightInd w:val="0"/>
        <w:ind w:left="1134" w:hanging="1134"/>
        <w:rPr>
          <w:i/>
          <w:iCs/>
        </w:rPr>
      </w:pPr>
      <w:r w:rsidRPr="00B31A92">
        <w:rPr>
          <w:rStyle w:val="normal--char"/>
          <w:i/>
        </w:rPr>
        <w:tab/>
      </w:r>
      <w:r w:rsidRPr="00B31A92">
        <w:rPr>
          <w:rStyle w:val="normal--char"/>
          <w:i/>
        </w:rPr>
        <w:tab/>
        <w:t>(P. +32 25469740 – sähköposti:</w:t>
      </w:r>
      <w:r w:rsidRPr="00B31A92">
        <w:t xml:space="preserve"> </w:t>
      </w:r>
      <w:hyperlink r:id="rId40" w:history="1">
        <w:r w:rsidRPr="00B31A92">
          <w:rPr>
            <w:rStyle w:val="Hyperlink"/>
            <w:i/>
          </w:rPr>
          <w:t>krisztina.perlakytoth@eesc.europa.eu</w:t>
        </w:r>
      </w:hyperlink>
      <w:r w:rsidRPr="00B31A92">
        <w:rPr>
          <w:rStyle w:val="normal--char"/>
          <w:i/>
        </w:rPr>
        <w:t>)</w:t>
      </w:r>
    </w:p>
    <w:p w14:paraId="56631478" w14:textId="77777777" w:rsidR="00673BA2" w:rsidRPr="00B31A92" w:rsidRDefault="00673BA2" w:rsidP="00673BA2"/>
    <w:p w14:paraId="2C83BD2E" w14:textId="77777777" w:rsidR="00C169F8" w:rsidRPr="00B31A92" w:rsidRDefault="00C169F8" w:rsidP="00673BA2"/>
    <w:p w14:paraId="56631479" w14:textId="53EB2849" w:rsidR="009F7736" w:rsidRPr="00B31A92" w:rsidRDefault="0005730B" w:rsidP="0005730B">
      <w:pPr>
        <w:keepNext/>
        <w:numPr>
          <w:ilvl w:val="0"/>
          <w:numId w:val="153"/>
        </w:numPr>
        <w:overflowPunct w:val="0"/>
        <w:autoSpaceDE w:val="0"/>
        <w:autoSpaceDN w:val="0"/>
        <w:adjustRightInd w:val="0"/>
        <w:ind w:left="567" w:hanging="567"/>
        <w:rPr>
          <w:b/>
          <w:i/>
          <w:sz w:val="28"/>
        </w:rPr>
      </w:pPr>
      <w:r w:rsidRPr="00B31A92">
        <w:rPr>
          <w:b/>
          <w:i/>
          <w:sz w:val="28"/>
        </w:rPr>
        <w:t>Toiminnallinen talous</w:t>
      </w:r>
    </w:p>
    <w:p w14:paraId="5663147A" w14:textId="77777777" w:rsidR="009F7736" w:rsidRPr="00B31A92" w:rsidRDefault="009F7736" w:rsidP="00673BA2">
      <w:pPr>
        <w:keepNext/>
        <w:rPr>
          <w:bCs/>
          <w:szCs w:val="20"/>
        </w:rPr>
      </w:pPr>
    </w:p>
    <w:p w14:paraId="5663147B" w14:textId="1F28804A" w:rsidR="009F7736" w:rsidRPr="00B31A92" w:rsidRDefault="009F7736" w:rsidP="00673BA2">
      <w:pPr>
        <w:keepNext/>
        <w:ind w:left="1701" w:hanging="1701"/>
        <w:rPr>
          <w:bCs/>
        </w:rPr>
      </w:pPr>
      <w:r w:rsidRPr="00B31A92">
        <w:rPr>
          <w:b/>
        </w:rPr>
        <w:t>Esittelijä:</w:t>
      </w:r>
      <w:r w:rsidRPr="00B31A92">
        <w:tab/>
      </w:r>
      <w:r w:rsidR="00C45672" w:rsidRPr="00B31A92">
        <w:tab/>
      </w:r>
      <w:r w:rsidR="00A64309" w:rsidRPr="00B31A92">
        <w:t xml:space="preserve">Thierry LIBAERT </w:t>
      </w:r>
      <w:r w:rsidRPr="00B31A92">
        <w:t>(</w:t>
      </w:r>
      <w:r w:rsidR="00A64309" w:rsidRPr="00B31A92">
        <w:t>muut eturyhmät – FR</w:t>
      </w:r>
      <w:r w:rsidRPr="00B31A92">
        <w:t>)</w:t>
      </w:r>
    </w:p>
    <w:p w14:paraId="5663147C" w14:textId="54D8E07A" w:rsidR="00F86641" w:rsidRPr="00B31A92" w:rsidRDefault="00C45672" w:rsidP="00673BA2">
      <w:pPr>
        <w:keepNext/>
        <w:ind w:left="1701" w:hanging="1701"/>
        <w:rPr>
          <w:bCs/>
        </w:rPr>
      </w:pPr>
      <w:r w:rsidRPr="00B31A92">
        <w:rPr>
          <w:bCs/>
        </w:rPr>
        <w:tab/>
      </w:r>
    </w:p>
    <w:p w14:paraId="5663147D" w14:textId="0E32F6BB" w:rsidR="009F7736" w:rsidRPr="00B31A92" w:rsidRDefault="009F7736" w:rsidP="00673BA2">
      <w:pPr>
        <w:keepNext/>
        <w:tabs>
          <w:tab w:val="num" w:pos="550"/>
        </w:tabs>
        <w:ind w:left="1701" w:hanging="1701"/>
        <w:rPr>
          <w:bCs/>
        </w:rPr>
      </w:pPr>
      <w:r w:rsidRPr="00B31A92">
        <w:rPr>
          <w:b/>
        </w:rPr>
        <w:t>Viiteasiakirja:</w:t>
      </w:r>
      <w:r w:rsidRPr="00B31A92">
        <w:t xml:space="preserve"> </w:t>
      </w:r>
      <w:r w:rsidRPr="00B31A92">
        <w:tab/>
      </w:r>
      <w:r w:rsidR="00C45672" w:rsidRPr="00B31A92">
        <w:tab/>
      </w:r>
      <w:r w:rsidR="00A64309" w:rsidRPr="00B31A92">
        <w:t>EESC-2016-00975-00-00-AC-TRA</w:t>
      </w:r>
    </w:p>
    <w:p w14:paraId="5663147E" w14:textId="77777777" w:rsidR="009F7736" w:rsidRPr="00B31A92" w:rsidRDefault="009F7736" w:rsidP="00673BA2">
      <w:pPr>
        <w:keepNext/>
        <w:rPr>
          <w:szCs w:val="20"/>
        </w:rPr>
      </w:pPr>
    </w:p>
    <w:p w14:paraId="5663147F" w14:textId="77777777" w:rsidR="009F7736" w:rsidRPr="00B31A92" w:rsidRDefault="009F7736" w:rsidP="00673BA2">
      <w:pPr>
        <w:keepNext/>
        <w:rPr>
          <w:b/>
        </w:rPr>
      </w:pPr>
      <w:r w:rsidRPr="00B31A92">
        <w:rPr>
          <w:b/>
        </w:rPr>
        <w:t>Keskeiset kohdat:</w:t>
      </w:r>
    </w:p>
    <w:p w14:paraId="56631480" w14:textId="77777777" w:rsidR="00D64CA3" w:rsidRPr="00B31A92" w:rsidRDefault="00D64CA3" w:rsidP="00673BA2">
      <w:pPr>
        <w:keepNext/>
      </w:pPr>
    </w:p>
    <w:p w14:paraId="1C8ACF87" w14:textId="30E3FE57" w:rsidR="00B85D22" w:rsidRPr="00B31A92" w:rsidRDefault="00B85D22" w:rsidP="00673BA2">
      <w:pPr>
        <w:keepNext/>
      </w:pPr>
      <w:r w:rsidRPr="00B31A92">
        <w:t>ETSK toivoo, että</w:t>
      </w:r>
    </w:p>
    <w:p w14:paraId="14483348" w14:textId="77777777" w:rsidR="00B85D22" w:rsidRPr="00B31A92" w:rsidRDefault="00B85D22" w:rsidP="00673BA2">
      <w:pPr>
        <w:keepNext/>
      </w:pPr>
    </w:p>
    <w:p w14:paraId="78739175" w14:textId="1A69507B" w:rsidR="0005730B" w:rsidRPr="00B31A92" w:rsidRDefault="0005730B" w:rsidP="0005730B">
      <w:pPr>
        <w:pStyle w:val="ListParagraph"/>
        <w:numPr>
          <w:ilvl w:val="0"/>
          <w:numId w:val="177"/>
        </w:numPr>
        <w:tabs>
          <w:tab w:val="clear" w:pos="0"/>
        </w:tabs>
        <w:ind w:left="284"/>
      </w:pPr>
      <w:r w:rsidRPr="00B31A92">
        <w:t>yhteiskunnassa toteutu</w:t>
      </w:r>
      <w:r w:rsidR="00B85D22" w:rsidRPr="00B31A92">
        <w:t>u</w:t>
      </w:r>
      <w:r w:rsidRPr="00B31A92">
        <w:t xml:space="preserve"> taloudellinen siirtyminen luonnonvarojen liikakäytöstä ja tuhlaamisesta kestävämpään vaiheeseen, jossa arvo määräytyy pikemmin laadun kuin määrän perusteella ja jossa käytetään aiempaa enemmän työvoimaa.</w:t>
      </w:r>
    </w:p>
    <w:p w14:paraId="226A6DA3" w14:textId="64E0CB67" w:rsidR="0005730B" w:rsidRPr="00B31A92" w:rsidRDefault="0005730B" w:rsidP="0005730B">
      <w:pPr>
        <w:pStyle w:val="ListParagraph"/>
        <w:numPr>
          <w:ilvl w:val="0"/>
          <w:numId w:val="177"/>
        </w:numPr>
        <w:tabs>
          <w:tab w:val="clear" w:pos="0"/>
        </w:tabs>
        <w:ind w:left="284"/>
      </w:pPr>
      <w:r w:rsidRPr="00B31A92">
        <w:t>arvioi</w:t>
      </w:r>
      <w:r w:rsidR="00B85D22" w:rsidRPr="00B31A92">
        <w:t>daan</w:t>
      </w:r>
      <w:r w:rsidRPr="00B31A92">
        <w:t xml:space="preserve"> kattavasti</w:t>
      </w:r>
      <w:r w:rsidR="00B85D22" w:rsidRPr="00B31A92">
        <w:t xml:space="preserve"> tuote- ja palvelutyyppejä</w:t>
      </w:r>
      <w:r w:rsidRPr="00B31A92">
        <w:t xml:space="preserve">, jotta voidaan määrittää vahvuudet ja tarvittaessa ehdot, joita on noudatettava, jotta toiminnallisen talouden käyttöönotto sujuisi moitteettomasti. </w:t>
      </w:r>
    </w:p>
    <w:p w14:paraId="37142DE8" w14:textId="7707F9C2" w:rsidR="0005730B" w:rsidRPr="00B31A92" w:rsidRDefault="0005730B" w:rsidP="0005730B">
      <w:pPr>
        <w:pStyle w:val="ListParagraph"/>
        <w:numPr>
          <w:ilvl w:val="0"/>
          <w:numId w:val="177"/>
        </w:numPr>
        <w:tabs>
          <w:tab w:val="clear" w:pos="0"/>
        </w:tabs>
        <w:ind w:left="284"/>
      </w:pPr>
      <w:r w:rsidRPr="00B31A92">
        <w:t>nopeut</w:t>
      </w:r>
      <w:r w:rsidR="00094E5E" w:rsidRPr="00B31A92">
        <w:t>e</w:t>
      </w:r>
      <w:r w:rsidRPr="00B31A92">
        <w:t>taan tutkimusta ja hankkeita, jotka koskevat toiminnalliseen talouteen liittyviä uusia tuotanto- ja kulutusmalleja, kuten tuotteiden ekologista suunnittelua, kiertotaloutta, yhteisötaloutta ja yhteiseen etuun pyrkivää taloutta.</w:t>
      </w:r>
    </w:p>
    <w:p w14:paraId="44554D67" w14:textId="447F6F0F" w:rsidR="0005730B" w:rsidRPr="00B31A92" w:rsidRDefault="00094E5E" w:rsidP="0005730B">
      <w:pPr>
        <w:pStyle w:val="ListParagraph"/>
        <w:numPr>
          <w:ilvl w:val="0"/>
          <w:numId w:val="177"/>
        </w:numPr>
        <w:tabs>
          <w:tab w:val="clear" w:pos="0"/>
        </w:tabs>
        <w:ind w:left="284"/>
      </w:pPr>
      <w:r w:rsidRPr="00B31A92">
        <w:t xml:space="preserve">laaditaan </w:t>
      </w:r>
      <w:r w:rsidR="0005730B" w:rsidRPr="00B31A92">
        <w:t>EU:n lainsäädäntöpaket</w:t>
      </w:r>
      <w:r w:rsidRPr="00B31A92">
        <w:t>t</w:t>
      </w:r>
      <w:r w:rsidR="0005730B" w:rsidRPr="00B31A92">
        <w:t>i</w:t>
      </w:r>
      <w:r w:rsidRPr="00B31A92">
        <w:t>, jolla</w:t>
      </w:r>
      <w:r w:rsidR="0005730B" w:rsidRPr="00B31A92">
        <w:t xml:space="preserve"> jäsen</w:t>
      </w:r>
      <w:r w:rsidRPr="00B31A92">
        <w:t>ne</w:t>
      </w:r>
      <w:r w:rsidR="0005730B" w:rsidRPr="00B31A92">
        <w:t>tää</w:t>
      </w:r>
      <w:r w:rsidRPr="00B31A92">
        <w:t>n</w:t>
      </w:r>
      <w:r w:rsidR="0005730B" w:rsidRPr="00B31A92">
        <w:t xml:space="preserve"> toiminnallisen talouden valikoimaa erityisesti yhteisöllisen kuluttamisen, vanhenemisen, kuluttajien näitä malleja koskevan tietämyksen sekä innovoinnin kannalta suotuisan oikeus- ja verotuskehyksen osalta.</w:t>
      </w:r>
    </w:p>
    <w:p w14:paraId="3BEE852C" w14:textId="65A336ED" w:rsidR="0005730B" w:rsidRPr="00B31A92" w:rsidRDefault="0005730B" w:rsidP="0005730B">
      <w:pPr>
        <w:pStyle w:val="ListParagraph"/>
        <w:numPr>
          <w:ilvl w:val="0"/>
          <w:numId w:val="177"/>
        </w:numPr>
        <w:tabs>
          <w:tab w:val="clear" w:pos="0"/>
        </w:tabs>
        <w:ind w:left="284"/>
      </w:pPr>
      <w:r w:rsidRPr="00B31A92">
        <w:t>hyödyn</w:t>
      </w:r>
      <w:r w:rsidR="00094E5E" w:rsidRPr="00B31A92">
        <w:t>ne</w:t>
      </w:r>
      <w:r w:rsidRPr="00B31A92">
        <w:t>tään alueiden vahvuuksia, irtau</w:t>
      </w:r>
      <w:r w:rsidR="00094E5E" w:rsidRPr="00B31A92">
        <w:t>d</w:t>
      </w:r>
      <w:r w:rsidRPr="00B31A92">
        <w:t>u</w:t>
      </w:r>
      <w:r w:rsidR="00094E5E" w:rsidRPr="00B31A92">
        <w:t>t</w:t>
      </w:r>
      <w:r w:rsidRPr="00B31A92">
        <w:t>aan vakiomuotoisesta massatuotannosta, joka on osaltaan syyllinen nykyisen kulutuksen aiheuttamaan pettymykseen, ja ot</w:t>
      </w:r>
      <w:r w:rsidR="00094E5E" w:rsidRPr="00B31A92">
        <w:t>e</w:t>
      </w:r>
      <w:r w:rsidRPr="00B31A92">
        <w:t>taan huomioon kaikki tuotantoj</w:t>
      </w:r>
      <w:r w:rsidR="009320E6" w:rsidRPr="00B31A92">
        <w:t>ärjestelmän ulkoisvaikutukset.</w:t>
      </w:r>
    </w:p>
    <w:p w14:paraId="56631481" w14:textId="58F8EC95" w:rsidR="00D64CA3" w:rsidRPr="00B31A92" w:rsidRDefault="0005730B" w:rsidP="0005730B">
      <w:pPr>
        <w:pStyle w:val="ListParagraph"/>
        <w:numPr>
          <w:ilvl w:val="0"/>
          <w:numId w:val="177"/>
        </w:numPr>
        <w:tabs>
          <w:tab w:val="clear" w:pos="0"/>
        </w:tabs>
        <w:ind w:left="284"/>
      </w:pPr>
      <w:r w:rsidRPr="00B31A92">
        <w:t>perust</w:t>
      </w:r>
      <w:r w:rsidR="00094E5E" w:rsidRPr="00B31A92">
        <w:t>et</w:t>
      </w:r>
      <w:r w:rsidRPr="00B31A92">
        <w:t>aa</w:t>
      </w:r>
      <w:r w:rsidR="00094E5E" w:rsidRPr="00B31A92">
        <w:t>n</w:t>
      </w:r>
      <w:r w:rsidRPr="00B31A92">
        <w:t xml:space="preserve"> uusi pysyvä ja monialainen elin analysoimaan kyseistä kehitystä. Myös tietojenvaihtofoorumi, jossa voidaan esittää kaikki toiminnallista taloutta koskevat aloitteet EU:n tasolla, olisi hyödyllinen.</w:t>
      </w:r>
    </w:p>
    <w:p w14:paraId="56631482" w14:textId="77777777" w:rsidR="00D64CA3" w:rsidRPr="00B31A92" w:rsidRDefault="00D64CA3" w:rsidP="00673BA2"/>
    <w:p w14:paraId="61C0DA50" w14:textId="77777777" w:rsidR="00A64309" w:rsidRPr="00B31A92" w:rsidRDefault="00A64309" w:rsidP="00A64309">
      <w:pPr>
        <w:rPr>
          <w:i/>
        </w:rPr>
      </w:pPr>
      <w:r w:rsidRPr="00B31A92">
        <w:rPr>
          <w:b/>
          <w:i/>
        </w:rPr>
        <w:t>Yhteyshenkilö</w:t>
      </w:r>
      <w:r w:rsidRPr="00B31A92">
        <w:t>:</w:t>
      </w:r>
      <w:r w:rsidRPr="00B31A92">
        <w:tab/>
      </w:r>
      <w:r w:rsidRPr="00B31A92">
        <w:rPr>
          <w:i/>
        </w:rPr>
        <w:t>Janine Borg</w:t>
      </w:r>
    </w:p>
    <w:p w14:paraId="3E84089A" w14:textId="1047FB2E" w:rsidR="00A64309" w:rsidRPr="00B31A92" w:rsidRDefault="00A64309" w:rsidP="00A64309">
      <w:pPr>
        <w:rPr>
          <w:i/>
        </w:rPr>
      </w:pPr>
      <w:r w:rsidRPr="00B31A92">
        <w:rPr>
          <w:i/>
        </w:rPr>
        <w:tab/>
      </w:r>
      <w:r w:rsidRPr="00B31A92">
        <w:rPr>
          <w:i/>
        </w:rPr>
        <w:tab/>
      </w:r>
      <w:r w:rsidR="002E19C5" w:rsidRPr="00B31A92">
        <w:rPr>
          <w:i/>
        </w:rPr>
        <w:tab/>
      </w:r>
      <w:r w:rsidRPr="00B31A92">
        <w:rPr>
          <w:i/>
        </w:rPr>
        <w:t xml:space="preserve">(P. +32 25468879 – </w:t>
      </w:r>
      <w:r w:rsidRPr="00B31A92">
        <w:rPr>
          <w:i/>
          <w:iCs/>
        </w:rPr>
        <w:t>sähköposti</w:t>
      </w:r>
      <w:r w:rsidRPr="00B31A92">
        <w:rPr>
          <w:i/>
        </w:rPr>
        <w:t xml:space="preserve">: </w:t>
      </w:r>
      <w:hyperlink r:id="rId41" w:history="1">
        <w:r w:rsidRPr="00B31A92">
          <w:rPr>
            <w:rStyle w:val="Hyperlink"/>
            <w:i/>
          </w:rPr>
          <w:t>janine.borg@eesc.europa.eu</w:t>
        </w:r>
      </w:hyperlink>
      <w:r w:rsidRPr="00B31A92">
        <w:rPr>
          <w:i/>
        </w:rPr>
        <w:t>)</w:t>
      </w:r>
    </w:p>
    <w:p w14:paraId="56631485" w14:textId="77777777" w:rsidR="009F7736" w:rsidRPr="00B31A92" w:rsidRDefault="009F7736" w:rsidP="00673BA2">
      <w:pPr>
        <w:rPr>
          <w:i/>
          <w:iCs/>
        </w:rPr>
      </w:pPr>
    </w:p>
    <w:p w14:paraId="70031421" w14:textId="1367FBB7" w:rsidR="00C45672" w:rsidRPr="00B31A92" w:rsidRDefault="00DA370A" w:rsidP="00DA370A">
      <w:pPr>
        <w:keepNext/>
        <w:numPr>
          <w:ilvl w:val="0"/>
          <w:numId w:val="153"/>
        </w:numPr>
        <w:overflowPunct w:val="0"/>
        <w:autoSpaceDE w:val="0"/>
        <w:autoSpaceDN w:val="0"/>
        <w:adjustRightInd w:val="0"/>
        <w:ind w:left="567" w:hanging="567"/>
        <w:rPr>
          <w:b/>
          <w:i/>
          <w:sz w:val="28"/>
        </w:rPr>
      </w:pPr>
      <w:r w:rsidRPr="00B31A92">
        <w:rPr>
          <w:b/>
          <w:i/>
          <w:sz w:val="28"/>
        </w:rPr>
        <w:lastRenderedPageBreak/>
        <w:t>Yhteistyötalous</w:t>
      </w:r>
    </w:p>
    <w:p w14:paraId="4128234F" w14:textId="77777777" w:rsidR="00C45672" w:rsidRPr="00B31A92" w:rsidRDefault="00C45672" w:rsidP="00C45672">
      <w:pPr>
        <w:keepNext/>
        <w:rPr>
          <w:bCs/>
          <w:szCs w:val="20"/>
        </w:rPr>
      </w:pPr>
    </w:p>
    <w:p w14:paraId="3BDF6823" w14:textId="4CC9EA11" w:rsidR="00C45672" w:rsidRPr="00B31A92" w:rsidRDefault="00C45672" w:rsidP="00C45672">
      <w:pPr>
        <w:keepNext/>
        <w:ind w:left="1701" w:hanging="1701"/>
        <w:rPr>
          <w:bCs/>
        </w:rPr>
      </w:pPr>
      <w:r w:rsidRPr="00B31A92">
        <w:rPr>
          <w:b/>
        </w:rPr>
        <w:t>Esittelijä:</w:t>
      </w:r>
      <w:r w:rsidRPr="00B31A92">
        <w:tab/>
      </w:r>
      <w:r w:rsidRPr="00B31A92">
        <w:tab/>
        <w:t>Carlos TRIAS PINTÓ (muut eturyhmät – ES)</w:t>
      </w:r>
    </w:p>
    <w:p w14:paraId="04AAE9C6" w14:textId="77777777" w:rsidR="00C45672" w:rsidRPr="00B31A92" w:rsidRDefault="00C45672" w:rsidP="00C45672">
      <w:pPr>
        <w:keepNext/>
        <w:ind w:left="1701" w:hanging="1701"/>
        <w:rPr>
          <w:bCs/>
        </w:rPr>
      </w:pPr>
    </w:p>
    <w:p w14:paraId="37F997F6" w14:textId="792560E5" w:rsidR="00C45672" w:rsidRPr="00B31A92" w:rsidRDefault="00C45672" w:rsidP="00C45672">
      <w:pPr>
        <w:keepNext/>
        <w:tabs>
          <w:tab w:val="num" w:pos="550"/>
        </w:tabs>
        <w:ind w:left="1701" w:hanging="1701"/>
        <w:rPr>
          <w:b/>
        </w:rPr>
      </w:pPr>
      <w:r w:rsidRPr="00B31A92">
        <w:rPr>
          <w:b/>
        </w:rPr>
        <w:t>Toinen esittelijä:</w:t>
      </w:r>
      <w:r w:rsidRPr="00B31A92">
        <w:rPr>
          <w:b/>
        </w:rPr>
        <w:tab/>
      </w:r>
      <w:r w:rsidRPr="00B31A92">
        <w:rPr>
          <w:b/>
        </w:rPr>
        <w:tab/>
      </w:r>
      <w:r w:rsidRPr="00B31A92">
        <w:t>Mihai MANOLIU (työnantajat – RO)</w:t>
      </w:r>
    </w:p>
    <w:p w14:paraId="7D478AC9" w14:textId="77777777" w:rsidR="00C45672" w:rsidRPr="00B31A92" w:rsidRDefault="00C45672" w:rsidP="00C45672">
      <w:pPr>
        <w:keepNext/>
        <w:tabs>
          <w:tab w:val="num" w:pos="550"/>
        </w:tabs>
        <w:ind w:left="1701" w:hanging="1701"/>
        <w:rPr>
          <w:b/>
        </w:rPr>
      </w:pPr>
    </w:p>
    <w:p w14:paraId="2BD7095A" w14:textId="543020D9" w:rsidR="00C45672" w:rsidRPr="00B31A92" w:rsidRDefault="00C45672" w:rsidP="00C45672">
      <w:pPr>
        <w:keepNext/>
        <w:tabs>
          <w:tab w:val="num" w:pos="550"/>
        </w:tabs>
        <w:ind w:left="1701" w:hanging="1701"/>
        <w:rPr>
          <w:bCs/>
        </w:rPr>
      </w:pPr>
      <w:r w:rsidRPr="00B31A92">
        <w:rPr>
          <w:b/>
        </w:rPr>
        <w:t>Viiteasiakirja:</w:t>
      </w:r>
      <w:r w:rsidRPr="00B31A92">
        <w:t xml:space="preserve"> </w:t>
      </w:r>
      <w:r w:rsidRPr="00B31A92">
        <w:tab/>
      </w:r>
      <w:r w:rsidRPr="00B31A92">
        <w:tab/>
        <w:t>EESC-2016-00975-00-00-AC-TRA</w:t>
      </w:r>
    </w:p>
    <w:p w14:paraId="738E92EA" w14:textId="77777777" w:rsidR="00C45672" w:rsidRPr="00B31A92" w:rsidRDefault="00C45672" w:rsidP="00C45672">
      <w:pPr>
        <w:keepNext/>
        <w:rPr>
          <w:szCs w:val="20"/>
        </w:rPr>
      </w:pPr>
    </w:p>
    <w:p w14:paraId="3FA71750" w14:textId="77777777" w:rsidR="00C45672" w:rsidRPr="00B31A92" w:rsidRDefault="00C45672" w:rsidP="00C45672">
      <w:pPr>
        <w:keepNext/>
        <w:rPr>
          <w:b/>
        </w:rPr>
      </w:pPr>
      <w:r w:rsidRPr="00B31A92">
        <w:rPr>
          <w:b/>
        </w:rPr>
        <w:t>Keskeiset kohdat:</w:t>
      </w:r>
    </w:p>
    <w:p w14:paraId="08363F18" w14:textId="77777777" w:rsidR="00C45672" w:rsidRPr="00B31A92" w:rsidRDefault="00C45672" w:rsidP="00C45672">
      <w:pPr>
        <w:keepNext/>
      </w:pPr>
    </w:p>
    <w:p w14:paraId="149B63C2" w14:textId="552108F0" w:rsidR="005F01D5" w:rsidRPr="00B31A92" w:rsidRDefault="005F01D5" w:rsidP="005F01D5">
      <w:r w:rsidRPr="00B31A92">
        <w:t>ETSK</w:t>
      </w:r>
    </w:p>
    <w:p w14:paraId="70ADC30F" w14:textId="77777777" w:rsidR="005F01D5" w:rsidRPr="00B31A92" w:rsidRDefault="005F01D5" w:rsidP="005F01D5"/>
    <w:p w14:paraId="370E7B7F" w14:textId="77777777" w:rsidR="005F01D5" w:rsidRPr="00B31A92" w:rsidRDefault="005F01D5" w:rsidP="009320E6">
      <w:pPr>
        <w:pStyle w:val="ListParagraph"/>
        <w:numPr>
          <w:ilvl w:val="0"/>
          <w:numId w:val="177"/>
        </w:numPr>
        <w:tabs>
          <w:tab w:val="clear" w:pos="0"/>
        </w:tabs>
        <w:ind w:left="284"/>
      </w:pPr>
      <w:r w:rsidRPr="00B31A92">
        <w:t>pitää hajautuneen digitaalitalouden uuden paradigman tilanteessa tarpeellisena välttää tarkkaan, ettei se johda työsuhteiden epävarmuuteen ja veronkiertoon ja ettei lisäarvo siirry huomattavassa määrin teollisuuden toimijoilta yksityisten digitaalisten alustojen omistajille.</w:t>
      </w:r>
    </w:p>
    <w:p w14:paraId="2E95A837" w14:textId="4006F2B0" w:rsidR="005F01D5" w:rsidRPr="00B31A92" w:rsidRDefault="005F01D5" w:rsidP="009320E6">
      <w:pPr>
        <w:pStyle w:val="ListParagraph"/>
        <w:numPr>
          <w:ilvl w:val="0"/>
          <w:numId w:val="177"/>
        </w:numPr>
        <w:tabs>
          <w:tab w:val="clear" w:pos="0"/>
        </w:tabs>
        <w:ind w:left="284"/>
      </w:pPr>
      <w:r w:rsidRPr="00B31A92">
        <w:t>kehottaa komissiota kiinnittämään huomiota digitaalisiin alustoihin, jotta voidaan säännellä ja yhdenmukaistaa niiden toimintaa ja varmistaa tasapuoliset toimintaedellytykset avoimuuden, informaation, täyden saatavuuden, syrjimättömyyden ja tietojen asianm</w:t>
      </w:r>
      <w:r w:rsidR="009320E6" w:rsidRPr="00B31A92">
        <w:t>ukaisen hyödyntämisen pohjalta.</w:t>
      </w:r>
    </w:p>
    <w:p w14:paraId="2D15F115" w14:textId="77777777" w:rsidR="005F01D5" w:rsidRPr="00B31A92" w:rsidRDefault="005F01D5" w:rsidP="009320E6">
      <w:pPr>
        <w:pStyle w:val="ListParagraph"/>
        <w:numPr>
          <w:ilvl w:val="0"/>
          <w:numId w:val="177"/>
        </w:numPr>
        <w:tabs>
          <w:tab w:val="clear" w:pos="0"/>
        </w:tabs>
        <w:ind w:left="284"/>
      </w:pPr>
      <w:r w:rsidRPr="00B31A92">
        <w:t>kehottaa laatimaan erityisen menetelmän uuden talouden sääntelyä ja mittaamista varten erilaisten standardien pohjalta, missä luottamuksella on keskeinen asema.</w:t>
      </w:r>
    </w:p>
    <w:p w14:paraId="241F25D5" w14:textId="15B6A165" w:rsidR="00C45672" w:rsidRPr="00B31A92" w:rsidRDefault="00597AC7" w:rsidP="009320E6">
      <w:pPr>
        <w:pStyle w:val="ListParagraph"/>
        <w:numPr>
          <w:ilvl w:val="0"/>
          <w:numId w:val="177"/>
        </w:numPr>
        <w:tabs>
          <w:tab w:val="clear" w:pos="0"/>
        </w:tabs>
        <w:ind w:left="284"/>
      </w:pPr>
      <w:r w:rsidRPr="00B31A92">
        <w:t>s</w:t>
      </w:r>
      <w:r w:rsidR="005F01D5" w:rsidRPr="00B31A92">
        <w:t>uosit</w:t>
      </w:r>
      <w:r w:rsidRPr="00B31A92">
        <w:t>t</w:t>
      </w:r>
      <w:r w:rsidR="005F01D5" w:rsidRPr="00B31A92">
        <w:t>el</w:t>
      </w:r>
      <w:r w:rsidRPr="00B31A92">
        <w:t>ee</w:t>
      </w:r>
      <w:r w:rsidR="005F01D5" w:rsidRPr="00B31A92">
        <w:t>, että perust</w:t>
      </w:r>
      <w:r w:rsidRPr="00B31A92">
        <w:t>et</w:t>
      </w:r>
      <w:r w:rsidR="005F01D5" w:rsidRPr="00B31A92">
        <w:t>aa</w:t>
      </w:r>
      <w:r w:rsidRPr="00B31A92">
        <w:t>n</w:t>
      </w:r>
      <w:r w:rsidR="005F01D5" w:rsidRPr="00B31A92">
        <w:t xml:space="preserve"> pysyvä, horisontaali</w:t>
      </w:r>
      <w:r w:rsidRPr="00B31A92">
        <w:t>n</w:t>
      </w:r>
      <w:r w:rsidR="005F01D5" w:rsidRPr="00B31A92">
        <w:t>en rakenn</w:t>
      </w:r>
      <w:r w:rsidRPr="00B31A92">
        <w:t>e</w:t>
      </w:r>
      <w:r w:rsidR="005F01D5" w:rsidRPr="00B31A92">
        <w:t xml:space="preserve"> analysoimaan </w:t>
      </w:r>
      <w:r w:rsidRPr="00B31A92">
        <w:t xml:space="preserve">näitä </w:t>
      </w:r>
      <w:r w:rsidR="005F01D5" w:rsidRPr="00B31A92">
        <w:t>uusia ilmiöitä.</w:t>
      </w:r>
    </w:p>
    <w:p w14:paraId="59FB1300" w14:textId="77777777" w:rsidR="00C45672" w:rsidRPr="00B31A92" w:rsidRDefault="00C45672" w:rsidP="00C45672"/>
    <w:p w14:paraId="1014D0CD" w14:textId="77777777" w:rsidR="00C45672" w:rsidRPr="00B31A92" w:rsidRDefault="00C45672" w:rsidP="00C45672">
      <w:pPr>
        <w:rPr>
          <w:i/>
        </w:rPr>
      </w:pPr>
      <w:r w:rsidRPr="00B31A92">
        <w:rPr>
          <w:b/>
          <w:i/>
        </w:rPr>
        <w:t>Yhteyshenkilö</w:t>
      </w:r>
      <w:r w:rsidRPr="00B31A92">
        <w:t>:</w:t>
      </w:r>
      <w:r w:rsidRPr="00B31A92">
        <w:tab/>
      </w:r>
      <w:r w:rsidRPr="00B31A92">
        <w:rPr>
          <w:i/>
        </w:rPr>
        <w:t>Janine Borg</w:t>
      </w:r>
    </w:p>
    <w:p w14:paraId="099B0E3C" w14:textId="347BE0AA" w:rsidR="00C45672" w:rsidRPr="00B31A92" w:rsidRDefault="00C45672" w:rsidP="00C45672">
      <w:pPr>
        <w:rPr>
          <w:i/>
        </w:rPr>
      </w:pPr>
      <w:r w:rsidRPr="00B31A92">
        <w:rPr>
          <w:i/>
        </w:rPr>
        <w:tab/>
      </w:r>
      <w:r w:rsidRPr="00B31A92">
        <w:rPr>
          <w:i/>
        </w:rPr>
        <w:tab/>
      </w:r>
      <w:r w:rsidR="002E19C5" w:rsidRPr="00B31A92">
        <w:rPr>
          <w:i/>
        </w:rPr>
        <w:tab/>
      </w:r>
      <w:r w:rsidRPr="00B31A92">
        <w:rPr>
          <w:i/>
        </w:rPr>
        <w:t xml:space="preserve">(P. +32 25468879 – </w:t>
      </w:r>
      <w:r w:rsidRPr="00B31A92">
        <w:rPr>
          <w:i/>
          <w:iCs/>
        </w:rPr>
        <w:t>sähköposti</w:t>
      </w:r>
      <w:r w:rsidRPr="00B31A92">
        <w:rPr>
          <w:i/>
        </w:rPr>
        <w:t xml:space="preserve">: </w:t>
      </w:r>
      <w:hyperlink r:id="rId42" w:history="1">
        <w:r w:rsidRPr="00B31A92">
          <w:rPr>
            <w:rStyle w:val="Hyperlink"/>
            <w:i/>
          </w:rPr>
          <w:t>janine.borg@eesc.europa.eu</w:t>
        </w:r>
      </w:hyperlink>
      <w:r w:rsidRPr="00B31A92">
        <w:rPr>
          <w:i/>
        </w:rPr>
        <w:t>)</w:t>
      </w:r>
    </w:p>
    <w:p w14:paraId="4875F349" w14:textId="77777777" w:rsidR="00C45672" w:rsidRPr="00B31A92" w:rsidRDefault="00C45672" w:rsidP="00673BA2">
      <w:pPr>
        <w:rPr>
          <w:i/>
          <w:iCs/>
        </w:rPr>
      </w:pPr>
    </w:p>
    <w:p w14:paraId="56631486" w14:textId="77777777" w:rsidR="00673BA2" w:rsidRPr="00B31A92" w:rsidRDefault="00673BA2" w:rsidP="00673BA2">
      <w:pPr>
        <w:rPr>
          <w:i/>
          <w:iCs/>
        </w:rPr>
      </w:pPr>
    </w:p>
    <w:p w14:paraId="56631487" w14:textId="68B008F2" w:rsidR="0034657E" w:rsidRPr="00B31A92" w:rsidRDefault="0034657E" w:rsidP="00673BA2">
      <w:pPr>
        <w:pStyle w:val="Heading1"/>
        <w:keepNext/>
        <w:rPr>
          <w:b/>
        </w:rPr>
      </w:pPr>
      <w:bookmarkStart w:id="25" w:name="_Toc464460182"/>
      <w:bookmarkStart w:id="26" w:name="_Toc471377322"/>
      <w:r w:rsidRPr="00B31A92">
        <w:rPr>
          <w:b/>
        </w:rPr>
        <w:t>T</w:t>
      </w:r>
      <w:bookmarkEnd w:id="25"/>
      <w:r w:rsidR="00C45672" w:rsidRPr="00B31A92">
        <w:rPr>
          <w:b/>
        </w:rPr>
        <w:t>URVALLISUUS</w:t>
      </w:r>
      <w:bookmarkEnd w:id="26"/>
    </w:p>
    <w:p w14:paraId="56631489" w14:textId="77777777" w:rsidR="00673BA2" w:rsidRPr="00B31A92" w:rsidRDefault="00673BA2" w:rsidP="00673BA2">
      <w:pPr>
        <w:keepNext/>
      </w:pPr>
    </w:p>
    <w:p w14:paraId="5663148A" w14:textId="1A235870" w:rsidR="0098597A" w:rsidRPr="00B31A92" w:rsidRDefault="00634347" w:rsidP="00634347">
      <w:pPr>
        <w:keepNext/>
        <w:numPr>
          <w:ilvl w:val="0"/>
          <w:numId w:val="153"/>
        </w:numPr>
        <w:overflowPunct w:val="0"/>
        <w:autoSpaceDE w:val="0"/>
        <w:autoSpaceDN w:val="0"/>
        <w:adjustRightInd w:val="0"/>
        <w:ind w:left="567" w:hanging="567"/>
        <w:rPr>
          <w:b/>
          <w:i/>
          <w:sz w:val="28"/>
        </w:rPr>
      </w:pPr>
      <w:r w:rsidRPr="00B31A92">
        <w:rPr>
          <w:b/>
          <w:i/>
          <w:sz w:val="28"/>
        </w:rPr>
        <w:t>Euroopan kyberresilienssijärjestelmän vahvistaminen</w:t>
      </w:r>
    </w:p>
    <w:p w14:paraId="5663148B" w14:textId="77777777" w:rsidR="0098597A" w:rsidRPr="00B31A92" w:rsidRDefault="0098597A" w:rsidP="00673BA2">
      <w:pPr>
        <w:keepNext/>
        <w:rPr>
          <w:bCs/>
          <w:szCs w:val="20"/>
        </w:rPr>
      </w:pPr>
    </w:p>
    <w:p w14:paraId="5663148C" w14:textId="2B057DDA" w:rsidR="0098597A" w:rsidRPr="00B31A92" w:rsidRDefault="0098597A" w:rsidP="00673BA2">
      <w:pPr>
        <w:keepNext/>
        <w:ind w:left="1701" w:hanging="1701"/>
        <w:rPr>
          <w:bCs/>
        </w:rPr>
      </w:pPr>
      <w:r w:rsidRPr="00B31A92">
        <w:rPr>
          <w:b/>
        </w:rPr>
        <w:t>Esittelijä:</w:t>
      </w:r>
      <w:r w:rsidRPr="00B31A92">
        <w:tab/>
      </w:r>
      <w:r w:rsidR="0026702F" w:rsidRPr="00B31A92">
        <w:tab/>
        <w:t>Thomas McDONOGH (työnantajat – I</w:t>
      </w:r>
      <w:r w:rsidRPr="00B31A92">
        <w:t>E)</w:t>
      </w:r>
    </w:p>
    <w:p w14:paraId="5663148D" w14:textId="77777777" w:rsidR="00F86641" w:rsidRPr="00B31A92" w:rsidRDefault="00F86641" w:rsidP="00673BA2">
      <w:pPr>
        <w:keepNext/>
        <w:ind w:left="1701" w:hanging="1701"/>
        <w:rPr>
          <w:bCs/>
        </w:rPr>
      </w:pPr>
    </w:p>
    <w:p w14:paraId="2A258C3E" w14:textId="0CB9EEA3" w:rsidR="0026702F" w:rsidRPr="00B31A92" w:rsidRDefault="0098597A" w:rsidP="0026702F">
      <w:pPr>
        <w:tabs>
          <w:tab w:val="left" w:pos="1980"/>
        </w:tabs>
      </w:pPr>
      <w:r w:rsidRPr="00B31A92">
        <w:rPr>
          <w:b/>
        </w:rPr>
        <w:t>Viiteasiakirja:</w:t>
      </w:r>
      <w:r w:rsidRPr="00B31A92">
        <w:t xml:space="preserve"> </w:t>
      </w:r>
      <w:r w:rsidRPr="00B31A92">
        <w:tab/>
      </w:r>
      <w:r w:rsidR="0026702F" w:rsidRPr="00B31A92">
        <w:tab/>
        <w:t>COM(2016) 410 final</w:t>
      </w:r>
    </w:p>
    <w:p w14:paraId="5663148F" w14:textId="54049FE8" w:rsidR="0098597A" w:rsidRPr="00B31A92" w:rsidRDefault="0026702F" w:rsidP="00C169F8">
      <w:pPr>
        <w:ind w:left="1701" w:hanging="1701"/>
      </w:pPr>
      <w:r w:rsidRPr="00B31A92">
        <w:tab/>
      </w:r>
      <w:r w:rsidRPr="00B31A92">
        <w:tab/>
        <w:t>EESC-2016-04559-00-00-AC-TRA</w:t>
      </w:r>
    </w:p>
    <w:p w14:paraId="7D2FBA28" w14:textId="77777777" w:rsidR="0026702F" w:rsidRPr="00B31A92" w:rsidRDefault="0026702F" w:rsidP="00C169F8">
      <w:pPr>
        <w:ind w:left="1701" w:hanging="1701"/>
        <w:rPr>
          <w:szCs w:val="20"/>
        </w:rPr>
      </w:pPr>
    </w:p>
    <w:p w14:paraId="56631490" w14:textId="77777777" w:rsidR="0098597A" w:rsidRPr="00B31A92" w:rsidRDefault="0098597A" w:rsidP="00C169F8">
      <w:r w:rsidRPr="00B31A92">
        <w:rPr>
          <w:b/>
        </w:rPr>
        <w:t>Keskeiset kohdat:</w:t>
      </w:r>
    </w:p>
    <w:p w14:paraId="56631491" w14:textId="77777777" w:rsidR="00345B23" w:rsidRPr="00B31A92" w:rsidRDefault="00345B23" w:rsidP="00C169F8">
      <w:pPr>
        <w:overflowPunct w:val="0"/>
        <w:autoSpaceDE w:val="0"/>
        <w:autoSpaceDN w:val="0"/>
        <w:adjustRightInd w:val="0"/>
        <w:textAlignment w:val="baseline"/>
        <w:rPr>
          <w:szCs w:val="20"/>
        </w:rPr>
      </w:pPr>
    </w:p>
    <w:p w14:paraId="68FC8A1A" w14:textId="77777777" w:rsidR="0042692C" w:rsidRPr="00B31A92" w:rsidRDefault="0042692C" w:rsidP="00C169F8">
      <w:pPr>
        <w:overflowPunct w:val="0"/>
        <w:autoSpaceDE w:val="0"/>
        <w:autoSpaceDN w:val="0"/>
        <w:adjustRightInd w:val="0"/>
        <w:textAlignment w:val="baseline"/>
      </w:pPr>
      <w:r w:rsidRPr="00B31A92">
        <w:t xml:space="preserve">ETSK suhtautuu myönteisesti komission konseptiin, joka kattaa kyberresilienssijärjestelmän vahvistamisen sekä kilpailukykyisen ja innovatiivisen kyberturvallisuustoimialan tukemisen. ETSK katsoo, että komission lähestymistapa on yhdenmukainen vastikään hyväksytyn verkko- ja tietoturvadirektiivin (2016/1148) sekä kyberturvallisuusstrategian kanssa. </w:t>
      </w:r>
    </w:p>
    <w:p w14:paraId="435277F3" w14:textId="77777777" w:rsidR="0042692C" w:rsidRPr="00B31A92" w:rsidRDefault="0042692C" w:rsidP="00C169F8">
      <w:pPr>
        <w:overflowPunct w:val="0"/>
        <w:autoSpaceDE w:val="0"/>
        <w:autoSpaceDN w:val="0"/>
        <w:adjustRightInd w:val="0"/>
        <w:textAlignment w:val="baseline"/>
      </w:pPr>
    </w:p>
    <w:p w14:paraId="4DD07E11" w14:textId="77777777" w:rsidR="0042692C" w:rsidRPr="00B31A92" w:rsidRDefault="0042692C" w:rsidP="00C169F8">
      <w:pPr>
        <w:overflowPunct w:val="0"/>
        <w:autoSpaceDE w:val="0"/>
        <w:autoSpaceDN w:val="0"/>
        <w:adjustRightInd w:val="0"/>
        <w:textAlignment w:val="baseline"/>
      </w:pPr>
      <w:r w:rsidRPr="00B31A92">
        <w:lastRenderedPageBreak/>
        <w:t xml:space="preserve">Lisäksi ETSK on tyytyväinen siihen, että osa komitean monissa aikaisemmissa lausunnoissaan esittämistä suosituksista on otettu huomioon ehdotetuissa toimenpiteissä elintärkeiden digitaalisten infrastruktuurien ja palveluiden suojelemiseksi. </w:t>
      </w:r>
    </w:p>
    <w:p w14:paraId="41E9B6F6" w14:textId="77777777" w:rsidR="0042692C" w:rsidRPr="00B31A92" w:rsidRDefault="0042692C" w:rsidP="0042692C">
      <w:pPr>
        <w:keepNext/>
        <w:overflowPunct w:val="0"/>
        <w:autoSpaceDE w:val="0"/>
        <w:autoSpaceDN w:val="0"/>
        <w:adjustRightInd w:val="0"/>
        <w:textAlignment w:val="baseline"/>
      </w:pPr>
    </w:p>
    <w:p w14:paraId="3E1CC459" w14:textId="77777777" w:rsidR="0042692C" w:rsidRPr="00B31A92" w:rsidRDefault="0042692C" w:rsidP="0042692C">
      <w:pPr>
        <w:keepNext/>
        <w:overflowPunct w:val="0"/>
        <w:autoSpaceDE w:val="0"/>
        <w:autoSpaceDN w:val="0"/>
        <w:adjustRightInd w:val="0"/>
        <w:textAlignment w:val="baseline"/>
      </w:pPr>
      <w:r w:rsidRPr="00B31A92">
        <w:t xml:space="preserve">ETSK toivoo myös, että kyberturvallisuusalalle ehdotetulla julkisen ja yksityisen sektorin kumppanuudella tuetaan kyberturvallisuusyritysten kehitystä koko unionin alueella. </w:t>
      </w:r>
    </w:p>
    <w:p w14:paraId="13880317" w14:textId="77777777" w:rsidR="0042692C" w:rsidRPr="00B31A92" w:rsidRDefault="0042692C" w:rsidP="0042692C">
      <w:pPr>
        <w:keepNext/>
        <w:overflowPunct w:val="0"/>
        <w:autoSpaceDE w:val="0"/>
        <w:autoSpaceDN w:val="0"/>
        <w:adjustRightInd w:val="0"/>
        <w:textAlignment w:val="baseline"/>
      </w:pPr>
    </w:p>
    <w:p w14:paraId="63EB5003" w14:textId="77777777" w:rsidR="0042692C" w:rsidRPr="00B31A92" w:rsidRDefault="0042692C" w:rsidP="0042692C">
      <w:pPr>
        <w:keepNext/>
        <w:overflowPunct w:val="0"/>
        <w:autoSpaceDE w:val="0"/>
        <w:autoSpaceDN w:val="0"/>
        <w:adjustRightInd w:val="0"/>
        <w:textAlignment w:val="baseline"/>
      </w:pPr>
      <w:r w:rsidRPr="00B31A92">
        <w:t xml:space="preserve">Komitea pitää tervetulleena komission aikomusta arvioida vuoden 2017 loppuun mennessä Euroopan verkko- ja tietoturvaviraston (ENISA) toimeksiantoa, ja toivoo ilmailualan keskusviranomaisen eli Euroopan lentoturvallisuusviraston (EASA) kaltaisen EU-tason kyberturvallisuusviranomaisen perustamista. </w:t>
      </w:r>
    </w:p>
    <w:p w14:paraId="556967F1" w14:textId="77777777" w:rsidR="0042692C" w:rsidRPr="00B31A92" w:rsidRDefault="0042692C" w:rsidP="0042692C">
      <w:pPr>
        <w:keepNext/>
        <w:overflowPunct w:val="0"/>
        <w:autoSpaceDE w:val="0"/>
        <w:autoSpaceDN w:val="0"/>
        <w:adjustRightInd w:val="0"/>
        <w:textAlignment w:val="baseline"/>
      </w:pPr>
    </w:p>
    <w:p w14:paraId="7D2B07AA" w14:textId="77777777" w:rsidR="0042692C" w:rsidRPr="00B31A92" w:rsidRDefault="0042692C" w:rsidP="0042692C">
      <w:pPr>
        <w:keepNext/>
        <w:overflowPunct w:val="0"/>
        <w:autoSpaceDE w:val="0"/>
        <w:autoSpaceDN w:val="0"/>
        <w:adjustRightInd w:val="0"/>
        <w:textAlignment w:val="baseline"/>
      </w:pPr>
      <w:r w:rsidRPr="00B31A92">
        <w:t xml:space="preserve">ETSK kehottaa myös komissiota harkitsemaan kyberturvallisuuden kansallisen kehittämismallin ja luokitusjärjestelmän luomista, jotta resilienssin tasoa voidaan mitata jokaisessa jäsenvaltiossa. </w:t>
      </w:r>
    </w:p>
    <w:p w14:paraId="72D89A51" w14:textId="77777777" w:rsidR="0042692C" w:rsidRPr="00B31A92" w:rsidRDefault="0042692C" w:rsidP="0042692C">
      <w:pPr>
        <w:keepNext/>
        <w:overflowPunct w:val="0"/>
        <w:autoSpaceDE w:val="0"/>
        <w:autoSpaceDN w:val="0"/>
        <w:adjustRightInd w:val="0"/>
        <w:textAlignment w:val="baseline"/>
      </w:pPr>
    </w:p>
    <w:p w14:paraId="7AA51088" w14:textId="77777777" w:rsidR="0042692C" w:rsidRPr="00B31A92" w:rsidRDefault="0042692C" w:rsidP="0042692C">
      <w:pPr>
        <w:keepNext/>
        <w:overflowPunct w:val="0"/>
        <w:autoSpaceDE w:val="0"/>
        <w:autoSpaceDN w:val="0"/>
        <w:adjustRightInd w:val="0"/>
        <w:textAlignment w:val="baseline"/>
      </w:pPr>
      <w:r w:rsidRPr="00B31A92">
        <w:t xml:space="preserve">Rahoitukseen liittyen ETSK toivoo, että Euroopan verkkorikostorjuntakeskukselle sekä Euroopan puolustusvirastolle osoitetaan riittävät resurssit. </w:t>
      </w:r>
    </w:p>
    <w:p w14:paraId="7FD824A9" w14:textId="77777777" w:rsidR="0042692C" w:rsidRPr="00B31A92" w:rsidRDefault="0042692C" w:rsidP="0042692C">
      <w:pPr>
        <w:keepNext/>
        <w:overflowPunct w:val="0"/>
        <w:autoSpaceDE w:val="0"/>
        <w:autoSpaceDN w:val="0"/>
        <w:adjustRightInd w:val="0"/>
        <w:textAlignment w:val="baseline"/>
      </w:pPr>
    </w:p>
    <w:p w14:paraId="22036BB8" w14:textId="77777777" w:rsidR="0042692C" w:rsidRPr="00B31A92" w:rsidRDefault="0042692C" w:rsidP="0042692C">
      <w:pPr>
        <w:keepNext/>
        <w:overflowPunct w:val="0"/>
        <w:autoSpaceDE w:val="0"/>
        <w:autoSpaceDN w:val="0"/>
        <w:adjustRightInd w:val="0"/>
        <w:textAlignment w:val="baseline"/>
      </w:pPr>
      <w:r w:rsidRPr="00B31A92">
        <w:t xml:space="preserve">Tietosuojaan liittyen ETSK toivoo lisäksi, että kaikille julkisten laitosten ja virastojen työntekijöille annettaisiin koulutusta tietohallinnon, tietosuojan ja kyberturvallisuuden alalla. </w:t>
      </w:r>
    </w:p>
    <w:p w14:paraId="074498FE" w14:textId="77777777" w:rsidR="0042692C" w:rsidRPr="00B31A92" w:rsidRDefault="0042692C" w:rsidP="0042692C">
      <w:pPr>
        <w:keepNext/>
        <w:overflowPunct w:val="0"/>
        <w:autoSpaceDE w:val="0"/>
        <w:autoSpaceDN w:val="0"/>
        <w:adjustRightInd w:val="0"/>
        <w:textAlignment w:val="baseline"/>
      </w:pPr>
    </w:p>
    <w:p w14:paraId="56631492" w14:textId="6DAE04BD" w:rsidR="00797F04" w:rsidRPr="00B31A92" w:rsidRDefault="0042692C" w:rsidP="0042692C">
      <w:pPr>
        <w:keepNext/>
        <w:overflowPunct w:val="0"/>
        <w:autoSpaceDE w:val="0"/>
        <w:autoSpaceDN w:val="0"/>
        <w:adjustRightInd w:val="0"/>
        <w:textAlignment w:val="baseline"/>
        <w:rPr>
          <w:szCs w:val="20"/>
        </w:rPr>
      </w:pPr>
      <w:r w:rsidRPr="00B31A92">
        <w:t>Lopuksi ETSK katsoo, että EU:n kyberturvallisuusstrategiassa ja -politiikassa on otettava huomioon erityisesti seuraavat näkökohdat: EU:n vahva johtoasema; yksityisyyden ja muiden perusoikeuksien takaaminen; kansalaisten valveuttaminen; yritysten tietoperusteinen ja vastuullinen toiminta; valtiovallan, yksityisen sektorin ja kansalaisten tiivis kumppanuus; asianmukaiset tekniset standardit ja investointien riittävä taso erityisesti tutkimuksen ja kehittämisen alalla; EU:n sitoutuminen kansainvälisellä tasolla.</w:t>
      </w:r>
    </w:p>
    <w:p w14:paraId="56631496" w14:textId="77777777" w:rsidR="00797F04" w:rsidRPr="00B31A92" w:rsidRDefault="00797F04" w:rsidP="00673BA2">
      <w:pPr>
        <w:overflowPunct w:val="0"/>
        <w:autoSpaceDE w:val="0"/>
        <w:autoSpaceDN w:val="0"/>
        <w:adjustRightInd w:val="0"/>
        <w:textAlignment w:val="baseline"/>
      </w:pPr>
    </w:p>
    <w:p w14:paraId="069C0698" w14:textId="6AD93E77" w:rsidR="0026702F" w:rsidRPr="00B31A92" w:rsidRDefault="0026702F" w:rsidP="0026702F">
      <w:pPr>
        <w:tabs>
          <w:tab w:val="left" w:pos="1701"/>
        </w:tabs>
        <w:rPr>
          <w:i/>
        </w:rPr>
      </w:pPr>
      <w:r w:rsidRPr="00B31A92">
        <w:rPr>
          <w:b/>
          <w:i/>
        </w:rPr>
        <w:t>Yhteyshenkilö:</w:t>
      </w:r>
      <w:r w:rsidRPr="00B31A92">
        <w:rPr>
          <w:b/>
          <w:i/>
        </w:rPr>
        <w:tab/>
      </w:r>
      <w:r w:rsidRPr="00B31A92">
        <w:rPr>
          <w:i/>
        </w:rPr>
        <w:t>Cédric Cabanne</w:t>
      </w:r>
    </w:p>
    <w:p w14:paraId="2AB5985D" w14:textId="55691885" w:rsidR="0026702F" w:rsidRPr="00B31A92" w:rsidRDefault="0026702F" w:rsidP="0026702F">
      <w:pPr>
        <w:keepNext/>
        <w:keepLines/>
        <w:tabs>
          <w:tab w:val="center" w:pos="284"/>
        </w:tabs>
        <w:ind w:left="266" w:hanging="266"/>
        <w:rPr>
          <w:i/>
        </w:rPr>
      </w:pPr>
      <w:r w:rsidRPr="00B31A92">
        <w:rPr>
          <w:i/>
        </w:rPr>
        <w:tab/>
      </w:r>
      <w:r w:rsidRPr="00B31A92">
        <w:rPr>
          <w:i/>
        </w:rPr>
        <w:tab/>
      </w:r>
      <w:r w:rsidRPr="00B31A92">
        <w:rPr>
          <w:i/>
        </w:rPr>
        <w:tab/>
      </w:r>
      <w:r w:rsidRPr="00B31A92">
        <w:rPr>
          <w:i/>
        </w:rPr>
        <w:tab/>
      </w:r>
      <w:r w:rsidR="009E5E6C" w:rsidRPr="00B31A92">
        <w:rPr>
          <w:i/>
        </w:rPr>
        <w:tab/>
      </w:r>
      <w:r w:rsidRPr="00B31A92">
        <w:rPr>
          <w:i/>
        </w:rPr>
        <w:t>(P. +32 25469355 – sähköposti:</w:t>
      </w:r>
      <w:r w:rsidRPr="00B31A92">
        <w:t xml:space="preserve"> </w:t>
      </w:r>
      <w:hyperlink r:id="rId43" w:history="1">
        <w:r w:rsidRPr="00B31A92">
          <w:rPr>
            <w:rStyle w:val="Hyperlink"/>
            <w:i/>
          </w:rPr>
          <w:t>cedric.cabanne@eesc.europa.eu</w:t>
        </w:r>
      </w:hyperlink>
      <w:r w:rsidRPr="00B31A92">
        <w:rPr>
          <w:i/>
        </w:rPr>
        <w:t>)</w:t>
      </w:r>
    </w:p>
    <w:p w14:paraId="566314FD" w14:textId="77777777" w:rsidR="00B7390A" w:rsidRPr="00B31A92" w:rsidRDefault="00B7390A" w:rsidP="00673BA2"/>
    <w:p w14:paraId="566314FE" w14:textId="77777777" w:rsidR="00673BA2" w:rsidRPr="00B31A92" w:rsidRDefault="00673BA2" w:rsidP="00673BA2"/>
    <w:p w14:paraId="566314FF" w14:textId="4667BC3F" w:rsidR="0034657E" w:rsidRPr="00B31A92" w:rsidRDefault="00CF6BA9" w:rsidP="00673BA2">
      <w:pPr>
        <w:pStyle w:val="Heading1"/>
        <w:keepNext/>
        <w:numPr>
          <w:ilvl w:val="0"/>
          <w:numId w:val="168"/>
        </w:numPr>
        <w:rPr>
          <w:b/>
        </w:rPr>
      </w:pPr>
      <w:bookmarkStart w:id="27" w:name="_Toc471377323"/>
      <w:r w:rsidRPr="00B31A92">
        <w:rPr>
          <w:b/>
        </w:rPr>
        <w:t>LIIKENNE</w:t>
      </w:r>
      <w:r w:rsidR="0026702F" w:rsidRPr="00B31A92">
        <w:rPr>
          <w:b/>
        </w:rPr>
        <w:t xml:space="preserve"> / VIESTINTÄ</w:t>
      </w:r>
      <w:bookmarkEnd w:id="27"/>
    </w:p>
    <w:p w14:paraId="56631501" w14:textId="77777777" w:rsidR="00EE4EDD" w:rsidRPr="00B31A92" w:rsidRDefault="00EE4EDD" w:rsidP="00673BA2">
      <w:pPr>
        <w:keepNext/>
      </w:pPr>
    </w:p>
    <w:p w14:paraId="56631502" w14:textId="07C8D5B0" w:rsidR="00B7390A" w:rsidRPr="00B31A92" w:rsidRDefault="0074616E" w:rsidP="0074616E">
      <w:pPr>
        <w:keepNext/>
        <w:numPr>
          <w:ilvl w:val="0"/>
          <w:numId w:val="153"/>
        </w:numPr>
        <w:overflowPunct w:val="0"/>
        <w:autoSpaceDE w:val="0"/>
        <w:autoSpaceDN w:val="0"/>
        <w:adjustRightInd w:val="0"/>
        <w:ind w:left="567" w:hanging="567"/>
        <w:rPr>
          <w:b/>
          <w:i/>
          <w:sz w:val="28"/>
        </w:rPr>
      </w:pPr>
      <w:r w:rsidRPr="00B31A92">
        <w:rPr>
          <w:b/>
          <w:i/>
          <w:sz w:val="28"/>
        </w:rPr>
        <w:t>Ilmailupaketti II</w:t>
      </w:r>
    </w:p>
    <w:p w14:paraId="56631503" w14:textId="77777777" w:rsidR="00B7390A" w:rsidRPr="00B31A92" w:rsidRDefault="00B7390A" w:rsidP="00673BA2">
      <w:pPr>
        <w:keepNext/>
        <w:rPr>
          <w:bCs/>
          <w:szCs w:val="20"/>
        </w:rPr>
      </w:pPr>
    </w:p>
    <w:p w14:paraId="56631504" w14:textId="09851FF0" w:rsidR="00B7390A" w:rsidRPr="00B31A92" w:rsidRDefault="00B7390A" w:rsidP="00673BA2">
      <w:pPr>
        <w:keepNext/>
        <w:ind w:left="1701" w:hanging="1701"/>
        <w:rPr>
          <w:bCs/>
        </w:rPr>
      </w:pPr>
      <w:r w:rsidRPr="00B31A92">
        <w:rPr>
          <w:b/>
        </w:rPr>
        <w:t>Esittelijä:</w:t>
      </w:r>
      <w:r w:rsidRPr="00B31A92">
        <w:tab/>
      </w:r>
      <w:r w:rsidR="00AB5633" w:rsidRPr="00B31A92">
        <w:tab/>
        <w:t>Raymond HENCKS (työntekijät – LU</w:t>
      </w:r>
      <w:r w:rsidRPr="00B31A92">
        <w:t>)</w:t>
      </w:r>
    </w:p>
    <w:p w14:paraId="56631505" w14:textId="77777777" w:rsidR="00B7390A" w:rsidRPr="00B31A92" w:rsidRDefault="00B7390A" w:rsidP="00673BA2">
      <w:pPr>
        <w:keepNext/>
        <w:ind w:left="1701" w:hanging="1701"/>
        <w:rPr>
          <w:bCs/>
        </w:rPr>
      </w:pPr>
    </w:p>
    <w:p w14:paraId="2522EF87" w14:textId="0F26B1EC" w:rsidR="00AB5633" w:rsidRPr="00B31A92" w:rsidRDefault="00AB5633" w:rsidP="00673BA2">
      <w:pPr>
        <w:keepNext/>
        <w:tabs>
          <w:tab w:val="num" w:pos="550"/>
        </w:tabs>
        <w:ind w:left="1701" w:hanging="1701"/>
        <w:rPr>
          <w:b/>
        </w:rPr>
      </w:pPr>
      <w:r w:rsidRPr="00B31A92">
        <w:rPr>
          <w:b/>
        </w:rPr>
        <w:t>Toinen esittelijä:</w:t>
      </w:r>
      <w:r w:rsidRPr="00B31A92">
        <w:rPr>
          <w:b/>
        </w:rPr>
        <w:tab/>
      </w:r>
      <w:r w:rsidRPr="00B31A92">
        <w:rPr>
          <w:b/>
        </w:rPr>
        <w:tab/>
      </w:r>
      <w:r w:rsidRPr="00B31A92">
        <w:t>Stefan BACK (työnantajat – SE)</w:t>
      </w:r>
    </w:p>
    <w:p w14:paraId="484BDAEB" w14:textId="77777777" w:rsidR="00AB5633" w:rsidRPr="00B31A92" w:rsidRDefault="00AB5633" w:rsidP="00673BA2">
      <w:pPr>
        <w:keepNext/>
        <w:tabs>
          <w:tab w:val="num" w:pos="550"/>
        </w:tabs>
        <w:ind w:left="1701" w:hanging="1701"/>
        <w:rPr>
          <w:b/>
        </w:rPr>
      </w:pPr>
    </w:p>
    <w:p w14:paraId="1DCA96E3" w14:textId="77777777" w:rsidR="00AB5633" w:rsidRPr="00B31A92" w:rsidRDefault="00B7390A" w:rsidP="00AB5633">
      <w:pPr>
        <w:tabs>
          <w:tab w:val="left" w:pos="1980"/>
        </w:tabs>
      </w:pPr>
      <w:r w:rsidRPr="00B31A92">
        <w:rPr>
          <w:b/>
        </w:rPr>
        <w:t>Viiteasiakirjat:</w:t>
      </w:r>
      <w:r w:rsidRPr="00B31A92">
        <w:t xml:space="preserve"> </w:t>
      </w:r>
      <w:r w:rsidRPr="00B31A92">
        <w:tab/>
      </w:r>
      <w:r w:rsidR="00AB5633" w:rsidRPr="00B31A92">
        <w:tab/>
        <w:t>COM(2015) 613 final</w:t>
      </w:r>
    </w:p>
    <w:p w14:paraId="56631507" w14:textId="28F7690A" w:rsidR="00B7390A" w:rsidRPr="00B31A92" w:rsidRDefault="00AB5633" w:rsidP="00C169F8">
      <w:pPr>
        <w:tabs>
          <w:tab w:val="num" w:pos="550"/>
        </w:tabs>
        <w:ind w:left="1701" w:hanging="1701"/>
        <w:rPr>
          <w:bCs/>
        </w:rPr>
      </w:pPr>
      <w:r w:rsidRPr="00B31A92">
        <w:rPr>
          <w:b/>
        </w:rPr>
        <w:tab/>
      </w:r>
      <w:r w:rsidRPr="00B31A92">
        <w:rPr>
          <w:b/>
        </w:rPr>
        <w:tab/>
      </w:r>
      <w:r w:rsidRPr="00B31A92">
        <w:rPr>
          <w:b/>
        </w:rPr>
        <w:tab/>
      </w:r>
      <w:r w:rsidRPr="00B31A92">
        <w:t>EESC-2016-02832-00-00-AC-TRA</w:t>
      </w:r>
    </w:p>
    <w:p w14:paraId="56631508" w14:textId="77777777" w:rsidR="00B7390A" w:rsidRPr="00B31A92" w:rsidRDefault="00B7390A" w:rsidP="00673BA2">
      <w:pPr>
        <w:keepNext/>
        <w:rPr>
          <w:szCs w:val="20"/>
        </w:rPr>
      </w:pPr>
    </w:p>
    <w:p w14:paraId="56631509" w14:textId="77777777" w:rsidR="00B7390A" w:rsidRPr="00B31A92" w:rsidRDefault="00B7390A" w:rsidP="00673BA2">
      <w:pPr>
        <w:keepNext/>
        <w:rPr>
          <w:b/>
        </w:rPr>
      </w:pPr>
      <w:r w:rsidRPr="00B31A92">
        <w:rPr>
          <w:b/>
        </w:rPr>
        <w:t>Keskeiset kohdat:</w:t>
      </w:r>
    </w:p>
    <w:p w14:paraId="5663150A" w14:textId="77777777" w:rsidR="0045436B" w:rsidRPr="00B31A92" w:rsidRDefault="0045436B" w:rsidP="00673BA2">
      <w:pPr>
        <w:keepNext/>
      </w:pPr>
    </w:p>
    <w:p w14:paraId="2AFAE26F" w14:textId="77777777" w:rsidR="003A0710" w:rsidRPr="00B31A92" w:rsidRDefault="003A0710" w:rsidP="003A0710">
      <w:r w:rsidRPr="00B31A92">
        <w:t xml:space="preserve">ETSK kannattaa komission ehdotusta, jolla on tarkoitus ottaa käyttöön uusi turvallisuussääntöjä koskeva lähestymistapa, joka pohjautuu riskinarviointiin ja suorituskykyyn. ETSK yhtyy myös ehdotukseen siitä, että EASAlle annettaisiin entistä suurempi vastuu turvallisuudesta yhteistyössä ja yhteisymmärryksessä jäsenvaltioiden kanssa. Näiden työmenetelmiä ja toimintakulttuuria koskevien muutosten täytäntöönpanon onnistuminen vaatii asianmukaisia resursseja sekä avointa ja osallistavaa lähestymistapaa. Esille nostetaan muun muassa seuraavat keskeiset kohdat: </w:t>
      </w:r>
    </w:p>
    <w:p w14:paraId="6893F71F" w14:textId="77777777" w:rsidR="003A0710" w:rsidRPr="00B31A92" w:rsidRDefault="003A0710" w:rsidP="003A0710"/>
    <w:p w14:paraId="0F7C49B0" w14:textId="2061613A" w:rsidR="003A0710" w:rsidRPr="00B31A92" w:rsidRDefault="003A0710" w:rsidP="00E0027C">
      <w:pPr>
        <w:pStyle w:val="ListParagraph"/>
        <w:numPr>
          <w:ilvl w:val="0"/>
          <w:numId w:val="177"/>
        </w:numPr>
        <w:tabs>
          <w:tab w:val="clear" w:pos="0"/>
        </w:tabs>
        <w:ind w:left="284"/>
      </w:pPr>
      <w:r w:rsidRPr="00B31A92">
        <w:t xml:space="preserve">Tulisi harkita mahdollisuutta asettaa sertifiointivaatimus niin maahuolintapalvelujen tarjoajille kuin henkilöstölle, jolla on turvallisuuden kannalta kriittisen tärkeä rooli. </w:t>
      </w:r>
    </w:p>
    <w:p w14:paraId="29DF668C" w14:textId="504CB876" w:rsidR="003A0710" w:rsidRPr="00B31A92" w:rsidRDefault="003A0710" w:rsidP="00E0027C">
      <w:pPr>
        <w:pStyle w:val="ListParagraph"/>
        <w:numPr>
          <w:ilvl w:val="0"/>
          <w:numId w:val="177"/>
        </w:numPr>
        <w:tabs>
          <w:tab w:val="clear" w:pos="0"/>
        </w:tabs>
        <w:ind w:left="284"/>
      </w:pPr>
      <w:r w:rsidRPr="00B31A92">
        <w:t xml:space="preserve">Vuoden 2008 jälkeiset kehityskulut huomioon ottaen asetusta (EY) 300/2008 tulisi tarkistaa. </w:t>
      </w:r>
    </w:p>
    <w:p w14:paraId="630F30AC" w14:textId="746A1E19" w:rsidR="003A0710" w:rsidRPr="00B31A92" w:rsidRDefault="003A0710" w:rsidP="00E0027C">
      <w:pPr>
        <w:pStyle w:val="ListParagraph"/>
        <w:numPr>
          <w:ilvl w:val="0"/>
          <w:numId w:val="177"/>
        </w:numPr>
        <w:tabs>
          <w:tab w:val="clear" w:pos="0"/>
        </w:tabs>
        <w:ind w:left="284"/>
      </w:pPr>
      <w:r w:rsidRPr="00B31A92">
        <w:t xml:space="preserve">Komission olisi pitänyt myös ehdottaa matkustamomiehistöä koskevaa lupakirjajärjestelmää. </w:t>
      </w:r>
    </w:p>
    <w:p w14:paraId="068AD4C9" w14:textId="0B35D358" w:rsidR="003A0710" w:rsidRPr="00B31A92" w:rsidRDefault="003A0710" w:rsidP="00E0027C">
      <w:pPr>
        <w:pStyle w:val="ListParagraph"/>
        <w:numPr>
          <w:ilvl w:val="0"/>
          <w:numId w:val="177"/>
        </w:numPr>
        <w:tabs>
          <w:tab w:val="clear" w:pos="0"/>
        </w:tabs>
        <w:ind w:left="284"/>
      </w:pPr>
      <w:r w:rsidRPr="00B31A92">
        <w:t xml:space="preserve">Komitea kannattaa miehittämättömien ilma-alusten sisällyttämistä ehdotuksen soveltamisalaan ja korostaa vaatimustasoltaan korkeiden standardien asettamisen tärkeyttä. </w:t>
      </w:r>
    </w:p>
    <w:p w14:paraId="240244EE" w14:textId="412A35A1" w:rsidR="003A0710" w:rsidRPr="00B31A92" w:rsidRDefault="003A0710" w:rsidP="00E0027C">
      <w:pPr>
        <w:pStyle w:val="ListParagraph"/>
        <w:numPr>
          <w:ilvl w:val="0"/>
          <w:numId w:val="177"/>
        </w:numPr>
        <w:tabs>
          <w:tab w:val="clear" w:pos="0"/>
        </w:tabs>
        <w:ind w:left="284"/>
      </w:pPr>
      <w:r w:rsidRPr="00B31A92">
        <w:t xml:space="preserve">Turvallisuuden parantamistarkoituksiin saatuja tietoja ei tulisi käyttää oikeusjärjestelmässä muuten kuin poikkeuksellisissa olosuhteissa, kuten tahallisen laiminlyönnin tapauksessa. </w:t>
      </w:r>
    </w:p>
    <w:p w14:paraId="594C61AF" w14:textId="55419C28" w:rsidR="003A0710" w:rsidRPr="00B31A92" w:rsidRDefault="003A0710" w:rsidP="00E0027C">
      <w:pPr>
        <w:pStyle w:val="ListParagraph"/>
        <w:numPr>
          <w:ilvl w:val="0"/>
          <w:numId w:val="177"/>
        </w:numPr>
        <w:tabs>
          <w:tab w:val="clear" w:pos="0"/>
        </w:tabs>
        <w:ind w:left="284"/>
      </w:pPr>
      <w:r w:rsidRPr="00B31A92">
        <w:t xml:space="preserve">ETSK varoittaa lentopaikan laitteiden sertifiointi- tai valvontavaatimusten tarpeettomasta mutkikkuudesta ja päällekkäisyydestä, lukuun ottamatta tapauksissa, joissa se on turvallisuussyistä selkeästi tarpeen. </w:t>
      </w:r>
    </w:p>
    <w:p w14:paraId="2608F4EC" w14:textId="04C97E9F" w:rsidR="003A0710" w:rsidRPr="00B31A92" w:rsidRDefault="003A0710" w:rsidP="00E0027C">
      <w:pPr>
        <w:pStyle w:val="ListParagraph"/>
        <w:numPr>
          <w:ilvl w:val="0"/>
          <w:numId w:val="177"/>
        </w:numPr>
        <w:tabs>
          <w:tab w:val="clear" w:pos="0"/>
        </w:tabs>
        <w:ind w:left="284"/>
      </w:pPr>
      <w:r w:rsidRPr="00B31A92">
        <w:t xml:space="preserve">Useissa EU-maissa toimiville eurooppalaisille toiminnanharjoittajille tarjotun mahdollisuuden valita EASA toimivaltaiseksi viranomaisekseen tulisi edellyttää asiasta ilmoittamista toimivaltaiselle kansalliselle viranomaiselle tai toimivaltaisille kansallisille viranomaisille. </w:t>
      </w:r>
    </w:p>
    <w:p w14:paraId="25089599" w14:textId="6C313137" w:rsidR="003A0710" w:rsidRPr="00B31A92" w:rsidRDefault="003A0710" w:rsidP="00E0027C">
      <w:pPr>
        <w:pStyle w:val="ListParagraph"/>
        <w:numPr>
          <w:ilvl w:val="0"/>
          <w:numId w:val="177"/>
        </w:numPr>
        <w:tabs>
          <w:tab w:val="clear" w:pos="0"/>
        </w:tabs>
        <w:ind w:left="284"/>
      </w:pPr>
      <w:r w:rsidRPr="00B31A92">
        <w:t xml:space="preserve">Oikeudenmukainen toimintaympäristö on turvattava, ja ETSK toistaa ehdotuksensa oikeudenmukaista toimintaympäristöä koskevan peruskirjan kehittämisestä ja täytäntöönpanosta. </w:t>
      </w:r>
    </w:p>
    <w:p w14:paraId="5A3F1619" w14:textId="68482439" w:rsidR="003A0710" w:rsidRPr="00B31A92" w:rsidRDefault="003A0710" w:rsidP="00E0027C">
      <w:pPr>
        <w:pStyle w:val="ListParagraph"/>
        <w:numPr>
          <w:ilvl w:val="0"/>
          <w:numId w:val="177"/>
        </w:numPr>
        <w:tabs>
          <w:tab w:val="clear" w:pos="0"/>
        </w:tabs>
        <w:ind w:left="284"/>
      </w:pPr>
      <w:r w:rsidRPr="00B31A92">
        <w:t xml:space="preserve">Komitea vastustaa ehdotusta määräykseksi yhtenäisen ilmatilan palveluita koskevista maksuista keinona EASAn toiminnan rahoittamiseksi. </w:t>
      </w:r>
    </w:p>
    <w:p w14:paraId="3F3D3107" w14:textId="77777777" w:rsidR="003A0710" w:rsidRPr="00B31A92" w:rsidRDefault="003A0710" w:rsidP="003A0710"/>
    <w:p w14:paraId="56631513" w14:textId="298EB33C" w:rsidR="0045436B" w:rsidRPr="00B31A92" w:rsidRDefault="003A0710" w:rsidP="003A0710">
      <w:r w:rsidRPr="00B31A92">
        <w:t>ETSK vastustaa miehistöineen tapahtuvaa vuokrausta koskevien varsinaisten määräysten muuttamista tässä vaiheessa ja katsoo, että tätä kysymystä tulisi käsitellä asetuksen 1008/2008 tarkastuksen yhteydessä.</w:t>
      </w:r>
    </w:p>
    <w:p w14:paraId="56631514" w14:textId="77777777" w:rsidR="0045436B" w:rsidRPr="00B31A92" w:rsidRDefault="0045436B" w:rsidP="00673BA2"/>
    <w:p w14:paraId="7412E04C" w14:textId="60E657B3" w:rsidR="00847A49" w:rsidRPr="00B31A92" w:rsidRDefault="00847A49" w:rsidP="00847A49">
      <w:pPr>
        <w:rPr>
          <w:i/>
          <w:iCs/>
        </w:rPr>
      </w:pPr>
      <w:r w:rsidRPr="00B31A92">
        <w:rPr>
          <w:b/>
          <w:i/>
        </w:rPr>
        <w:t>Yhteyshenkilö:</w:t>
      </w:r>
      <w:r w:rsidRPr="00B31A92">
        <w:tab/>
      </w:r>
      <w:r w:rsidRPr="00B31A92">
        <w:rPr>
          <w:i/>
        </w:rPr>
        <w:t>Andrei Popescu</w:t>
      </w:r>
    </w:p>
    <w:p w14:paraId="1333C217" w14:textId="113FB074" w:rsidR="00847A49" w:rsidRPr="00B31A92" w:rsidRDefault="00847A49" w:rsidP="00847A49">
      <w:pPr>
        <w:rPr>
          <w:i/>
        </w:rPr>
      </w:pPr>
      <w:r w:rsidRPr="00B31A92">
        <w:rPr>
          <w:i/>
        </w:rPr>
        <w:tab/>
      </w:r>
      <w:r w:rsidRPr="00B31A92">
        <w:rPr>
          <w:i/>
        </w:rPr>
        <w:tab/>
      </w:r>
      <w:r w:rsidR="002E19C5" w:rsidRPr="00B31A92">
        <w:rPr>
          <w:i/>
        </w:rPr>
        <w:tab/>
      </w:r>
      <w:r w:rsidRPr="00B31A92">
        <w:rPr>
          <w:i/>
        </w:rPr>
        <w:t>(</w:t>
      </w:r>
      <w:r w:rsidR="002E19C5" w:rsidRPr="00B31A92">
        <w:rPr>
          <w:i/>
        </w:rPr>
        <w:t>P.</w:t>
      </w:r>
      <w:r w:rsidRPr="00B31A92">
        <w:rPr>
          <w:i/>
        </w:rPr>
        <w:t xml:space="preserve"> +32 25469186 – sähköposti:</w:t>
      </w:r>
      <w:r w:rsidRPr="00B31A92">
        <w:t xml:space="preserve"> </w:t>
      </w:r>
      <w:hyperlink r:id="rId44" w:history="1">
        <w:r w:rsidRPr="00B31A92">
          <w:rPr>
            <w:rStyle w:val="Hyperlink"/>
            <w:i/>
          </w:rPr>
          <w:t>andrei.popescu@eesc.europa.eu</w:t>
        </w:r>
      </w:hyperlink>
      <w:r w:rsidRPr="00B31A92">
        <w:t>)</w:t>
      </w:r>
    </w:p>
    <w:p w14:paraId="56631518" w14:textId="77777777" w:rsidR="00D05BB8" w:rsidRPr="00B31A92" w:rsidRDefault="00D05BB8" w:rsidP="00673BA2"/>
    <w:p w14:paraId="5BA8DFC8" w14:textId="77777777" w:rsidR="00C169F8" w:rsidRPr="00B31A92" w:rsidRDefault="00C169F8" w:rsidP="00673BA2"/>
    <w:p w14:paraId="56631519" w14:textId="06000F87" w:rsidR="00B7390A" w:rsidRPr="00B31A92" w:rsidRDefault="002F79C6" w:rsidP="002F79C6">
      <w:pPr>
        <w:keepNext/>
        <w:numPr>
          <w:ilvl w:val="0"/>
          <w:numId w:val="155"/>
        </w:numPr>
        <w:overflowPunct w:val="0"/>
        <w:autoSpaceDE w:val="0"/>
        <w:autoSpaceDN w:val="0"/>
        <w:adjustRightInd w:val="0"/>
        <w:ind w:left="567" w:hanging="567"/>
        <w:rPr>
          <w:b/>
          <w:i/>
          <w:sz w:val="28"/>
        </w:rPr>
      </w:pPr>
      <w:r w:rsidRPr="00B31A92">
        <w:rPr>
          <w:b/>
          <w:i/>
          <w:sz w:val="28"/>
        </w:rPr>
        <w:t>Verkkoalustoja koskeva tiedonanto</w:t>
      </w:r>
    </w:p>
    <w:p w14:paraId="5663151A" w14:textId="77777777" w:rsidR="00B7390A" w:rsidRPr="00B31A92" w:rsidRDefault="00B7390A" w:rsidP="00673BA2">
      <w:pPr>
        <w:keepNext/>
        <w:rPr>
          <w:bCs/>
          <w:szCs w:val="20"/>
        </w:rPr>
      </w:pPr>
    </w:p>
    <w:p w14:paraId="5663151B" w14:textId="6DBEE1F8" w:rsidR="00B7390A" w:rsidRPr="00B31A92" w:rsidRDefault="00B7390A" w:rsidP="00673BA2">
      <w:pPr>
        <w:keepNext/>
        <w:ind w:left="1701" w:hanging="1701"/>
        <w:rPr>
          <w:bCs/>
        </w:rPr>
      </w:pPr>
      <w:r w:rsidRPr="00B31A92">
        <w:rPr>
          <w:b/>
        </w:rPr>
        <w:t>Esittelijä:</w:t>
      </w:r>
      <w:r w:rsidRPr="00B31A92">
        <w:tab/>
      </w:r>
      <w:r w:rsidR="00466797" w:rsidRPr="00B31A92">
        <w:tab/>
        <w:t>Thomas McDONOGH (työnantajat – IE</w:t>
      </w:r>
      <w:r w:rsidRPr="00B31A92">
        <w:t>)</w:t>
      </w:r>
    </w:p>
    <w:p w14:paraId="5663151C" w14:textId="77777777" w:rsidR="00B7390A" w:rsidRPr="00B31A92" w:rsidRDefault="00B7390A" w:rsidP="00673BA2">
      <w:pPr>
        <w:keepNext/>
        <w:ind w:left="1701" w:hanging="1701"/>
        <w:rPr>
          <w:bCs/>
        </w:rPr>
      </w:pPr>
    </w:p>
    <w:p w14:paraId="5607AF9F" w14:textId="6C21F4F2" w:rsidR="00466797" w:rsidRPr="00B31A92" w:rsidRDefault="00B7390A" w:rsidP="00466797">
      <w:pPr>
        <w:tabs>
          <w:tab w:val="num" w:pos="550"/>
          <w:tab w:val="left" w:pos="1980"/>
        </w:tabs>
      </w:pPr>
      <w:r w:rsidRPr="00B31A92">
        <w:rPr>
          <w:b/>
        </w:rPr>
        <w:t>Viiteasiakirjat:</w:t>
      </w:r>
      <w:r w:rsidRPr="00B31A92">
        <w:t xml:space="preserve"> </w:t>
      </w:r>
      <w:r w:rsidRPr="00B31A92">
        <w:tab/>
      </w:r>
      <w:r w:rsidR="00466797" w:rsidRPr="00B31A92">
        <w:tab/>
        <w:t xml:space="preserve">COM(2016) 288 final </w:t>
      </w:r>
    </w:p>
    <w:p w14:paraId="5663151E" w14:textId="6EA28700" w:rsidR="00B7390A" w:rsidRPr="00B31A92" w:rsidRDefault="00466797" w:rsidP="00C169F8">
      <w:pPr>
        <w:tabs>
          <w:tab w:val="num" w:pos="550"/>
        </w:tabs>
        <w:ind w:left="1701" w:hanging="1701"/>
        <w:rPr>
          <w:bCs/>
        </w:rPr>
      </w:pPr>
      <w:r w:rsidRPr="00B31A92">
        <w:tab/>
      </w:r>
      <w:r w:rsidRPr="00B31A92">
        <w:tab/>
      </w:r>
      <w:r w:rsidRPr="00B31A92">
        <w:tab/>
        <w:t>EESC-2016-04519-00-00-AC-TRA</w:t>
      </w:r>
    </w:p>
    <w:p w14:paraId="5663151F" w14:textId="77777777" w:rsidR="00B7390A" w:rsidRPr="00B31A92" w:rsidRDefault="00B7390A" w:rsidP="00673BA2">
      <w:pPr>
        <w:keepNext/>
        <w:rPr>
          <w:szCs w:val="20"/>
        </w:rPr>
      </w:pPr>
    </w:p>
    <w:p w14:paraId="56631520" w14:textId="77777777" w:rsidR="00B7390A" w:rsidRPr="00B31A92" w:rsidRDefault="00B7390A" w:rsidP="00673BA2">
      <w:pPr>
        <w:keepNext/>
        <w:rPr>
          <w:b/>
        </w:rPr>
      </w:pPr>
      <w:r w:rsidRPr="00B31A92">
        <w:rPr>
          <w:b/>
        </w:rPr>
        <w:t>Keskeiset kohdat:</w:t>
      </w:r>
    </w:p>
    <w:p w14:paraId="56631521" w14:textId="77777777" w:rsidR="00D13369" w:rsidRPr="00B31A92" w:rsidRDefault="00D13369" w:rsidP="00673BA2">
      <w:pPr>
        <w:keepNext/>
      </w:pPr>
    </w:p>
    <w:p w14:paraId="5A0EBADB" w14:textId="77777777" w:rsidR="002F79C6" w:rsidRPr="00B31A92" w:rsidRDefault="002F79C6" w:rsidP="00D331E8">
      <w:pPr>
        <w:pStyle w:val="ListParagraph"/>
        <w:numPr>
          <w:ilvl w:val="0"/>
          <w:numId w:val="177"/>
        </w:numPr>
        <w:tabs>
          <w:tab w:val="clear" w:pos="0"/>
        </w:tabs>
        <w:ind w:left="284"/>
      </w:pPr>
      <w:r w:rsidRPr="00B31A92">
        <w:t xml:space="preserve">ETSK suhtautuu myönteisesti komission esittämään toimintasuunnitelmaan. Komitea on kuitenkin huolestunut siitä, että EU:n sääntöjä ja strategioita ei kyetä kehittämään yhtä nopeasti kuin digitaaliset markkinat muuttuvat, puhumattakaan niiden täytäntöönpanosta jäsenvaltiotasolla. ETSK on kiinnostunut siitä, kuinka komission ja jäsenvaltioiden eri osapuolten välistä koordinointia voitaisiin parantaa ja millaiset mekanismit olisivat hyödyllisiä. </w:t>
      </w:r>
    </w:p>
    <w:p w14:paraId="3586E616" w14:textId="77777777" w:rsidR="002F79C6" w:rsidRPr="00B31A92" w:rsidRDefault="002F79C6" w:rsidP="00D331E8">
      <w:pPr>
        <w:pStyle w:val="ListParagraph"/>
        <w:numPr>
          <w:ilvl w:val="0"/>
          <w:numId w:val="177"/>
        </w:numPr>
        <w:tabs>
          <w:tab w:val="clear" w:pos="0"/>
        </w:tabs>
        <w:ind w:left="284"/>
      </w:pPr>
      <w:r w:rsidRPr="00B31A92">
        <w:t xml:space="preserve">Komitea korostaa, että hajanaisuuden riskeihin on puututtava ja että on välttämätöntä luoda johdonmukainen EU:n lähestymistapa. Muutoin erilaiset kansalliset säännöt aiheuttavat epävarmuutta, vaikeuttavat aloittelevien yritysten laajentamista ja mahdollisesti myös rajoittavat digitaalisten palvelujen saatavuutta.  </w:t>
      </w:r>
    </w:p>
    <w:p w14:paraId="42790E1B" w14:textId="77777777" w:rsidR="002F79C6" w:rsidRPr="00B31A92" w:rsidRDefault="002F79C6" w:rsidP="00D331E8">
      <w:pPr>
        <w:pStyle w:val="ListParagraph"/>
        <w:numPr>
          <w:ilvl w:val="0"/>
          <w:numId w:val="177"/>
        </w:numPr>
        <w:tabs>
          <w:tab w:val="clear" w:pos="0"/>
        </w:tabs>
        <w:ind w:left="284"/>
      </w:pPr>
      <w:r w:rsidRPr="00B31A92">
        <w:t xml:space="preserve">ETSK suosittaa määrittelemään tarkoin kriittisimmät vahingot yrityksille ja kuluttajille ja sen jälkeen tarkastelemaan tehokkaasti ja täsmällisesti, missä määrin nämä huolenaiheet ovat yhteisiä kaikille verkkoalustoille, alakohtaisia tai liittyvät vain yksittäisiin yrityksiin. ETSK kehottaa myös tekemään monialaista yhteistyötä ja seuraamaan verkkoalustojen kehitystä. </w:t>
      </w:r>
    </w:p>
    <w:p w14:paraId="32C8692C" w14:textId="77777777" w:rsidR="002F79C6" w:rsidRPr="00B31A92" w:rsidRDefault="002F79C6" w:rsidP="00D331E8">
      <w:pPr>
        <w:pStyle w:val="ListParagraph"/>
        <w:numPr>
          <w:ilvl w:val="0"/>
          <w:numId w:val="177"/>
        </w:numPr>
        <w:tabs>
          <w:tab w:val="clear" w:pos="0"/>
        </w:tabs>
        <w:ind w:left="284"/>
      </w:pPr>
      <w:r w:rsidRPr="00B31A92">
        <w:t xml:space="preserve">Komitea korostaa, että monet verkkoalustat ovat yhteistyötalouden tärkeitä osatekijöitä, ja vahvistaa yhteistyötaloutta koskevat havaintonsa, jotka liittyvät etenkin kuluttajansuojaan, työntekijöihin ja itsenäisiin ammatinharjoittajiin. </w:t>
      </w:r>
    </w:p>
    <w:p w14:paraId="7426AF42" w14:textId="77777777" w:rsidR="002F79C6" w:rsidRPr="00B31A92" w:rsidRDefault="002F79C6" w:rsidP="00D331E8">
      <w:pPr>
        <w:pStyle w:val="ListParagraph"/>
        <w:numPr>
          <w:ilvl w:val="0"/>
          <w:numId w:val="177"/>
        </w:numPr>
        <w:tabs>
          <w:tab w:val="clear" w:pos="0"/>
        </w:tabs>
        <w:ind w:left="284"/>
      </w:pPr>
      <w:r w:rsidRPr="00B31A92">
        <w:t xml:space="preserve">ETSK kehottaa luomaan ohjelmia, joilla lisätään kaikenikäisten kansalaisten tietoisuutta ja parannetaan heidän digitaalista lukutaitoaan. Nuorimmat ja iäkkäimmät kansalaiset ovat heikoimmassa asemassa. ETSK kannattaa asiaa koskevan järjestelmällisen koulutuksen ottamista eurooppalaiseksi standardiksi. Lisäksi se kehottaa komissiota arvioimaan verkkoalustojen tarvetta esittää käyttäjäystävällisiä tiivistelmiä. ETSK suhtautuu myönteisesti siihen, että komissio työskentelee verkkoalustojen kanssa luodakseen käytännesäännöt, joiden tarkoituksena on estää verkossa esiintyvää vihapuhetta ja alaikäisiä vahingoittavaa sisältöä, ja katsoo, että on myös otettava käyttöön jonkinlaisia seuraamuksia. </w:t>
      </w:r>
    </w:p>
    <w:p w14:paraId="4EF3F149" w14:textId="77777777" w:rsidR="002F79C6" w:rsidRPr="00B31A92" w:rsidRDefault="002F79C6" w:rsidP="00D331E8">
      <w:pPr>
        <w:pStyle w:val="ListParagraph"/>
        <w:numPr>
          <w:ilvl w:val="0"/>
          <w:numId w:val="177"/>
        </w:numPr>
        <w:tabs>
          <w:tab w:val="clear" w:pos="0"/>
        </w:tabs>
        <w:ind w:left="284"/>
      </w:pPr>
      <w:r w:rsidRPr="00B31A92">
        <w:t xml:space="preserve">Komitea on kuitenkin pettynyt siihen, että komissio on jälleen jättänyt huomiotta verkkoalustojen sosiaalisen ulottuvuuden. Se korostaa, että alustojen sosiaalinen vastuu niiden työntekijöitä – sekä vakinaisia työntekijöitä että uusien työsuhdemuotojen mukaan työskenteleviä – kohtaan on määriteltävä tarkemmin. Lisäksi komitea kehottaa laatimaan EU:n puitteet joukkoistamiselle vähimmäispalkkojen, työaikasääntöjen ja sosiaaliturvaa koskevien sääntöjen heikentämisen tai kiertämisen estämiseksi. </w:t>
      </w:r>
    </w:p>
    <w:p w14:paraId="56631528" w14:textId="1C8E3C46" w:rsidR="00D13369" w:rsidRPr="00B31A92" w:rsidRDefault="002F79C6" w:rsidP="00D331E8">
      <w:pPr>
        <w:pStyle w:val="ListParagraph"/>
        <w:numPr>
          <w:ilvl w:val="0"/>
          <w:numId w:val="177"/>
        </w:numPr>
        <w:tabs>
          <w:tab w:val="clear" w:pos="0"/>
        </w:tabs>
        <w:ind w:left="284"/>
      </w:pPr>
      <w:r w:rsidRPr="00B31A92">
        <w:t>Lopuksi ETSK kehottaa komissiota tarkastelemaan verkkoalustojen toimintaan liittyviä verotusnäkökohtia ja torjumaan käytäntöjä, jotka haittaavat tasapuolisia toimintaedellytyksiä.</w:t>
      </w:r>
    </w:p>
    <w:p w14:paraId="56631529" w14:textId="77777777" w:rsidR="00D13369" w:rsidRPr="00B31A92" w:rsidRDefault="00D13369" w:rsidP="00673BA2"/>
    <w:p w14:paraId="42F68F10" w14:textId="632BD735" w:rsidR="00466797" w:rsidRPr="00B31A92" w:rsidRDefault="00466797" w:rsidP="00466797">
      <w:pPr>
        <w:rPr>
          <w:i/>
          <w:iCs/>
        </w:rPr>
      </w:pPr>
      <w:r w:rsidRPr="00B31A92">
        <w:rPr>
          <w:b/>
          <w:bCs/>
          <w:i/>
          <w:iCs/>
        </w:rPr>
        <w:t>Yhteyshenkilö:</w:t>
      </w:r>
      <w:r w:rsidRPr="00B31A92">
        <w:rPr>
          <w:b/>
          <w:bCs/>
          <w:i/>
          <w:iCs/>
        </w:rPr>
        <w:tab/>
      </w:r>
      <w:r w:rsidRPr="00B31A92">
        <w:rPr>
          <w:i/>
          <w:iCs/>
        </w:rPr>
        <w:t>Erika Paulinova</w:t>
      </w:r>
    </w:p>
    <w:p w14:paraId="07DB28EA" w14:textId="5360FE33" w:rsidR="00466797" w:rsidRPr="00B31A92" w:rsidRDefault="00466797" w:rsidP="00466797">
      <w:pPr>
        <w:tabs>
          <w:tab w:val="left" w:pos="0"/>
          <w:tab w:val="left" w:pos="770"/>
        </w:tabs>
        <w:rPr>
          <w:rStyle w:val="normal--char"/>
          <w:i/>
          <w:iCs/>
        </w:rPr>
      </w:pPr>
      <w:r w:rsidRPr="00B31A92">
        <w:rPr>
          <w:i/>
          <w:iCs/>
        </w:rPr>
        <w:tab/>
      </w:r>
      <w:r w:rsidRPr="00B31A92">
        <w:rPr>
          <w:i/>
          <w:iCs/>
        </w:rPr>
        <w:tab/>
      </w:r>
      <w:r w:rsidR="002E19C5" w:rsidRPr="00B31A92">
        <w:rPr>
          <w:i/>
          <w:iCs/>
        </w:rPr>
        <w:tab/>
      </w:r>
      <w:r w:rsidRPr="00B31A92">
        <w:rPr>
          <w:i/>
          <w:iCs/>
        </w:rPr>
        <w:t xml:space="preserve">(P. +32 25468457 – sähköposti: </w:t>
      </w:r>
      <w:hyperlink r:id="rId45" w:history="1">
        <w:r w:rsidRPr="00B31A92">
          <w:rPr>
            <w:rStyle w:val="Hyperlink"/>
            <w:i/>
            <w:iCs/>
          </w:rPr>
          <w:t>erika.paulinova@eesc.europa.eu</w:t>
        </w:r>
      </w:hyperlink>
      <w:r w:rsidRPr="00B31A92">
        <w:rPr>
          <w:rStyle w:val="normal--char"/>
          <w:i/>
          <w:iCs/>
        </w:rPr>
        <w:t>)</w:t>
      </w:r>
    </w:p>
    <w:p w14:paraId="5663152D" w14:textId="77777777" w:rsidR="00805016" w:rsidRPr="00B31A92" w:rsidRDefault="00805016" w:rsidP="00673BA2"/>
    <w:p w14:paraId="56631542" w14:textId="77777777" w:rsidR="00673BA2" w:rsidRPr="00B31A92" w:rsidRDefault="00673BA2" w:rsidP="00673BA2"/>
    <w:p w14:paraId="56631543" w14:textId="77777777" w:rsidR="0034657E" w:rsidRPr="00B31A92" w:rsidRDefault="0034657E" w:rsidP="00673BA2">
      <w:pPr>
        <w:pStyle w:val="Heading1"/>
        <w:keepNext/>
        <w:rPr>
          <w:b/>
        </w:rPr>
      </w:pPr>
      <w:bookmarkStart w:id="28" w:name="_Toc464460184"/>
      <w:bookmarkStart w:id="29" w:name="_Toc471377324"/>
      <w:r w:rsidRPr="00B31A92">
        <w:rPr>
          <w:b/>
        </w:rPr>
        <w:lastRenderedPageBreak/>
        <w:t>ULKOSUHTEET</w:t>
      </w:r>
      <w:bookmarkEnd w:id="28"/>
      <w:bookmarkEnd w:id="29"/>
    </w:p>
    <w:p w14:paraId="56631545" w14:textId="77777777" w:rsidR="00673BA2" w:rsidRPr="00B31A92" w:rsidRDefault="00673BA2" w:rsidP="00673BA2">
      <w:pPr>
        <w:keepNext/>
        <w:rPr>
          <w:i/>
          <w:iCs/>
          <w:u w:val="single"/>
        </w:rPr>
      </w:pPr>
    </w:p>
    <w:p w14:paraId="56631546" w14:textId="3C55C7FA" w:rsidR="0098597A" w:rsidRPr="00B31A92" w:rsidRDefault="00E50CE1" w:rsidP="00E50CE1">
      <w:pPr>
        <w:keepNext/>
        <w:numPr>
          <w:ilvl w:val="0"/>
          <w:numId w:val="157"/>
        </w:numPr>
        <w:overflowPunct w:val="0"/>
        <w:autoSpaceDE w:val="0"/>
        <w:autoSpaceDN w:val="0"/>
        <w:adjustRightInd w:val="0"/>
        <w:ind w:left="567" w:hanging="567"/>
        <w:rPr>
          <w:b/>
          <w:i/>
          <w:spacing w:val="-2"/>
          <w:sz w:val="28"/>
        </w:rPr>
      </w:pPr>
      <w:r w:rsidRPr="00B31A92">
        <w:rPr>
          <w:b/>
          <w:i/>
          <w:spacing w:val="-2"/>
          <w:sz w:val="28"/>
        </w:rPr>
        <w:t>EU:n ja Turkin kahdenvälisten kauppasuhteiden</w:t>
      </w:r>
      <w:r w:rsidR="002063BB" w:rsidRPr="00B31A92">
        <w:rPr>
          <w:b/>
          <w:i/>
          <w:spacing w:val="-2"/>
          <w:sz w:val="28"/>
        </w:rPr>
        <w:t xml:space="preserve"> </w:t>
      </w:r>
      <w:r w:rsidRPr="00B31A92">
        <w:rPr>
          <w:b/>
          <w:i/>
          <w:spacing w:val="-2"/>
          <w:sz w:val="28"/>
        </w:rPr>
        <w:t>vahvistaminen ja</w:t>
      </w:r>
      <w:r w:rsidR="002063BB" w:rsidRPr="00B31A92">
        <w:rPr>
          <w:b/>
          <w:i/>
          <w:spacing w:val="-2"/>
          <w:sz w:val="28"/>
        </w:rPr>
        <w:t xml:space="preserve"> </w:t>
      </w:r>
      <w:r w:rsidRPr="00B31A92">
        <w:rPr>
          <w:b/>
          <w:i/>
          <w:spacing w:val="-2"/>
          <w:sz w:val="28"/>
        </w:rPr>
        <w:t>tulliliiton uudistaminen</w:t>
      </w:r>
    </w:p>
    <w:p w14:paraId="56631547" w14:textId="77777777" w:rsidR="0098597A" w:rsidRPr="00B31A92" w:rsidRDefault="0098597A" w:rsidP="00673BA2">
      <w:pPr>
        <w:keepNext/>
        <w:tabs>
          <w:tab w:val="center" w:pos="284"/>
        </w:tabs>
        <w:ind w:left="266" w:hanging="266"/>
        <w:rPr>
          <w:b/>
          <w:szCs w:val="20"/>
        </w:rPr>
      </w:pPr>
    </w:p>
    <w:p w14:paraId="56631548" w14:textId="0B03A756" w:rsidR="0098597A" w:rsidRPr="00B31A92" w:rsidRDefault="0098597A" w:rsidP="00673BA2">
      <w:pPr>
        <w:keepNext/>
        <w:ind w:left="1701" w:hanging="1701"/>
      </w:pPr>
      <w:r w:rsidRPr="00B31A92">
        <w:rPr>
          <w:b/>
        </w:rPr>
        <w:t>Esittelijä:</w:t>
      </w:r>
      <w:r w:rsidRPr="00B31A92">
        <w:tab/>
      </w:r>
      <w:r w:rsidR="00774293" w:rsidRPr="00B31A92">
        <w:tab/>
      </w:r>
      <w:r w:rsidRPr="00B31A92">
        <w:t xml:space="preserve">Dimitris </w:t>
      </w:r>
      <w:r w:rsidR="00774293" w:rsidRPr="00B31A92">
        <w:t xml:space="preserve">DIMITRIADIS </w:t>
      </w:r>
      <w:r w:rsidRPr="00B31A92">
        <w:t>(työnantajat – EL)</w:t>
      </w:r>
    </w:p>
    <w:p w14:paraId="56631549" w14:textId="77777777" w:rsidR="0098597A" w:rsidRPr="00B31A92" w:rsidRDefault="0098597A" w:rsidP="00673BA2">
      <w:pPr>
        <w:keepNext/>
        <w:ind w:left="1701" w:hanging="1701"/>
      </w:pPr>
    </w:p>
    <w:p w14:paraId="5663154C" w14:textId="26375593" w:rsidR="0098597A" w:rsidRPr="00B31A92" w:rsidRDefault="0098597A" w:rsidP="00673BA2">
      <w:pPr>
        <w:pStyle w:val="Footer"/>
        <w:keepNext/>
        <w:ind w:left="1701" w:hanging="1701"/>
      </w:pPr>
      <w:r w:rsidRPr="00B31A92">
        <w:rPr>
          <w:b/>
        </w:rPr>
        <w:t>Viiteasiakirja:</w:t>
      </w:r>
      <w:r w:rsidRPr="00B31A92">
        <w:tab/>
      </w:r>
      <w:r w:rsidR="00774293" w:rsidRPr="00B31A92">
        <w:tab/>
        <w:t>EESC-2016-03440-00-00-AC-TRA</w:t>
      </w:r>
    </w:p>
    <w:p w14:paraId="5663154D" w14:textId="77777777" w:rsidR="0098597A" w:rsidRPr="00B31A92" w:rsidRDefault="0098597A" w:rsidP="00673BA2">
      <w:pPr>
        <w:keepNext/>
      </w:pPr>
    </w:p>
    <w:p w14:paraId="5663154E" w14:textId="77777777" w:rsidR="0098597A" w:rsidRPr="00B31A92" w:rsidRDefault="0098597A" w:rsidP="00673BA2">
      <w:pPr>
        <w:keepNext/>
        <w:rPr>
          <w:b/>
        </w:rPr>
      </w:pPr>
      <w:r w:rsidRPr="00B31A92">
        <w:rPr>
          <w:b/>
        </w:rPr>
        <w:t>Keskeiset kohdat:</w:t>
      </w:r>
    </w:p>
    <w:p w14:paraId="56631555" w14:textId="77777777" w:rsidR="0047016B" w:rsidRPr="00B31A92" w:rsidRDefault="0047016B" w:rsidP="00673BA2"/>
    <w:p w14:paraId="552E23A0" w14:textId="77777777" w:rsidR="00D50121" w:rsidRPr="00B31A92" w:rsidRDefault="00D50121" w:rsidP="00D50121">
      <w:r w:rsidRPr="00B31A92">
        <w:t xml:space="preserve">ETSK katsoo, että Turkki on edelleenkin erittäin tärkeä kumppani ja että on olemassa tarvittavaa poliittista tahtoa lisätä yhteistyötä, kunhan varmistetaan, että eurooppalaisia perusarvoja, demokratian periaatteita, oikeusvaltioperiaatetta ja ihmisoikeuksia noudatetaan kaikissa tilanteissa. </w:t>
      </w:r>
    </w:p>
    <w:p w14:paraId="7D7371B5" w14:textId="77777777" w:rsidR="00D50121" w:rsidRPr="00B31A92" w:rsidRDefault="00D50121" w:rsidP="00D50121"/>
    <w:p w14:paraId="50DE36FF" w14:textId="77777777" w:rsidR="00D50121" w:rsidRPr="00B31A92" w:rsidRDefault="00D50121" w:rsidP="00D50121">
      <w:r w:rsidRPr="00B31A92">
        <w:t xml:space="preserve">ETSK katsoo, että nykyinen tulliliittosopimus on käynnissä olevan kehityksen vuoksi vanhentunut ja että sopimusosapuolten on aloitettava vakavalta pohjalta neuvottelut taloussuhteidensa vahvistamisesta ja laadittava uudentyyppinen kauppasopimus, joka vastaa nykyisiä tarpeita. Eri kauppasopimuksiin hiljattain tehdyt mukautukset ja niissä sovelletut parhaat käytänteet ovat muuttaneet malleja, jotka koskevat kestävyysajattelua, avoimuutta ja työmarkkinaosapuolten ja kansalaisyhteiskunnan osallisuutta kansainvälisiin kauppasopimuksiin. </w:t>
      </w:r>
    </w:p>
    <w:p w14:paraId="68200774" w14:textId="77777777" w:rsidR="00D50121" w:rsidRPr="00B31A92" w:rsidRDefault="00D50121" w:rsidP="00D50121"/>
    <w:p w14:paraId="2FCAE973" w14:textId="77777777" w:rsidR="00D50121" w:rsidRPr="00B31A92" w:rsidRDefault="00D50121" w:rsidP="00D50121">
      <w:r w:rsidRPr="00B31A92">
        <w:t xml:space="preserve">ETSK ehdottaa, että uuden sopimuksen puitteisiin sisällytetään seuraavat alat: </w:t>
      </w:r>
    </w:p>
    <w:p w14:paraId="166AA15E" w14:textId="77777777" w:rsidR="00D50121" w:rsidRPr="00B31A92" w:rsidRDefault="00D50121" w:rsidP="00D50121"/>
    <w:p w14:paraId="629853C6" w14:textId="55C76FC1" w:rsidR="00D50121" w:rsidRPr="00B31A92" w:rsidRDefault="00D50121" w:rsidP="00D50121">
      <w:pPr>
        <w:pStyle w:val="ListParagraph"/>
        <w:numPr>
          <w:ilvl w:val="0"/>
          <w:numId w:val="177"/>
        </w:numPr>
        <w:tabs>
          <w:tab w:val="clear" w:pos="0"/>
        </w:tabs>
        <w:ind w:left="284"/>
      </w:pPr>
      <w:r w:rsidRPr="00B31A92">
        <w:t xml:space="preserve">maatalous (kaikkine lausunnossa asetettuine vaatimuksineen) </w:t>
      </w:r>
    </w:p>
    <w:p w14:paraId="1790B857" w14:textId="14DD120A" w:rsidR="00D50121" w:rsidRPr="00B31A92" w:rsidRDefault="00D50121" w:rsidP="00D50121">
      <w:pPr>
        <w:pStyle w:val="ListParagraph"/>
        <w:numPr>
          <w:ilvl w:val="0"/>
          <w:numId w:val="177"/>
        </w:numPr>
        <w:tabs>
          <w:tab w:val="clear" w:pos="0"/>
        </w:tabs>
        <w:ind w:left="284"/>
      </w:pPr>
      <w:r w:rsidRPr="00B31A92">
        <w:t xml:space="preserve">palvelut </w:t>
      </w:r>
    </w:p>
    <w:p w14:paraId="69A4AD9F" w14:textId="114F6559" w:rsidR="00D50121" w:rsidRPr="00B31A92" w:rsidRDefault="00D50121" w:rsidP="00D50121">
      <w:pPr>
        <w:pStyle w:val="ListParagraph"/>
        <w:numPr>
          <w:ilvl w:val="0"/>
          <w:numId w:val="177"/>
        </w:numPr>
        <w:tabs>
          <w:tab w:val="clear" w:pos="0"/>
        </w:tabs>
        <w:ind w:left="284"/>
      </w:pPr>
      <w:r w:rsidRPr="00B31A92">
        <w:t xml:space="preserve">julkiset hankinnat </w:t>
      </w:r>
    </w:p>
    <w:p w14:paraId="0542EFED" w14:textId="5F7A0690" w:rsidR="00D50121" w:rsidRPr="00B31A92" w:rsidRDefault="00D50121" w:rsidP="00D50121">
      <w:pPr>
        <w:pStyle w:val="ListParagraph"/>
        <w:numPr>
          <w:ilvl w:val="0"/>
          <w:numId w:val="177"/>
        </w:numPr>
        <w:tabs>
          <w:tab w:val="clear" w:pos="0"/>
        </w:tabs>
        <w:ind w:left="284"/>
      </w:pPr>
      <w:r w:rsidRPr="00B31A92">
        <w:t xml:space="preserve">jalostamattomat tuotteet ja raaka-aineet </w:t>
      </w:r>
    </w:p>
    <w:p w14:paraId="02C5A493" w14:textId="1B155B15" w:rsidR="00D50121" w:rsidRPr="00B31A92" w:rsidRDefault="00D50121" w:rsidP="00D50121">
      <w:pPr>
        <w:pStyle w:val="ListParagraph"/>
        <w:numPr>
          <w:ilvl w:val="0"/>
          <w:numId w:val="177"/>
        </w:numPr>
        <w:tabs>
          <w:tab w:val="clear" w:pos="0"/>
        </w:tabs>
        <w:ind w:left="284"/>
      </w:pPr>
      <w:r w:rsidRPr="00B31A92">
        <w:t xml:space="preserve">kuluttajansuoja </w:t>
      </w:r>
    </w:p>
    <w:p w14:paraId="135ECBC2" w14:textId="379D1E3D" w:rsidR="00D50121" w:rsidRPr="00B31A92" w:rsidRDefault="00D50121" w:rsidP="00D50121">
      <w:pPr>
        <w:pStyle w:val="ListParagraph"/>
        <w:numPr>
          <w:ilvl w:val="0"/>
          <w:numId w:val="177"/>
        </w:numPr>
        <w:tabs>
          <w:tab w:val="clear" w:pos="0"/>
        </w:tabs>
        <w:ind w:left="284"/>
      </w:pPr>
      <w:r w:rsidRPr="00B31A92">
        <w:t xml:space="preserve">ympäristönsuojelu ja kestävä kehitys </w:t>
      </w:r>
    </w:p>
    <w:p w14:paraId="5463C53E" w14:textId="4118677C" w:rsidR="00D50121" w:rsidRPr="00B31A92" w:rsidRDefault="00D50121" w:rsidP="00D50121">
      <w:pPr>
        <w:pStyle w:val="ListParagraph"/>
        <w:numPr>
          <w:ilvl w:val="0"/>
          <w:numId w:val="177"/>
        </w:numPr>
        <w:tabs>
          <w:tab w:val="clear" w:pos="0"/>
        </w:tabs>
        <w:ind w:left="284"/>
      </w:pPr>
      <w:r w:rsidRPr="00B31A92">
        <w:t xml:space="preserve">sääntelyjärjestelmien vastaavuudet eläinlääkinnän, terveys- ja kasvinsuojelutoimien ja elintarviketurvallisuuden alalla </w:t>
      </w:r>
    </w:p>
    <w:p w14:paraId="202ACF22" w14:textId="16364CC4" w:rsidR="00D50121" w:rsidRPr="00B31A92" w:rsidRDefault="00D50121" w:rsidP="00D50121">
      <w:pPr>
        <w:pStyle w:val="ListParagraph"/>
        <w:numPr>
          <w:ilvl w:val="0"/>
          <w:numId w:val="177"/>
        </w:numPr>
        <w:tabs>
          <w:tab w:val="clear" w:pos="0"/>
        </w:tabs>
        <w:ind w:left="284"/>
      </w:pPr>
      <w:r w:rsidRPr="00B31A92">
        <w:t xml:space="preserve">työelämän oikeuksien tehokas suojelu ja ihmisarvoinen työ </w:t>
      </w:r>
    </w:p>
    <w:p w14:paraId="652BBA8B" w14:textId="72606050" w:rsidR="00D50121" w:rsidRPr="00B31A92" w:rsidRDefault="00D50121" w:rsidP="00D50121">
      <w:pPr>
        <w:pStyle w:val="ListParagraph"/>
        <w:numPr>
          <w:ilvl w:val="0"/>
          <w:numId w:val="177"/>
        </w:numPr>
        <w:tabs>
          <w:tab w:val="clear" w:pos="0"/>
        </w:tabs>
        <w:ind w:left="284"/>
      </w:pPr>
      <w:r w:rsidRPr="00B31A92">
        <w:t xml:space="preserve">työterveyden ja -turvallisuuden suojelu </w:t>
      </w:r>
    </w:p>
    <w:p w14:paraId="776E8B45" w14:textId="3A646C8F" w:rsidR="00D50121" w:rsidRPr="00B31A92" w:rsidRDefault="00D50121" w:rsidP="00D50121">
      <w:pPr>
        <w:pStyle w:val="ListParagraph"/>
        <w:numPr>
          <w:ilvl w:val="0"/>
          <w:numId w:val="177"/>
        </w:numPr>
        <w:tabs>
          <w:tab w:val="clear" w:pos="0"/>
        </w:tabs>
        <w:ind w:left="284"/>
      </w:pPr>
      <w:r w:rsidRPr="00B31A92">
        <w:t xml:space="preserve">sähköisen kaupankäynnin edistäminen </w:t>
      </w:r>
    </w:p>
    <w:p w14:paraId="7D708EA4" w14:textId="1BDAC3C9" w:rsidR="00D50121" w:rsidRPr="00B31A92" w:rsidRDefault="00D50121" w:rsidP="00D50121">
      <w:pPr>
        <w:pStyle w:val="ListParagraph"/>
        <w:numPr>
          <w:ilvl w:val="0"/>
          <w:numId w:val="177"/>
        </w:numPr>
        <w:tabs>
          <w:tab w:val="clear" w:pos="0"/>
        </w:tabs>
        <w:ind w:left="284"/>
      </w:pPr>
      <w:r w:rsidRPr="00B31A92">
        <w:t xml:space="preserve">energiapolitiikka ja energiaturvallisuus </w:t>
      </w:r>
    </w:p>
    <w:p w14:paraId="15513E64" w14:textId="32C7FC7B" w:rsidR="00D50121" w:rsidRPr="00B31A92" w:rsidRDefault="00D50121" w:rsidP="00D50121">
      <w:pPr>
        <w:pStyle w:val="ListParagraph"/>
        <w:numPr>
          <w:ilvl w:val="0"/>
          <w:numId w:val="177"/>
        </w:numPr>
        <w:tabs>
          <w:tab w:val="clear" w:pos="0"/>
        </w:tabs>
        <w:ind w:left="284"/>
      </w:pPr>
      <w:r w:rsidRPr="00B31A92">
        <w:t xml:space="preserve">innovoinnin edistäminen ja henkisen omaisuuden suojaaminen </w:t>
      </w:r>
    </w:p>
    <w:p w14:paraId="09485713" w14:textId="228F66BC" w:rsidR="00D50121" w:rsidRPr="00B31A92" w:rsidRDefault="00D50121" w:rsidP="00D50121">
      <w:pPr>
        <w:pStyle w:val="ListParagraph"/>
        <w:numPr>
          <w:ilvl w:val="0"/>
          <w:numId w:val="177"/>
        </w:numPr>
        <w:tabs>
          <w:tab w:val="clear" w:pos="0"/>
        </w:tabs>
        <w:ind w:left="284"/>
      </w:pPr>
      <w:r w:rsidRPr="00B31A92">
        <w:t xml:space="preserve">korruption ja rahanpesun torjunta </w:t>
      </w:r>
    </w:p>
    <w:p w14:paraId="574EBFE7" w14:textId="24E5D7E6" w:rsidR="00D50121" w:rsidRPr="00B31A92" w:rsidRDefault="00D50121" w:rsidP="00D50121">
      <w:pPr>
        <w:pStyle w:val="ListParagraph"/>
        <w:numPr>
          <w:ilvl w:val="0"/>
          <w:numId w:val="177"/>
        </w:numPr>
        <w:tabs>
          <w:tab w:val="clear" w:pos="0"/>
        </w:tabs>
        <w:ind w:left="284"/>
      </w:pPr>
      <w:r w:rsidRPr="00B31A92">
        <w:t xml:space="preserve">pk-yrityksille tarkoitettujen kannustimien parantaminen </w:t>
      </w:r>
    </w:p>
    <w:p w14:paraId="3B3ECFBD" w14:textId="0D1F6E71" w:rsidR="00D50121" w:rsidRPr="00B31A92" w:rsidRDefault="00D50121" w:rsidP="00D50121">
      <w:pPr>
        <w:pStyle w:val="ListParagraph"/>
        <w:numPr>
          <w:ilvl w:val="0"/>
          <w:numId w:val="177"/>
        </w:numPr>
        <w:tabs>
          <w:tab w:val="clear" w:pos="0"/>
        </w:tabs>
        <w:ind w:left="284"/>
      </w:pPr>
      <w:r w:rsidRPr="00B31A92">
        <w:t xml:space="preserve">hallinnollisten menettelyiden yksinkertaistaminen ja hallintokulujen pienentäminen </w:t>
      </w:r>
    </w:p>
    <w:p w14:paraId="6A3C349D" w14:textId="71FEE03E" w:rsidR="00D50121" w:rsidRPr="00B31A92" w:rsidRDefault="00D50121" w:rsidP="00D50121">
      <w:pPr>
        <w:pStyle w:val="ListParagraph"/>
        <w:numPr>
          <w:ilvl w:val="0"/>
          <w:numId w:val="177"/>
        </w:numPr>
        <w:tabs>
          <w:tab w:val="clear" w:pos="0"/>
        </w:tabs>
        <w:ind w:left="284"/>
      </w:pPr>
      <w:r w:rsidRPr="00B31A92">
        <w:t xml:space="preserve">investoinnit ja investointilainsäädännön ajanmukaistaminen tavoitteena suojella investoijia sekä samanaikaisesti puolueettoman riitojenratkaisumenettelyn käyttöönottaminen </w:t>
      </w:r>
    </w:p>
    <w:p w14:paraId="06118E42" w14:textId="0BFB077F" w:rsidR="00D50121" w:rsidRPr="00B31A92" w:rsidRDefault="00D50121" w:rsidP="00D50121">
      <w:pPr>
        <w:pStyle w:val="ListParagraph"/>
        <w:numPr>
          <w:ilvl w:val="0"/>
          <w:numId w:val="177"/>
        </w:numPr>
        <w:tabs>
          <w:tab w:val="clear" w:pos="0"/>
        </w:tabs>
        <w:ind w:left="284"/>
      </w:pPr>
      <w:r w:rsidRPr="00B31A92">
        <w:t xml:space="preserve">unionin lainsäädännön siirtämiseen ja liittämiseen osaksi Turkin oikeusjärjestelmää tähtäävän menettelyn parantaminen </w:t>
      </w:r>
    </w:p>
    <w:p w14:paraId="7689E1C3" w14:textId="20466B7F" w:rsidR="00D50121" w:rsidRPr="00B31A92" w:rsidRDefault="00D50121" w:rsidP="00D50121">
      <w:pPr>
        <w:pStyle w:val="ListParagraph"/>
        <w:numPr>
          <w:ilvl w:val="0"/>
          <w:numId w:val="177"/>
        </w:numPr>
        <w:tabs>
          <w:tab w:val="clear" w:pos="0"/>
        </w:tabs>
        <w:ind w:left="284"/>
      </w:pPr>
      <w:r w:rsidRPr="00B31A92">
        <w:lastRenderedPageBreak/>
        <w:t xml:space="preserve">tiukemmat määräykset sen varmistamiseksi, että tarkistetun sopimuksen sisältö ja täytäntöönpanomääräykset noudattavat EU:n säännöstöä. </w:t>
      </w:r>
    </w:p>
    <w:p w14:paraId="76B8FE17" w14:textId="77777777" w:rsidR="00D50121" w:rsidRPr="00B31A92" w:rsidRDefault="00D50121" w:rsidP="00D50121"/>
    <w:p w14:paraId="07FF419D" w14:textId="31F8AC7F" w:rsidR="00D50121" w:rsidRPr="00B31A92" w:rsidRDefault="00D50121" w:rsidP="00D50121">
      <w:r w:rsidRPr="00B31A92">
        <w:t>ETSK on sitä mieltä, että mihin tahansa EU:n ja Turkin väliseen kauppasopimukseen on liityttävä työmarkkinaosapuolten (työnantajat ja työntekijät) ja kansalaisyhteiskunnan organisaatioiden tosiasiallinen kuuleminen ja osallistuminen sekä neuvotteluihin että täytäntöönpanoon.</w:t>
      </w:r>
    </w:p>
    <w:p w14:paraId="6684E333" w14:textId="77777777" w:rsidR="00D50121" w:rsidRPr="00B31A92" w:rsidRDefault="00D50121" w:rsidP="00673BA2"/>
    <w:p w14:paraId="35DD7348" w14:textId="69E79B5E" w:rsidR="00774293" w:rsidRPr="00B31A92" w:rsidRDefault="00774293" w:rsidP="00774293">
      <w:pPr>
        <w:rPr>
          <w:i/>
          <w:iCs/>
        </w:rPr>
      </w:pPr>
      <w:r w:rsidRPr="00B31A92">
        <w:rPr>
          <w:b/>
          <w:i/>
        </w:rPr>
        <w:t>Yhteyshenkilö</w:t>
      </w:r>
      <w:r w:rsidRPr="00B31A92">
        <w:rPr>
          <w:i/>
        </w:rPr>
        <w:t>:</w:t>
      </w:r>
      <w:r w:rsidRPr="00B31A92">
        <w:tab/>
      </w:r>
      <w:r w:rsidRPr="00B31A92">
        <w:rPr>
          <w:i/>
        </w:rPr>
        <w:t>David Hoic</w:t>
      </w:r>
    </w:p>
    <w:p w14:paraId="0B9C6CB9" w14:textId="4B04BCE0" w:rsidR="00774293" w:rsidRPr="00B31A92" w:rsidRDefault="00774293" w:rsidP="00774293">
      <w:pPr>
        <w:rPr>
          <w:i/>
          <w:iCs/>
        </w:rPr>
      </w:pPr>
      <w:r w:rsidRPr="00B31A92">
        <w:rPr>
          <w:i/>
        </w:rPr>
        <w:tab/>
      </w:r>
      <w:r w:rsidRPr="00B31A92">
        <w:rPr>
          <w:i/>
        </w:rPr>
        <w:tab/>
      </w:r>
      <w:r w:rsidR="002E19C5" w:rsidRPr="00B31A92">
        <w:rPr>
          <w:i/>
        </w:rPr>
        <w:tab/>
      </w:r>
      <w:r w:rsidRPr="00B31A92">
        <w:rPr>
          <w:i/>
        </w:rPr>
        <w:t xml:space="preserve">(P. +32 25469069 – sähköposti: </w:t>
      </w:r>
      <w:hyperlink r:id="rId46" w:history="1">
        <w:r w:rsidRPr="00B31A92">
          <w:rPr>
            <w:rStyle w:val="Hyperlink"/>
            <w:i/>
          </w:rPr>
          <w:t>david.hoic@eesc.europa.eu</w:t>
        </w:r>
      </w:hyperlink>
      <w:r w:rsidRPr="00B31A92">
        <w:rPr>
          <w:i/>
        </w:rPr>
        <w:t>)</w:t>
      </w:r>
    </w:p>
    <w:p w14:paraId="56631559" w14:textId="77777777" w:rsidR="00673BA2" w:rsidRPr="00B31A92" w:rsidRDefault="00673BA2" w:rsidP="00673BA2">
      <w:pPr>
        <w:widowControl w:val="0"/>
      </w:pPr>
    </w:p>
    <w:p w14:paraId="789DE42E" w14:textId="77777777" w:rsidR="00C169F8" w:rsidRPr="00B31A92" w:rsidRDefault="00C169F8" w:rsidP="00673BA2">
      <w:pPr>
        <w:widowControl w:val="0"/>
      </w:pPr>
    </w:p>
    <w:p w14:paraId="5663155A" w14:textId="44CB826A" w:rsidR="0098597A" w:rsidRPr="00B31A92" w:rsidRDefault="00E671A5" w:rsidP="00E671A5">
      <w:pPr>
        <w:keepNext/>
        <w:numPr>
          <w:ilvl w:val="0"/>
          <w:numId w:val="157"/>
        </w:numPr>
        <w:overflowPunct w:val="0"/>
        <w:autoSpaceDE w:val="0"/>
        <w:autoSpaceDN w:val="0"/>
        <w:adjustRightInd w:val="0"/>
        <w:ind w:left="567" w:hanging="567"/>
        <w:rPr>
          <w:b/>
          <w:i/>
          <w:spacing w:val="-2"/>
          <w:sz w:val="28"/>
        </w:rPr>
      </w:pPr>
      <w:r w:rsidRPr="00B31A92">
        <w:rPr>
          <w:b/>
          <w:i/>
          <w:spacing w:val="-2"/>
          <w:sz w:val="28"/>
        </w:rPr>
        <w:t>Pakkomuutto ja kehitys – Ihmisarvoinen elämä: apuriippuvuudesta omaehtoiseen selviytymiseen</w:t>
      </w:r>
    </w:p>
    <w:p w14:paraId="5663155B" w14:textId="77777777" w:rsidR="0098597A" w:rsidRPr="00B31A92" w:rsidRDefault="0098597A" w:rsidP="00673BA2">
      <w:pPr>
        <w:keepNext/>
        <w:rPr>
          <w:szCs w:val="20"/>
        </w:rPr>
      </w:pPr>
    </w:p>
    <w:p w14:paraId="5663155C" w14:textId="6A77C929" w:rsidR="0098597A" w:rsidRPr="00B31A92" w:rsidRDefault="0098597A" w:rsidP="00673BA2">
      <w:pPr>
        <w:keepNext/>
        <w:ind w:left="1701" w:hanging="1701"/>
      </w:pPr>
      <w:r w:rsidRPr="00B31A92">
        <w:rPr>
          <w:b/>
        </w:rPr>
        <w:t>Esittelijä:</w:t>
      </w:r>
      <w:r w:rsidRPr="00B31A92">
        <w:tab/>
      </w:r>
      <w:r w:rsidR="00D3557D" w:rsidRPr="00B31A92">
        <w:tab/>
        <w:t xml:space="preserve">Michael McLOUGHLIN </w:t>
      </w:r>
      <w:r w:rsidRPr="00B31A92">
        <w:t xml:space="preserve">(muut eturyhmät – </w:t>
      </w:r>
      <w:r w:rsidR="00D3557D" w:rsidRPr="00B31A92">
        <w:t>I</w:t>
      </w:r>
      <w:r w:rsidRPr="00B31A92">
        <w:t>E)</w:t>
      </w:r>
    </w:p>
    <w:p w14:paraId="5663155D" w14:textId="77777777" w:rsidR="00464A26" w:rsidRPr="00B31A92" w:rsidRDefault="00464A26" w:rsidP="00673BA2">
      <w:pPr>
        <w:keepNext/>
        <w:ind w:left="1701" w:hanging="1701"/>
      </w:pPr>
    </w:p>
    <w:p w14:paraId="5663155E" w14:textId="106D17D1" w:rsidR="0098597A" w:rsidRPr="00B31A92" w:rsidRDefault="0098597A" w:rsidP="00673BA2">
      <w:pPr>
        <w:keepNext/>
        <w:tabs>
          <w:tab w:val="num" w:pos="550"/>
        </w:tabs>
        <w:ind w:left="1701" w:hanging="1701"/>
        <w:rPr>
          <w:bCs/>
        </w:rPr>
      </w:pPr>
      <w:r w:rsidRPr="00B31A92">
        <w:rPr>
          <w:b/>
        </w:rPr>
        <w:t>Viiteasiakirja:</w:t>
      </w:r>
      <w:r w:rsidRPr="00B31A92">
        <w:t xml:space="preserve"> </w:t>
      </w:r>
      <w:r w:rsidRPr="00B31A92">
        <w:tab/>
      </w:r>
      <w:r w:rsidR="00D3557D" w:rsidRPr="00B31A92">
        <w:tab/>
        <w:t>EESC-2016-04538-00-00-AC-TRA</w:t>
      </w:r>
    </w:p>
    <w:p w14:paraId="5663155F" w14:textId="77777777" w:rsidR="0098597A" w:rsidRPr="00B31A92" w:rsidRDefault="0098597A" w:rsidP="00673BA2">
      <w:pPr>
        <w:keepNext/>
        <w:rPr>
          <w:szCs w:val="20"/>
        </w:rPr>
      </w:pPr>
    </w:p>
    <w:p w14:paraId="56631560" w14:textId="77777777" w:rsidR="0098597A" w:rsidRPr="00B31A92" w:rsidRDefault="0098597A" w:rsidP="00673BA2">
      <w:pPr>
        <w:keepNext/>
      </w:pPr>
      <w:r w:rsidRPr="00B31A92">
        <w:rPr>
          <w:b/>
        </w:rPr>
        <w:t>Keskeiset kohdat:</w:t>
      </w:r>
    </w:p>
    <w:p w14:paraId="56631561" w14:textId="77777777" w:rsidR="00F410EA" w:rsidRPr="00B31A92" w:rsidRDefault="00F410EA" w:rsidP="00673BA2">
      <w:pPr>
        <w:keepNext/>
      </w:pPr>
    </w:p>
    <w:p w14:paraId="28418EF7" w14:textId="77777777" w:rsidR="009041AA" w:rsidRPr="00B31A92" w:rsidRDefault="00E671A5" w:rsidP="009041AA">
      <w:pPr>
        <w:pStyle w:val="ListParagraph"/>
        <w:numPr>
          <w:ilvl w:val="0"/>
          <w:numId w:val="177"/>
        </w:numPr>
        <w:tabs>
          <w:tab w:val="clear" w:pos="0"/>
        </w:tabs>
        <w:ind w:left="284"/>
      </w:pPr>
      <w:r w:rsidRPr="00B31A92">
        <w:t>Pakkomuuttoon kohdistuvat kehityslähtöiset toimet tulisi räätälöidä kullekin maantieteelliselle alueelle erikseen samalla kun varmistetaan Euroopan komission ja muiden toim</w:t>
      </w:r>
      <w:r w:rsidR="009041AA" w:rsidRPr="00B31A92">
        <w:t>ielinten yhteiset toimenpiteet.</w:t>
      </w:r>
    </w:p>
    <w:p w14:paraId="2083EB89" w14:textId="7616669B" w:rsidR="00E671A5" w:rsidRPr="00B31A92" w:rsidRDefault="00E671A5" w:rsidP="009041AA">
      <w:pPr>
        <w:pStyle w:val="ListParagraph"/>
        <w:numPr>
          <w:ilvl w:val="0"/>
          <w:numId w:val="177"/>
        </w:numPr>
        <w:tabs>
          <w:tab w:val="clear" w:pos="0"/>
        </w:tabs>
        <w:ind w:left="284"/>
      </w:pPr>
      <w:r w:rsidRPr="00B31A92">
        <w:t xml:space="preserve">Vaikka kehityslähtöisellä lähestymistavalla voidaan saada aikaan merkittäviä tuloksia nykyisen talousarvion puitteissa, lisäresurssien tarvetta ei tulisi sulkea pois. </w:t>
      </w:r>
    </w:p>
    <w:p w14:paraId="7F217DF1" w14:textId="77777777" w:rsidR="00E671A5" w:rsidRPr="00B31A92" w:rsidRDefault="00E671A5" w:rsidP="009041AA">
      <w:pPr>
        <w:pStyle w:val="ListParagraph"/>
        <w:numPr>
          <w:ilvl w:val="0"/>
          <w:numId w:val="177"/>
        </w:numPr>
        <w:tabs>
          <w:tab w:val="clear" w:pos="0"/>
        </w:tabs>
        <w:ind w:left="284"/>
      </w:pPr>
      <w:r w:rsidRPr="00B31A92">
        <w:t xml:space="preserve">Kansalaisyhteiskunta, loppukäyttäjät, kehityskumppanit ja valtiovallasta riippumattomat organisaatiot tulisi ottaa mukaan toteutukseen ja komission tiedonannon soveltamiseen. Työmarkkinaosapuolten vuoropuhelun ja kansalaisvuoropuhelun rakenteita ja prosesseja tulisi vahvistaa ja parantaa kumppani- ja vastaanottajamaissa täytäntöönpanon tukemiseksi. </w:t>
      </w:r>
    </w:p>
    <w:p w14:paraId="34C6AEC2" w14:textId="2F208580" w:rsidR="00E671A5" w:rsidRPr="00B31A92" w:rsidRDefault="009041AA" w:rsidP="009041AA">
      <w:pPr>
        <w:pStyle w:val="ListParagraph"/>
        <w:numPr>
          <w:ilvl w:val="0"/>
          <w:numId w:val="177"/>
        </w:numPr>
        <w:tabs>
          <w:tab w:val="clear" w:pos="0"/>
        </w:tabs>
        <w:ind w:left="284"/>
      </w:pPr>
      <w:r w:rsidRPr="00B31A92">
        <w:t>A</w:t>
      </w:r>
      <w:r w:rsidR="00E671A5" w:rsidRPr="00B31A92">
        <w:t xml:space="preserve">sianomaisilla alueilla tulisi tukea ja kehittää yrittäjyyttä, sillä se on mahdollinen kehityspolku monille pakkomuuttajille. </w:t>
      </w:r>
    </w:p>
    <w:p w14:paraId="24DBBB38" w14:textId="77777777" w:rsidR="00E671A5" w:rsidRPr="00B31A92" w:rsidRDefault="00E671A5" w:rsidP="009041AA">
      <w:pPr>
        <w:pStyle w:val="ListParagraph"/>
        <w:numPr>
          <w:ilvl w:val="0"/>
          <w:numId w:val="177"/>
        </w:numPr>
        <w:tabs>
          <w:tab w:val="clear" w:pos="0"/>
        </w:tabs>
        <w:ind w:left="284"/>
      </w:pPr>
      <w:r w:rsidRPr="00B31A92">
        <w:t xml:space="preserve">Yleissivistävää ja ammatillista koulutusta koskevissa toimissa lähtökohtana tulisi olla elinikäisen oppimisen lähestymistapa. Olisi harkittava mahdollisuutta asettaa EU:n ohjelmia pakkomuuttajien saataville. </w:t>
      </w:r>
    </w:p>
    <w:p w14:paraId="3E069377" w14:textId="77777777" w:rsidR="00E671A5" w:rsidRPr="00B31A92" w:rsidRDefault="00E671A5" w:rsidP="009041AA">
      <w:pPr>
        <w:pStyle w:val="ListParagraph"/>
        <w:numPr>
          <w:ilvl w:val="0"/>
          <w:numId w:val="177"/>
        </w:numPr>
        <w:tabs>
          <w:tab w:val="clear" w:pos="0"/>
        </w:tabs>
        <w:ind w:left="284"/>
      </w:pPr>
      <w:r w:rsidRPr="00B31A92">
        <w:t xml:space="preserve">Olisi kehitettävä erityisiä toimintatapoja naisten ja nuorten kannalta keskeisiä kysymyksiä varten. Kyseisiä ryhmiä on kuultava ja ne on otettava mukaan toteutukseen. Erityistä huomiota tulisi kiinnittää pakkomuuttajien mielenterveysongelmiin. </w:t>
      </w:r>
    </w:p>
    <w:p w14:paraId="5663156A" w14:textId="5C076E7A" w:rsidR="00F410EA" w:rsidRPr="00B31A92" w:rsidRDefault="00E671A5" w:rsidP="009041AA">
      <w:pPr>
        <w:pStyle w:val="ListParagraph"/>
        <w:numPr>
          <w:ilvl w:val="0"/>
          <w:numId w:val="177"/>
        </w:numPr>
        <w:tabs>
          <w:tab w:val="clear" w:pos="0"/>
        </w:tabs>
        <w:ind w:left="284"/>
      </w:pPr>
      <w:r w:rsidRPr="00B31A92">
        <w:t>Kehitykseen suuntautuvaan lähestymistapaan siirryttäessä tulisi soveltaa erityisen tiukkoja vastuuvelvollis- ja avoimuusvaatimuksia.</w:t>
      </w:r>
    </w:p>
    <w:p w14:paraId="5663156B" w14:textId="77777777" w:rsidR="0098597A" w:rsidRPr="00B31A92" w:rsidRDefault="0098597A" w:rsidP="00673BA2"/>
    <w:p w14:paraId="2D0E2BE7" w14:textId="15D59D10" w:rsidR="00F81A09" w:rsidRPr="00B31A92" w:rsidRDefault="00F81A09" w:rsidP="00F81A09">
      <w:pPr>
        <w:rPr>
          <w:i/>
        </w:rPr>
      </w:pPr>
      <w:r w:rsidRPr="00B31A92">
        <w:rPr>
          <w:b/>
          <w:i/>
        </w:rPr>
        <w:t>Yhteyshenkilö</w:t>
      </w:r>
      <w:r w:rsidRPr="00B31A92">
        <w:t>:</w:t>
      </w:r>
      <w:r w:rsidRPr="00B31A92">
        <w:tab/>
      </w:r>
      <w:r w:rsidRPr="00B31A92">
        <w:rPr>
          <w:i/>
        </w:rPr>
        <w:t>Rafael Bellon Gomez</w:t>
      </w:r>
    </w:p>
    <w:p w14:paraId="13B7169C" w14:textId="0FCEA8C2" w:rsidR="00F81A09" w:rsidRPr="00B31A92" w:rsidRDefault="00F81A09" w:rsidP="00F81A09">
      <w:pPr>
        <w:rPr>
          <w:i/>
        </w:rPr>
      </w:pPr>
      <w:r w:rsidRPr="00B31A92">
        <w:rPr>
          <w:i/>
        </w:rPr>
        <w:tab/>
      </w:r>
      <w:r w:rsidRPr="00B31A92">
        <w:rPr>
          <w:i/>
        </w:rPr>
        <w:tab/>
      </w:r>
      <w:r w:rsidR="002E19C5" w:rsidRPr="00B31A92">
        <w:rPr>
          <w:i/>
        </w:rPr>
        <w:tab/>
      </w:r>
      <w:r w:rsidRPr="00B31A92">
        <w:rPr>
          <w:i/>
        </w:rPr>
        <w:t>(P. +32 25469095 – sähköposti:</w:t>
      </w:r>
      <w:r w:rsidRPr="00B31A92">
        <w:t xml:space="preserve"> </w:t>
      </w:r>
      <w:hyperlink r:id="rId47" w:history="1">
        <w:r w:rsidRPr="00B31A92">
          <w:rPr>
            <w:rStyle w:val="Hyperlink"/>
            <w:i/>
          </w:rPr>
          <w:t>rafael.bellongomez@eesc.europa.eu</w:t>
        </w:r>
      </w:hyperlink>
      <w:r w:rsidRPr="00B31A92">
        <w:rPr>
          <w:i/>
        </w:rPr>
        <w:t>)</w:t>
      </w:r>
    </w:p>
    <w:p w14:paraId="5663156E" w14:textId="77777777" w:rsidR="0098597A" w:rsidRPr="00B31A92" w:rsidRDefault="0098597A" w:rsidP="00673BA2"/>
    <w:p w14:paraId="7C83BC8A" w14:textId="7DF257DC" w:rsidR="00C22FFA" w:rsidRPr="00B31A92" w:rsidRDefault="00B876F7" w:rsidP="00B876F7">
      <w:pPr>
        <w:keepNext/>
        <w:numPr>
          <w:ilvl w:val="0"/>
          <w:numId w:val="157"/>
        </w:numPr>
        <w:overflowPunct w:val="0"/>
        <w:autoSpaceDE w:val="0"/>
        <w:autoSpaceDN w:val="0"/>
        <w:adjustRightInd w:val="0"/>
        <w:ind w:left="567" w:hanging="567"/>
        <w:rPr>
          <w:b/>
          <w:i/>
          <w:spacing w:val="-2"/>
          <w:sz w:val="28"/>
        </w:rPr>
      </w:pPr>
      <w:r w:rsidRPr="00B31A92">
        <w:rPr>
          <w:b/>
          <w:i/>
          <w:spacing w:val="-2"/>
          <w:sz w:val="28"/>
        </w:rPr>
        <w:lastRenderedPageBreak/>
        <w:t>Arktista aluetta koskeva politiikka</w:t>
      </w:r>
    </w:p>
    <w:p w14:paraId="64E50739" w14:textId="77777777" w:rsidR="00C22FFA" w:rsidRPr="00B31A92" w:rsidRDefault="00C22FFA" w:rsidP="00C22FFA">
      <w:pPr>
        <w:keepNext/>
        <w:rPr>
          <w:szCs w:val="20"/>
        </w:rPr>
      </w:pPr>
    </w:p>
    <w:p w14:paraId="4152F0BF" w14:textId="1E2DB213" w:rsidR="00C22FFA" w:rsidRPr="00B31A92" w:rsidRDefault="00C22FFA" w:rsidP="00C22FFA">
      <w:pPr>
        <w:keepNext/>
        <w:ind w:left="1701" w:hanging="1701"/>
      </w:pPr>
      <w:r w:rsidRPr="00B31A92">
        <w:rPr>
          <w:b/>
        </w:rPr>
        <w:t>Esittelijä:</w:t>
      </w:r>
      <w:r w:rsidRPr="00B31A92">
        <w:tab/>
      </w:r>
      <w:r w:rsidRPr="00B31A92">
        <w:tab/>
        <w:t>Stéphane BUFFETAUT (työnantajat – FR)</w:t>
      </w:r>
    </w:p>
    <w:p w14:paraId="25EA9D77" w14:textId="77777777" w:rsidR="00C22FFA" w:rsidRPr="00B31A92" w:rsidRDefault="00C22FFA" w:rsidP="00C22FFA">
      <w:pPr>
        <w:keepNext/>
        <w:ind w:left="1701" w:hanging="1701"/>
      </w:pPr>
    </w:p>
    <w:p w14:paraId="34A79C0C" w14:textId="0A468364" w:rsidR="00C22FFA" w:rsidRPr="00B31A92" w:rsidRDefault="00C22FFA" w:rsidP="00C22FFA">
      <w:pPr>
        <w:keepNext/>
        <w:tabs>
          <w:tab w:val="num" w:pos="550"/>
        </w:tabs>
        <w:ind w:left="1701" w:hanging="1701"/>
        <w:rPr>
          <w:bCs/>
        </w:rPr>
      </w:pPr>
      <w:r w:rsidRPr="00B31A92">
        <w:rPr>
          <w:b/>
        </w:rPr>
        <w:t>Viiteasiakirja:</w:t>
      </w:r>
      <w:r w:rsidRPr="00B31A92">
        <w:t xml:space="preserve"> </w:t>
      </w:r>
      <w:r w:rsidRPr="00B31A92">
        <w:tab/>
      </w:r>
      <w:r w:rsidRPr="00B31A92">
        <w:tab/>
        <w:t>EESC-2016-04426-00-00-AC-TRA</w:t>
      </w:r>
    </w:p>
    <w:p w14:paraId="1D1A4C95" w14:textId="77777777" w:rsidR="00C22FFA" w:rsidRPr="00B31A92" w:rsidRDefault="00C22FFA" w:rsidP="00C22FFA">
      <w:pPr>
        <w:keepNext/>
        <w:rPr>
          <w:szCs w:val="20"/>
        </w:rPr>
      </w:pPr>
    </w:p>
    <w:p w14:paraId="14F8A9E7" w14:textId="77777777" w:rsidR="00C22FFA" w:rsidRPr="00B31A92" w:rsidRDefault="00C22FFA" w:rsidP="00C22FFA">
      <w:pPr>
        <w:keepNext/>
      </w:pPr>
      <w:r w:rsidRPr="00B31A92">
        <w:rPr>
          <w:b/>
        </w:rPr>
        <w:t>Keskeiset kohdat:</w:t>
      </w:r>
    </w:p>
    <w:p w14:paraId="229AB81F" w14:textId="77777777" w:rsidR="00C22FFA" w:rsidRPr="00B31A92" w:rsidRDefault="00C22FFA" w:rsidP="00C22FFA">
      <w:pPr>
        <w:keepNext/>
      </w:pPr>
    </w:p>
    <w:p w14:paraId="58BE3768" w14:textId="77777777" w:rsidR="00AF1509" w:rsidRPr="00B31A92" w:rsidRDefault="00AF1509" w:rsidP="00AF1509">
      <w:pPr>
        <w:pStyle w:val="ListParagraph"/>
        <w:numPr>
          <w:ilvl w:val="0"/>
          <w:numId w:val="177"/>
        </w:numPr>
        <w:tabs>
          <w:tab w:val="clear" w:pos="0"/>
        </w:tabs>
        <w:ind w:left="284"/>
      </w:pPr>
      <w:r w:rsidRPr="00B31A92">
        <w:t xml:space="preserve">ETSK on hyvin tietoinen arktisen alueen tärkeydestä Euroopan unionille ja etenkin Tanskalle, Suomelle ja Ruotsille, jotka ovat Arktisen neuvoston jäsenmaita. Komitea tiedostaa kuitenkin myös, että Euroopan unioni on Arktisessa neuvostossa vain tarkkailijana, vaikka se tosiasiassa onkin toiminut tiukasti määriteltyä tarkkailijan roolia laajemmin. </w:t>
      </w:r>
    </w:p>
    <w:p w14:paraId="31B47003" w14:textId="20BE5602" w:rsidR="00AF1509" w:rsidRPr="00B31A92" w:rsidRDefault="00AF1509" w:rsidP="00AF1509">
      <w:pPr>
        <w:pStyle w:val="ListParagraph"/>
        <w:numPr>
          <w:ilvl w:val="0"/>
          <w:numId w:val="177"/>
        </w:numPr>
        <w:tabs>
          <w:tab w:val="clear" w:pos="0"/>
        </w:tabs>
        <w:ind w:left="284"/>
      </w:pPr>
      <w:r w:rsidRPr="00B31A92">
        <w:t xml:space="preserve">Tiedonanto perustuu kolmeen pilariin, jotka ovat ilmastonmuutos, kestävä kehitys ja kansainvälinen yhteistyö. Tehokas toiminta on kuitenkin mahdollista vain, jos kansainvälinen yhteistyö on tuloksellista ja jos alueella asuvien kansojen edustajat asettavat kestävän kehityksen etusijalle. Tästä syystä ETSK ehdottaa EU:n tavoitteiden esittämistä päinvastaisessa järjestyksessä selkeyden ja tehokkuuden vuoksi ja myös siitä syystä, että asiakirjassa ilmoitetut tavoitteet ja hankkeet ovat kannatettavia eikä niiden tarkoitusperissä ole juuri kritisoitavaa. </w:t>
      </w:r>
    </w:p>
    <w:p w14:paraId="092AAB2F" w14:textId="77777777" w:rsidR="00AF1509" w:rsidRPr="00B31A92" w:rsidRDefault="00AF1509" w:rsidP="00AF1509">
      <w:pPr>
        <w:pStyle w:val="ListParagraph"/>
        <w:numPr>
          <w:ilvl w:val="0"/>
          <w:numId w:val="177"/>
        </w:numPr>
        <w:tabs>
          <w:tab w:val="clear" w:pos="0"/>
        </w:tabs>
        <w:ind w:left="284"/>
      </w:pPr>
      <w:r w:rsidRPr="00B31A92">
        <w:t xml:space="preserve">Lisäksi komitea toteaa, että yksi ilmastonmuutoksen seurauksista on ollut uusien merenkulkuväylien avautuminen pohjoisessa. Tämä avaa uusia konkreettisia mahdollisuuksia merenkulkuun, kalastukseen ja jopa kaivostoimintaan, mikä puolestaan kasvattaa merenkulku- ja porausonnettomuuksien riskiä arktisella alueella. Komitea suosittaakin, että kiinnitetään erityistä huomiota sekä liikenteen että poraustoiminnan turvallisuuteen ja turvatoimiin, ja korostaa, ettei näiden merenkulkuväylien avaamisesta jään sulamisen seurauksena aiheutuvia ympäristövaikutuksia tunneta vielä. </w:t>
      </w:r>
    </w:p>
    <w:p w14:paraId="028593BB" w14:textId="77777777" w:rsidR="00AF1509" w:rsidRPr="00B31A92" w:rsidRDefault="00AF1509" w:rsidP="00AF1509">
      <w:pPr>
        <w:pStyle w:val="ListParagraph"/>
        <w:numPr>
          <w:ilvl w:val="0"/>
          <w:numId w:val="177"/>
        </w:numPr>
        <w:tabs>
          <w:tab w:val="clear" w:pos="0"/>
        </w:tabs>
        <w:ind w:left="284"/>
      </w:pPr>
      <w:r w:rsidRPr="00B31A92">
        <w:t xml:space="preserve">ETSK pitää tärkeänä, että arktiseen alueeseen liittyvät asiat otetaan huomioon muissa EU:n toimintapolitiikoissa ilmasto- ja ympäristöpolitiikan lisäksi. Tämä pätee erityisesti yhteiseen maatalouspolitiikkaan, kalastuspolitiikkaan ja meripolitiikkaan. </w:t>
      </w:r>
    </w:p>
    <w:p w14:paraId="19C1690A" w14:textId="77777777" w:rsidR="00AF1509" w:rsidRPr="00B31A92" w:rsidRDefault="00AF1509" w:rsidP="00AF1509">
      <w:pPr>
        <w:pStyle w:val="ListParagraph"/>
        <w:numPr>
          <w:ilvl w:val="0"/>
          <w:numId w:val="177"/>
        </w:numPr>
        <w:tabs>
          <w:tab w:val="clear" w:pos="0"/>
        </w:tabs>
        <w:ind w:left="284"/>
      </w:pPr>
      <w:r w:rsidRPr="00B31A92">
        <w:t xml:space="preserve">Komitea korostaa myös tarvetta varmistaa, että arktisen alueen paikalliset asukkaat voivat hyötyä kestäväpohjaisen taloudellisen ja sosiaalisen kehityksen mahdollisuuksista, joita tarjoavat muun muassa paremmat aineelliset ja aineettomat viestintäyhteydet. Sen vuoksi arktisten alueiden suojelua ja ilmastonmuutoksen torjumista ei saa toteuttaa alueen asukkaille haitallisesti tai ottamatta heitä huomioon. ETSK vaatii, että kansalaisyhteiskunnalle annetaan aktiivinen rooli paikallisten asukkaiden etujen ja kysymysten ajamisessa. </w:t>
      </w:r>
    </w:p>
    <w:p w14:paraId="30A4D6A9" w14:textId="77777777" w:rsidR="00C22FFA" w:rsidRPr="00B31A92" w:rsidRDefault="00C22FFA" w:rsidP="00C22FFA"/>
    <w:p w14:paraId="685D19BB" w14:textId="49EF880E" w:rsidR="00C22FFA" w:rsidRPr="00B31A92" w:rsidRDefault="00C22FFA" w:rsidP="00C22FFA">
      <w:pPr>
        <w:tabs>
          <w:tab w:val="left" w:pos="1418"/>
        </w:tabs>
        <w:rPr>
          <w:i/>
        </w:rPr>
      </w:pPr>
      <w:r w:rsidRPr="00B31A92">
        <w:rPr>
          <w:b/>
          <w:i/>
        </w:rPr>
        <w:t>Yhteyshenkilö:</w:t>
      </w:r>
      <w:r w:rsidRPr="00B31A92">
        <w:tab/>
      </w:r>
      <w:r w:rsidRPr="00B31A92">
        <w:tab/>
      </w:r>
      <w:r w:rsidRPr="00B31A92">
        <w:rPr>
          <w:i/>
        </w:rPr>
        <w:t>Laura Ernšteina</w:t>
      </w:r>
    </w:p>
    <w:p w14:paraId="56B11690" w14:textId="63CFA3D0" w:rsidR="00C22FFA" w:rsidRPr="00B31A92" w:rsidRDefault="00C22FFA" w:rsidP="00C22FFA">
      <w:pPr>
        <w:rPr>
          <w:b/>
          <w:i/>
        </w:rPr>
      </w:pPr>
      <w:r w:rsidRPr="00B31A92">
        <w:rPr>
          <w:i/>
        </w:rPr>
        <w:tab/>
      </w:r>
      <w:r w:rsidRPr="00B31A92">
        <w:rPr>
          <w:i/>
        </w:rPr>
        <w:tab/>
      </w:r>
      <w:r w:rsidR="002E19C5" w:rsidRPr="00B31A92">
        <w:rPr>
          <w:i/>
        </w:rPr>
        <w:tab/>
      </w:r>
      <w:r w:rsidRPr="00B31A92">
        <w:rPr>
          <w:i/>
        </w:rPr>
        <w:t>(P. +32 25469194 – sähköposti:</w:t>
      </w:r>
      <w:r w:rsidRPr="00B31A92">
        <w:t xml:space="preserve"> </w:t>
      </w:r>
      <w:hyperlink r:id="rId48" w:history="1">
        <w:r w:rsidR="002063BB" w:rsidRPr="00B31A92">
          <w:rPr>
            <w:rStyle w:val="Hyperlink"/>
            <w:i/>
          </w:rPr>
          <w:t>laura.ernsteina@eesc.europa.eu</w:t>
        </w:r>
      </w:hyperlink>
      <w:r w:rsidRPr="00B31A92">
        <w:rPr>
          <w:i/>
        </w:rPr>
        <w:t>)</w:t>
      </w:r>
    </w:p>
    <w:p w14:paraId="66C2CED2" w14:textId="77777777" w:rsidR="00C22FFA" w:rsidRPr="00B31A92" w:rsidRDefault="00C22FFA" w:rsidP="00673BA2"/>
    <w:p w14:paraId="5663156F" w14:textId="77777777" w:rsidR="00900EA0" w:rsidRPr="00B31A92" w:rsidRDefault="00464A26" w:rsidP="00673BA2">
      <w:pPr>
        <w:overflowPunct w:val="0"/>
        <w:autoSpaceDE w:val="0"/>
        <w:autoSpaceDN w:val="0"/>
        <w:adjustRightInd w:val="0"/>
        <w:jc w:val="center"/>
        <w:textAlignment w:val="baseline"/>
      </w:pPr>
      <w:r w:rsidRPr="00B31A92">
        <w:t>_____________</w:t>
      </w:r>
    </w:p>
    <w:sectPr w:rsidR="00900EA0" w:rsidRPr="00B31A92" w:rsidSect="00673BA2">
      <w:headerReference w:type="even" r:id="rId49"/>
      <w:headerReference w:type="default" r:id="rId50"/>
      <w:footerReference w:type="even" r:id="rId51"/>
      <w:footerReference w:type="default" r:id="rId52"/>
      <w:headerReference w:type="first" r:id="rId53"/>
      <w:footerReference w:type="first" r:id="rId5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31577" w14:textId="77777777" w:rsidR="006B740F" w:rsidRDefault="006B740F" w:rsidP="003B283B">
      <w:pPr>
        <w:spacing w:line="240" w:lineRule="auto"/>
      </w:pPr>
      <w:r>
        <w:separator/>
      </w:r>
    </w:p>
  </w:endnote>
  <w:endnote w:type="continuationSeparator" w:id="0">
    <w:p w14:paraId="56631578" w14:textId="77777777" w:rsidR="006B740F" w:rsidRDefault="006B740F" w:rsidP="003B283B">
      <w:pPr>
        <w:spacing w:line="240" w:lineRule="auto"/>
      </w:pPr>
      <w:r>
        <w:continuationSeparator/>
      </w:r>
    </w:p>
  </w:endnote>
  <w:endnote w:type="continuationNotice" w:id="1">
    <w:p w14:paraId="56631579" w14:textId="77777777" w:rsidR="006B740F" w:rsidRDefault="006B74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7D" w14:textId="7DFA8532" w:rsidR="006B740F" w:rsidRPr="00673BA2" w:rsidRDefault="006B740F" w:rsidP="00673BA2">
    <w:pPr>
      <w:pStyle w:val="Footer"/>
    </w:pPr>
    <w:r>
      <w:t xml:space="preserve">EESC-2016-05775-00-00-TCD-TRA (FR/EN) </w:t>
    </w:r>
    <w:r>
      <w:fldChar w:fldCharType="begin"/>
    </w:r>
    <w:r>
      <w:instrText xml:space="preserve"> PAGE  \* Arabic  \* MERGEFORMAT </w:instrText>
    </w:r>
    <w:r>
      <w:fldChar w:fldCharType="separate"/>
    </w:r>
    <w:r w:rsidR="00E74D0E">
      <w:rPr>
        <w:noProof/>
      </w:rPr>
      <w:t>1</w:t>
    </w:r>
    <w:r>
      <w:fldChar w:fldCharType="end"/>
    </w:r>
    <w:r>
      <w:t>/</w:t>
    </w:r>
    <w:r>
      <w:fldChar w:fldCharType="begin"/>
    </w:r>
    <w:r>
      <w:instrText xml:space="preserve"> = </w:instrText>
    </w:r>
    <w:fldSimple w:instr=" NUMPAGES ">
      <w:r w:rsidR="00E74D0E">
        <w:rPr>
          <w:noProof/>
        </w:rPr>
        <w:instrText>26</w:instrText>
      </w:r>
    </w:fldSimple>
    <w:r>
      <w:instrText xml:space="preserve"> -0 </w:instrText>
    </w:r>
    <w:r>
      <w:fldChar w:fldCharType="separate"/>
    </w:r>
    <w:r w:rsidR="00E74D0E">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2" w14:textId="77777777" w:rsidR="006B740F" w:rsidRPr="00673BA2" w:rsidRDefault="006B740F" w:rsidP="00673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3" w14:textId="77777777" w:rsidR="006B740F" w:rsidRPr="00673BA2" w:rsidRDefault="006B740F" w:rsidP="00673BA2">
    <w:pPr>
      <w:pStyle w:val="Footer"/>
    </w:pPr>
    <w:r>
      <w:t xml:space="preserve">EESC-2016-05087-00-02-TCD-TRA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5" w14:textId="77777777" w:rsidR="006B740F" w:rsidRPr="00673BA2" w:rsidRDefault="006B740F" w:rsidP="00673B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8" w14:textId="77777777" w:rsidR="006B740F" w:rsidRPr="00673BA2" w:rsidRDefault="006B740F" w:rsidP="00673B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9" w14:textId="0D27888B" w:rsidR="006B740F" w:rsidRPr="00673BA2" w:rsidRDefault="006B740F" w:rsidP="00673BA2">
    <w:pPr>
      <w:pStyle w:val="Footer"/>
    </w:pPr>
    <w:r>
      <w:t xml:space="preserve">EESC-2016-05775-00-00-TCD-TRA (FR/EN) </w:t>
    </w:r>
    <w:r>
      <w:fldChar w:fldCharType="begin"/>
    </w:r>
    <w:r>
      <w:instrText xml:space="preserve"> PAGE  \* Arabic  \* MERGEFORMAT </w:instrText>
    </w:r>
    <w:r>
      <w:fldChar w:fldCharType="separate"/>
    </w:r>
    <w:r w:rsidR="00E74D0E">
      <w:rPr>
        <w:noProof/>
      </w:rPr>
      <w:t>26</w:t>
    </w:r>
    <w:r>
      <w:fldChar w:fldCharType="end"/>
    </w:r>
    <w:r>
      <w:t>/</w:t>
    </w:r>
    <w:r>
      <w:fldChar w:fldCharType="begin"/>
    </w:r>
    <w:r>
      <w:instrText xml:space="preserve"> = </w:instrText>
    </w:r>
    <w:fldSimple w:instr=" NUMPAGES ">
      <w:r w:rsidR="00E74D0E">
        <w:rPr>
          <w:noProof/>
        </w:rPr>
        <w:instrText>26</w:instrText>
      </w:r>
    </w:fldSimple>
    <w:r>
      <w:instrText xml:space="preserve"> -0 </w:instrText>
    </w:r>
    <w:r>
      <w:fldChar w:fldCharType="separate"/>
    </w:r>
    <w:r w:rsidR="00E74D0E">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B" w14:textId="77777777" w:rsidR="006B740F" w:rsidRPr="00673BA2" w:rsidRDefault="006B740F" w:rsidP="00673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31574" w14:textId="77777777" w:rsidR="006B740F" w:rsidRDefault="006B740F" w:rsidP="003B283B">
      <w:pPr>
        <w:spacing w:line="240" w:lineRule="auto"/>
      </w:pPr>
      <w:r>
        <w:separator/>
      </w:r>
    </w:p>
  </w:footnote>
  <w:footnote w:type="continuationSeparator" w:id="0">
    <w:p w14:paraId="56631575" w14:textId="77777777" w:rsidR="006B740F" w:rsidRDefault="006B740F" w:rsidP="003B283B">
      <w:pPr>
        <w:spacing w:line="240" w:lineRule="auto"/>
      </w:pPr>
      <w:r>
        <w:continuationSeparator/>
      </w:r>
    </w:p>
  </w:footnote>
  <w:footnote w:type="continuationNotice" w:id="1">
    <w:p w14:paraId="56631576" w14:textId="77777777" w:rsidR="006B740F" w:rsidRDefault="006B740F">
      <w:pPr>
        <w:spacing w:line="240" w:lineRule="auto"/>
      </w:pPr>
    </w:p>
  </w:footnote>
  <w:footnote w:id="2">
    <w:p w14:paraId="2D24D9D1" w14:textId="77777777" w:rsidR="006B740F" w:rsidRPr="00C867E0" w:rsidRDefault="006B740F" w:rsidP="00C169F8">
      <w:pPr>
        <w:pStyle w:val="FootnoteText"/>
        <w:spacing w:after="0"/>
      </w:pPr>
      <w:r>
        <w:rPr>
          <w:rStyle w:val="FootnoteReference"/>
        </w:rPr>
        <w:footnoteRef/>
      </w:r>
      <w:r>
        <w:t xml:space="preserve"> </w:t>
      </w:r>
      <w:r>
        <w:tab/>
        <w:t>Kansainvälisen merentutkimusneuvoston (ICES) Pohjanmeren ja Skagerrakin pohjakalakantojen arvioinnista vastaavan työryhmän kertomus. Työryhmä kokoontui Hampurissa 26.4.–5.5.2016.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0" w14:textId="77777777" w:rsidR="006B740F" w:rsidRPr="00673BA2" w:rsidRDefault="006B740F" w:rsidP="00673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1" w14:textId="77777777" w:rsidR="006B740F" w:rsidRPr="00673BA2" w:rsidRDefault="006B740F" w:rsidP="00673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4" w14:textId="77777777" w:rsidR="006B740F" w:rsidRPr="00673BA2" w:rsidRDefault="006B740F" w:rsidP="00673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6" w14:textId="77777777" w:rsidR="006B740F" w:rsidRPr="00673BA2" w:rsidRDefault="006B740F" w:rsidP="00673B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7" w14:textId="77777777" w:rsidR="006B740F" w:rsidRPr="00673BA2" w:rsidRDefault="006B740F" w:rsidP="00673B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8A" w14:textId="77777777" w:rsidR="006B740F" w:rsidRPr="00673BA2" w:rsidRDefault="006B740F" w:rsidP="0067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865E13"/>
    <w:multiLevelType w:val="hybridMultilevel"/>
    <w:tmpl w:val="661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10">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05530337"/>
    <w:multiLevelType w:val="singleLevel"/>
    <w:tmpl w:val="ACD4CDB0"/>
    <w:lvl w:ilvl="0">
      <w:numFmt w:val="decimal"/>
      <w:lvlText w:val="*"/>
      <w:lvlJc w:val="left"/>
      <w:rPr>
        <w:rFonts w:cs="Times New Roman"/>
      </w:rPr>
    </w:lvl>
  </w:abstractNum>
  <w:abstractNum w:abstractNumId="12">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6E4FB1"/>
    <w:multiLevelType w:val="singleLevel"/>
    <w:tmpl w:val="ACD4CDB0"/>
    <w:lvl w:ilvl="0">
      <w:numFmt w:val="decimal"/>
      <w:lvlText w:val="*"/>
      <w:lvlJc w:val="left"/>
      <w:rPr>
        <w:rFonts w:cs="Times New Roman"/>
      </w:rPr>
    </w:lvl>
  </w:abstractNum>
  <w:abstractNum w:abstractNumId="1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6896238"/>
    <w:multiLevelType w:val="hybridMultilevel"/>
    <w:tmpl w:val="69B49F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9">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2">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4">
    <w:nsid w:val="0CEC7944"/>
    <w:multiLevelType w:val="hybridMultilevel"/>
    <w:tmpl w:val="F92CA11C"/>
    <w:lvl w:ilvl="0" w:tplc="D9F06C3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2DB0782"/>
    <w:multiLevelType w:val="hybridMultilevel"/>
    <w:tmpl w:val="763C60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31">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5FE7426"/>
    <w:multiLevelType w:val="singleLevel"/>
    <w:tmpl w:val="ACD4CDB0"/>
    <w:lvl w:ilvl="0">
      <w:numFmt w:val="decimal"/>
      <w:lvlText w:val="*"/>
      <w:lvlJc w:val="left"/>
      <w:rPr>
        <w:rFonts w:cs="Times New Roman"/>
      </w:rPr>
    </w:lvl>
  </w:abstractNum>
  <w:abstractNum w:abstractNumId="33">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84D0038"/>
    <w:multiLevelType w:val="hybridMultilevel"/>
    <w:tmpl w:val="3F004ED8"/>
    <w:lvl w:ilvl="0" w:tplc="5F00F6D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6">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47">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2">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8E05013"/>
    <w:multiLevelType w:val="singleLevel"/>
    <w:tmpl w:val="ACD4CDB0"/>
    <w:lvl w:ilvl="0">
      <w:numFmt w:val="decimal"/>
      <w:lvlText w:val="*"/>
      <w:lvlJc w:val="left"/>
      <w:rPr>
        <w:rFonts w:cs="Times New Roman"/>
      </w:rPr>
    </w:lvl>
  </w:abstractNum>
  <w:abstractNum w:abstractNumId="56">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9">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F7C67CC"/>
    <w:multiLevelType w:val="hybridMultilevel"/>
    <w:tmpl w:val="A1C0D5AE"/>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66">
    <w:nsid w:val="316E1920"/>
    <w:multiLevelType w:val="hybridMultilevel"/>
    <w:tmpl w:val="37E8162A"/>
    <w:lvl w:ilvl="0" w:tplc="080C0001">
      <w:start w:val="1"/>
      <w:numFmt w:val="bullet"/>
      <w:lvlText w:val=""/>
      <w:lvlJc w:val="left"/>
      <w:pPr>
        <w:ind w:left="1068" w:hanging="708"/>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3AD24C9"/>
    <w:multiLevelType w:val="hybridMultilevel"/>
    <w:tmpl w:val="C6BA827C"/>
    <w:lvl w:ilvl="0" w:tplc="35E2751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3">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74">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7">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8">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1">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F556CA2"/>
    <w:multiLevelType w:val="hybridMultilevel"/>
    <w:tmpl w:val="98684DF0"/>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84">
    <w:nsid w:val="3F943F19"/>
    <w:multiLevelType w:val="hybridMultilevel"/>
    <w:tmpl w:val="B17C804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3FF97643"/>
    <w:multiLevelType w:val="multilevel"/>
    <w:tmpl w:val="6B38E4C6"/>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6">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89">
    <w:nsid w:val="42EA46CA"/>
    <w:multiLevelType w:val="singleLevel"/>
    <w:tmpl w:val="ACD4CDB0"/>
    <w:lvl w:ilvl="0">
      <w:numFmt w:val="decimal"/>
      <w:lvlText w:val="*"/>
      <w:lvlJc w:val="left"/>
      <w:rPr>
        <w:rFonts w:cs="Times New Roman"/>
      </w:rPr>
    </w:lvl>
  </w:abstractNum>
  <w:abstractNum w:abstractNumId="90">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2">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93">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49C70CEF"/>
    <w:multiLevelType w:val="hybridMultilevel"/>
    <w:tmpl w:val="33468410"/>
    <w:lvl w:ilvl="0" w:tplc="321E2D12">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6">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9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2">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3">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105">
    <w:nsid w:val="4FFC48BE"/>
    <w:multiLevelType w:val="hybridMultilevel"/>
    <w:tmpl w:val="55D65BF8"/>
    <w:lvl w:ilvl="0" w:tplc="080C0001">
      <w:start w:val="1"/>
      <w:numFmt w:val="bullet"/>
      <w:lvlText w:val=""/>
      <w:lvlJc w:val="left"/>
      <w:pPr>
        <w:ind w:left="720" w:hanging="360"/>
      </w:pPr>
      <w:rPr>
        <w:rFonts w:ascii="Symbol" w:hAnsi="Symbol" w:hint="default"/>
      </w:rPr>
    </w:lvl>
    <w:lvl w:ilvl="1" w:tplc="8E1C54E2">
      <w:start w:val="1"/>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53B8141E"/>
    <w:multiLevelType w:val="singleLevel"/>
    <w:tmpl w:val="ACD4CDB0"/>
    <w:lvl w:ilvl="0">
      <w:numFmt w:val="decimal"/>
      <w:lvlText w:val="*"/>
      <w:lvlJc w:val="left"/>
      <w:rPr>
        <w:rFonts w:cs="Times New Roman"/>
      </w:rPr>
    </w:lvl>
  </w:abstractNum>
  <w:abstractNum w:abstractNumId="107">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0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2">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5">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5C9E609C"/>
    <w:multiLevelType w:val="hybridMultilevel"/>
    <w:tmpl w:val="87949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20">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21">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26">
    <w:nsid w:val="60BA7C7D"/>
    <w:multiLevelType w:val="singleLevel"/>
    <w:tmpl w:val="ACD4CDB0"/>
    <w:lvl w:ilvl="0">
      <w:numFmt w:val="decimal"/>
      <w:lvlText w:val="*"/>
      <w:lvlJc w:val="left"/>
      <w:rPr>
        <w:rFonts w:cs="Times New Roman"/>
      </w:rPr>
    </w:lvl>
  </w:abstractNum>
  <w:abstractNum w:abstractNumId="127">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8">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62837A54"/>
    <w:multiLevelType w:val="singleLevel"/>
    <w:tmpl w:val="ACD4CDB0"/>
    <w:lvl w:ilvl="0">
      <w:numFmt w:val="decimal"/>
      <w:lvlText w:val="*"/>
      <w:lvlJc w:val="left"/>
      <w:rPr>
        <w:rFonts w:cs="Times New Roman"/>
      </w:rPr>
    </w:lvl>
  </w:abstractNum>
  <w:abstractNum w:abstractNumId="131">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6">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9">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1">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2">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43">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B5327B5"/>
    <w:multiLevelType w:val="singleLevel"/>
    <w:tmpl w:val="ACD4CDB0"/>
    <w:lvl w:ilvl="0">
      <w:numFmt w:val="decimal"/>
      <w:lvlText w:val="*"/>
      <w:lvlJc w:val="left"/>
      <w:rPr>
        <w:rFonts w:cs="Times New Roman"/>
      </w:rPr>
    </w:lvl>
  </w:abstractNum>
  <w:abstractNum w:abstractNumId="145">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6">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48">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1">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2">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3">
    <w:nsid w:val="768C3662"/>
    <w:multiLevelType w:val="hybridMultilevel"/>
    <w:tmpl w:val="25D23846"/>
    <w:lvl w:ilvl="0" w:tplc="F4A058A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nsid w:val="76A455A6"/>
    <w:multiLevelType w:val="hybridMultilevel"/>
    <w:tmpl w:val="B72A7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5">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6">
    <w:nsid w:val="788C5BED"/>
    <w:multiLevelType w:val="hybridMultilevel"/>
    <w:tmpl w:val="A0E87B66"/>
    <w:lvl w:ilvl="0" w:tplc="3B0E01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8">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9">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CF75D42"/>
    <w:multiLevelType w:val="hybridMultilevel"/>
    <w:tmpl w:val="CE4CBE6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1">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46"/>
  </w:num>
  <w:num w:numId="3">
    <w:abstractNumId w:val="14"/>
  </w:num>
  <w:num w:numId="4">
    <w:abstractNumId w:val="49"/>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8"/>
  </w:num>
  <w:num w:numId="7">
    <w:abstractNumId w:val="83"/>
  </w:num>
  <w:num w:numId="8">
    <w:abstractNumId w:val="13"/>
  </w:num>
  <w:num w:numId="9">
    <w:abstractNumId w:val="149"/>
  </w:num>
  <w:num w:numId="10">
    <w:abstractNumId w:val="29"/>
  </w:num>
  <w:num w:numId="11">
    <w:abstractNumId w:val="100"/>
  </w:num>
  <w:num w:numId="12">
    <w:abstractNumId w:val="161"/>
  </w:num>
  <w:num w:numId="13">
    <w:abstractNumId w:val="32"/>
  </w:num>
  <w:num w:numId="14">
    <w:abstractNumId w:val="144"/>
  </w:num>
  <w:num w:numId="15">
    <w:abstractNumId w:val="126"/>
  </w:num>
  <w:num w:numId="16">
    <w:abstractNumId w:val="11"/>
  </w:num>
  <w:num w:numId="17">
    <w:abstractNumId w:val="106"/>
  </w:num>
  <w:num w:numId="18">
    <w:abstractNumId w:val="125"/>
  </w:num>
  <w:num w:numId="19">
    <w:abstractNumId w:val="101"/>
  </w:num>
  <w:num w:numId="20">
    <w:abstractNumId w:val="147"/>
  </w:num>
  <w:num w:numId="21">
    <w:abstractNumId w:val="108"/>
  </w:num>
  <w:num w:numId="22">
    <w:abstractNumId w:val="98"/>
  </w:num>
  <w:num w:numId="23">
    <w:abstractNumId w:val="51"/>
  </w:num>
  <w:num w:numId="24">
    <w:abstractNumId w:val="146"/>
  </w:num>
  <w:num w:numId="25">
    <w:abstractNumId w:val="77"/>
  </w:num>
  <w:num w:numId="26">
    <w:abstractNumId w:val="74"/>
  </w:num>
  <w:num w:numId="27">
    <w:abstractNumId w:val="124"/>
  </w:num>
  <w:num w:numId="28">
    <w:abstractNumId w:val="114"/>
  </w:num>
  <w:num w:numId="29">
    <w:abstractNumId w:val="80"/>
  </w:num>
  <w:num w:numId="30">
    <w:abstractNumId w:val="163"/>
  </w:num>
  <w:num w:numId="31">
    <w:abstractNumId w:val="119"/>
  </w:num>
  <w:num w:numId="32">
    <w:abstractNumId w:val="95"/>
  </w:num>
  <w:num w:numId="33">
    <w:abstractNumId w:val="123"/>
  </w:num>
  <w:num w:numId="34">
    <w:abstractNumId w:val="26"/>
  </w:num>
  <w:num w:numId="35">
    <w:abstractNumId w:val="127"/>
  </w:num>
  <w:num w:numId="36">
    <w:abstractNumId w:val="69"/>
  </w:num>
  <w:num w:numId="37">
    <w:abstractNumId w:val="44"/>
  </w:num>
  <w:num w:numId="38">
    <w:abstractNumId w:val="53"/>
  </w:num>
  <w:num w:numId="39">
    <w:abstractNumId w:val="120"/>
  </w:num>
  <w:num w:numId="40">
    <w:abstractNumId w:val="132"/>
  </w:num>
  <w:num w:numId="41">
    <w:abstractNumId w:val="133"/>
  </w:num>
  <w:num w:numId="42">
    <w:abstractNumId w:val="23"/>
  </w:num>
  <w:num w:numId="43">
    <w:abstractNumId w:val="87"/>
  </w:num>
  <w:num w:numId="44">
    <w:abstractNumId w:val="11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8"/>
  </w:num>
  <w:num w:numId="47">
    <w:abstractNumId w:val="92"/>
  </w:num>
  <w:num w:numId="48">
    <w:abstractNumId w:val="14"/>
  </w:num>
  <w:num w:numId="49">
    <w:abstractNumId w:val="9"/>
  </w:num>
  <w:num w:numId="50">
    <w:abstractNumId w:val="142"/>
  </w:num>
  <w:num w:numId="51">
    <w:abstractNumId w:val="38"/>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109"/>
  </w:num>
  <w:num w:numId="54">
    <w:abstractNumId w:val="12"/>
  </w:num>
  <w:num w:numId="55">
    <w:abstractNumId w:val="88"/>
  </w:num>
  <w:num w:numId="56">
    <w:abstractNumId w:val="111"/>
  </w:num>
  <w:num w:numId="57">
    <w:abstractNumId w:val="125"/>
  </w:num>
  <w:num w:numId="58">
    <w:abstractNumId w:val="22"/>
  </w:num>
  <w:num w:numId="59">
    <w:abstractNumId w:val="56"/>
  </w:num>
  <w:num w:numId="60">
    <w:abstractNumId w:val="35"/>
  </w:num>
  <w:num w:numId="61">
    <w:abstractNumId w:val="145"/>
  </w:num>
  <w:num w:numId="62">
    <w:abstractNumId w:val="60"/>
  </w:num>
  <w:num w:numId="63">
    <w:abstractNumId w:val="115"/>
  </w:num>
  <w:num w:numId="64">
    <w:abstractNumId w:val="138"/>
  </w:num>
  <w:num w:numId="65">
    <w:abstractNumId w:val="17"/>
  </w:num>
  <w:num w:numId="66">
    <w:abstractNumId w:val="122"/>
  </w:num>
  <w:num w:numId="67">
    <w:abstractNumId w:val="125"/>
  </w:num>
  <w:num w:numId="68">
    <w:abstractNumId w:val="47"/>
  </w:num>
  <w:num w:numId="69">
    <w:abstractNumId w:val="125"/>
  </w:num>
  <w:num w:numId="70">
    <w:abstractNumId w:val="90"/>
  </w:num>
  <w:num w:numId="71">
    <w:abstractNumId w:val="139"/>
  </w:num>
  <w:num w:numId="72">
    <w:abstractNumId w:val="3"/>
  </w:num>
  <w:num w:numId="73">
    <w:abstractNumId w:val="140"/>
  </w:num>
  <w:num w:numId="74">
    <w:abstractNumId w:val="75"/>
  </w:num>
  <w:num w:numId="75">
    <w:abstractNumId w:val="137"/>
  </w:num>
  <w:num w:numId="76">
    <w:abstractNumId w:val="150"/>
  </w:num>
  <w:num w:numId="77">
    <w:abstractNumId w:val="52"/>
  </w:num>
  <w:num w:numId="78">
    <w:abstractNumId w:val="76"/>
  </w:num>
  <w:num w:numId="79">
    <w:abstractNumId w:val="86"/>
  </w:num>
  <w:num w:numId="80">
    <w:abstractNumId w:val="152"/>
  </w:num>
  <w:num w:numId="81">
    <w:abstractNumId w:val="130"/>
  </w:num>
  <w:num w:numId="82">
    <w:abstractNumId w:val="58"/>
  </w:num>
  <w:num w:numId="83">
    <w:abstractNumId w:val="16"/>
  </w:num>
  <w:num w:numId="84">
    <w:abstractNumId w:val="128"/>
  </w:num>
  <w:num w:numId="85">
    <w:abstractNumId w:val="21"/>
  </w:num>
  <w:num w:numId="86">
    <w:abstractNumId w:val="43"/>
  </w:num>
  <w:num w:numId="87">
    <w:abstractNumId w:val="157"/>
  </w:num>
  <w:num w:numId="88">
    <w:abstractNumId w:val="96"/>
  </w:num>
  <w:num w:numId="89">
    <w:abstractNumId w:val="131"/>
  </w:num>
  <w:num w:numId="90">
    <w:abstractNumId w:val="102"/>
  </w:num>
  <w:num w:numId="91">
    <w:abstractNumId w:val="155"/>
  </w:num>
  <w:num w:numId="92">
    <w:abstractNumId w:val="151"/>
  </w:num>
  <w:num w:numId="93">
    <w:abstractNumId w:val="2"/>
  </w:num>
  <w:num w:numId="94">
    <w:abstractNumId w:val="59"/>
  </w:num>
  <w:num w:numId="95">
    <w:abstractNumId w:val="41"/>
  </w:num>
  <w:num w:numId="96">
    <w:abstractNumId w:val="81"/>
  </w:num>
  <w:num w:numId="97">
    <w:abstractNumId w:val="121"/>
  </w:num>
  <w:num w:numId="98">
    <w:abstractNumId w:val="117"/>
  </w:num>
  <w:num w:numId="99">
    <w:abstractNumId w:val="27"/>
  </w:num>
  <w:num w:numId="100">
    <w:abstractNumId w:val="25"/>
  </w:num>
  <w:num w:numId="101">
    <w:abstractNumId w:val="0"/>
  </w:num>
  <w:num w:numId="102">
    <w:abstractNumId w:val="37"/>
  </w:num>
  <w:num w:numId="103">
    <w:abstractNumId w:val="73"/>
  </w:num>
  <w:num w:numId="104">
    <w:abstractNumId w:val="55"/>
  </w:num>
  <w:num w:numId="105">
    <w:abstractNumId w:val="79"/>
  </w:num>
  <w:num w:numId="106">
    <w:abstractNumId w:val="148"/>
  </w:num>
  <w:num w:numId="107">
    <w:abstractNumId w:val="19"/>
  </w:num>
  <w:num w:numId="108">
    <w:abstractNumId w:val="93"/>
  </w:num>
  <w:num w:numId="109">
    <w:abstractNumId w:val="129"/>
  </w:num>
  <w:num w:numId="110">
    <w:abstractNumId w:val="113"/>
  </w:num>
  <w:num w:numId="111">
    <w:abstractNumId w:val="63"/>
  </w:num>
  <w:num w:numId="112">
    <w:abstractNumId w:val="89"/>
  </w:num>
  <w:num w:numId="113">
    <w:abstractNumId w:val="54"/>
  </w:num>
  <w:num w:numId="114">
    <w:abstractNumId w:val="64"/>
  </w:num>
  <w:num w:numId="115">
    <w:abstractNumId w:val="159"/>
  </w:num>
  <w:num w:numId="116">
    <w:abstractNumId w:val="5"/>
  </w:num>
  <w:num w:numId="117">
    <w:abstractNumId w:val="61"/>
  </w:num>
  <w:num w:numId="118">
    <w:abstractNumId w:val="50"/>
  </w:num>
  <w:num w:numId="119">
    <w:abstractNumId w:val="33"/>
  </w:num>
  <w:num w:numId="120">
    <w:abstractNumId w:val="97"/>
  </w:num>
  <w:num w:numId="121">
    <w:abstractNumId w:val="6"/>
  </w:num>
  <w:num w:numId="122">
    <w:abstractNumId w:val="112"/>
  </w:num>
  <w:num w:numId="123">
    <w:abstractNumId w:val="78"/>
  </w:num>
  <w:num w:numId="124">
    <w:abstractNumId w:val="135"/>
  </w:num>
  <w:num w:numId="125">
    <w:abstractNumId w:val="65"/>
  </w:num>
  <w:num w:numId="126">
    <w:abstractNumId w:val="104"/>
  </w:num>
  <w:num w:numId="127">
    <w:abstractNumId w:val="158"/>
  </w:num>
  <w:num w:numId="128">
    <w:abstractNumId w:val="8"/>
  </w:num>
  <w:num w:numId="129">
    <w:abstractNumId w:val="107"/>
  </w:num>
  <w:num w:numId="130">
    <w:abstractNumId w:val="31"/>
  </w:num>
  <w:num w:numId="131">
    <w:abstractNumId w:val="10"/>
  </w:num>
  <w:num w:numId="132">
    <w:abstractNumId w:val="4"/>
  </w:num>
  <w:num w:numId="133">
    <w:abstractNumId w:val="72"/>
  </w:num>
  <w:num w:numId="134">
    <w:abstractNumId w:val="91"/>
  </w:num>
  <w:num w:numId="135">
    <w:abstractNumId w:val="71"/>
  </w:num>
  <w:num w:numId="136">
    <w:abstractNumId w:val="36"/>
  </w:num>
  <w:num w:numId="137">
    <w:abstractNumId w:val="103"/>
  </w:num>
  <w:num w:numId="138">
    <w:abstractNumId w:val="134"/>
  </w:num>
  <w:num w:numId="139">
    <w:abstractNumId w:val="57"/>
  </w:num>
  <w:num w:numId="140">
    <w:abstractNumId w:val="99"/>
  </w:num>
  <w:num w:numId="141">
    <w:abstractNumId w:val="40"/>
  </w:num>
  <w:num w:numId="142">
    <w:abstractNumId w:val="136"/>
  </w:num>
  <w:num w:numId="143">
    <w:abstractNumId w:val="143"/>
  </w:num>
  <w:num w:numId="144">
    <w:abstractNumId w:val="20"/>
  </w:num>
  <w:num w:numId="145">
    <w:abstractNumId w:val="141"/>
  </w:num>
  <w:num w:numId="146">
    <w:abstractNumId w:val="67"/>
  </w:num>
  <w:num w:numId="147">
    <w:abstractNumId w:val="116"/>
  </w:num>
  <w:num w:numId="148">
    <w:abstractNumId w:val="157"/>
  </w:num>
  <w:num w:numId="149">
    <w:abstractNumId w:val="43"/>
  </w:num>
  <w:num w:numId="150">
    <w:abstractNumId w:val="39"/>
  </w:num>
  <w:num w:numId="151">
    <w:abstractNumId w:val="42"/>
  </w:num>
  <w:num w:numId="152">
    <w:abstractNumId w:val="48"/>
  </w:num>
  <w:num w:numId="153">
    <w:abstractNumId w:val="125"/>
  </w:num>
  <w:num w:numId="154">
    <w:abstractNumId w:val="30"/>
  </w:num>
  <w:num w:numId="155">
    <w:abstractNumId w:val="98"/>
  </w:num>
  <w:num w:numId="156">
    <w:abstractNumId w:val="45"/>
  </w:num>
  <w:num w:numId="157">
    <w:abstractNumId w:val="125"/>
  </w:num>
  <w:num w:numId="158">
    <w:abstractNumId w:val="94"/>
  </w:num>
  <w:num w:numId="159">
    <w:abstractNumId w:val="66"/>
  </w:num>
  <w:num w:numId="160">
    <w:abstractNumId w:val="154"/>
  </w:num>
  <w:num w:numId="161">
    <w:abstractNumId w:val="118"/>
  </w:num>
  <w:num w:numId="162">
    <w:abstractNumId w:val="28"/>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5"/>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num>
  <w:num w:numId="16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2"/>
  </w:num>
  <w:num w:numId="170">
    <w:abstractNumId w:val="105"/>
  </w:num>
  <w:num w:numId="171">
    <w:abstractNumId w:val="7"/>
  </w:num>
  <w:num w:numId="172">
    <w:abstractNumId w:val="156"/>
  </w:num>
  <w:num w:numId="173">
    <w:abstractNumId w:val="160"/>
  </w:num>
  <w:num w:numId="174">
    <w:abstractNumId w:val="84"/>
  </w:num>
  <w:num w:numId="175">
    <w:abstractNumId w:val="82"/>
  </w:num>
  <w:num w:numId="176">
    <w:abstractNumId w:val="62"/>
  </w:num>
  <w:num w:numId="177">
    <w:abstractNumId w:val="24"/>
  </w:num>
  <w:num w:numId="178">
    <w:abstractNumId w:val="34"/>
  </w:num>
  <w:num w:numId="179">
    <w:abstractNumId w:val="153"/>
  </w:num>
  <w:num w:numId="180">
    <w:abstractNumId w:val="7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4A15"/>
    <w:rsid w:val="00016452"/>
    <w:rsid w:val="0001686B"/>
    <w:rsid w:val="00017703"/>
    <w:rsid w:val="00020A28"/>
    <w:rsid w:val="000215A9"/>
    <w:rsid w:val="00022B6C"/>
    <w:rsid w:val="000244F9"/>
    <w:rsid w:val="00024E09"/>
    <w:rsid w:val="00026BD2"/>
    <w:rsid w:val="00030B04"/>
    <w:rsid w:val="00030D28"/>
    <w:rsid w:val="0003128F"/>
    <w:rsid w:val="000316FF"/>
    <w:rsid w:val="00031C70"/>
    <w:rsid w:val="00032E3A"/>
    <w:rsid w:val="000338E8"/>
    <w:rsid w:val="00033DA8"/>
    <w:rsid w:val="000349EE"/>
    <w:rsid w:val="00034A75"/>
    <w:rsid w:val="00035EF4"/>
    <w:rsid w:val="000361E6"/>
    <w:rsid w:val="000378CC"/>
    <w:rsid w:val="0004006B"/>
    <w:rsid w:val="00041EB7"/>
    <w:rsid w:val="00051C81"/>
    <w:rsid w:val="0005250A"/>
    <w:rsid w:val="00053194"/>
    <w:rsid w:val="00054E26"/>
    <w:rsid w:val="00055735"/>
    <w:rsid w:val="000562AF"/>
    <w:rsid w:val="0005730B"/>
    <w:rsid w:val="00060853"/>
    <w:rsid w:val="0006168C"/>
    <w:rsid w:val="0006220B"/>
    <w:rsid w:val="00063BFD"/>
    <w:rsid w:val="00067189"/>
    <w:rsid w:val="00070866"/>
    <w:rsid w:val="00070C28"/>
    <w:rsid w:val="000714D6"/>
    <w:rsid w:val="00071E53"/>
    <w:rsid w:val="00073A46"/>
    <w:rsid w:val="00074CD8"/>
    <w:rsid w:val="00077147"/>
    <w:rsid w:val="000814F6"/>
    <w:rsid w:val="00081813"/>
    <w:rsid w:val="000818D4"/>
    <w:rsid w:val="000821ED"/>
    <w:rsid w:val="00086D04"/>
    <w:rsid w:val="00087409"/>
    <w:rsid w:val="00087AE9"/>
    <w:rsid w:val="00093655"/>
    <w:rsid w:val="00094645"/>
    <w:rsid w:val="00094E5E"/>
    <w:rsid w:val="000967CA"/>
    <w:rsid w:val="00096999"/>
    <w:rsid w:val="000A62E2"/>
    <w:rsid w:val="000B139C"/>
    <w:rsid w:val="000B3CCF"/>
    <w:rsid w:val="000C0AA0"/>
    <w:rsid w:val="000C2679"/>
    <w:rsid w:val="000C37E9"/>
    <w:rsid w:val="000C3DF6"/>
    <w:rsid w:val="000C469F"/>
    <w:rsid w:val="000D1BD5"/>
    <w:rsid w:val="000D28F0"/>
    <w:rsid w:val="000D50A8"/>
    <w:rsid w:val="000D59D3"/>
    <w:rsid w:val="000D7F5A"/>
    <w:rsid w:val="000E0FCC"/>
    <w:rsid w:val="000E4C16"/>
    <w:rsid w:val="000E6F41"/>
    <w:rsid w:val="000F035E"/>
    <w:rsid w:val="000F16CE"/>
    <w:rsid w:val="000F42C4"/>
    <w:rsid w:val="000F77C3"/>
    <w:rsid w:val="00102CB6"/>
    <w:rsid w:val="0010339F"/>
    <w:rsid w:val="0010391E"/>
    <w:rsid w:val="00103CC0"/>
    <w:rsid w:val="00104975"/>
    <w:rsid w:val="001053BA"/>
    <w:rsid w:val="0010786D"/>
    <w:rsid w:val="00110344"/>
    <w:rsid w:val="001127C6"/>
    <w:rsid w:val="001138B0"/>
    <w:rsid w:val="0011503D"/>
    <w:rsid w:val="001158DF"/>
    <w:rsid w:val="00116CFB"/>
    <w:rsid w:val="001259B7"/>
    <w:rsid w:val="00126820"/>
    <w:rsid w:val="00126A7F"/>
    <w:rsid w:val="00127660"/>
    <w:rsid w:val="00131042"/>
    <w:rsid w:val="0013146D"/>
    <w:rsid w:val="001346CC"/>
    <w:rsid w:val="00136F53"/>
    <w:rsid w:val="00136FA8"/>
    <w:rsid w:val="001376AC"/>
    <w:rsid w:val="0014104C"/>
    <w:rsid w:val="00142A4E"/>
    <w:rsid w:val="0014464E"/>
    <w:rsid w:val="00144DB7"/>
    <w:rsid w:val="00146F91"/>
    <w:rsid w:val="001518B9"/>
    <w:rsid w:val="001540D3"/>
    <w:rsid w:val="00155138"/>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3629"/>
    <w:rsid w:val="00194447"/>
    <w:rsid w:val="0019516A"/>
    <w:rsid w:val="00195479"/>
    <w:rsid w:val="001A1064"/>
    <w:rsid w:val="001A228B"/>
    <w:rsid w:val="001A3D0C"/>
    <w:rsid w:val="001A6F74"/>
    <w:rsid w:val="001B0D26"/>
    <w:rsid w:val="001B1504"/>
    <w:rsid w:val="001B18C2"/>
    <w:rsid w:val="001B232C"/>
    <w:rsid w:val="001B28BC"/>
    <w:rsid w:val="001B424E"/>
    <w:rsid w:val="001B4CC9"/>
    <w:rsid w:val="001C0535"/>
    <w:rsid w:val="001C05B2"/>
    <w:rsid w:val="001C07DD"/>
    <w:rsid w:val="001C17BE"/>
    <w:rsid w:val="001C365D"/>
    <w:rsid w:val="001C4264"/>
    <w:rsid w:val="001C6C93"/>
    <w:rsid w:val="001C75CA"/>
    <w:rsid w:val="001D013F"/>
    <w:rsid w:val="001D4E3C"/>
    <w:rsid w:val="001D52CB"/>
    <w:rsid w:val="001D6C48"/>
    <w:rsid w:val="001E2338"/>
    <w:rsid w:val="001E4CBB"/>
    <w:rsid w:val="001E74A2"/>
    <w:rsid w:val="001E76FC"/>
    <w:rsid w:val="001F0BC4"/>
    <w:rsid w:val="001F21F2"/>
    <w:rsid w:val="001F4D66"/>
    <w:rsid w:val="00200F03"/>
    <w:rsid w:val="002013C3"/>
    <w:rsid w:val="00202634"/>
    <w:rsid w:val="0020370A"/>
    <w:rsid w:val="00203A8F"/>
    <w:rsid w:val="00204864"/>
    <w:rsid w:val="002052D8"/>
    <w:rsid w:val="00205EFC"/>
    <w:rsid w:val="002063BB"/>
    <w:rsid w:val="002079FB"/>
    <w:rsid w:val="00211393"/>
    <w:rsid w:val="00211FAE"/>
    <w:rsid w:val="00212787"/>
    <w:rsid w:val="002138A9"/>
    <w:rsid w:val="00214451"/>
    <w:rsid w:val="00221123"/>
    <w:rsid w:val="00222B86"/>
    <w:rsid w:val="002236A6"/>
    <w:rsid w:val="00224DE6"/>
    <w:rsid w:val="00224E75"/>
    <w:rsid w:val="00226823"/>
    <w:rsid w:val="00226B2E"/>
    <w:rsid w:val="002276DD"/>
    <w:rsid w:val="0023002B"/>
    <w:rsid w:val="0023548F"/>
    <w:rsid w:val="00236693"/>
    <w:rsid w:val="002407AA"/>
    <w:rsid w:val="00242408"/>
    <w:rsid w:val="00242759"/>
    <w:rsid w:val="00242890"/>
    <w:rsid w:val="00242B03"/>
    <w:rsid w:val="00243514"/>
    <w:rsid w:val="00245BC0"/>
    <w:rsid w:val="00246610"/>
    <w:rsid w:val="002469F7"/>
    <w:rsid w:val="002539A1"/>
    <w:rsid w:val="00253B72"/>
    <w:rsid w:val="002559A2"/>
    <w:rsid w:val="002563ED"/>
    <w:rsid w:val="00256406"/>
    <w:rsid w:val="002577EA"/>
    <w:rsid w:val="0026049D"/>
    <w:rsid w:val="00261933"/>
    <w:rsid w:val="00263B55"/>
    <w:rsid w:val="00264BEF"/>
    <w:rsid w:val="002653BB"/>
    <w:rsid w:val="0026702F"/>
    <w:rsid w:val="00267AB2"/>
    <w:rsid w:val="0027137C"/>
    <w:rsid w:val="00275CB8"/>
    <w:rsid w:val="0027679F"/>
    <w:rsid w:val="00281365"/>
    <w:rsid w:val="002843D9"/>
    <w:rsid w:val="00286D42"/>
    <w:rsid w:val="002903CB"/>
    <w:rsid w:val="00291252"/>
    <w:rsid w:val="002915A8"/>
    <w:rsid w:val="0029182C"/>
    <w:rsid w:val="00291981"/>
    <w:rsid w:val="00291F64"/>
    <w:rsid w:val="002932E6"/>
    <w:rsid w:val="002A0707"/>
    <w:rsid w:val="002A17C4"/>
    <w:rsid w:val="002A349B"/>
    <w:rsid w:val="002A3665"/>
    <w:rsid w:val="002A4931"/>
    <w:rsid w:val="002A4A76"/>
    <w:rsid w:val="002A5E72"/>
    <w:rsid w:val="002A5F58"/>
    <w:rsid w:val="002B2798"/>
    <w:rsid w:val="002B4372"/>
    <w:rsid w:val="002B5973"/>
    <w:rsid w:val="002C165A"/>
    <w:rsid w:val="002C1999"/>
    <w:rsid w:val="002C3DCC"/>
    <w:rsid w:val="002C401D"/>
    <w:rsid w:val="002C5D72"/>
    <w:rsid w:val="002D0F32"/>
    <w:rsid w:val="002D1B76"/>
    <w:rsid w:val="002D41B7"/>
    <w:rsid w:val="002D73EF"/>
    <w:rsid w:val="002D750B"/>
    <w:rsid w:val="002E19C5"/>
    <w:rsid w:val="002F0044"/>
    <w:rsid w:val="002F0388"/>
    <w:rsid w:val="002F608B"/>
    <w:rsid w:val="002F79C6"/>
    <w:rsid w:val="003002D3"/>
    <w:rsid w:val="003079A2"/>
    <w:rsid w:val="00307A61"/>
    <w:rsid w:val="00310371"/>
    <w:rsid w:val="00311036"/>
    <w:rsid w:val="003111F0"/>
    <w:rsid w:val="00313967"/>
    <w:rsid w:val="00314E67"/>
    <w:rsid w:val="003160F4"/>
    <w:rsid w:val="003179EF"/>
    <w:rsid w:val="00320A5F"/>
    <w:rsid w:val="00322BCE"/>
    <w:rsid w:val="00325A3E"/>
    <w:rsid w:val="0032602C"/>
    <w:rsid w:val="00326F48"/>
    <w:rsid w:val="00327A6E"/>
    <w:rsid w:val="00327FB0"/>
    <w:rsid w:val="00330A73"/>
    <w:rsid w:val="00331316"/>
    <w:rsid w:val="003324EB"/>
    <w:rsid w:val="00332F52"/>
    <w:rsid w:val="00336DB2"/>
    <w:rsid w:val="00342715"/>
    <w:rsid w:val="00344183"/>
    <w:rsid w:val="00345B23"/>
    <w:rsid w:val="0034657E"/>
    <w:rsid w:val="00350470"/>
    <w:rsid w:val="00351877"/>
    <w:rsid w:val="003542D4"/>
    <w:rsid w:val="003555A1"/>
    <w:rsid w:val="0035631F"/>
    <w:rsid w:val="00360D02"/>
    <w:rsid w:val="00361CF3"/>
    <w:rsid w:val="00362B7F"/>
    <w:rsid w:val="00364D74"/>
    <w:rsid w:val="0037202C"/>
    <w:rsid w:val="00372D96"/>
    <w:rsid w:val="003759AE"/>
    <w:rsid w:val="003803A1"/>
    <w:rsid w:val="00380A9A"/>
    <w:rsid w:val="0038274D"/>
    <w:rsid w:val="003833E4"/>
    <w:rsid w:val="0038799C"/>
    <w:rsid w:val="00387CFB"/>
    <w:rsid w:val="003939EE"/>
    <w:rsid w:val="00394163"/>
    <w:rsid w:val="00394196"/>
    <w:rsid w:val="0039485C"/>
    <w:rsid w:val="00394A0D"/>
    <w:rsid w:val="00397835"/>
    <w:rsid w:val="00397A66"/>
    <w:rsid w:val="00397C0A"/>
    <w:rsid w:val="003A0710"/>
    <w:rsid w:val="003A63B9"/>
    <w:rsid w:val="003A7683"/>
    <w:rsid w:val="003B0560"/>
    <w:rsid w:val="003B20F1"/>
    <w:rsid w:val="003B214D"/>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53DE"/>
    <w:rsid w:val="003D7FAF"/>
    <w:rsid w:val="003E0B8C"/>
    <w:rsid w:val="003E24BB"/>
    <w:rsid w:val="003E387D"/>
    <w:rsid w:val="003E5833"/>
    <w:rsid w:val="003E6010"/>
    <w:rsid w:val="003E693F"/>
    <w:rsid w:val="003E75FE"/>
    <w:rsid w:val="003F1D4E"/>
    <w:rsid w:val="003F1EC5"/>
    <w:rsid w:val="003F2CD5"/>
    <w:rsid w:val="003F2F97"/>
    <w:rsid w:val="003F4FF6"/>
    <w:rsid w:val="003F59AD"/>
    <w:rsid w:val="003F65E2"/>
    <w:rsid w:val="00402CA2"/>
    <w:rsid w:val="004066D3"/>
    <w:rsid w:val="00407886"/>
    <w:rsid w:val="00411755"/>
    <w:rsid w:val="00413EED"/>
    <w:rsid w:val="00414A4C"/>
    <w:rsid w:val="00415AAD"/>
    <w:rsid w:val="0041728F"/>
    <w:rsid w:val="004221CC"/>
    <w:rsid w:val="004235E7"/>
    <w:rsid w:val="00425526"/>
    <w:rsid w:val="00426306"/>
    <w:rsid w:val="0042692C"/>
    <w:rsid w:val="00426D3E"/>
    <w:rsid w:val="00427C97"/>
    <w:rsid w:val="00430FC6"/>
    <w:rsid w:val="004331FF"/>
    <w:rsid w:val="00434AB9"/>
    <w:rsid w:val="00434C77"/>
    <w:rsid w:val="00436EF0"/>
    <w:rsid w:val="00440808"/>
    <w:rsid w:val="00444C4C"/>
    <w:rsid w:val="00444D44"/>
    <w:rsid w:val="004452E3"/>
    <w:rsid w:val="0045012A"/>
    <w:rsid w:val="0045436B"/>
    <w:rsid w:val="00457653"/>
    <w:rsid w:val="00460CCB"/>
    <w:rsid w:val="00461E3E"/>
    <w:rsid w:val="0046340B"/>
    <w:rsid w:val="00464A26"/>
    <w:rsid w:val="00464B19"/>
    <w:rsid w:val="00464C86"/>
    <w:rsid w:val="00466797"/>
    <w:rsid w:val="00466AC6"/>
    <w:rsid w:val="0047016B"/>
    <w:rsid w:val="00470409"/>
    <w:rsid w:val="0047306F"/>
    <w:rsid w:val="00473B7F"/>
    <w:rsid w:val="0047417A"/>
    <w:rsid w:val="00477C1C"/>
    <w:rsid w:val="0048090F"/>
    <w:rsid w:val="00480C50"/>
    <w:rsid w:val="00484938"/>
    <w:rsid w:val="00486144"/>
    <w:rsid w:val="00486F07"/>
    <w:rsid w:val="004929C8"/>
    <w:rsid w:val="00492EDB"/>
    <w:rsid w:val="00496EBA"/>
    <w:rsid w:val="004A1606"/>
    <w:rsid w:val="004A58D1"/>
    <w:rsid w:val="004A7356"/>
    <w:rsid w:val="004A737C"/>
    <w:rsid w:val="004A7AEE"/>
    <w:rsid w:val="004A7C3A"/>
    <w:rsid w:val="004A7E85"/>
    <w:rsid w:val="004B0633"/>
    <w:rsid w:val="004B7790"/>
    <w:rsid w:val="004C0FE5"/>
    <w:rsid w:val="004C40BB"/>
    <w:rsid w:val="004C4138"/>
    <w:rsid w:val="004C4D7B"/>
    <w:rsid w:val="004C56A4"/>
    <w:rsid w:val="004C6E55"/>
    <w:rsid w:val="004C7B95"/>
    <w:rsid w:val="004D1F3E"/>
    <w:rsid w:val="004D4B15"/>
    <w:rsid w:val="004E0268"/>
    <w:rsid w:val="004E1536"/>
    <w:rsid w:val="004E16EC"/>
    <w:rsid w:val="004E21A8"/>
    <w:rsid w:val="004E2B3E"/>
    <w:rsid w:val="004E3528"/>
    <w:rsid w:val="004E3A5B"/>
    <w:rsid w:val="004E46A8"/>
    <w:rsid w:val="004E4A42"/>
    <w:rsid w:val="004F0B26"/>
    <w:rsid w:val="004F1EE8"/>
    <w:rsid w:val="004F3783"/>
    <w:rsid w:val="004F4E76"/>
    <w:rsid w:val="004F7A13"/>
    <w:rsid w:val="005021B6"/>
    <w:rsid w:val="005024F6"/>
    <w:rsid w:val="00504096"/>
    <w:rsid w:val="00504A01"/>
    <w:rsid w:val="00505516"/>
    <w:rsid w:val="00507398"/>
    <w:rsid w:val="005073C6"/>
    <w:rsid w:val="00507B8C"/>
    <w:rsid w:val="0051243D"/>
    <w:rsid w:val="00514A9A"/>
    <w:rsid w:val="00515BC0"/>
    <w:rsid w:val="00516AD9"/>
    <w:rsid w:val="00516F22"/>
    <w:rsid w:val="00517125"/>
    <w:rsid w:val="005207E3"/>
    <w:rsid w:val="00522152"/>
    <w:rsid w:val="00523686"/>
    <w:rsid w:val="00523996"/>
    <w:rsid w:val="00525911"/>
    <w:rsid w:val="00526548"/>
    <w:rsid w:val="00531900"/>
    <w:rsid w:val="00534CC2"/>
    <w:rsid w:val="00535FFB"/>
    <w:rsid w:val="0054017F"/>
    <w:rsid w:val="0054168C"/>
    <w:rsid w:val="005434EE"/>
    <w:rsid w:val="00544284"/>
    <w:rsid w:val="0054508A"/>
    <w:rsid w:val="00545AB6"/>
    <w:rsid w:val="00546C60"/>
    <w:rsid w:val="005508F5"/>
    <w:rsid w:val="0055113A"/>
    <w:rsid w:val="00554364"/>
    <w:rsid w:val="00554B37"/>
    <w:rsid w:val="00557587"/>
    <w:rsid w:val="00557A1C"/>
    <w:rsid w:val="00560AD6"/>
    <w:rsid w:val="00561C94"/>
    <w:rsid w:val="00562E61"/>
    <w:rsid w:val="005632D7"/>
    <w:rsid w:val="0056359E"/>
    <w:rsid w:val="00566858"/>
    <w:rsid w:val="00567A1B"/>
    <w:rsid w:val="0057117C"/>
    <w:rsid w:val="0057239E"/>
    <w:rsid w:val="005724ED"/>
    <w:rsid w:val="00575896"/>
    <w:rsid w:val="00575EED"/>
    <w:rsid w:val="00577829"/>
    <w:rsid w:val="005805C8"/>
    <w:rsid w:val="0058068C"/>
    <w:rsid w:val="00581104"/>
    <w:rsid w:val="0058386D"/>
    <w:rsid w:val="00584D4C"/>
    <w:rsid w:val="00586A23"/>
    <w:rsid w:val="005876F8"/>
    <w:rsid w:val="005918AB"/>
    <w:rsid w:val="00592C99"/>
    <w:rsid w:val="00593D2E"/>
    <w:rsid w:val="00595399"/>
    <w:rsid w:val="0059550E"/>
    <w:rsid w:val="00595E30"/>
    <w:rsid w:val="00597449"/>
    <w:rsid w:val="00597AC7"/>
    <w:rsid w:val="005A07EF"/>
    <w:rsid w:val="005A196D"/>
    <w:rsid w:val="005A1CB4"/>
    <w:rsid w:val="005A22B5"/>
    <w:rsid w:val="005A2AD2"/>
    <w:rsid w:val="005A68CF"/>
    <w:rsid w:val="005B04CB"/>
    <w:rsid w:val="005B0683"/>
    <w:rsid w:val="005B0A78"/>
    <w:rsid w:val="005B0D29"/>
    <w:rsid w:val="005B258F"/>
    <w:rsid w:val="005B4236"/>
    <w:rsid w:val="005B46EE"/>
    <w:rsid w:val="005B5D2D"/>
    <w:rsid w:val="005B70E6"/>
    <w:rsid w:val="005B7EAD"/>
    <w:rsid w:val="005C0D2A"/>
    <w:rsid w:val="005C119A"/>
    <w:rsid w:val="005C2810"/>
    <w:rsid w:val="005C6C52"/>
    <w:rsid w:val="005C6CC7"/>
    <w:rsid w:val="005C6FD3"/>
    <w:rsid w:val="005D060D"/>
    <w:rsid w:val="005D460E"/>
    <w:rsid w:val="005D4846"/>
    <w:rsid w:val="005D6008"/>
    <w:rsid w:val="005D652A"/>
    <w:rsid w:val="005E32A3"/>
    <w:rsid w:val="005E531B"/>
    <w:rsid w:val="005E68BC"/>
    <w:rsid w:val="005E7516"/>
    <w:rsid w:val="005F01D5"/>
    <w:rsid w:val="005F022A"/>
    <w:rsid w:val="005F54A5"/>
    <w:rsid w:val="005F7FD3"/>
    <w:rsid w:val="00600B60"/>
    <w:rsid w:val="006028AC"/>
    <w:rsid w:val="00602D6A"/>
    <w:rsid w:val="006139AA"/>
    <w:rsid w:val="006140BB"/>
    <w:rsid w:val="00615F2A"/>
    <w:rsid w:val="00616E48"/>
    <w:rsid w:val="00620A22"/>
    <w:rsid w:val="00622A2D"/>
    <w:rsid w:val="00623026"/>
    <w:rsid w:val="00623940"/>
    <w:rsid w:val="00630FCB"/>
    <w:rsid w:val="00632B38"/>
    <w:rsid w:val="0063400F"/>
    <w:rsid w:val="00634347"/>
    <w:rsid w:val="00635234"/>
    <w:rsid w:val="00637052"/>
    <w:rsid w:val="00637DD7"/>
    <w:rsid w:val="0064336B"/>
    <w:rsid w:val="00643E56"/>
    <w:rsid w:val="00644220"/>
    <w:rsid w:val="006452AC"/>
    <w:rsid w:val="00646338"/>
    <w:rsid w:val="00646EEC"/>
    <w:rsid w:val="00647030"/>
    <w:rsid w:val="00647038"/>
    <w:rsid w:val="006472A6"/>
    <w:rsid w:val="006501DC"/>
    <w:rsid w:val="00653125"/>
    <w:rsid w:val="0065504C"/>
    <w:rsid w:val="006552FD"/>
    <w:rsid w:val="0065609C"/>
    <w:rsid w:val="006579F9"/>
    <w:rsid w:val="00657F8D"/>
    <w:rsid w:val="006600DC"/>
    <w:rsid w:val="00664CC5"/>
    <w:rsid w:val="00666847"/>
    <w:rsid w:val="00666898"/>
    <w:rsid w:val="00671031"/>
    <w:rsid w:val="00673BA2"/>
    <w:rsid w:val="00675502"/>
    <w:rsid w:val="006763EC"/>
    <w:rsid w:val="0067717C"/>
    <w:rsid w:val="006808D7"/>
    <w:rsid w:val="0068174F"/>
    <w:rsid w:val="00681787"/>
    <w:rsid w:val="00690AFD"/>
    <w:rsid w:val="0069185E"/>
    <w:rsid w:val="006918D2"/>
    <w:rsid w:val="00696261"/>
    <w:rsid w:val="0069782A"/>
    <w:rsid w:val="006A2764"/>
    <w:rsid w:val="006A4EAA"/>
    <w:rsid w:val="006A6090"/>
    <w:rsid w:val="006B02D0"/>
    <w:rsid w:val="006B15C0"/>
    <w:rsid w:val="006B1950"/>
    <w:rsid w:val="006B1EE7"/>
    <w:rsid w:val="006B4FD1"/>
    <w:rsid w:val="006B5121"/>
    <w:rsid w:val="006B6362"/>
    <w:rsid w:val="006B7240"/>
    <w:rsid w:val="006B740F"/>
    <w:rsid w:val="006B7B1B"/>
    <w:rsid w:val="006C29F2"/>
    <w:rsid w:val="006C36C9"/>
    <w:rsid w:val="006D1BB9"/>
    <w:rsid w:val="006D605D"/>
    <w:rsid w:val="006D698D"/>
    <w:rsid w:val="006D78FF"/>
    <w:rsid w:val="006E07C3"/>
    <w:rsid w:val="006E2812"/>
    <w:rsid w:val="006E28A4"/>
    <w:rsid w:val="006E3C3D"/>
    <w:rsid w:val="006E4A32"/>
    <w:rsid w:val="006E6132"/>
    <w:rsid w:val="006F0D9E"/>
    <w:rsid w:val="006F170C"/>
    <w:rsid w:val="006F289E"/>
    <w:rsid w:val="006F2CA5"/>
    <w:rsid w:val="006F396D"/>
    <w:rsid w:val="006F5B7B"/>
    <w:rsid w:val="006F6558"/>
    <w:rsid w:val="007008B5"/>
    <w:rsid w:val="00701383"/>
    <w:rsid w:val="00701551"/>
    <w:rsid w:val="00701FE4"/>
    <w:rsid w:val="00704639"/>
    <w:rsid w:val="00704BB2"/>
    <w:rsid w:val="00704F5C"/>
    <w:rsid w:val="007056EF"/>
    <w:rsid w:val="007074EA"/>
    <w:rsid w:val="007112FB"/>
    <w:rsid w:val="007149F9"/>
    <w:rsid w:val="007200A7"/>
    <w:rsid w:val="00721659"/>
    <w:rsid w:val="0072400C"/>
    <w:rsid w:val="00724F28"/>
    <w:rsid w:val="0072636A"/>
    <w:rsid w:val="007274A7"/>
    <w:rsid w:val="00732A09"/>
    <w:rsid w:val="00736415"/>
    <w:rsid w:val="0073655D"/>
    <w:rsid w:val="007402B1"/>
    <w:rsid w:val="00740EA8"/>
    <w:rsid w:val="00742995"/>
    <w:rsid w:val="0074514B"/>
    <w:rsid w:val="00745164"/>
    <w:rsid w:val="00745B4D"/>
    <w:rsid w:val="007460DB"/>
    <w:rsid w:val="0074616E"/>
    <w:rsid w:val="00746BC1"/>
    <w:rsid w:val="0075085B"/>
    <w:rsid w:val="00750AF6"/>
    <w:rsid w:val="0075179F"/>
    <w:rsid w:val="00754261"/>
    <w:rsid w:val="00754C10"/>
    <w:rsid w:val="007551F4"/>
    <w:rsid w:val="007562AD"/>
    <w:rsid w:val="00756787"/>
    <w:rsid w:val="00757CF0"/>
    <w:rsid w:val="007605C0"/>
    <w:rsid w:val="00761F77"/>
    <w:rsid w:val="007647C3"/>
    <w:rsid w:val="00764CA6"/>
    <w:rsid w:val="00765C42"/>
    <w:rsid w:val="00765F1B"/>
    <w:rsid w:val="00771959"/>
    <w:rsid w:val="00771B7B"/>
    <w:rsid w:val="00772D4D"/>
    <w:rsid w:val="007738AC"/>
    <w:rsid w:val="00774293"/>
    <w:rsid w:val="00774ED8"/>
    <w:rsid w:val="00777329"/>
    <w:rsid w:val="00782FDA"/>
    <w:rsid w:val="00785399"/>
    <w:rsid w:val="00787F6E"/>
    <w:rsid w:val="00793CC7"/>
    <w:rsid w:val="0079472F"/>
    <w:rsid w:val="007949E3"/>
    <w:rsid w:val="00794E1C"/>
    <w:rsid w:val="0079571B"/>
    <w:rsid w:val="00795DA3"/>
    <w:rsid w:val="00796624"/>
    <w:rsid w:val="00796D74"/>
    <w:rsid w:val="00797F04"/>
    <w:rsid w:val="007A57F4"/>
    <w:rsid w:val="007A7550"/>
    <w:rsid w:val="007B31B6"/>
    <w:rsid w:val="007B3529"/>
    <w:rsid w:val="007B779F"/>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556F"/>
    <w:rsid w:val="007F59F4"/>
    <w:rsid w:val="0080274C"/>
    <w:rsid w:val="00802AF7"/>
    <w:rsid w:val="008031D6"/>
    <w:rsid w:val="0080378A"/>
    <w:rsid w:val="008038C5"/>
    <w:rsid w:val="00805016"/>
    <w:rsid w:val="00805F7C"/>
    <w:rsid w:val="00810910"/>
    <w:rsid w:val="0081158D"/>
    <w:rsid w:val="00811B34"/>
    <w:rsid w:val="00811CDA"/>
    <w:rsid w:val="00813D71"/>
    <w:rsid w:val="00814D3F"/>
    <w:rsid w:val="0081742C"/>
    <w:rsid w:val="008212B0"/>
    <w:rsid w:val="00821A37"/>
    <w:rsid w:val="00821C94"/>
    <w:rsid w:val="00822E71"/>
    <w:rsid w:val="00824BEE"/>
    <w:rsid w:val="0083066E"/>
    <w:rsid w:val="00830E2A"/>
    <w:rsid w:val="008314D7"/>
    <w:rsid w:val="00831C5E"/>
    <w:rsid w:val="00832685"/>
    <w:rsid w:val="008331AD"/>
    <w:rsid w:val="0083431E"/>
    <w:rsid w:val="008350EE"/>
    <w:rsid w:val="0083618B"/>
    <w:rsid w:val="008367AC"/>
    <w:rsid w:val="008405A0"/>
    <w:rsid w:val="0084216A"/>
    <w:rsid w:val="00843DF6"/>
    <w:rsid w:val="00845BBE"/>
    <w:rsid w:val="00846977"/>
    <w:rsid w:val="00847A49"/>
    <w:rsid w:val="00847AAF"/>
    <w:rsid w:val="008524D0"/>
    <w:rsid w:val="008549CE"/>
    <w:rsid w:val="0086061B"/>
    <w:rsid w:val="00860B63"/>
    <w:rsid w:val="008634DC"/>
    <w:rsid w:val="00863940"/>
    <w:rsid w:val="00867B02"/>
    <w:rsid w:val="00871CDC"/>
    <w:rsid w:val="008720E3"/>
    <w:rsid w:val="008731E1"/>
    <w:rsid w:val="008736DF"/>
    <w:rsid w:val="008741DB"/>
    <w:rsid w:val="00874966"/>
    <w:rsid w:val="00874B7D"/>
    <w:rsid w:val="00875E52"/>
    <w:rsid w:val="00875F60"/>
    <w:rsid w:val="0087687D"/>
    <w:rsid w:val="00881E5F"/>
    <w:rsid w:val="008829A4"/>
    <w:rsid w:val="0088364E"/>
    <w:rsid w:val="00883FCB"/>
    <w:rsid w:val="008874F5"/>
    <w:rsid w:val="00887B21"/>
    <w:rsid w:val="00887BCF"/>
    <w:rsid w:val="00891B74"/>
    <w:rsid w:val="00893858"/>
    <w:rsid w:val="00893D48"/>
    <w:rsid w:val="0089503E"/>
    <w:rsid w:val="00895093"/>
    <w:rsid w:val="008A0BF5"/>
    <w:rsid w:val="008A2046"/>
    <w:rsid w:val="008A2A2F"/>
    <w:rsid w:val="008A3A03"/>
    <w:rsid w:val="008A6D95"/>
    <w:rsid w:val="008A6EC0"/>
    <w:rsid w:val="008B1171"/>
    <w:rsid w:val="008B1F21"/>
    <w:rsid w:val="008B48E2"/>
    <w:rsid w:val="008B5152"/>
    <w:rsid w:val="008B5EA0"/>
    <w:rsid w:val="008B6EE1"/>
    <w:rsid w:val="008C0CA5"/>
    <w:rsid w:val="008C12A2"/>
    <w:rsid w:val="008C1CF5"/>
    <w:rsid w:val="008C3CE8"/>
    <w:rsid w:val="008C471F"/>
    <w:rsid w:val="008C4B38"/>
    <w:rsid w:val="008C6470"/>
    <w:rsid w:val="008C7465"/>
    <w:rsid w:val="008D00A6"/>
    <w:rsid w:val="008D10DE"/>
    <w:rsid w:val="008D270E"/>
    <w:rsid w:val="008D3DE9"/>
    <w:rsid w:val="008D54FE"/>
    <w:rsid w:val="008D639A"/>
    <w:rsid w:val="008D65B3"/>
    <w:rsid w:val="008D6B9D"/>
    <w:rsid w:val="008E0AC9"/>
    <w:rsid w:val="008E212A"/>
    <w:rsid w:val="008E23C2"/>
    <w:rsid w:val="008E328D"/>
    <w:rsid w:val="008E383F"/>
    <w:rsid w:val="008E4FE2"/>
    <w:rsid w:val="008E5190"/>
    <w:rsid w:val="008E5F8B"/>
    <w:rsid w:val="008E79DB"/>
    <w:rsid w:val="008F199D"/>
    <w:rsid w:val="008F1CB0"/>
    <w:rsid w:val="008F1D0A"/>
    <w:rsid w:val="008F3933"/>
    <w:rsid w:val="008F663E"/>
    <w:rsid w:val="00900EA0"/>
    <w:rsid w:val="009031A2"/>
    <w:rsid w:val="0090367E"/>
    <w:rsid w:val="00903E49"/>
    <w:rsid w:val="00903EBB"/>
    <w:rsid w:val="009041AA"/>
    <w:rsid w:val="0090578F"/>
    <w:rsid w:val="00906027"/>
    <w:rsid w:val="009110F8"/>
    <w:rsid w:val="00912ABF"/>
    <w:rsid w:val="00915485"/>
    <w:rsid w:val="00915EB8"/>
    <w:rsid w:val="009177C9"/>
    <w:rsid w:val="00917932"/>
    <w:rsid w:val="00921C9B"/>
    <w:rsid w:val="00921E9F"/>
    <w:rsid w:val="0092229A"/>
    <w:rsid w:val="0092241A"/>
    <w:rsid w:val="00923DCD"/>
    <w:rsid w:val="009260D0"/>
    <w:rsid w:val="00927AA9"/>
    <w:rsid w:val="00927B5B"/>
    <w:rsid w:val="00930D55"/>
    <w:rsid w:val="009320E6"/>
    <w:rsid w:val="00932F5A"/>
    <w:rsid w:val="00933610"/>
    <w:rsid w:val="00934561"/>
    <w:rsid w:val="009366DA"/>
    <w:rsid w:val="00944F28"/>
    <w:rsid w:val="00947B48"/>
    <w:rsid w:val="009501C1"/>
    <w:rsid w:val="009523E9"/>
    <w:rsid w:val="00953DE1"/>
    <w:rsid w:val="00954C4D"/>
    <w:rsid w:val="00960E94"/>
    <w:rsid w:val="00963089"/>
    <w:rsid w:val="0096362C"/>
    <w:rsid w:val="00963FE9"/>
    <w:rsid w:val="009650BD"/>
    <w:rsid w:val="009661A6"/>
    <w:rsid w:val="00966E9D"/>
    <w:rsid w:val="00967A30"/>
    <w:rsid w:val="00967E69"/>
    <w:rsid w:val="00974757"/>
    <w:rsid w:val="00977579"/>
    <w:rsid w:val="00977961"/>
    <w:rsid w:val="009804DC"/>
    <w:rsid w:val="009814EC"/>
    <w:rsid w:val="00983C32"/>
    <w:rsid w:val="0098597A"/>
    <w:rsid w:val="00986780"/>
    <w:rsid w:val="009867C1"/>
    <w:rsid w:val="00992591"/>
    <w:rsid w:val="0099424C"/>
    <w:rsid w:val="009967CB"/>
    <w:rsid w:val="00997395"/>
    <w:rsid w:val="009A0CD7"/>
    <w:rsid w:val="009A0DEA"/>
    <w:rsid w:val="009A1F1D"/>
    <w:rsid w:val="009A24AD"/>
    <w:rsid w:val="009A399E"/>
    <w:rsid w:val="009A49A7"/>
    <w:rsid w:val="009A51F0"/>
    <w:rsid w:val="009B0BC4"/>
    <w:rsid w:val="009B10FF"/>
    <w:rsid w:val="009B3504"/>
    <w:rsid w:val="009B4402"/>
    <w:rsid w:val="009B5536"/>
    <w:rsid w:val="009B6459"/>
    <w:rsid w:val="009C1289"/>
    <w:rsid w:val="009C2AB9"/>
    <w:rsid w:val="009C4B4E"/>
    <w:rsid w:val="009D3AE0"/>
    <w:rsid w:val="009D6AF9"/>
    <w:rsid w:val="009E1DC8"/>
    <w:rsid w:val="009E2533"/>
    <w:rsid w:val="009E32B5"/>
    <w:rsid w:val="009E5563"/>
    <w:rsid w:val="009E5E6C"/>
    <w:rsid w:val="009F02EC"/>
    <w:rsid w:val="009F05CF"/>
    <w:rsid w:val="009F09F1"/>
    <w:rsid w:val="009F40D9"/>
    <w:rsid w:val="009F475D"/>
    <w:rsid w:val="009F58A3"/>
    <w:rsid w:val="009F7736"/>
    <w:rsid w:val="00A0181D"/>
    <w:rsid w:val="00A02258"/>
    <w:rsid w:val="00A02395"/>
    <w:rsid w:val="00A0447D"/>
    <w:rsid w:val="00A0670F"/>
    <w:rsid w:val="00A07E52"/>
    <w:rsid w:val="00A108CC"/>
    <w:rsid w:val="00A11345"/>
    <w:rsid w:val="00A11D42"/>
    <w:rsid w:val="00A133CC"/>
    <w:rsid w:val="00A134D8"/>
    <w:rsid w:val="00A14950"/>
    <w:rsid w:val="00A16EE4"/>
    <w:rsid w:val="00A1766C"/>
    <w:rsid w:val="00A17F1A"/>
    <w:rsid w:val="00A22001"/>
    <w:rsid w:val="00A222A7"/>
    <w:rsid w:val="00A245B6"/>
    <w:rsid w:val="00A24AFA"/>
    <w:rsid w:val="00A25D87"/>
    <w:rsid w:val="00A26386"/>
    <w:rsid w:val="00A263B9"/>
    <w:rsid w:val="00A31921"/>
    <w:rsid w:val="00A34ED8"/>
    <w:rsid w:val="00A36716"/>
    <w:rsid w:val="00A36A65"/>
    <w:rsid w:val="00A372EE"/>
    <w:rsid w:val="00A45CD8"/>
    <w:rsid w:val="00A54ACB"/>
    <w:rsid w:val="00A55ABB"/>
    <w:rsid w:val="00A56055"/>
    <w:rsid w:val="00A56B6D"/>
    <w:rsid w:val="00A60027"/>
    <w:rsid w:val="00A61E8F"/>
    <w:rsid w:val="00A63F16"/>
    <w:rsid w:val="00A64309"/>
    <w:rsid w:val="00A65DD2"/>
    <w:rsid w:val="00A70063"/>
    <w:rsid w:val="00A7009D"/>
    <w:rsid w:val="00A71A8D"/>
    <w:rsid w:val="00A71EF4"/>
    <w:rsid w:val="00A74327"/>
    <w:rsid w:val="00A7436E"/>
    <w:rsid w:val="00A74433"/>
    <w:rsid w:val="00A76549"/>
    <w:rsid w:val="00A76812"/>
    <w:rsid w:val="00A76B23"/>
    <w:rsid w:val="00A81584"/>
    <w:rsid w:val="00A86D47"/>
    <w:rsid w:val="00A91E1F"/>
    <w:rsid w:val="00A944F3"/>
    <w:rsid w:val="00A96E05"/>
    <w:rsid w:val="00A97E15"/>
    <w:rsid w:val="00AA179C"/>
    <w:rsid w:val="00AA18AE"/>
    <w:rsid w:val="00AA2776"/>
    <w:rsid w:val="00AA4125"/>
    <w:rsid w:val="00AB16BF"/>
    <w:rsid w:val="00AB4252"/>
    <w:rsid w:val="00AB508B"/>
    <w:rsid w:val="00AB5633"/>
    <w:rsid w:val="00AC0F80"/>
    <w:rsid w:val="00AD173D"/>
    <w:rsid w:val="00AD2465"/>
    <w:rsid w:val="00AD4FD0"/>
    <w:rsid w:val="00AD6554"/>
    <w:rsid w:val="00AE14F3"/>
    <w:rsid w:val="00AE20D3"/>
    <w:rsid w:val="00AE22F2"/>
    <w:rsid w:val="00AE2392"/>
    <w:rsid w:val="00AE24DF"/>
    <w:rsid w:val="00AE79CA"/>
    <w:rsid w:val="00AF1509"/>
    <w:rsid w:val="00AF328F"/>
    <w:rsid w:val="00AF4582"/>
    <w:rsid w:val="00AF4DCF"/>
    <w:rsid w:val="00B03922"/>
    <w:rsid w:val="00B04ACF"/>
    <w:rsid w:val="00B053C6"/>
    <w:rsid w:val="00B104E7"/>
    <w:rsid w:val="00B13DDD"/>
    <w:rsid w:val="00B14DAA"/>
    <w:rsid w:val="00B16E80"/>
    <w:rsid w:val="00B17D6B"/>
    <w:rsid w:val="00B21341"/>
    <w:rsid w:val="00B274CC"/>
    <w:rsid w:val="00B31A92"/>
    <w:rsid w:val="00B32D5D"/>
    <w:rsid w:val="00B33A06"/>
    <w:rsid w:val="00B34AF2"/>
    <w:rsid w:val="00B363B6"/>
    <w:rsid w:val="00B419F8"/>
    <w:rsid w:val="00B43B74"/>
    <w:rsid w:val="00B44DE2"/>
    <w:rsid w:val="00B506AA"/>
    <w:rsid w:val="00B50DEE"/>
    <w:rsid w:val="00B52FBD"/>
    <w:rsid w:val="00B54D58"/>
    <w:rsid w:val="00B55D48"/>
    <w:rsid w:val="00B60D9B"/>
    <w:rsid w:val="00B6122B"/>
    <w:rsid w:val="00B61251"/>
    <w:rsid w:val="00B614E6"/>
    <w:rsid w:val="00B6214E"/>
    <w:rsid w:val="00B65239"/>
    <w:rsid w:val="00B65A19"/>
    <w:rsid w:val="00B65AF4"/>
    <w:rsid w:val="00B65F77"/>
    <w:rsid w:val="00B7174B"/>
    <w:rsid w:val="00B71A2B"/>
    <w:rsid w:val="00B72929"/>
    <w:rsid w:val="00B7390A"/>
    <w:rsid w:val="00B75A56"/>
    <w:rsid w:val="00B82F3D"/>
    <w:rsid w:val="00B85D22"/>
    <w:rsid w:val="00B87120"/>
    <w:rsid w:val="00B876F7"/>
    <w:rsid w:val="00B92979"/>
    <w:rsid w:val="00B929A5"/>
    <w:rsid w:val="00B939A6"/>
    <w:rsid w:val="00B94955"/>
    <w:rsid w:val="00B97C33"/>
    <w:rsid w:val="00B97F73"/>
    <w:rsid w:val="00BA020D"/>
    <w:rsid w:val="00BA0A81"/>
    <w:rsid w:val="00BA0C8A"/>
    <w:rsid w:val="00BA119F"/>
    <w:rsid w:val="00BA242F"/>
    <w:rsid w:val="00BA4901"/>
    <w:rsid w:val="00BA49CA"/>
    <w:rsid w:val="00BA5F2A"/>
    <w:rsid w:val="00BA6C29"/>
    <w:rsid w:val="00BB026F"/>
    <w:rsid w:val="00BB5370"/>
    <w:rsid w:val="00BB65C4"/>
    <w:rsid w:val="00BB7B9D"/>
    <w:rsid w:val="00BC1DE2"/>
    <w:rsid w:val="00BC4431"/>
    <w:rsid w:val="00BC67D3"/>
    <w:rsid w:val="00BC6E2E"/>
    <w:rsid w:val="00BD2639"/>
    <w:rsid w:val="00BD4CC9"/>
    <w:rsid w:val="00BD4EB5"/>
    <w:rsid w:val="00BD5B6F"/>
    <w:rsid w:val="00BD620F"/>
    <w:rsid w:val="00BE364C"/>
    <w:rsid w:val="00BE37BA"/>
    <w:rsid w:val="00BE3DF5"/>
    <w:rsid w:val="00BF2010"/>
    <w:rsid w:val="00BF2365"/>
    <w:rsid w:val="00BF2679"/>
    <w:rsid w:val="00BF4BCD"/>
    <w:rsid w:val="00BF688B"/>
    <w:rsid w:val="00C01120"/>
    <w:rsid w:val="00C01A8A"/>
    <w:rsid w:val="00C04273"/>
    <w:rsid w:val="00C044F5"/>
    <w:rsid w:val="00C04732"/>
    <w:rsid w:val="00C07936"/>
    <w:rsid w:val="00C07E13"/>
    <w:rsid w:val="00C1160A"/>
    <w:rsid w:val="00C11D42"/>
    <w:rsid w:val="00C11FEF"/>
    <w:rsid w:val="00C12328"/>
    <w:rsid w:val="00C12A12"/>
    <w:rsid w:val="00C13825"/>
    <w:rsid w:val="00C152A6"/>
    <w:rsid w:val="00C15982"/>
    <w:rsid w:val="00C169F8"/>
    <w:rsid w:val="00C203E7"/>
    <w:rsid w:val="00C21EFF"/>
    <w:rsid w:val="00C22FFA"/>
    <w:rsid w:val="00C23DF7"/>
    <w:rsid w:val="00C253D7"/>
    <w:rsid w:val="00C25B4D"/>
    <w:rsid w:val="00C27BFD"/>
    <w:rsid w:val="00C3002E"/>
    <w:rsid w:val="00C3053E"/>
    <w:rsid w:val="00C33EBB"/>
    <w:rsid w:val="00C35355"/>
    <w:rsid w:val="00C4067A"/>
    <w:rsid w:val="00C41BC5"/>
    <w:rsid w:val="00C45672"/>
    <w:rsid w:val="00C46454"/>
    <w:rsid w:val="00C47D9F"/>
    <w:rsid w:val="00C50257"/>
    <w:rsid w:val="00C57333"/>
    <w:rsid w:val="00C57A19"/>
    <w:rsid w:val="00C62955"/>
    <w:rsid w:val="00C64A18"/>
    <w:rsid w:val="00C70A83"/>
    <w:rsid w:val="00C726AA"/>
    <w:rsid w:val="00C72F05"/>
    <w:rsid w:val="00C73BEF"/>
    <w:rsid w:val="00C74BBA"/>
    <w:rsid w:val="00C7512A"/>
    <w:rsid w:val="00C761B3"/>
    <w:rsid w:val="00C80088"/>
    <w:rsid w:val="00C835B2"/>
    <w:rsid w:val="00C85AC8"/>
    <w:rsid w:val="00C87EFC"/>
    <w:rsid w:val="00C90C12"/>
    <w:rsid w:val="00C92ED9"/>
    <w:rsid w:val="00C937E3"/>
    <w:rsid w:val="00C97992"/>
    <w:rsid w:val="00C97B34"/>
    <w:rsid w:val="00CA1941"/>
    <w:rsid w:val="00CA5260"/>
    <w:rsid w:val="00CA619A"/>
    <w:rsid w:val="00CB10E5"/>
    <w:rsid w:val="00CB40EE"/>
    <w:rsid w:val="00CB5CC4"/>
    <w:rsid w:val="00CC0E6A"/>
    <w:rsid w:val="00CC4171"/>
    <w:rsid w:val="00CC4385"/>
    <w:rsid w:val="00CC57DC"/>
    <w:rsid w:val="00CC6AD3"/>
    <w:rsid w:val="00CC734B"/>
    <w:rsid w:val="00CD1811"/>
    <w:rsid w:val="00CD391D"/>
    <w:rsid w:val="00CD4639"/>
    <w:rsid w:val="00CD48D8"/>
    <w:rsid w:val="00CD5BF4"/>
    <w:rsid w:val="00CD5F76"/>
    <w:rsid w:val="00CD6411"/>
    <w:rsid w:val="00CD7B1D"/>
    <w:rsid w:val="00CE248E"/>
    <w:rsid w:val="00CE27BF"/>
    <w:rsid w:val="00CE5779"/>
    <w:rsid w:val="00CE653A"/>
    <w:rsid w:val="00CF35FC"/>
    <w:rsid w:val="00CF53C8"/>
    <w:rsid w:val="00CF5F66"/>
    <w:rsid w:val="00CF63CB"/>
    <w:rsid w:val="00CF6BA9"/>
    <w:rsid w:val="00D00275"/>
    <w:rsid w:val="00D033AB"/>
    <w:rsid w:val="00D0410B"/>
    <w:rsid w:val="00D0422F"/>
    <w:rsid w:val="00D05BB8"/>
    <w:rsid w:val="00D06776"/>
    <w:rsid w:val="00D06A85"/>
    <w:rsid w:val="00D06FE6"/>
    <w:rsid w:val="00D13369"/>
    <w:rsid w:val="00D13F17"/>
    <w:rsid w:val="00D14053"/>
    <w:rsid w:val="00D155F5"/>
    <w:rsid w:val="00D15664"/>
    <w:rsid w:val="00D160F1"/>
    <w:rsid w:val="00D16179"/>
    <w:rsid w:val="00D215F3"/>
    <w:rsid w:val="00D2288D"/>
    <w:rsid w:val="00D23740"/>
    <w:rsid w:val="00D238B9"/>
    <w:rsid w:val="00D27CCC"/>
    <w:rsid w:val="00D32E3B"/>
    <w:rsid w:val="00D331E8"/>
    <w:rsid w:val="00D33B62"/>
    <w:rsid w:val="00D3457F"/>
    <w:rsid w:val="00D345E7"/>
    <w:rsid w:val="00D350C8"/>
    <w:rsid w:val="00D354D8"/>
    <w:rsid w:val="00D3557D"/>
    <w:rsid w:val="00D40041"/>
    <w:rsid w:val="00D40A15"/>
    <w:rsid w:val="00D40BA4"/>
    <w:rsid w:val="00D4141E"/>
    <w:rsid w:val="00D41629"/>
    <w:rsid w:val="00D416D2"/>
    <w:rsid w:val="00D4227C"/>
    <w:rsid w:val="00D448FE"/>
    <w:rsid w:val="00D50121"/>
    <w:rsid w:val="00D502B8"/>
    <w:rsid w:val="00D504C3"/>
    <w:rsid w:val="00D51474"/>
    <w:rsid w:val="00D56136"/>
    <w:rsid w:val="00D606E2"/>
    <w:rsid w:val="00D62387"/>
    <w:rsid w:val="00D62906"/>
    <w:rsid w:val="00D62A5F"/>
    <w:rsid w:val="00D64CA3"/>
    <w:rsid w:val="00D67C7B"/>
    <w:rsid w:val="00D71342"/>
    <w:rsid w:val="00D7472A"/>
    <w:rsid w:val="00D823D6"/>
    <w:rsid w:val="00D83969"/>
    <w:rsid w:val="00D84D1C"/>
    <w:rsid w:val="00D86311"/>
    <w:rsid w:val="00D92D5B"/>
    <w:rsid w:val="00D93206"/>
    <w:rsid w:val="00D95007"/>
    <w:rsid w:val="00D9677B"/>
    <w:rsid w:val="00D97EA9"/>
    <w:rsid w:val="00DA0BA0"/>
    <w:rsid w:val="00DA21B4"/>
    <w:rsid w:val="00DA370A"/>
    <w:rsid w:val="00DA6571"/>
    <w:rsid w:val="00DB4472"/>
    <w:rsid w:val="00DB4A7C"/>
    <w:rsid w:val="00DB564E"/>
    <w:rsid w:val="00DB69D2"/>
    <w:rsid w:val="00DC21B2"/>
    <w:rsid w:val="00DC35DC"/>
    <w:rsid w:val="00DC4B4C"/>
    <w:rsid w:val="00DC4C1F"/>
    <w:rsid w:val="00DC543D"/>
    <w:rsid w:val="00DC7A11"/>
    <w:rsid w:val="00DC7FAC"/>
    <w:rsid w:val="00DD05C4"/>
    <w:rsid w:val="00DD07C9"/>
    <w:rsid w:val="00DD0C2E"/>
    <w:rsid w:val="00DD3CE5"/>
    <w:rsid w:val="00DD5011"/>
    <w:rsid w:val="00DD64AF"/>
    <w:rsid w:val="00DD6D5D"/>
    <w:rsid w:val="00DD7D2B"/>
    <w:rsid w:val="00DE1B14"/>
    <w:rsid w:val="00DE25EF"/>
    <w:rsid w:val="00DE4C44"/>
    <w:rsid w:val="00DE4D6E"/>
    <w:rsid w:val="00DE4F63"/>
    <w:rsid w:val="00DE5057"/>
    <w:rsid w:val="00DE59B3"/>
    <w:rsid w:val="00DE734F"/>
    <w:rsid w:val="00DE78B3"/>
    <w:rsid w:val="00DF2441"/>
    <w:rsid w:val="00DF29AB"/>
    <w:rsid w:val="00DF2ED9"/>
    <w:rsid w:val="00DF4971"/>
    <w:rsid w:val="00DF5AA6"/>
    <w:rsid w:val="00DF76D7"/>
    <w:rsid w:val="00E0027C"/>
    <w:rsid w:val="00E01B2D"/>
    <w:rsid w:val="00E041C9"/>
    <w:rsid w:val="00E06D7D"/>
    <w:rsid w:val="00E07AE2"/>
    <w:rsid w:val="00E1002C"/>
    <w:rsid w:val="00E12B0C"/>
    <w:rsid w:val="00E152B1"/>
    <w:rsid w:val="00E165E5"/>
    <w:rsid w:val="00E17510"/>
    <w:rsid w:val="00E17B85"/>
    <w:rsid w:val="00E17B8F"/>
    <w:rsid w:val="00E2126D"/>
    <w:rsid w:val="00E21B91"/>
    <w:rsid w:val="00E2261E"/>
    <w:rsid w:val="00E226E9"/>
    <w:rsid w:val="00E27FF3"/>
    <w:rsid w:val="00E30A3C"/>
    <w:rsid w:val="00E32722"/>
    <w:rsid w:val="00E3526B"/>
    <w:rsid w:val="00E37047"/>
    <w:rsid w:val="00E41633"/>
    <w:rsid w:val="00E4347A"/>
    <w:rsid w:val="00E435F2"/>
    <w:rsid w:val="00E44AB4"/>
    <w:rsid w:val="00E44B09"/>
    <w:rsid w:val="00E45BEF"/>
    <w:rsid w:val="00E46012"/>
    <w:rsid w:val="00E50CE1"/>
    <w:rsid w:val="00E53230"/>
    <w:rsid w:val="00E5375C"/>
    <w:rsid w:val="00E53AE5"/>
    <w:rsid w:val="00E54FA7"/>
    <w:rsid w:val="00E55EF4"/>
    <w:rsid w:val="00E568E7"/>
    <w:rsid w:val="00E57F1B"/>
    <w:rsid w:val="00E602DF"/>
    <w:rsid w:val="00E62608"/>
    <w:rsid w:val="00E63A5F"/>
    <w:rsid w:val="00E6466A"/>
    <w:rsid w:val="00E65473"/>
    <w:rsid w:val="00E655A4"/>
    <w:rsid w:val="00E66299"/>
    <w:rsid w:val="00E671A5"/>
    <w:rsid w:val="00E70827"/>
    <w:rsid w:val="00E70DF7"/>
    <w:rsid w:val="00E71C7E"/>
    <w:rsid w:val="00E74D0E"/>
    <w:rsid w:val="00E752BD"/>
    <w:rsid w:val="00E75D87"/>
    <w:rsid w:val="00E80D97"/>
    <w:rsid w:val="00E81A13"/>
    <w:rsid w:val="00E82F78"/>
    <w:rsid w:val="00E83C53"/>
    <w:rsid w:val="00E83F3B"/>
    <w:rsid w:val="00E84517"/>
    <w:rsid w:val="00E84AF3"/>
    <w:rsid w:val="00E855C2"/>
    <w:rsid w:val="00E918FA"/>
    <w:rsid w:val="00E94287"/>
    <w:rsid w:val="00E9483D"/>
    <w:rsid w:val="00E9527E"/>
    <w:rsid w:val="00E96264"/>
    <w:rsid w:val="00E97693"/>
    <w:rsid w:val="00EA005D"/>
    <w:rsid w:val="00EA33A4"/>
    <w:rsid w:val="00EA3B47"/>
    <w:rsid w:val="00EA45D8"/>
    <w:rsid w:val="00EA5C24"/>
    <w:rsid w:val="00EA5F81"/>
    <w:rsid w:val="00EA7B88"/>
    <w:rsid w:val="00EB20D0"/>
    <w:rsid w:val="00EB6E7A"/>
    <w:rsid w:val="00EC0253"/>
    <w:rsid w:val="00EC1BD8"/>
    <w:rsid w:val="00EC2AB1"/>
    <w:rsid w:val="00EC423F"/>
    <w:rsid w:val="00EC63E2"/>
    <w:rsid w:val="00EC69E1"/>
    <w:rsid w:val="00EC6D2D"/>
    <w:rsid w:val="00ED2941"/>
    <w:rsid w:val="00ED65ED"/>
    <w:rsid w:val="00EE25F5"/>
    <w:rsid w:val="00EE278E"/>
    <w:rsid w:val="00EE3AEB"/>
    <w:rsid w:val="00EE4363"/>
    <w:rsid w:val="00EE4EDD"/>
    <w:rsid w:val="00EF0FE0"/>
    <w:rsid w:val="00EF17F6"/>
    <w:rsid w:val="00EF1FF3"/>
    <w:rsid w:val="00EF2BED"/>
    <w:rsid w:val="00EF3559"/>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C63"/>
    <w:rsid w:val="00F27DB8"/>
    <w:rsid w:val="00F3080D"/>
    <w:rsid w:val="00F31ACB"/>
    <w:rsid w:val="00F3249C"/>
    <w:rsid w:val="00F32D1A"/>
    <w:rsid w:val="00F32EE8"/>
    <w:rsid w:val="00F33BFD"/>
    <w:rsid w:val="00F36F50"/>
    <w:rsid w:val="00F410EA"/>
    <w:rsid w:val="00F413C3"/>
    <w:rsid w:val="00F44E40"/>
    <w:rsid w:val="00F44F7C"/>
    <w:rsid w:val="00F45071"/>
    <w:rsid w:val="00F4567B"/>
    <w:rsid w:val="00F47577"/>
    <w:rsid w:val="00F5294A"/>
    <w:rsid w:val="00F533AD"/>
    <w:rsid w:val="00F534B9"/>
    <w:rsid w:val="00F5728B"/>
    <w:rsid w:val="00F5794C"/>
    <w:rsid w:val="00F61B63"/>
    <w:rsid w:val="00F61E0A"/>
    <w:rsid w:val="00F66170"/>
    <w:rsid w:val="00F661B5"/>
    <w:rsid w:val="00F671B2"/>
    <w:rsid w:val="00F673C4"/>
    <w:rsid w:val="00F7022D"/>
    <w:rsid w:val="00F70FF1"/>
    <w:rsid w:val="00F70FFA"/>
    <w:rsid w:val="00F73B1E"/>
    <w:rsid w:val="00F74BB3"/>
    <w:rsid w:val="00F7621E"/>
    <w:rsid w:val="00F81A09"/>
    <w:rsid w:val="00F81B41"/>
    <w:rsid w:val="00F82F52"/>
    <w:rsid w:val="00F83F52"/>
    <w:rsid w:val="00F84C0F"/>
    <w:rsid w:val="00F85028"/>
    <w:rsid w:val="00F86641"/>
    <w:rsid w:val="00F878B2"/>
    <w:rsid w:val="00F87901"/>
    <w:rsid w:val="00F91945"/>
    <w:rsid w:val="00F91FCF"/>
    <w:rsid w:val="00F955CF"/>
    <w:rsid w:val="00F9673A"/>
    <w:rsid w:val="00FA0840"/>
    <w:rsid w:val="00FA0AD4"/>
    <w:rsid w:val="00FA27F5"/>
    <w:rsid w:val="00FA681F"/>
    <w:rsid w:val="00FA7B89"/>
    <w:rsid w:val="00FB19F4"/>
    <w:rsid w:val="00FB1F36"/>
    <w:rsid w:val="00FB4732"/>
    <w:rsid w:val="00FB5CC0"/>
    <w:rsid w:val="00FB72FC"/>
    <w:rsid w:val="00FB7F26"/>
    <w:rsid w:val="00FC2F38"/>
    <w:rsid w:val="00FC3325"/>
    <w:rsid w:val="00FC4239"/>
    <w:rsid w:val="00FC5610"/>
    <w:rsid w:val="00FD1A59"/>
    <w:rsid w:val="00FD1EAF"/>
    <w:rsid w:val="00FD1EF9"/>
    <w:rsid w:val="00FD7DA4"/>
    <w:rsid w:val="00FD7E01"/>
    <w:rsid w:val="00FE0BF9"/>
    <w:rsid w:val="00FE16FC"/>
    <w:rsid w:val="00FE21A5"/>
    <w:rsid w:val="00FE33DE"/>
    <w:rsid w:val="00FE5573"/>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566312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BA2"/>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673BA2"/>
    <w:pPr>
      <w:numPr>
        <w:numId w:val="1"/>
      </w:numPr>
      <w:ind w:left="567" w:hanging="567"/>
      <w:outlineLvl w:val="0"/>
    </w:pPr>
    <w:rPr>
      <w:kern w:val="28"/>
    </w:rPr>
  </w:style>
  <w:style w:type="paragraph" w:styleId="Heading2">
    <w:name w:val="heading 2"/>
    <w:aliases w:val="Char, Char"/>
    <w:basedOn w:val="Normal"/>
    <w:next w:val="Normal"/>
    <w:link w:val="Heading2Char"/>
    <w:qFormat/>
    <w:rsid w:val="00673BA2"/>
    <w:pPr>
      <w:numPr>
        <w:ilvl w:val="1"/>
        <w:numId w:val="1"/>
      </w:numPr>
      <w:ind w:left="567" w:hanging="567"/>
      <w:outlineLvl w:val="1"/>
    </w:pPr>
  </w:style>
  <w:style w:type="paragraph" w:styleId="Heading3">
    <w:name w:val="heading 3"/>
    <w:basedOn w:val="Normal"/>
    <w:next w:val="Normal"/>
    <w:link w:val="Heading3Char"/>
    <w:qFormat/>
    <w:rsid w:val="00673BA2"/>
    <w:pPr>
      <w:numPr>
        <w:ilvl w:val="2"/>
        <w:numId w:val="1"/>
      </w:numPr>
      <w:ind w:left="567" w:hanging="567"/>
      <w:outlineLvl w:val="2"/>
    </w:pPr>
  </w:style>
  <w:style w:type="paragraph" w:styleId="Heading4">
    <w:name w:val="heading 4"/>
    <w:basedOn w:val="Normal"/>
    <w:next w:val="Normal"/>
    <w:link w:val="Heading4Char"/>
    <w:qFormat/>
    <w:rsid w:val="00673BA2"/>
    <w:pPr>
      <w:numPr>
        <w:ilvl w:val="3"/>
        <w:numId w:val="1"/>
      </w:numPr>
      <w:ind w:left="567" w:hanging="567"/>
      <w:outlineLvl w:val="3"/>
    </w:pPr>
  </w:style>
  <w:style w:type="paragraph" w:styleId="Heading5">
    <w:name w:val="heading 5"/>
    <w:basedOn w:val="Normal"/>
    <w:next w:val="Normal"/>
    <w:link w:val="Heading5Char"/>
    <w:qFormat/>
    <w:rsid w:val="00673BA2"/>
    <w:pPr>
      <w:numPr>
        <w:ilvl w:val="4"/>
        <w:numId w:val="1"/>
      </w:numPr>
      <w:ind w:left="567" w:hanging="567"/>
      <w:outlineLvl w:val="4"/>
    </w:pPr>
  </w:style>
  <w:style w:type="paragraph" w:styleId="Heading6">
    <w:name w:val="heading 6"/>
    <w:basedOn w:val="Normal"/>
    <w:next w:val="Normal"/>
    <w:link w:val="Heading6Char"/>
    <w:qFormat/>
    <w:rsid w:val="00673BA2"/>
    <w:pPr>
      <w:numPr>
        <w:ilvl w:val="5"/>
        <w:numId w:val="1"/>
      </w:numPr>
      <w:ind w:left="567" w:hanging="567"/>
      <w:outlineLvl w:val="5"/>
    </w:pPr>
  </w:style>
  <w:style w:type="paragraph" w:styleId="Heading7">
    <w:name w:val="heading 7"/>
    <w:basedOn w:val="Normal"/>
    <w:next w:val="Normal"/>
    <w:link w:val="Heading7Char"/>
    <w:qFormat/>
    <w:rsid w:val="00673BA2"/>
    <w:pPr>
      <w:numPr>
        <w:ilvl w:val="6"/>
        <w:numId w:val="1"/>
      </w:numPr>
      <w:ind w:left="567" w:hanging="567"/>
      <w:outlineLvl w:val="6"/>
    </w:pPr>
  </w:style>
  <w:style w:type="paragraph" w:styleId="Heading8">
    <w:name w:val="heading 8"/>
    <w:basedOn w:val="Normal"/>
    <w:next w:val="Normal"/>
    <w:link w:val="Heading8Char"/>
    <w:qFormat/>
    <w:rsid w:val="00673BA2"/>
    <w:pPr>
      <w:numPr>
        <w:ilvl w:val="7"/>
        <w:numId w:val="1"/>
      </w:numPr>
      <w:ind w:left="567" w:hanging="567"/>
      <w:outlineLvl w:val="7"/>
    </w:pPr>
  </w:style>
  <w:style w:type="paragraph" w:styleId="Heading9">
    <w:name w:val="heading 9"/>
    <w:basedOn w:val="Normal"/>
    <w:next w:val="Normal"/>
    <w:link w:val="Heading9Char"/>
    <w:qFormat/>
    <w:rsid w:val="00673BA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673BA2"/>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673BA2"/>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eastAsia="en-US" w:bidi="ar-SA"/>
    </w:rPr>
  </w:style>
  <w:style w:type="paragraph" w:styleId="Header">
    <w:name w:val="header"/>
    <w:basedOn w:val="Normal"/>
    <w:link w:val="HeaderChar"/>
    <w:qFormat/>
    <w:rsid w:val="00673BA2"/>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673BA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673BA2"/>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customStyle="1" w:styleId="Default">
    <w:name w:val="Default"/>
    <w:rsid w:val="0041728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BA2"/>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673BA2"/>
    <w:pPr>
      <w:numPr>
        <w:numId w:val="1"/>
      </w:numPr>
      <w:ind w:left="567" w:hanging="567"/>
      <w:outlineLvl w:val="0"/>
    </w:pPr>
    <w:rPr>
      <w:kern w:val="28"/>
    </w:rPr>
  </w:style>
  <w:style w:type="paragraph" w:styleId="Heading2">
    <w:name w:val="heading 2"/>
    <w:aliases w:val="Char, Char"/>
    <w:basedOn w:val="Normal"/>
    <w:next w:val="Normal"/>
    <w:link w:val="Heading2Char"/>
    <w:qFormat/>
    <w:rsid w:val="00673BA2"/>
    <w:pPr>
      <w:numPr>
        <w:ilvl w:val="1"/>
        <w:numId w:val="1"/>
      </w:numPr>
      <w:ind w:left="567" w:hanging="567"/>
      <w:outlineLvl w:val="1"/>
    </w:pPr>
  </w:style>
  <w:style w:type="paragraph" w:styleId="Heading3">
    <w:name w:val="heading 3"/>
    <w:basedOn w:val="Normal"/>
    <w:next w:val="Normal"/>
    <w:link w:val="Heading3Char"/>
    <w:qFormat/>
    <w:rsid w:val="00673BA2"/>
    <w:pPr>
      <w:numPr>
        <w:ilvl w:val="2"/>
        <w:numId w:val="1"/>
      </w:numPr>
      <w:ind w:left="567" w:hanging="567"/>
      <w:outlineLvl w:val="2"/>
    </w:pPr>
  </w:style>
  <w:style w:type="paragraph" w:styleId="Heading4">
    <w:name w:val="heading 4"/>
    <w:basedOn w:val="Normal"/>
    <w:next w:val="Normal"/>
    <w:link w:val="Heading4Char"/>
    <w:qFormat/>
    <w:rsid w:val="00673BA2"/>
    <w:pPr>
      <w:numPr>
        <w:ilvl w:val="3"/>
        <w:numId w:val="1"/>
      </w:numPr>
      <w:ind w:left="567" w:hanging="567"/>
      <w:outlineLvl w:val="3"/>
    </w:pPr>
  </w:style>
  <w:style w:type="paragraph" w:styleId="Heading5">
    <w:name w:val="heading 5"/>
    <w:basedOn w:val="Normal"/>
    <w:next w:val="Normal"/>
    <w:link w:val="Heading5Char"/>
    <w:qFormat/>
    <w:rsid w:val="00673BA2"/>
    <w:pPr>
      <w:numPr>
        <w:ilvl w:val="4"/>
        <w:numId w:val="1"/>
      </w:numPr>
      <w:ind w:left="567" w:hanging="567"/>
      <w:outlineLvl w:val="4"/>
    </w:pPr>
  </w:style>
  <w:style w:type="paragraph" w:styleId="Heading6">
    <w:name w:val="heading 6"/>
    <w:basedOn w:val="Normal"/>
    <w:next w:val="Normal"/>
    <w:link w:val="Heading6Char"/>
    <w:qFormat/>
    <w:rsid w:val="00673BA2"/>
    <w:pPr>
      <w:numPr>
        <w:ilvl w:val="5"/>
        <w:numId w:val="1"/>
      </w:numPr>
      <w:ind w:left="567" w:hanging="567"/>
      <w:outlineLvl w:val="5"/>
    </w:pPr>
  </w:style>
  <w:style w:type="paragraph" w:styleId="Heading7">
    <w:name w:val="heading 7"/>
    <w:basedOn w:val="Normal"/>
    <w:next w:val="Normal"/>
    <w:link w:val="Heading7Char"/>
    <w:qFormat/>
    <w:rsid w:val="00673BA2"/>
    <w:pPr>
      <w:numPr>
        <w:ilvl w:val="6"/>
        <w:numId w:val="1"/>
      </w:numPr>
      <w:ind w:left="567" w:hanging="567"/>
      <w:outlineLvl w:val="6"/>
    </w:pPr>
  </w:style>
  <w:style w:type="paragraph" w:styleId="Heading8">
    <w:name w:val="heading 8"/>
    <w:basedOn w:val="Normal"/>
    <w:next w:val="Normal"/>
    <w:link w:val="Heading8Char"/>
    <w:qFormat/>
    <w:rsid w:val="00673BA2"/>
    <w:pPr>
      <w:numPr>
        <w:ilvl w:val="7"/>
        <w:numId w:val="1"/>
      </w:numPr>
      <w:ind w:left="567" w:hanging="567"/>
      <w:outlineLvl w:val="7"/>
    </w:pPr>
  </w:style>
  <w:style w:type="paragraph" w:styleId="Heading9">
    <w:name w:val="heading 9"/>
    <w:basedOn w:val="Normal"/>
    <w:next w:val="Normal"/>
    <w:link w:val="Heading9Char"/>
    <w:qFormat/>
    <w:rsid w:val="00673BA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673BA2"/>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673BA2"/>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eastAsia="en-US" w:bidi="ar-SA"/>
    </w:rPr>
  </w:style>
  <w:style w:type="paragraph" w:styleId="Header">
    <w:name w:val="header"/>
    <w:basedOn w:val="Normal"/>
    <w:link w:val="HeaderChar"/>
    <w:qFormat/>
    <w:rsid w:val="00673BA2"/>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673BA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673BA2"/>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customStyle="1" w:styleId="Default">
    <w:name w:val="Default"/>
    <w:rsid w:val="0041728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51900560">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05558636">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63564700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085300858">
      <w:bodyDiv w:val="1"/>
      <w:marLeft w:val="0"/>
      <w:marRight w:val="0"/>
      <w:marTop w:val="0"/>
      <w:marBottom w:val="0"/>
      <w:divBdr>
        <w:top w:val="none" w:sz="0" w:space="0" w:color="auto"/>
        <w:left w:val="none" w:sz="0" w:space="0" w:color="auto"/>
        <w:bottom w:val="none" w:sz="0" w:space="0" w:color="auto"/>
        <w:right w:val="none" w:sz="0" w:space="0" w:color="auto"/>
      </w:divBdr>
    </w:div>
    <w:div w:id="1089276602">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01117449">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33827138">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2921610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gerald.klec@eesc.europa.eu" TargetMode="External"/><Relationship Id="rId39" Type="http://schemas.openxmlformats.org/officeDocument/2006/relationships/hyperlink" Target="mailto:gerald.klec@eesc.europa.eu" TargetMode="External"/><Relationship Id="rId21" Type="http://schemas.openxmlformats.org/officeDocument/2006/relationships/header" Target="header3.xml"/><Relationship Id="rId34" Type="http://schemas.openxmlformats.org/officeDocument/2006/relationships/hyperlink" Target="mailto:ana.dumitrache@eesc.europa.eu" TargetMode="External"/><Relationship Id="rId42" Type="http://schemas.openxmlformats.org/officeDocument/2006/relationships/hyperlink" Target="mailto:janine.borg@eesc.europa.eu" TargetMode="External"/><Relationship Id="rId47" Type="http://schemas.openxmlformats.org/officeDocument/2006/relationships/hyperlink" Target="mailto:rafael.bellongomez@eesc.europa.eu"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krisztina.perlakytoth@eesc.europa.eu" TargetMode="External"/><Relationship Id="rId33" Type="http://schemas.openxmlformats.org/officeDocument/2006/relationships/hyperlink" Target="mailto:ana.dumitrache@eesc.europa.eu" TargetMode="External"/><Relationship Id="rId38" Type="http://schemas.openxmlformats.org/officeDocument/2006/relationships/hyperlink" Target="mailto:fabien.porcher@eesc.europa.eu" TargetMode="External"/><Relationship Id="rId46" Type="http://schemas.openxmlformats.org/officeDocument/2006/relationships/hyperlink" Target="mailto:david.hoic@eesc.europa.eu" TargetMode="External"/><Relationship Id="rId2" Type="http://schemas.openxmlformats.org/officeDocument/2006/relationships/customXml" Target="../customXml/item2.xml"/><Relationship Id="rId16" Type="http://schemas.openxmlformats.org/officeDocument/2006/relationships/hyperlink" Target="http://www.eesc.europa.eu/?i=portal.en.opinions-search" TargetMode="External"/><Relationship Id="rId20" Type="http://schemas.openxmlformats.org/officeDocument/2006/relationships/footer" Target="footer3.xml"/><Relationship Id="rId29" Type="http://schemas.openxmlformats.org/officeDocument/2006/relationships/hyperlink" Target="mailto:luis.lobo@eesc.europa.eu" TargetMode="External"/><Relationship Id="rId41" Type="http://schemas.openxmlformats.org/officeDocument/2006/relationships/hyperlink" Target="mailto:janine.borg@eesc.europa.eu"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janine.borg@eesc.europa.eu" TargetMode="External"/><Relationship Id="rId40" Type="http://schemas.openxmlformats.org/officeDocument/2006/relationships/hyperlink" Target="mailto:krisztina.perlakytoth@eesc.europa.eu" TargetMode="External"/><Relationship Id="rId45" Type="http://schemas.openxmlformats.org/officeDocument/2006/relationships/hyperlink" Target="mailto:erika.paulinova@eesc.europa.eu" TargetMode="External"/><Relationship Id="rId53"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eesc.europa.eu/?i=portal.en.documents"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jean-pierre.faure@eesc.europa.eu" TargetMode="External"/><Relationship Id="rId36" Type="http://schemas.openxmlformats.org/officeDocument/2006/relationships/hyperlink" Target="mailto:janine.borg@eesc.europa.eu" TargetMode="External"/><Relationship Id="rId49"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stella.brozekeveraert@eesc.europa.eu" TargetMode="External"/><Relationship Id="rId44" Type="http://schemas.openxmlformats.org/officeDocument/2006/relationships/hyperlink" Target="mailto:andrei.popescu@eesc.europa.eu"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gerald.klec@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barbara.walentynowicz@eesc.europa.eu" TargetMode="External"/><Relationship Id="rId43" Type="http://schemas.openxmlformats.org/officeDocument/2006/relationships/hyperlink" Target="mailto:cedric.cabanne@eesc.europa.eu" TargetMode="External"/><Relationship Id="rId48" Type="http://schemas.openxmlformats.org/officeDocument/2006/relationships/hyperlink" Target="mailto:laura.ernsteina@eesc.europa.eu"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footer" Target="footer5.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3XPXQ63Y2AW3-9-7616</_dlc_DocId>
    <_dlc_DocIdUrl xmlns="8835a8a4-5a07-4207-ac1e-223f88a8f7af">
      <Url>http://dm/EESC/2016/_layouts/DocIdRedir.aspx?ID=3XPXQ63Y2AW3-9-7616</Url>
      <Description>3XPXQ63Y2AW3-9-7616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dc3d2aa-8103-4135-a18e-08b5be4f3e76">521</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2017-01-05T12:00:00+00:00</ProductionDate>
    <DocumentNumber xmlns="fdc3d2aa-8103-4135-a18e-08b5be4f3e76">5775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2016-12-14T12:00:00+00:00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8835a8a4-5a07-4207-ac1e-223f88a8f7af">
      <Value>40</Value>
      <Value>39</Value>
      <Value>38</Value>
      <Value>37</Value>
      <Value>36</Value>
      <Value>35</Value>
      <Value>34</Value>
      <Value>33</Value>
      <Value>24</Value>
      <Value>29</Value>
      <Value>28</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14540</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ds:schemaRefs>
    <ds:schemaRef ds:uri="http://purl.org/dc/elements/1.1/"/>
    <ds:schemaRef ds:uri="http://schemas.microsoft.com/office/2006/metadata/properties"/>
    <ds:schemaRef ds:uri="http://purl.org/dc/dcmitype/"/>
    <ds:schemaRef ds:uri="http://www.w3.org/XML/1998/namespace"/>
    <ds:schemaRef ds:uri="http://purl.org/dc/terms/"/>
    <ds:schemaRef ds:uri="8835a8a4-5a07-4207-ac1e-223f88a8f7af"/>
    <ds:schemaRef ds:uri="http://schemas.microsoft.com/office/infopath/2007/PartnerControls"/>
    <ds:schemaRef ds:uri="http://schemas.microsoft.com/office/2006/documentManagement/types"/>
    <ds:schemaRef ds:uri="http://schemas.openxmlformats.org/package/2006/metadata/core-properties"/>
    <ds:schemaRef ds:uri="fdc3d2aa-8103-4135-a18e-08b5be4f3e76"/>
    <ds:schemaRef ds:uri="http://schemas.microsoft.com/sharepoint/v3/fields"/>
  </ds:schemaRefs>
</ds:datastoreItem>
</file>

<file path=customXml/itemProps2.xml><?xml version="1.0" encoding="utf-8"?>
<ds:datastoreItem xmlns:ds="http://schemas.openxmlformats.org/officeDocument/2006/customXml" ds:itemID="{027DDD8B-0AC3-4909-A4FB-95F587AC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8814A88D-107A-424B-B85D-12C35EA1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26</Pages>
  <Words>8879</Words>
  <Characters>48839</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Joulukuun 2016 täysistunnossa annetut lausunnot</vt:lpstr>
    </vt:vector>
  </TitlesOfParts>
  <Company>CESE-CdR</Company>
  <LinksUpToDate>false</LinksUpToDate>
  <CharactersWithSpaces>57603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Joulukuun 2016 täysistunnossa annetut lausunnot</dc:title>
  <dc:subject>lausuntotyö, muut</dc:subject>
  <dc:creator>Maria Cossu</dc:creator>
  <cp:keywords>EESC-2016-05775-00-01-TCD-TRA-FI</cp:keywords>
  <dc:description>Esittelijä: -_x000d_
Alkukieli: FR, EN_x000d_
Asiakirjan päivämäärä: 05/01/2017_x000d_
Kokouksen päivämäärä: 14/12/2016_x000d_
Muut asiakirjat: -_x000d_
Vastaava virkamies: Cosmai Domenico, puhelin: +32 (0)2 546 9041_x000d_
_x000d_
Tiivistelmä:</dc:description>
  <cp:lastModifiedBy>Maria Cossu</cp:lastModifiedBy>
  <cp:revision>2</cp:revision>
  <cp:lastPrinted>2016-10-25T14:19:00Z</cp:lastPrinted>
  <dcterms:created xsi:type="dcterms:W3CDTF">2017-01-13T07:42:00Z</dcterms:created>
  <dcterms:modified xsi:type="dcterms:W3CDTF">2017-01-13T07:42:00Z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15/11/2016, 04/11/2016, 04/11/2016, 26/10/2016, 15/09/2016, 14/09/2016, 14/09/2016, 12/07/2016, 30/06/2016, 29/06/2016, 23/05/2016, 23/05/2016, 25/04/2016, 25/04/2016, 14/03/2016, 11/03/2016, 11/03/2016, 15/02/2016, 15/02/2016, 15/02/2016, 03/02/2016, 03/</vt:lpwstr>
  </property>
  <property fmtid="{D5CDD505-2E9C-101B-9397-08002B2CF9AE}" pid="4" name="Pref_Time">
    <vt:lpwstr>10:12:45, 16:51:25, 16:05:04, 12:30:20, 18:12:41, 09:48:43, 08:36:59, 11:43:50, 09:30:52, 17:35:55, 17:02:49, 16:30:20, 11:28:20, 09:54:52, 08:31:22, 17:08:54, 15:59:23, 12:27:50, 12:09:16, 09:49:23, 17:26:57, 16:09:02, 17:58:07, 17:32:44, 15:05:42, 11:13</vt:lpwstr>
  </property>
  <property fmtid="{D5CDD505-2E9C-101B-9397-08002B2CF9AE}" pid="5" name="Pref_User">
    <vt:lpwstr>jhvi, tvoc, htoo, tvoc,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EESC-2016-05087-00-02-TCD-ORI.docx, EESC-2016-05087-00-01-TCD-TRA-EN-CRR.docx, EESC-2016-05087-00-01-TCD-CRR-EN.docx, EESC-2016-05087-00-00-TCD-ORI.docx, EESC-2016-03275-00-01-TCD-ORI.docx, EESC-2016-03275-00-00-TCD-TRA-EN-CRR.docx, EESC-2016-03275-00-00-</vt:lpwstr>
  </property>
  <property fmtid="{D5CDD505-2E9C-101B-9397-08002B2CF9AE}" pid="7" name="ContentTypeId">
    <vt:lpwstr>0x010100EA97B91038054C99906057A708A1480A006569393C852D1B41981698C0C702B5A1</vt:lpwstr>
  </property>
  <property fmtid="{D5CDD505-2E9C-101B-9397-08002B2CF9AE}" pid="8" name="_dlc_DocIdItemGuid">
    <vt:lpwstr>f3a4d610-e1fc-4fbb-aeb7-e35aafd30b53</vt:lpwstr>
  </property>
  <property fmtid="{D5CDD505-2E9C-101B-9397-08002B2CF9AE}" pid="9" name="AvailableTranslations">
    <vt:lpwstr>22;#DE|f6b31e5a-26fa-4935-b661-318e46daf27e;#37;#LT|a7ff5ce7-6123-4f68-865a-a57c31810414;#19;#PT|50ccc04a-eadd-42ae-a0cb-acaf45f812ba;#17;#NL|55c6556c-b4f4-441d-9acf-c498d4f838bd;#23;#EL|6d4f4d51-af9b-4650-94b4-4276bee85c91;#38;#HR|2f555653-ed1a-4fe6-8362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40;#FI|87606a43-d45f-42d6-b8c9-e1a3457db5b7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5775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2016-12-14T12:00:00Z</vt:filetime>
  </property>
  <property fmtid="{D5CDD505-2E9C-101B-9397-08002B2CF9AE}" pid="30" name="DocumentLanguage_0">
    <vt:lpwstr>FR|d2afafd3-4c81-4f60-8f52-ee33f2f54ff3</vt:lpwstr>
  </property>
  <property fmtid="{D5CDD505-2E9C-101B-9397-08002B2CF9AE}" pid="31" name="TaxCatchAll">
    <vt:lpwstr>39;#CS|72f9705b-0217-4fd3-bea2-cbc7ed80e26e;#37;#LT|a7ff5ce7-6123-4f68-865a-a57c31810414;#36;#LV|46f7e311-5d9f-4663-b433-18aeccb7ace7;#29;#MT|7df99101-6854-4a26-b53a-b88c0da02c26;#28;#ES|e7a6b05b-ae16-40c8-add9-68b64b03aeba;#24;#PL|1e03da61-4678-4e07-b136</vt:lpwstr>
  </property>
  <property fmtid="{D5CDD505-2E9C-101B-9397-08002B2CF9AE}" pid="32" name="VersionStatus_0">
    <vt:lpwstr>Final|ea5e6674-7b27-4bac-b091-73adbb394efe</vt:lpwstr>
  </property>
  <property fmtid="{D5CDD505-2E9C-101B-9397-08002B2CF9AE}" pid="33" name="FicheNumber">
    <vt:i4>14540</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DE|f6b31e5a-26fa-4935-b661-318e46daf27e;LT|a7ff5ce7-6123-4f68-865a-a57c31810414;PT|50ccc04a-eadd-42ae-a0cb-acaf45f812ba;NL|55c6556c-b4f4-441d-9acf-c498d4f838bd;EL|6d4f4d51-af9b-4650-94b4-4276bee85c91;ES|e7a6b05b-ae16-40c8-add9-68b64b03aeba;LV|46f7e311-5d9</vt:lpwstr>
  </property>
</Properties>
</file>