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C18" w:rsidRPr="0098573E" w:rsidRDefault="00665C18" w:rsidP="00C91C77">
      <w:r w:rsidRPr="0098573E">
        <w:rPr>
          <w:b/>
          <w:bCs/>
          <w:noProof/>
          <w:sz w:val="20"/>
          <w:lang w:val="fr-BE" w:eastAsia="fr-BE"/>
        </w:rPr>
        <mc:AlternateContent>
          <mc:Choice Requires="wps">
            <w:drawing>
              <wp:anchor distT="0" distB="0" distL="114300" distR="114300" simplePos="0" relativeHeight="251659264" behindDoc="1" locked="0" layoutInCell="0" allowOverlap="1" wp14:anchorId="7E84C15B" wp14:editId="45FABC4A">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3E" w:rsidRPr="00260E65" w:rsidRDefault="0098573E">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v:textbox>
                  <w:txbxContent>
                    <w:p w:rsidRPr="00260E65" w:rsidR="0098573E" w:rsidRDefault="0098573E">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077302" w:rsidRPr="0098573E" w:rsidRDefault="007878ED" w:rsidP="00C91C77">
      <w:pPr>
        <w:pStyle w:val="ListParagraph"/>
        <w:suppressAutoHyphens/>
        <w:ind w:left="0"/>
        <w:rPr>
          <w:b/>
        </w:rPr>
      </w:pPr>
      <w:r w:rsidRPr="0098573E">
        <w:rPr>
          <w:b/>
          <w:bCs/>
        </w:rPr>
        <w:t xml:space="preserve">Executive </w:t>
      </w:r>
      <w:r w:rsidR="005815D1" w:rsidRPr="0098573E">
        <w:rPr>
          <w:b/>
          <w:bCs/>
        </w:rPr>
        <w:t>Summary</w:t>
      </w:r>
      <w:r w:rsidR="0098573E">
        <w:rPr>
          <w:b/>
          <w:bCs/>
        </w:rPr>
        <w:t xml:space="preserve"> </w:t>
      </w:r>
    </w:p>
    <w:p w:rsidR="00997956" w:rsidRPr="0098573E" w:rsidRDefault="00181679" w:rsidP="00C91C77"/>
    <w:p w:rsidR="00077302" w:rsidRPr="0098573E" w:rsidRDefault="005815D1" w:rsidP="00C91C77">
      <w:pPr>
        <w:pStyle w:val="ListParagraph"/>
        <w:suppressAutoHyphens/>
        <w:ind w:left="0"/>
        <w:rPr>
          <w:b/>
        </w:rPr>
      </w:pPr>
      <w:r w:rsidRPr="0098573E">
        <w:rPr>
          <w:b/>
          <w:bCs/>
        </w:rPr>
        <w:t xml:space="preserve">Coordination of </w:t>
      </w:r>
      <w:r w:rsidR="0098573E" w:rsidRPr="0098573E">
        <w:rPr>
          <w:b/>
          <w:bCs/>
        </w:rPr>
        <w:t xml:space="preserve">social security </w:t>
      </w:r>
      <w:r w:rsidRPr="0098573E">
        <w:rPr>
          <w:b/>
          <w:bCs/>
        </w:rPr>
        <w:t xml:space="preserve">systems in the EUROMED </w:t>
      </w:r>
      <w:r w:rsidR="004F0B76" w:rsidRPr="0098573E">
        <w:rPr>
          <w:b/>
          <w:bCs/>
        </w:rPr>
        <w:t>space</w:t>
      </w:r>
    </w:p>
    <w:p w:rsidR="00636555" w:rsidRPr="0098573E" w:rsidRDefault="00181679" w:rsidP="00C91C77"/>
    <w:p w:rsidR="00371E10" w:rsidRPr="0098573E" w:rsidRDefault="005815D1" w:rsidP="00C91C77">
      <w:pPr>
        <w:pStyle w:val="ListParagraph"/>
        <w:suppressAutoHyphens/>
        <w:ind w:left="0"/>
      </w:pPr>
      <w:r w:rsidRPr="0098573E">
        <w:t>The presence of massive immigration in Europe, especially from some South</w:t>
      </w:r>
      <w:r w:rsidR="004F0B76" w:rsidRPr="0098573E">
        <w:t>ern</w:t>
      </w:r>
      <w:r w:rsidRPr="0098573E">
        <w:t xml:space="preserve"> Mediterranean (MED) countries demands</w:t>
      </w:r>
      <w:r w:rsidR="004F0B76" w:rsidRPr="0098573E">
        <w:t xml:space="preserve"> that we</w:t>
      </w:r>
      <w:r w:rsidRPr="0098573E">
        <w:t xml:space="preserve"> develop social and economic policies to achieve an international EUROMED </w:t>
      </w:r>
      <w:r w:rsidR="004F0B76" w:rsidRPr="0098573E">
        <w:t xml:space="preserve">space </w:t>
      </w:r>
      <w:r w:rsidRPr="0098573E">
        <w:t>that is more just and competitive.</w:t>
      </w:r>
    </w:p>
    <w:p w:rsidR="00C06769" w:rsidRPr="0098573E" w:rsidRDefault="00181679" w:rsidP="00C91C77"/>
    <w:p w:rsidR="00B41FBC" w:rsidRPr="0098573E" w:rsidRDefault="005815D1" w:rsidP="00C91C77">
      <w:pPr>
        <w:pStyle w:val="ListParagraph"/>
        <w:suppressAutoHyphens/>
        <w:ind w:left="0"/>
      </w:pPr>
      <w:r w:rsidRPr="0098573E">
        <w:t xml:space="preserve">Europe has become a major pole of attraction for an enormous </w:t>
      </w:r>
      <w:r w:rsidR="004F0B76" w:rsidRPr="0098573E">
        <w:t>in</w:t>
      </w:r>
      <w:r w:rsidRPr="0098573E">
        <w:t>flow of refugees and asylum-seekers. In</w:t>
      </w:r>
      <w:r w:rsidR="004F0B76" w:rsidRPr="0098573E">
        <w:t>deed</w:t>
      </w:r>
      <w:r w:rsidRPr="0098573E">
        <w:t xml:space="preserve">, political and economic migration, especially from the Mediterranean basin, are two sides of the same coin. </w:t>
      </w:r>
    </w:p>
    <w:p w:rsidR="00C06769" w:rsidRPr="0098573E" w:rsidRDefault="00181679" w:rsidP="00C91C77"/>
    <w:p w:rsidR="003A13F6" w:rsidRPr="0098573E" w:rsidRDefault="005815D1" w:rsidP="00C91C77">
      <w:pPr>
        <w:pStyle w:val="ListParagraph"/>
        <w:suppressAutoHyphens/>
        <w:ind w:left="0"/>
      </w:pPr>
      <w:r w:rsidRPr="0098573E">
        <w:t xml:space="preserve">On the other hand, the Arab spring and its immediate and near-future consequences made it necessary to intensify the European Neighbourhood Policy with Southern Europe, with the past and present aim of intensifying and reinforcing prosperity and stability in this </w:t>
      </w:r>
      <w:r w:rsidR="004F0B76" w:rsidRPr="0098573E">
        <w:t>region</w:t>
      </w:r>
      <w:r w:rsidRPr="0098573E">
        <w:t xml:space="preserve">. </w:t>
      </w:r>
    </w:p>
    <w:p w:rsidR="00C06769" w:rsidRPr="0098573E" w:rsidRDefault="00181679" w:rsidP="00C91C77"/>
    <w:p w:rsidR="006460B5" w:rsidRPr="0098573E" w:rsidRDefault="005815D1" w:rsidP="00C91C77">
      <w:pPr>
        <w:pStyle w:val="ListParagraph"/>
        <w:suppressAutoHyphens/>
        <w:ind w:left="0"/>
      </w:pPr>
      <w:r w:rsidRPr="0098573E">
        <w:t xml:space="preserve">The demographic situation in Europe and the MED countries is terribly uneven. While population growth in the European Union is stunted, in MED countries, particularly in some, this growth is very sizable. The age pyramid also shows </w:t>
      </w:r>
      <w:r w:rsidR="004F0B76" w:rsidRPr="0098573E">
        <w:t>two, opposite situations</w:t>
      </w:r>
      <w:r w:rsidRPr="0098573E">
        <w:t>. In the EU, the over-60</w:t>
      </w:r>
      <w:r w:rsidR="0098573E">
        <w:t>s</w:t>
      </w:r>
      <w:r w:rsidRPr="0098573E">
        <w:t xml:space="preserve"> population is considerable. However, in the MED countries, what stands out is the population of under-15</w:t>
      </w:r>
      <w:r w:rsidR="004F0B76" w:rsidRPr="0098573E">
        <w:t>s</w:t>
      </w:r>
      <w:r w:rsidRPr="0098573E">
        <w:t>. In addition, other MED countries</w:t>
      </w:r>
      <w:r w:rsidR="004F0B76" w:rsidRPr="0098573E">
        <w:t>’ figures</w:t>
      </w:r>
      <w:r w:rsidRPr="0098573E">
        <w:t xml:space="preserve"> (</w:t>
      </w:r>
      <w:r w:rsidR="004F0B76" w:rsidRPr="0098573E">
        <w:t xml:space="preserve">e.g. </w:t>
      </w:r>
      <w:r w:rsidRPr="0098573E">
        <w:t xml:space="preserve">poverty, </w:t>
      </w:r>
      <w:r w:rsidRPr="0098573E">
        <w:rPr>
          <w:bCs/>
        </w:rPr>
        <w:t>lab</w:t>
      </w:r>
      <w:r w:rsidR="004F0B76" w:rsidRPr="0098573E">
        <w:rPr>
          <w:bCs/>
        </w:rPr>
        <w:t xml:space="preserve">our market participation, </w:t>
      </w:r>
      <w:r w:rsidRPr="0098573E">
        <w:rPr>
          <w:bCs/>
        </w:rPr>
        <w:t>women's labour market participation</w:t>
      </w:r>
      <w:r w:rsidRPr="0098573E">
        <w:t>) also propitiate migration flows.</w:t>
      </w:r>
    </w:p>
    <w:p w:rsidR="00C06769" w:rsidRPr="0098573E" w:rsidRDefault="00181679" w:rsidP="00C91C77"/>
    <w:p w:rsidR="006460B5" w:rsidRPr="0098573E" w:rsidRDefault="0098573E" w:rsidP="00C91C77">
      <w:pPr>
        <w:pStyle w:val="ListParagraph"/>
        <w:suppressAutoHyphens/>
        <w:ind w:left="0"/>
      </w:pPr>
      <w:r>
        <w:t>This</w:t>
      </w:r>
      <w:r w:rsidR="005815D1" w:rsidRPr="0098573E">
        <w:t xml:space="preserve"> report provides some quantitative data on migration by MED country citizens to Europe and their professional qualification</w:t>
      </w:r>
      <w:r>
        <w:t>s</w:t>
      </w:r>
      <w:r w:rsidR="005815D1" w:rsidRPr="0098573E">
        <w:t xml:space="preserve">. </w:t>
      </w:r>
    </w:p>
    <w:p w:rsidR="00C06769" w:rsidRPr="0098573E" w:rsidRDefault="00181679" w:rsidP="00C91C77"/>
    <w:p w:rsidR="003A13F6" w:rsidRPr="0098573E" w:rsidRDefault="004F0B76" w:rsidP="00C91C77">
      <w:pPr>
        <w:pStyle w:val="ListParagraph"/>
        <w:suppressAutoHyphens/>
        <w:ind w:left="0"/>
      </w:pPr>
      <w:r w:rsidRPr="0098573E">
        <w:t>Moreover</w:t>
      </w:r>
      <w:r w:rsidR="005815D1" w:rsidRPr="0098573E">
        <w:t xml:space="preserve">, there is a review of </w:t>
      </w:r>
      <w:r w:rsidR="0098573E" w:rsidRPr="0098573E">
        <w:t xml:space="preserve">social security </w:t>
      </w:r>
      <w:r w:rsidR="0098573E">
        <w:t>in</w:t>
      </w:r>
      <w:r w:rsidR="0098573E" w:rsidRPr="0098573E">
        <w:t xml:space="preserve"> </w:t>
      </w:r>
      <w:r w:rsidR="005815D1" w:rsidRPr="0098573E">
        <w:t xml:space="preserve">some MED States that can be considered to have a proper protection system in place with a view to bilateral or multilateral coordination in the field of </w:t>
      </w:r>
      <w:r w:rsidR="0098573E" w:rsidRPr="0098573E">
        <w:t>social security</w:t>
      </w:r>
      <w:r w:rsidR="005815D1" w:rsidRPr="0098573E">
        <w:t>.</w:t>
      </w:r>
    </w:p>
    <w:p w:rsidR="00C06769" w:rsidRPr="0098573E" w:rsidRDefault="00181679" w:rsidP="00C91C77"/>
    <w:p w:rsidR="007A0BA0" w:rsidRPr="0098573E" w:rsidRDefault="005815D1" w:rsidP="00C91C77">
      <w:pPr>
        <w:pStyle w:val="ListParagraph"/>
        <w:suppressAutoHyphens/>
        <w:ind w:left="0"/>
      </w:pPr>
      <w:r w:rsidRPr="0098573E">
        <w:t>The study dwells on migration rules (Directives) of the European Union in connection with Social Security (equal treatment) and exporting pension</w:t>
      </w:r>
      <w:r w:rsidR="004F0B76" w:rsidRPr="0098573E">
        <w:t>s</w:t>
      </w:r>
      <w:r w:rsidRPr="0098573E">
        <w:t>. European coordination rules are also examined, with special attention to Regulations 859/2003 and 1231/2010</w:t>
      </w:r>
      <w:r w:rsidR="004F0B76" w:rsidRPr="0098573E">
        <w:t>,</w:t>
      </w:r>
      <w:r w:rsidRPr="0098573E">
        <w:t xml:space="preserve"> which make Regulations 1408/71 and the 883/04 e</w:t>
      </w:r>
      <w:r w:rsidR="004F0B76" w:rsidRPr="0098573E">
        <w:t>xtensive to third-</w:t>
      </w:r>
      <w:r w:rsidRPr="0098573E">
        <w:t>party nationals.</w:t>
      </w:r>
    </w:p>
    <w:p w:rsidR="00C06769" w:rsidRPr="0098573E" w:rsidRDefault="00181679" w:rsidP="00C91C77"/>
    <w:p w:rsidR="00105724" w:rsidRPr="0098573E" w:rsidRDefault="004F0B76" w:rsidP="00C91C77">
      <w:pPr>
        <w:pStyle w:val="ListParagraph"/>
        <w:suppressAutoHyphens/>
        <w:ind w:left="0"/>
      </w:pPr>
      <w:r w:rsidRPr="0098573E">
        <w:t>To date</w:t>
      </w:r>
      <w:r w:rsidR="005815D1" w:rsidRPr="0098573E">
        <w:t xml:space="preserve">, one of the </w:t>
      </w:r>
      <w:r w:rsidRPr="0098573E">
        <w:t>major</w:t>
      </w:r>
      <w:r w:rsidR="005815D1" w:rsidRPr="0098573E">
        <w:t xml:space="preserve"> problems of the </w:t>
      </w:r>
      <w:r w:rsidRPr="0098573E">
        <w:t xml:space="preserve">EU’s </w:t>
      </w:r>
      <w:r w:rsidR="0098573E" w:rsidRPr="0098573E">
        <w:t xml:space="preserve">social security </w:t>
      </w:r>
      <w:r w:rsidR="005815D1" w:rsidRPr="0098573E">
        <w:t xml:space="preserve">policy in connection with the nationals of third states is </w:t>
      </w:r>
      <w:r w:rsidRPr="0098573E">
        <w:t xml:space="preserve">that </w:t>
      </w:r>
      <w:r w:rsidR="005815D1" w:rsidRPr="0098573E">
        <w:t xml:space="preserve">the great </w:t>
      </w:r>
      <w:r w:rsidRPr="0098573E">
        <w:t xml:space="preserve">project of </w:t>
      </w:r>
      <w:r w:rsidR="005815D1" w:rsidRPr="0098573E">
        <w:t xml:space="preserve">European legislative </w:t>
      </w:r>
      <w:r w:rsidR="005815D1" w:rsidRPr="0098573E">
        <w:rPr>
          <w:bCs/>
        </w:rPr>
        <w:t>construction</w:t>
      </w:r>
      <w:r w:rsidR="005815D1" w:rsidRPr="0098573E">
        <w:t xml:space="preserve"> has been built </w:t>
      </w:r>
      <w:r w:rsidRPr="0098573E">
        <w:rPr>
          <w:bCs/>
        </w:rPr>
        <w:t>in a self-centred manner,</w:t>
      </w:r>
      <w:r w:rsidR="005815D1" w:rsidRPr="0098573E">
        <w:rPr>
          <w:bCs/>
        </w:rPr>
        <w:t xml:space="preserve"> </w:t>
      </w:r>
      <w:r w:rsidR="005815D1" w:rsidRPr="0098573E">
        <w:t>and therefore</w:t>
      </w:r>
      <w:r w:rsidR="005815D1" w:rsidRPr="0098573E">
        <w:rPr>
          <w:b/>
          <w:bCs/>
        </w:rPr>
        <w:t xml:space="preserve"> </w:t>
      </w:r>
      <w:r w:rsidR="005815D1" w:rsidRPr="0098573E">
        <w:t>lack</w:t>
      </w:r>
      <w:r w:rsidRPr="0098573E">
        <w:t>s</w:t>
      </w:r>
      <w:r w:rsidR="005815D1" w:rsidRPr="0098573E">
        <w:t xml:space="preserve"> reciprocity, bilaterality or mutual recognition. There has been no official negotiation with third </w:t>
      </w:r>
      <w:r w:rsidR="0098573E" w:rsidRPr="0098573E">
        <w:t>states</w:t>
      </w:r>
      <w:r w:rsidR="005815D1" w:rsidRPr="0098573E">
        <w:t>.</w:t>
      </w:r>
      <w:r w:rsidR="00857836" w:rsidRPr="0098573E">
        <w:t xml:space="preserve"> </w:t>
      </w:r>
      <w:r w:rsidR="005815D1" w:rsidRPr="0098573E">
        <w:t xml:space="preserve">The </w:t>
      </w:r>
      <w:r w:rsidRPr="0098573E">
        <w:t xml:space="preserve">EU </w:t>
      </w:r>
      <w:r w:rsidR="005815D1" w:rsidRPr="0098573E">
        <w:t>understands that, generally</w:t>
      </w:r>
      <w:r w:rsidRPr="0098573E">
        <w:t>,</w:t>
      </w:r>
      <w:r w:rsidR="005815D1" w:rsidRPr="0098573E">
        <w:t xml:space="preserve"> its scope of action is the territory of the European Union and the </w:t>
      </w:r>
      <w:r w:rsidR="0098573E" w:rsidRPr="0098573E">
        <w:t xml:space="preserve">social security </w:t>
      </w:r>
      <w:r w:rsidR="005815D1" w:rsidRPr="0098573E">
        <w:t xml:space="preserve">systems of Member States. Thus, </w:t>
      </w:r>
      <w:r w:rsidRPr="0098573E">
        <w:t>individuals</w:t>
      </w:r>
      <w:r w:rsidR="0098573E">
        <w:t xml:space="preserve"> </w:t>
      </w:r>
      <w:r w:rsidRPr="0098573E">
        <w:t>—</w:t>
      </w:r>
      <w:r w:rsidR="0098573E">
        <w:t xml:space="preserve"> </w:t>
      </w:r>
      <w:r w:rsidRPr="0098573E">
        <w:t>be they</w:t>
      </w:r>
      <w:r w:rsidR="005815D1" w:rsidRPr="0098573E">
        <w:t xml:space="preserve"> EU nationa</w:t>
      </w:r>
      <w:r w:rsidRPr="0098573E">
        <w:t>ls or extra-EU citizens (MEDs)</w:t>
      </w:r>
      <w:r w:rsidR="0098573E">
        <w:t xml:space="preserve"> </w:t>
      </w:r>
      <w:r w:rsidRPr="0098573E">
        <w:t>—</w:t>
      </w:r>
      <w:r w:rsidR="0098573E">
        <w:t xml:space="preserve"> </w:t>
      </w:r>
      <w:r w:rsidRPr="0098573E">
        <w:t>w</w:t>
      </w:r>
      <w:r w:rsidR="005815D1" w:rsidRPr="0098573E">
        <w:t xml:space="preserve">ho </w:t>
      </w:r>
      <w:r w:rsidRPr="0098573E">
        <w:t>live and work</w:t>
      </w:r>
      <w:r w:rsidR="005815D1" w:rsidRPr="0098573E">
        <w:t xml:space="preserve"> in EU territory have certain </w:t>
      </w:r>
      <w:r w:rsidRPr="0098573E">
        <w:t>entitlements</w:t>
      </w:r>
      <w:r w:rsidR="005815D1" w:rsidRPr="0098573E">
        <w:t xml:space="preserve"> that could</w:t>
      </w:r>
      <w:r w:rsidRPr="0098573E">
        <w:t xml:space="preserve"> be called internal or EU entitlements; however,</w:t>
      </w:r>
      <w:r w:rsidR="005815D1" w:rsidRPr="0098573E">
        <w:t xml:space="preserve"> these </w:t>
      </w:r>
      <w:r w:rsidRPr="0098573E">
        <w:t>entitlements</w:t>
      </w:r>
      <w:r w:rsidR="005815D1" w:rsidRPr="0098573E">
        <w:t xml:space="preserve"> are</w:t>
      </w:r>
      <w:r w:rsidR="005815D1" w:rsidRPr="0098573E">
        <w:rPr>
          <w:bCs/>
        </w:rPr>
        <w:t xml:space="preserve"> diluted</w:t>
      </w:r>
      <w:r w:rsidR="005815D1" w:rsidRPr="0098573E">
        <w:rPr>
          <w:b/>
          <w:bCs/>
        </w:rPr>
        <w:t xml:space="preserve"> </w:t>
      </w:r>
      <w:r w:rsidR="005815D1" w:rsidRPr="0098573E">
        <w:t xml:space="preserve">when a </w:t>
      </w:r>
      <w:r w:rsidR="0098573E" w:rsidRPr="0098573E">
        <w:t xml:space="preserve">social security </w:t>
      </w:r>
      <w:r w:rsidR="005815D1" w:rsidRPr="0098573E">
        <w:t xml:space="preserve">system or territory of a third </w:t>
      </w:r>
      <w:r w:rsidR="0098573E" w:rsidRPr="0098573E">
        <w:t xml:space="preserve">state </w:t>
      </w:r>
      <w:r w:rsidRPr="0098573E">
        <w:t>are involved</w:t>
      </w:r>
      <w:r w:rsidR="005815D1" w:rsidRPr="0098573E">
        <w:t xml:space="preserve"> (for instance</w:t>
      </w:r>
      <w:r w:rsidR="00AA19AF" w:rsidRPr="0098573E">
        <w:t>,</w:t>
      </w:r>
      <w:r w:rsidR="005815D1" w:rsidRPr="0098573E">
        <w:t xml:space="preserve"> when someone can prove </w:t>
      </w:r>
      <w:r w:rsidR="0098573E" w:rsidRPr="0098573E">
        <w:t xml:space="preserve">social security </w:t>
      </w:r>
      <w:r w:rsidR="007E507C" w:rsidRPr="0098573E">
        <w:t>contributions</w:t>
      </w:r>
      <w:r w:rsidR="00857836" w:rsidRPr="0098573E">
        <w:t xml:space="preserve"> </w:t>
      </w:r>
      <w:r w:rsidR="005815D1" w:rsidRPr="0098573E">
        <w:t xml:space="preserve">in the MED country of origin). </w:t>
      </w:r>
    </w:p>
    <w:p w:rsidR="00105724" w:rsidRPr="0098573E" w:rsidRDefault="00181679" w:rsidP="00C91C77"/>
    <w:p w:rsidR="002F40BF" w:rsidRPr="0098573E" w:rsidRDefault="005815D1" w:rsidP="00C91C77">
      <w:pPr>
        <w:pStyle w:val="ListParagraph"/>
        <w:suppressAutoHyphens/>
        <w:ind w:left="0"/>
      </w:pPr>
      <w:r w:rsidRPr="0098573E">
        <w:lastRenderedPageBreak/>
        <w:t xml:space="preserve">There are several examples of this included in </w:t>
      </w:r>
      <w:r w:rsidR="0098573E">
        <w:t>this</w:t>
      </w:r>
      <w:r w:rsidR="00AA19AF" w:rsidRPr="0098573E">
        <w:t xml:space="preserve"> </w:t>
      </w:r>
      <w:r w:rsidRPr="0098573E">
        <w:t>study,</w:t>
      </w:r>
      <w:r w:rsidR="00857836" w:rsidRPr="0098573E">
        <w:t xml:space="preserve"> </w:t>
      </w:r>
      <w:r w:rsidRPr="0098573E">
        <w:t xml:space="preserve">showing </w:t>
      </w:r>
      <w:r w:rsidR="00AA19AF" w:rsidRPr="0098573E">
        <w:t>that</w:t>
      </w:r>
      <w:r w:rsidRPr="0098573E">
        <w:t xml:space="preserve"> shortfalls </w:t>
      </w:r>
      <w:r w:rsidR="00AA19AF" w:rsidRPr="0098573E">
        <w:t>still exist, along with a</w:t>
      </w:r>
      <w:r w:rsidRPr="0098573E">
        <w:t xml:space="preserve"> persisting lack of protection not only for nationals of third </w:t>
      </w:r>
      <w:r w:rsidR="0098573E" w:rsidRPr="0098573E">
        <w:t xml:space="preserve">states </w:t>
      </w:r>
      <w:r w:rsidRPr="0098573E">
        <w:t xml:space="preserve">in Europe, but </w:t>
      </w:r>
      <w:r w:rsidR="00AA19AF" w:rsidRPr="0098573E">
        <w:t xml:space="preserve">for </w:t>
      </w:r>
      <w:r w:rsidRPr="0098573E">
        <w:t xml:space="preserve">European citizens </w:t>
      </w:r>
      <w:r w:rsidR="00AA19AF" w:rsidRPr="0098573E">
        <w:t xml:space="preserve">working </w:t>
      </w:r>
      <w:r w:rsidRPr="0098573E">
        <w:t xml:space="preserve">in </w:t>
      </w:r>
      <w:r w:rsidR="00AA19AF" w:rsidRPr="0098573E">
        <w:t xml:space="preserve">a </w:t>
      </w:r>
      <w:r w:rsidRPr="0098573E">
        <w:t xml:space="preserve">MED </w:t>
      </w:r>
      <w:r w:rsidR="0098573E" w:rsidRPr="0098573E">
        <w:t xml:space="preserve">state’s </w:t>
      </w:r>
      <w:r w:rsidRPr="0098573E">
        <w:t xml:space="preserve">territory. </w:t>
      </w:r>
    </w:p>
    <w:p w:rsidR="00105724" w:rsidRPr="0098573E" w:rsidRDefault="00181679" w:rsidP="00C91C77"/>
    <w:p w:rsidR="00B41FBC" w:rsidRPr="0098573E" w:rsidRDefault="00AA19AF" w:rsidP="00C91C77">
      <w:pPr>
        <w:pStyle w:val="ListParagraph"/>
        <w:suppressAutoHyphens/>
        <w:ind w:left="0"/>
      </w:pPr>
      <w:r w:rsidRPr="0098573E">
        <w:t>For all these reasons</w:t>
      </w:r>
      <w:r w:rsidR="005815D1" w:rsidRPr="0098573E">
        <w:t xml:space="preserve">, </w:t>
      </w:r>
      <w:r w:rsidRPr="0098573E">
        <w:t xml:space="preserve">our work here is not done, nor can the </w:t>
      </w:r>
      <w:r w:rsidR="005815D1" w:rsidRPr="0098573E">
        <w:rPr>
          <w:bCs/>
        </w:rPr>
        <w:t>cycle</w:t>
      </w:r>
      <w:r w:rsidRPr="0098573E">
        <w:rPr>
          <w:bCs/>
        </w:rPr>
        <w:t xml:space="preserve"> be considered</w:t>
      </w:r>
      <w:r w:rsidR="005815D1" w:rsidRPr="0098573E">
        <w:rPr>
          <w:bCs/>
        </w:rPr>
        <w:t xml:space="preserve"> closed</w:t>
      </w:r>
      <w:r w:rsidR="005815D1" w:rsidRPr="0098573E">
        <w:rPr>
          <w:b/>
          <w:bCs/>
        </w:rPr>
        <w:t xml:space="preserve">. </w:t>
      </w:r>
      <w:r w:rsidR="005815D1" w:rsidRPr="0098573E">
        <w:t>In</w:t>
      </w:r>
      <w:r w:rsidRPr="0098573E">
        <w:t>deed,</w:t>
      </w:r>
      <w:r w:rsidR="005815D1" w:rsidRPr="0098573E">
        <w:t xml:space="preserve"> globali</w:t>
      </w:r>
      <w:r w:rsidR="0098573E">
        <w:t>s</w:t>
      </w:r>
      <w:r w:rsidR="005815D1" w:rsidRPr="0098573E">
        <w:t xml:space="preserve">ation requires additional effort and commitment in this </w:t>
      </w:r>
      <w:r w:rsidRPr="0098573E">
        <w:t>area</w:t>
      </w:r>
      <w:r w:rsidR="005815D1" w:rsidRPr="0098573E">
        <w:t xml:space="preserve">, essentially for three reasons: </w:t>
      </w:r>
      <w:r w:rsidR="005815D1" w:rsidRPr="0098573E">
        <w:rPr>
          <w:b/>
          <w:bCs/>
        </w:rPr>
        <w:t>First of all</w:t>
      </w:r>
      <w:r w:rsidR="005815D1" w:rsidRPr="0098573E">
        <w:t xml:space="preserve">, to safeguard the </w:t>
      </w:r>
      <w:r w:rsidRPr="0098573E">
        <w:t>entitlements</w:t>
      </w:r>
      <w:r w:rsidR="005815D1" w:rsidRPr="0098573E">
        <w:t xml:space="preserve"> of migrant workers from MED third countries who </w:t>
      </w:r>
      <w:r w:rsidRPr="0098573E">
        <w:t>might</w:t>
      </w:r>
      <w:r w:rsidR="005815D1" w:rsidRPr="0098573E">
        <w:t xml:space="preserve"> work </w:t>
      </w:r>
      <w:r w:rsidRPr="0098573E">
        <w:t>for a period of time</w:t>
      </w:r>
      <w:r w:rsidR="005815D1" w:rsidRPr="0098573E">
        <w:t xml:space="preserve"> in the EU and, in addition, </w:t>
      </w:r>
      <w:r w:rsidRPr="0098573E">
        <w:t>be able to</w:t>
      </w:r>
      <w:r w:rsidR="005815D1" w:rsidRPr="0098573E">
        <w:t xml:space="preserve"> </w:t>
      </w:r>
      <w:r w:rsidRPr="0098573E">
        <w:t xml:space="preserve">accredit that they carried out covered work while working </w:t>
      </w:r>
      <w:r w:rsidR="005815D1" w:rsidRPr="0098573E">
        <w:t xml:space="preserve">in their country of origin; </w:t>
      </w:r>
      <w:r w:rsidR="005815D1" w:rsidRPr="0098573E">
        <w:rPr>
          <w:b/>
          <w:bCs/>
        </w:rPr>
        <w:t>second</w:t>
      </w:r>
      <w:r w:rsidR="005815D1" w:rsidRPr="0098573E">
        <w:t xml:space="preserve">, to protect EU nationals on their work outside the </w:t>
      </w:r>
      <w:r w:rsidRPr="0098573E">
        <w:t>EU, e</w:t>
      </w:r>
      <w:r w:rsidR="005815D1" w:rsidRPr="0098573E">
        <w:t xml:space="preserve">ither on secondment or as migrants </w:t>
      </w:r>
      <w:r w:rsidR="005815D1" w:rsidRPr="0098573E">
        <w:rPr>
          <w:i/>
        </w:rPr>
        <w:t>strictu senso</w:t>
      </w:r>
      <w:r w:rsidR="005815D1" w:rsidRPr="0098573E">
        <w:t>.</w:t>
      </w:r>
      <w:r w:rsidR="00857836" w:rsidRPr="0098573E">
        <w:t xml:space="preserve"> </w:t>
      </w:r>
      <w:r w:rsidR="005815D1" w:rsidRPr="0098573E">
        <w:rPr>
          <w:b/>
          <w:bCs/>
        </w:rPr>
        <w:t>Third</w:t>
      </w:r>
      <w:r w:rsidR="005815D1" w:rsidRPr="0098573E">
        <w:t xml:space="preserve">, to strengthen cooperation with neighbouring MED </w:t>
      </w:r>
      <w:r w:rsidR="0098573E" w:rsidRPr="0098573E">
        <w:t xml:space="preserve">states </w:t>
      </w:r>
      <w:r w:rsidR="005815D1" w:rsidRPr="0098573E">
        <w:t xml:space="preserve">and </w:t>
      </w:r>
      <w:r w:rsidRPr="0098573E">
        <w:t xml:space="preserve">to </w:t>
      </w:r>
      <w:r w:rsidR="005815D1" w:rsidRPr="0098573E">
        <w:t xml:space="preserve">develop a more </w:t>
      </w:r>
      <w:r w:rsidRPr="0098573E">
        <w:t xml:space="preserve">socially </w:t>
      </w:r>
      <w:r w:rsidR="005815D1" w:rsidRPr="0098573E">
        <w:t>active and just Mediterranean space that contributes to bringing values and principles</w:t>
      </w:r>
      <w:r w:rsidRPr="0098573E">
        <w:t xml:space="preserve"> closer together</w:t>
      </w:r>
      <w:r w:rsidR="005815D1" w:rsidRPr="0098573E">
        <w:t xml:space="preserve">. </w:t>
      </w:r>
    </w:p>
    <w:p w:rsidR="00105724" w:rsidRPr="0098573E" w:rsidRDefault="00181679" w:rsidP="00C91C77"/>
    <w:p w:rsidR="00B41FBC" w:rsidRPr="0098573E" w:rsidRDefault="005815D1" w:rsidP="00C91C77">
      <w:pPr>
        <w:pStyle w:val="ListParagraph"/>
        <w:suppressAutoHyphens/>
        <w:ind w:left="0"/>
      </w:pPr>
      <w:r w:rsidRPr="0098573E">
        <w:t xml:space="preserve">The first experiences in the area of coordinating systems with a </w:t>
      </w:r>
      <w:r w:rsidR="00AA19AF" w:rsidRPr="0098573E">
        <w:t xml:space="preserve">certain </w:t>
      </w:r>
      <w:r w:rsidRPr="0098573E">
        <w:t>external dimension and, above all, negotiated bilaterally by the European Union, are the Stabili</w:t>
      </w:r>
      <w:r w:rsidR="00AA19AF" w:rsidRPr="0098573E">
        <w:t>z</w:t>
      </w:r>
      <w:r w:rsidRPr="0098573E">
        <w:t>ation and Association Agreements with Tunisia, Morocco, Algeria, Israel, Montenegro, Turkey, FYROM and Albania</w:t>
      </w:r>
      <w:r w:rsidR="00AA19AF" w:rsidRPr="0098573E">
        <w:t>,</w:t>
      </w:r>
      <w:r w:rsidR="007878ED" w:rsidRPr="0098573E">
        <w:t xml:space="preserve"> and</w:t>
      </w:r>
      <w:r w:rsidR="00857836" w:rsidRPr="0098573E">
        <w:t xml:space="preserve"> </w:t>
      </w:r>
      <w:r w:rsidRPr="0098573E">
        <w:t xml:space="preserve">the Decisions </w:t>
      </w:r>
      <w:r w:rsidR="007878ED" w:rsidRPr="0098573E">
        <w:t>approved</w:t>
      </w:r>
      <w:r w:rsidRPr="0098573E">
        <w:t xml:space="preserve"> by the Council in 2010 and 2012 on the Coordination of Social Security </w:t>
      </w:r>
      <w:r w:rsidR="0098573E" w:rsidRPr="0098573E">
        <w:t>Systems</w:t>
      </w:r>
      <w:r w:rsidRPr="0098573E">
        <w:rPr>
          <w:b/>
          <w:bCs/>
        </w:rPr>
        <w:t>.</w:t>
      </w:r>
      <w:r w:rsidR="00857836" w:rsidRPr="0098573E">
        <w:rPr>
          <w:b/>
          <w:bCs/>
        </w:rPr>
        <w:t xml:space="preserve"> </w:t>
      </w:r>
      <w:r w:rsidRPr="0098573E">
        <w:t xml:space="preserve">The content of these Decisions is fourfold: Aggregation of all the periods </w:t>
      </w:r>
      <w:r w:rsidR="007878ED" w:rsidRPr="0098573E">
        <w:t>covered only</w:t>
      </w:r>
      <w:r w:rsidR="007E507C" w:rsidRPr="0098573E">
        <w:t xml:space="preserve"> </w:t>
      </w:r>
      <w:r w:rsidRPr="0098573E">
        <w:t xml:space="preserve">on EU territory, recognition of the principle of equal treatment in </w:t>
      </w:r>
      <w:r w:rsidR="0098573E" w:rsidRPr="0098573E">
        <w:t xml:space="preserve">social security </w:t>
      </w:r>
      <w:r w:rsidRPr="0098573E">
        <w:t>matters, export of pensions</w:t>
      </w:r>
      <w:r w:rsidR="00AA19AF" w:rsidRPr="0098573E">
        <w:t>,</w:t>
      </w:r>
      <w:r w:rsidR="00857836" w:rsidRPr="0098573E">
        <w:t xml:space="preserve"> </w:t>
      </w:r>
      <w:r w:rsidRPr="0098573E">
        <w:t>and</w:t>
      </w:r>
      <w:r w:rsidR="00857836" w:rsidRPr="0098573E">
        <w:t xml:space="preserve"> </w:t>
      </w:r>
      <w:r w:rsidRPr="0098573E">
        <w:t xml:space="preserve">payment of family benefits </w:t>
      </w:r>
      <w:r w:rsidR="00AA19AF" w:rsidRPr="0098573E">
        <w:t xml:space="preserve">in the </w:t>
      </w:r>
      <w:r w:rsidRPr="0098573E">
        <w:t>territory of</w:t>
      </w:r>
      <w:r w:rsidR="00857836" w:rsidRPr="0098573E">
        <w:t xml:space="preserve"> </w:t>
      </w:r>
      <w:r w:rsidRPr="0098573E">
        <w:t xml:space="preserve">the </w:t>
      </w:r>
      <w:r w:rsidR="00AA19AF" w:rsidRPr="0098573E">
        <w:t>EU.</w:t>
      </w:r>
    </w:p>
    <w:p w:rsidR="00105724" w:rsidRPr="0098573E" w:rsidRDefault="00181679" w:rsidP="00C91C77"/>
    <w:p w:rsidR="00A818D9" w:rsidRPr="0098573E" w:rsidRDefault="005815D1" w:rsidP="00C91C77">
      <w:pPr>
        <w:pStyle w:val="ListParagraph"/>
        <w:suppressAutoHyphens/>
        <w:ind w:left="0"/>
      </w:pPr>
      <w:r w:rsidRPr="0098573E">
        <w:t xml:space="preserve">It needs to be underlined that in order for these provisions to become effective it is necessary to have a </w:t>
      </w:r>
      <w:r w:rsidR="007878ED" w:rsidRPr="0098573E">
        <w:t>formal</w:t>
      </w:r>
      <w:r w:rsidR="00857836" w:rsidRPr="0098573E">
        <w:t xml:space="preserve"> </w:t>
      </w:r>
      <w:r w:rsidRPr="0098573E">
        <w:t>Decision</w:t>
      </w:r>
      <w:r w:rsidR="007878ED" w:rsidRPr="0098573E">
        <w:t xml:space="preserve"> adopted</w:t>
      </w:r>
      <w:r w:rsidR="00857836" w:rsidRPr="0098573E">
        <w:t xml:space="preserve"> </w:t>
      </w:r>
      <w:r w:rsidRPr="0098573E">
        <w:t>by the corresponding Stabili</w:t>
      </w:r>
      <w:r w:rsidR="00AA19AF" w:rsidRPr="0098573E">
        <w:t>z</w:t>
      </w:r>
      <w:r w:rsidRPr="0098573E">
        <w:t>ation and Association Councils.</w:t>
      </w:r>
      <w:r w:rsidR="00857836" w:rsidRPr="0098573E">
        <w:t xml:space="preserve"> </w:t>
      </w:r>
      <w:r w:rsidRPr="0098573E">
        <w:t xml:space="preserve">Nevertheless, </w:t>
      </w:r>
      <w:r w:rsidR="00AA19AF" w:rsidRPr="0098573E">
        <w:t>as of now</w:t>
      </w:r>
      <w:r w:rsidRPr="0098573E">
        <w:t>, no Stabili</w:t>
      </w:r>
      <w:r w:rsidR="00AA19AF" w:rsidRPr="0098573E">
        <w:t>z</w:t>
      </w:r>
      <w:r w:rsidRPr="0098573E">
        <w:t xml:space="preserve">ation and Association Council has approved the </w:t>
      </w:r>
      <w:r w:rsidR="00AA19AF" w:rsidRPr="0098573E">
        <w:t xml:space="preserve">EU </w:t>
      </w:r>
      <w:r w:rsidRPr="0098573E">
        <w:t>proposal</w:t>
      </w:r>
      <w:r w:rsidR="00AA19AF" w:rsidRPr="0098573E">
        <w:t>; therefore,</w:t>
      </w:r>
      <w:r w:rsidRPr="0098573E">
        <w:t xml:space="preserve"> these rules cannot be implemented, which does not benefit migrant workers of the EU or of MED in the least. </w:t>
      </w:r>
    </w:p>
    <w:p w:rsidR="00105724" w:rsidRPr="0098573E" w:rsidRDefault="00181679" w:rsidP="00C91C77"/>
    <w:p w:rsidR="00A818D9"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Many of the existing problems in coordinating </w:t>
      </w:r>
      <w:r w:rsidR="0098573E" w:rsidRPr="0098573E">
        <w:t xml:space="preserve">social security </w:t>
      </w:r>
      <w:r w:rsidRPr="0098573E">
        <w:t xml:space="preserve">systems are being solved through bilateral agreements between Member States and </w:t>
      </w:r>
      <w:r w:rsidR="0098573E" w:rsidRPr="0098573E">
        <w:t>third states</w:t>
      </w:r>
      <w:r w:rsidRPr="0098573E">
        <w:t>. However, this line of national action necessarily requires variable geometry, with each Member State defending its own interests and concluding bilateral Agreements based on its own criteria. Moreover, such Agreements are concluded with countries in their area of influence. Nevertheless, it is practically impossible for all 28 Member States to individually initiate negotiations with all MED countries or, vice versa, for all these countries, with EU Member States.</w:t>
      </w:r>
      <w:r w:rsidR="00857836" w:rsidRPr="0098573E">
        <w:t xml:space="preserve"> </w:t>
      </w:r>
      <w:r w:rsidRPr="0098573E">
        <w:t>Hence, there is no harmoni</w:t>
      </w:r>
      <w:r w:rsidR="0098573E">
        <w:t>s</w:t>
      </w:r>
      <w:r w:rsidRPr="0098573E">
        <w:t xml:space="preserve">ation of approaches or criteria which, in turn, leads to a lack of transparency and lack of coordination, which is detrimental to employees and companies. </w:t>
      </w:r>
    </w:p>
    <w:p w:rsidR="00105724" w:rsidRPr="0098573E" w:rsidRDefault="00181679" w:rsidP="00C91C77"/>
    <w:p w:rsidR="00B41FBC"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On the other hand, bilateral Agreements are limited in scope, both in </w:t>
      </w:r>
      <w:r w:rsidR="00165C55" w:rsidRPr="0098573E">
        <w:t>terms of their</w:t>
      </w:r>
      <w:r w:rsidRPr="0098573E">
        <w:t xml:space="preserve"> personal implementation, which covers, in some cases, only workers from signatory countries and, also, in connection with the material elements therein. </w:t>
      </w:r>
    </w:p>
    <w:p w:rsidR="00105724" w:rsidRPr="0098573E" w:rsidRDefault="00181679" w:rsidP="00C91C77"/>
    <w:p w:rsidR="00885619"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The </w:t>
      </w:r>
      <w:r w:rsidR="00165C55" w:rsidRPr="0098573E">
        <w:t>EU</w:t>
      </w:r>
      <w:r w:rsidRPr="0098573E">
        <w:t xml:space="preserve"> has left external relations in </w:t>
      </w:r>
      <w:r w:rsidR="0098573E" w:rsidRPr="0098573E">
        <w:t xml:space="preserve">social security </w:t>
      </w:r>
      <w:r w:rsidRPr="0098573E">
        <w:t xml:space="preserve">matters exclusively and individually to Member States. Little by little, however, there is a growing trend demanding that the EU, as such, </w:t>
      </w:r>
      <w:r w:rsidR="00165C55" w:rsidRPr="0098573E">
        <w:t xml:space="preserve">should </w:t>
      </w:r>
      <w:r w:rsidRPr="0098573E">
        <w:t xml:space="preserve">negotiate and sign </w:t>
      </w:r>
      <w:r w:rsidR="0098573E" w:rsidRPr="0098573E">
        <w:t xml:space="preserve">international agreements </w:t>
      </w:r>
      <w:r w:rsidRPr="0098573E">
        <w:t xml:space="preserve">granting bi- or multilateral coverage that is more comprehensive than </w:t>
      </w:r>
      <w:r w:rsidR="00165C55" w:rsidRPr="0098573E">
        <w:t>that</w:t>
      </w:r>
      <w:r w:rsidRPr="0098573E">
        <w:t xml:space="preserve"> offered by bilateral </w:t>
      </w:r>
      <w:r w:rsidR="0098573E" w:rsidRPr="0098573E">
        <w:t>agreements</w:t>
      </w:r>
      <w:r w:rsidRPr="0098573E">
        <w:t xml:space="preserve">. Legally, this option is covered under </w:t>
      </w:r>
      <w:r w:rsidR="0098573E" w:rsidRPr="0098573E">
        <w:t>Article</w:t>
      </w:r>
      <w:r w:rsidR="0098573E">
        <w:t> </w:t>
      </w:r>
      <w:r w:rsidRPr="0098573E">
        <w:t>216 of the TFEU.</w:t>
      </w:r>
    </w:p>
    <w:p w:rsidR="00105724" w:rsidRPr="0098573E" w:rsidRDefault="00181679" w:rsidP="00C91C77"/>
    <w:p w:rsidR="00105724" w:rsidRPr="0098573E" w:rsidRDefault="005815D1" w:rsidP="00C91C77">
      <w:pPr>
        <w:pStyle w:val="ListParagraph"/>
        <w:tabs>
          <w:tab w:val="left" w:pos="142"/>
          <w:tab w:val="left" w:pos="6299"/>
        </w:tabs>
        <w:suppressAutoHyphens/>
        <w:autoSpaceDE w:val="0"/>
        <w:autoSpaceDN w:val="0"/>
        <w:adjustRightInd w:val="0"/>
        <w:ind w:left="0"/>
      </w:pPr>
      <w:r w:rsidRPr="0098573E">
        <w:t>But Member States, however, are very reluctant to los</w:t>
      </w:r>
      <w:r w:rsidR="00772F40">
        <w:t>e</w:t>
      </w:r>
      <w:r w:rsidRPr="0098573E">
        <w:t xml:space="preserve"> their jurisdiction in the sphere of international relations, which is why it is necessary to begin a slow process to convince them in the medium-term to explore this possibility. </w:t>
      </w:r>
    </w:p>
    <w:p w:rsidR="00885619" w:rsidRPr="0098573E" w:rsidRDefault="00181679" w:rsidP="00C91C77"/>
    <w:p w:rsidR="00885619"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The </w:t>
      </w:r>
      <w:r w:rsidR="00772F40">
        <w:t>various</w:t>
      </w:r>
      <w:r w:rsidR="00772F40" w:rsidRPr="0098573E">
        <w:t xml:space="preserve"> </w:t>
      </w:r>
      <w:r w:rsidRPr="0098573E">
        <w:t xml:space="preserve">European </w:t>
      </w:r>
      <w:r w:rsidR="00165C55" w:rsidRPr="0098573E">
        <w:t>i</w:t>
      </w:r>
      <w:r w:rsidRPr="0098573E">
        <w:t xml:space="preserve">nstitutions have already given their opinion on this option. </w:t>
      </w:r>
      <w:r w:rsidR="00165C55" w:rsidRPr="0098573E">
        <w:t>For example</w:t>
      </w:r>
      <w:r w:rsidRPr="0098573E">
        <w:t>, in 2012, the European Commission produced a Communication of far-reaching importance t</w:t>
      </w:r>
      <w:r w:rsidR="00165C55" w:rsidRPr="0098573E">
        <w:t>o this area:</w:t>
      </w:r>
      <w:r w:rsidR="00857836" w:rsidRPr="0098573E">
        <w:t xml:space="preserve"> </w:t>
      </w:r>
      <w:r w:rsidR="00165C55" w:rsidRPr="0098573E">
        <w:t>“</w:t>
      </w:r>
      <w:r w:rsidRPr="0098573E">
        <w:rPr>
          <w:b/>
          <w:bCs/>
          <w:i/>
          <w:iCs/>
        </w:rPr>
        <w:t>The External Dimension of EU Social Security Coordination</w:t>
      </w:r>
      <w:r w:rsidRPr="0098573E">
        <w:t xml:space="preserve">” in which it, generally, calls for a common European strategy in the coordination of </w:t>
      </w:r>
      <w:r w:rsidR="00772F40" w:rsidRPr="0098573E">
        <w:t xml:space="preserve">social security </w:t>
      </w:r>
      <w:r w:rsidRPr="0098573E">
        <w:t xml:space="preserve">systems regarding third </w:t>
      </w:r>
      <w:r w:rsidR="00772F40" w:rsidRPr="0098573E">
        <w:t xml:space="preserve">states </w:t>
      </w:r>
      <w:r w:rsidRPr="0098573E">
        <w:t>that complements national approaches and enables the role of the EU in the rest of the world</w:t>
      </w:r>
      <w:r w:rsidR="00772F40">
        <w:t xml:space="preserve"> to be strengthened</w:t>
      </w:r>
      <w:r w:rsidRPr="0098573E">
        <w:t>.</w:t>
      </w:r>
      <w:r w:rsidR="00857836" w:rsidRPr="0098573E">
        <w:t xml:space="preserve"> </w:t>
      </w:r>
      <w:r w:rsidRPr="0098573E">
        <w:t xml:space="preserve">To this end, the EU </w:t>
      </w:r>
      <w:r w:rsidR="00772F40" w:rsidRPr="0098573E">
        <w:t xml:space="preserve">agreements </w:t>
      </w:r>
      <w:r w:rsidRPr="0098573E">
        <w:t xml:space="preserve">on </w:t>
      </w:r>
      <w:r w:rsidR="00772F40" w:rsidRPr="0098573E">
        <w:t xml:space="preserve">social security </w:t>
      </w:r>
      <w:r w:rsidR="00165C55" w:rsidRPr="0098573E">
        <w:t>constitute</w:t>
      </w:r>
      <w:r w:rsidRPr="0098573E">
        <w:t xml:space="preserve"> a channel that could be used. These EU agreements could be concluded, for instance, to address matters relative to </w:t>
      </w:r>
      <w:r w:rsidRPr="0098573E">
        <w:rPr>
          <w:bCs/>
        </w:rPr>
        <w:t>double payments</w:t>
      </w:r>
      <w:r w:rsidRPr="0098573E">
        <w:t xml:space="preserve"> to </w:t>
      </w:r>
      <w:r w:rsidR="00772F40" w:rsidRPr="0098573E">
        <w:t xml:space="preserve">social security </w:t>
      </w:r>
      <w:r w:rsidRPr="0098573E">
        <w:t xml:space="preserve">or the export of pensions which, </w:t>
      </w:r>
      <w:r w:rsidRPr="0098573E">
        <w:rPr>
          <w:b/>
          <w:bCs/>
        </w:rPr>
        <w:t>according to the Commission, could be applied on a voluntary basis by Member States.</w:t>
      </w:r>
      <w:r w:rsidRPr="0098573E">
        <w:t xml:space="preserve"> </w:t>
      </w:r>
    </w:p>
    <w:p w:rsidR="00105724" w:rsidRPr="0098573E" w:rsidRDefault="00181679" w:rsidP="00C91C77"/>
    <w:p w:rsidR="00922163" w:rsidRPr="0098573E" w:rsidRDefault="00165C55" w:rsidP="00C91C77">
      <w:pPr>
        <w:pStyle w:val="ListParagraph"/>
        <w:tabs>
          <w:tab w:val="left" w:pos="142"/>
          <w:tab w:val="left" w:pos="6299"/>
        </w:tabs>
        <w:suppressAutoHyphens/>
        <w:autoSpaceDE w:val="0"/>
        <w:autoSpaceDN w:val="0"/>
        <w:adjustRightInd w:val="0"/>
        <w:ind w:left="0"/>
        <w:rPr>
          <w:i/>
          <w:iCs/>
        </w:rPr>
      </w:pPr>
      <w:r w:rsidRPr="0098573E">
        <w:t>T</w:t>
      </w:r>
      <w:r w:rsidR="005815D1" w:rsidRPr="0098573E">
        <w:t xml:space="preserve">he European Parliament has </w:t>
      </w:r>
      <w:r w:rsidRPr="0098573E">
        <w:t xml:space="preserve">also </w:t>
      </w:r>
      <w:r w:rsidR="005815D1" w:rsidRPr="0098573E">
        <w:t xml:space="preserve">been active and has clearly </w:t>
      </w:r>
      <w:r w:rsidRPr="0098573E">
        <w:t>called for going beyond</w:t>
      </w:r>
      <w:r w:rsidR="005815D1" w:rsidRPr="0098573E">
        <w:t xml:space="preserve"> the bilateral framework and expanding the footprint of the </w:t>
      </w:r>
      <w:r w:rsidRPr="0098573E">
        <w:t>EU</w:t>
      </w:r>
      <w:r w:rsidR="005815D1" w:rsidRPr="0098573E">
        <w:t>'s Social Security policy. In its Resolution of 14</w:t>
      </w:r>
      <w:r w:rsidR="00772F40">
        <w:t> </w:t>
      </w:r>
      <w:r w:rsidR="005815D1" w:rsidRPr="0098573E">
        <w:t>March 2013 on the integration of migrants, its effects on the labour market and the external dimension of social security coordination systems in the EU reads as follows:</w:t>
      </w:r>
      <w:r w:rsidR="00857836" w:rsidRPr="0098573E">
        <w:t xml:space="preserve"> </w:t>
      </w:r>
      <w:r w:rsidR="00772F40">
        <w:t>"</w:t>
      </w:r>
      <w:r w:rsidR="005815D1" w:rsidRPr="0098573E">
        <w:rPr>
          <w:i/>
          <w:iCs/>
        </w:rPr>
        <w:t>Calls, therefore, for a uniform and reciprocal EU approach to social security coordination vis-à-vis third countries to be adopted, covering all EU citizens and third-country nationals, without prejudice to the rights of third-country nationals deriving from association agreements and developed by the European Court of Justice</w:t>
      </w:r>
      <w:r w:rsidR="00772F40">
        <w:rPr>
          <w:i/>
          <w:iCs/>
        </w:rPr>
        <w:t>".</w:t>
      </w:r>
    </w:p>
    <w:p w:rsidR="00105724" w:rsidRPr="0098573E" w:rsidRDefault="00181679" w:rsidP="00C91C77"/>
    <w:p w:rsidR="00922163"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Likewise, the 2012 opinion by </w:t>
      </w:r>
      <w:r w:rsidR="00772F40">
        <w:t xml:space="preserve">the </w:t>
      </w:r>
      <w:r w:rsidRPr="0098573E">
        <w:t xml:space="preserve">European Economic and Social Committee (EESC) on the external dimension of EU social security coordination </w:t>
      </w:r>
      <w:r w:rsidR="00165C55" w:rsidRPr="0098573E">
        <w:t xml:space="preserve">stresses </w:t>
      </w:r>
      <w:r w:rsidRPr="0098573E">
        <w:t>the following:</w:t>
      </w:r>
      <w:r w:rsidR="00857836" w:rsidRPr="0098573E">
        <w:t xml:space="preserve"> </w:t>
      </w:r>
      <w:r w:rsidRPr="0098573E">
        <w:t>"</w:t>
      </w:r>
      <w:r w:rsidRPr="0098573E">
        <w:rPr>
          <w:i/>
          <w:iCs/>
        </w:rPr>
        <w:t>This is why the EESC calls for a period of discussion on the need to strengthen a unified EU approach in the area of international social security through EU agreements or reciprocal cooperation policies with other global players."</w:t>
      </w:r>
    </w:p>
    <w:p w:rsidR="00105724" w:rsidRPr="0098573E" w:rsidRDefault="00181679" w:rsidP="00C91C77"/>
    <w:p w:rsidR="00827A99" w:rsidRPr="0098573E" w:rsidRDefault="00165C55" w:rsidP="00C91C77">
      <w:pPr>
        <w:pStyle w:val="ListParagraph"/>
        <w:tabs>
          <w:tab w:val="left" w:pos="142"/>
          <w:tab w:val="left" w:pos="6299"/>
        </w:tabs>
        <w:suppressAutoHyphens/>
        <w:autoSpaceDE w:val="0"/>
        <w:autoSpaceDN w:val="0"/>
        <w:adjustRightInd w:val="0"/>
        <w:ind w:left="0"/>
      </w:pPr>
      <w:r w:rsidRPr="0098573E">
        <w:t>Furthermore</w:t>
      </w:r>
      <w:r w:rsidR="005815D1" w:rsidRPr="0098573E">
        <w:t xml:space="preserve">, the Council has </w:t>
      </w:r>
      <w:r w:rsidRPr="0098573E">
        <w:t>taken</w:t>
      </w:r>
      <w:r w:rsidR="005815D1" w:rsidRPr="0098573E">
        <w:t xml:space="preserve"> </w:t>
      </w:r>
      <w:r w:rsidRPr="0098573E">
        <w:t>the</w:t>
      </w:r>
      <w:r w:rsidR="005815D1" w:rsidRPr="0098573E">
        <w:t xml:space="preserve"> first steps</w:t>
      </w:r>
      <w:r w:rsidRPr="0098573E">
        <w:t xml:space="preserve"> in this direction when it approved</w:t>
      </w:r>
      <w:r w:rsidR="005815D1" w:rsidRPr="0098573E">
        <w:t xml:space="preserve"> the coordination rules </w:t>
      </w:r>
      <w:r w:rsidRPr="0098573E">
        <w:t>in the</w:t>
      </w:r>
      <w:r w:rsidR="005815D1" w:rsidRPr="0098573E">
        <w:t xml:space="preserve"> Decisions on coordination of the Social Security systems of the Association, Stabilization and Cooperation Agreements with Israel, Tunisia, Algeria, Morocco, Croatia, FYRM, San Marino, Albania and Turkey. </w:t>
      </w:r>
    </w:p>
    <w:p w:rsidR="00105724" w:rsidRPr="0098573E" w:rsidRDefault="00181679" w:rsidP="00C91C77"/>
    <w:p w:rsidR="00105724"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Hence, the idea of a European approach that goes beyond what is strictly bilateral </w:t>
      </w:r>
      <w:r w:rsidR="00543710" w:rsidRPr="0098573E">
        <w:t xml:space="preserve">is </w:t>
      </w:r>
      <w:r w:rsidRPr="0098573E">
        <w:t>begin</w:t>
      </w:r>
      <w:r w:rsidR="00543710" w:rsidRPr="0098573E">
        <w:t>ning</w:t>
      </w:r>
      <w:r w:rsidRPr="0098573E">
        <w:t xml:space="preserve"> to gain momentum in European </w:t>
      </w:r>
      <w:r w:rsidR="00543710" w:rsidRPr="0098573E">
        <w:t>i</w:t>
      </w:r>
      <w:r w:rsidRPr="0098573E">
        <w:t>nstitutions. In addition, for many Member States this approach can be attractive</w:t>
      </w:r>
      <w:r w:rsidR="00543710" w:rsidRPr="0098573E">
        <w:t>,</w:t>
      </w:r>
      <w:r w:rsidRPr="0098573E">
        <w:t xml:space="preserve"> and very interesting with a view to avoiding a bilateral negotiation that requires great efforts and produces relatively meagre </w:t>
      </w:r>
      <w:r w:rsidR="00543710" w:rsidRPr="0098573E">
        <w:t>results</w:t>
      </w:r>
      <w:r w:rsidRPr="0098573E">
        <w:t>. Actually, bilateral negotiation is incomplete</w:t>
      </w:r>
      <w:r w:rsidR="00543710" w:rsidRPr="0098573E">
        <w:t>,</w:t>
      </w:r>
      <w:r w:rsidRPr="0098573E">
        <w:t xml:space="preserve"> which is why other alternatives are cropping up, the best examples of which are Regulation 883/04 and the Multilateral Ibero-American Social Security Agreement. In this sense, the protection of European citizens working in MED States would be better guaranteed through European multilateral Agreements or with a comprehensive Agreement on Social Security in the EUROMED space. </w:t>
      </w:r>
    </w:p>
    <w:p w:rsidR="00105724" w:rsidRPr="0098573E" w:rsidRDefault="00181679" w:rsidP="00C91C77"/>
    <w:p w:rsidR="00827A99"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Likewise, MED States wish to protect all </w:t>
      </w:r>
      <w:r w:rsidR="00543710" w:rsidRPr="0098573E">
        <w:t>their</w:t>
      </w:r>
      <w:r w:rsidRPr="0098573E">
        <w:t xml:space="preserve"> migrant citizens who work on European territory as best </w:t>
      </w:r>
      <w:r w:rsidR="00543710" w:rsidRPr="0098573E">
        <w:t>they can</w:t>
      </w:r>
      <w:r w:rsidRPr="0098573E">
        <w:t>. In fact, the comprehensive approach offers better protection</w:t>
      </w:r>
      <w:r w:rsidR="00543710" w:rsidRPr="0098573E">
        <w:t>,</w:t>
      </w:r>
      <w:r w:rsidRPr="0098573E">
        <w:t xml:space="preserve"> and is more efficient tha</w:t>
      </w:r>
      <w:r w:rsidR="00772F40">
        <w:t>n</w:t>
      </w:r>
      <w:r w:rsidRPr="0098573E">
        <w:t xml:space="preserve"> the bilateral approach. Its Achilles' heel is the political</w:t>
      </w:r>
      <w:r w:rsidR="00543710" w:rsidRPr="0098573E">
        <w:t xml:space="preserve"> and </w:t>
      </w:r>
      <w:r w:rsidRPr="0098573E">
        <w:t xml:space="preserve">technical difficulty of </w:t>
      </w:r>
      <w:r w:rsidR="00543710" w:rsidRPr="0098573E">
        <w:t>making it a reality</w:t>
      </w:r>
      <w:r w:rsidRPr="0098573E">
        <w:t xml:space="preserve">. </w:t>
      </w:r>
      <w:r w:rsidRPr="0098573E">
        <w:lastRenderedPageBreak/>
        <w:t>However, this process is not going to be perfected overnight</w:t>
      </w:r>
      <w:r w:rsidR="00543710" w:rsidRPr="0098573E">
        <w:t>,</w:t>
      </w:r>
      <w:r w:rsidRPr="0098573E">
        <w:t xml:space="preserve"> but will require time, and, above all, aware</w:t>
      </w:r>
      <w:r w:rsidR="00543710" w:rsidRPr="0098573E">
        <w:t>ness-</w:t>
      </w:r>
      <w:r w:rsidRPr="0098573E">
        <w:t xml:space="preserve">raising. </w:t>
      </w:r>
    </w:p>
    <w:p w:rsidR="00105724" w:rsidRPr="0098573E" w:rsidRDefault="00181679" w:rsidP="00C91C77"/>
    <w:p w:rsidR="00105724" w:rsidRPr="0098573E" w:rsidRDefault="005815D1" w:rsidP="00C91C77">
      <w:pPr>
        <w:pStyle w:val="ListParagraph"/>
        <w:tabs>
          <w:tab w:val="left" w:pos="142"/>
          <w:tab w:val="left" w:pos="6299"/>
        </w:tabs>
        <w:suppressAutoHyphens/>
        <w:autoSpaceDE w:val="0"/>
        <w:autoSpaceDN w:val="0"/>
        <w:adjustRightInd w:val="0"/>
        <w:ind w:left="0"/>
      </w:pPr>
      <w:r w:rsidRPr="0098573E">
        <w:t xml:space="preserve">One example of the success of multilateral </w:t>
      </w:r>
      <w:r w:rsidR="00543710" w:rsidRPr="0098573E">
        <w:t>c</w:t>
      </w:r>
      <w:r w:rsidRPr="0098573E">
        <w:t>oordination is the</w:t>
      </w:r>
      <w:r w:rsidRPr="0098573E">
        <w:rPr>
          <w:b/>
          <w:bCs/>
        </w:rPr>
        <w:t xml:space="preserve"> Multilateral Ibero-American Social Security Agreement,</w:t>
      </w:r>
      <w:r w:rsidRPr="0098573E">
        <w:t xml:space="preserve"> an international instrument concluded by several </w:t>
      </w:r>
      <w:r w:rsidR="00772F40" w:rsidRPr="0098573E">
        <w:t xml:space="preserve">states </w:t>
      </w:r>
      <w:r w:rsidR="00543710" w:rsidRPr="0098573E">
        <w:t>in the Americas</w:t>
      </w:r>
      <w:r w:rsidRPr="0098573E">
        <w:t xml:space="preserve"> for the coordination of their national legislations on pensions (old age, disability or death). The </w:t>
      </w:r>
      <w:r w:rsidRPr="0098573E">
        <w:rPr>
          <w:b/>
          <w:bCs/>
        </w:rPr>
        <w:t xml:space="preserve">Multilateral Ibero-American Social Security Agreement </w:t>
      </w:r>
      <w:r w:rsidRPr="0098573E">
        <w:t xml:space="preserve">was signed on 10 November 2007. It entered into force on 1 May 2011, after ratification by seven States </w:t>
      </w:r>
      <w:r w:rsidR="00543710" w:rsidRPr="0098573E">
        <w:t xml:space="preserve">Parties </w:t>
      </w:r>
      <w:r w:rsidRPr="0098573E">
        <w:t xml:space="preserve">to the Convention and its Administrative Arrangement. </w:t>
      </w:r>
      <w:r w:rsidR="00543710" w:rsidRPr="0098573E">
        <w:t>To date,</w:t>
      </w:r>
      <w:r w:rsidRPr="0098573E">
        <w:t xml:space="preserve"> these conditions have been met by Spain, Argentina, Bolivia, Brazil, Chile, El Salvador, Ecuador, Paraguay, Portugal and Uruguay. The great majority of Ibero-American States are party to this Agreement</w:t>
      </w:r>
      <w:r w:rsidR="00543710" w:rsidRPr="0098573E">
        <w:t>,</w:t>
      </w:r>
      <w:r w:rsidRPr="0098573E">
        <w:t xml:space="preserve"> although some of them have </w:t>
      </w:r>
      <w:r w:rsidR="00543710" w:rsidRPr="0098573E">
        <w:t xml:space="preserve">yet to </w:t>
      </w:r>
      <w:r w:rsidRPr="0098573E">
        <w:t>ratif</w:t>
      </w:r>
      <w:r w:rsidR="00543710" w:rsidRPr="0098573E">
        <w:t>y</w:t>
      </w:r>
      <w:r w:rsidRPr="0098573E">
        <w:t xml:space="preserve"> it. </w:t>
      </w:r>
      <w:r w:rsidR="00543710" w:rsidRPr="0098573E">
        <w:t>The</w:t>
      </w:r>
      <w:r w:rsidRPr="0098573E">
        <w:t xml:space="preserve"> Multilateral Agreement is the soulmate of Regulation 883/04 with which it shares principles, provisions and legal mechanisms. </w:t>
      </w:r>
      <w:r w:rsidR="00543710" w:rsidRPr="0098573E">
        <w:t>In this regard</w:t>
      </w:r>
      <w:r w:rsidRPr="0098573E">
        <w:t>, especially in the multilateral arena, this Instrument is a model for the protection of migrant workers</w:t>
      </w:r>
      <w:r w:rsidR="00543710" w:rsidRPr="0098573E">
        <w:t>’</w:t>
      </w:r>
      <w:r w:rsidRPr="0098573E">
        <w:t xml:space="preserve"> rights that can be used in other settings and spaces</w:t>
      </w:r>
      <w:r w:rsidR="00543710" w:rsidRPr="0098573E">
        <w:t>,</w:t>
      </w:r>
      <w:r w:rsidRPr="0098573E">
        <w:t xml:space="preserve"> such as EUROMED.</w:t>
      </w:r>
    </w:p>
    <w:p w:rsidR="00105724" w:rsidRPr="0098573E" w:rsidRDefault="00181679" w:rsidP="00C91C77"/>
    <w:p w:rsidR="00105724" w:rsidRPr="0098573E" w:rsidRDefault="005815D1" w:rsidP="00C91C77">
      <w:pPr>
        <w:pStyle w:val="ListParagraph"/>
        <w:tabs>
          <w:tab w:val="left" w:pos="142"/>
          <w:tab w:val="left" w:pos="6299"/>
        </w:tabs>
        <w:suppressAutoHyphens/>
        <w:autoSpaceDE w:val="0"/>
        <w:autoSpaceDN w:val="0"/>
        <w:adjustRightInd w:val="0"/>
        <w:ind w:left="0"/>
      </w:pPr>
      <w:r w:rsidRPr="0098573E">
        <w:t>Th</w:t>
      </w:r>
      <w:r w:rsidR="00543710" w:rsidRPr="0098573E">
        <w:t>is</w:t>
      </w:r>
      <w:r w:rsidRPr="0098573E">
        <w:t xml:space="preserve"> study proposes a roadmap with Immediate Actions, Short-Term Actions, Medium-Term Actions and Long-Term Actions. Lastly, it outlines a series of recommendations to be presented at the</w:t>
      </w:r>
      <w:r w:rsidR="00857836" w:rsidRPr="0098573E">
        <w:t xml:space="preserve"> </w:t>
      </w:r>
      <w:r w:rsidRPr="0098573E">
        <w:t>EUROMED Summit of Economic and Social Councils</w:t>
      </w:r>
      <w:r w:rsidR="00543710" w:rsidRPr="0098573E">
        <w:t xml:space="preserve"> on 24-25 October 2016</w:t>
      </w:r>
      <w:r w:rsidRPr="0098573E">
        <w:t xml:space="preserve">. </w:t>
      </w:r>
    </w:p>
    <w:p w:rsidR="00105724" w:rsidRPr="0098573E" w:rsidRDefault="00181679" w:rsidP="00C91C77"/>
    <w:p w:rsidR="00A1670D" w:rsidRPr="0098573E" w:rsidRDefault="00543710" w:rsidP="00C91C77">
      <w:pPr>
        <w:pStyle w:val="ListParagraph"/>
        <w:tabs>
          <w:tab w:val="left" w:pos="142"/>
          <w:tab w:val="left" w:pos="6299"/>
        </w:tabs>
        <w:suppressAutoHyphens/>
        <w:autoSpaceDE w:val="0"/>
        <w:autoSpaceDN w:val="0"/>
        <w:adjustRightInd w:val="0"/>
        <w:ind w:left="0"/>
      </w:pPr>
      <w:r w:rsidRPr="0098573E">
        <w:t xml:space="preserve">The final </w:t>
      </w:r>
      <w:r w:rsidR="007418BC" w:rsidRPr="0098573E">
        <w:t xml:space="preserve">conclusion </w:t>
      </w:r>
      <w:r w:rsidRPr="0098573E">
        <w:t xml:space="preserve">of the present </w:t>
      </w:r>
      <w:r w:rsidR="007878ED" w:rsidRPr="0098573E">
        <w:t>study could be summari</w:t>
      </w:r>
      <w:r w:rsidR="00D8635C">
        <w:t>s</w:t>
      </w:r>
      <w:r w:rsidR="007878ED" w:rsidRPr="0098573E">
        <w:t>ed in two</w:t>
      </w:r>
      <w:r w:rsidR="005815D1" w:rsidRPr="0098573E">
        <w:t xml:space="preserve"> sentence</w:t>
      </w:r>
      <w:r w:rsidR="007878ED" w:rsidRPr="0098573E">
        <w:t>s</w:t>
      </w:r>
      <w:r w:rsidR="005815D1" w:rsidRPr="0098573E">
        <w:t>: With a EUROMED</w:t>
      </w:r>
      <w:r w:rsidRPr="0098573E">
        <w:t xml:space="preserve"> </w:t>
      </w:r>
      <w:r w:rsidR="005815D1" w:rsidRPr="0098573E">
        <w:t xml:space="preserve">Agreement </w:t>
      </w:r>
      <w:r w:rsidRPr="0098573E">
        <w:t>o</w:t>
      </w:r>
      <w:r w:rsidR="005815D1" w:rsidRPr="0098573E">
        <w:t xml:space="preserve">n </w:t>
      </w:r>
      <w:r w:rsidR="00D8635C" w:rsidRPr="0098573E">
        <w:t xml:space="preserve">social security </w:t>
      </w:r>
      <w:r w:rsidR="005815D1" w:rsidRPr="0098573E">
        <w:t>matters</w:t>
      </w:r>
      <w:r w:rsidRPr="0098573E">
        <w:t>,</w:t>
      </w:r>
      <w:r w:rsidR="005815D1" w:rsidRPr="0098573E">
        <w:t xml:space="preserve"> the EUROMED</w:t>
      </w:r>
      <w:r w:rsidRPr="0098573E">
        <w:t xml:space="preserve"> </w:t>
      </w:r>
      <w:r w:rsidR="005815D1" w:rsidRPr="0098573E">
        <w:t>space would be much more social and much more just. In addition, workers and entrepreneurs would participate much more intensely in EUROMED's political and social dimension</w:t>
      </w:r>
      <w:r w:rsidRPr="0098573E">
        <w:t>,</w:t>
      </w:r>
      <w:r w:rsidR="005815D1" w:rsidRPr="0098573E">
        <w:t xml:space="preserve"> and would understand its inherent advantages much better.</w:t>
      </w:r>
      <w:r w:rsidR="00857836" w:rsidRPr="0098573E">
        <w:t xml:space="preserve"> </w:t>
      </w:r>
    </w:p>
    <w:p w:rsidR="00F422C9" w:rsidRPr="0098573E" w:rsidRDefault="00181679" w:rsidP="00C91C77">
      <w:pPr>
        <w:tabs>
          <w:tab w:val="left" w:pos="0"/>
        </w:tabs>
      </w:pPr>
    </w:p>
    <w:p w:rsidR="003A5DEA" w:rsidRPr="0098573E" w:rsidRDefault="00D8635C" w:rsidP="00C91C77">
      <w:pPr>
        <w:overflowPunct w:val="0"/>
        <w:autoSpaceDE w:val="0"/>
        <w:autoSpaceDN w:val="0"/>
        <w:adjustRightInd w:val="0"/>
        <w:jc w:val="center"/>
        <w:textAlignment w:val="baseline"/>
      </w:pPr>
      <w:r>
        <w:rPr>
          <w:lang w:val="nl-BE"/>
        </w:rPr>
        <w:t>_____________</w:t>
      </w:r>
    </w:p>
    <w:sectPr w:rsidR="003A5DEA" w:rsidRPr="0098573E" w:rsidSect="0085783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FE" w:rsidRDefault="000E00FE" w:rsidP="000E00FE">
      <w:pPr>
        <w:spacing w:line="240" w:lineRule="auto"/>
      </w:pPr>
      <w:r>
        <w:separator/>
      </w:r>
    </w:p>
  </w:endnote>
  <w:endnote w:type="continuationSeparator" w:id="0">
    <w:p w:rsidR="000E00FE" w:rsidRDefault="000E00FE" w:rsidP="000E0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36" w:rsidRPr="00857836" w:rsidRDefault="00857836" w:rsidP="0085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E" w:rsidRPr="00857836" w:rsidRDefault="00857836" w:rsidP="00857836">
    <w:pPr>
      <w:pStyle w:val="Footer"/>
    </w:pPr>
    <w:r>
      <w:t xml:space="preserve">EESC-2016-04991-00-00-TCD-TRA (EN) </w:t>
    </w:r>
    <w:r>
      <w:fldChar w:fldCharType="begin"/>
    </w:r>
    <w:r>
      <w:instrText xml:space="preserve"> PAGE  \* Arabic  \* MERGEFORMAT </w:instrText>
    </w:r>
    <w:r>
      <w:fldChar w:fldCharType="separate"/>
    </w:r>
    <w:r w:rsidR="00181679">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81679">
      <w:rPr>
        <w:noProof/>
      </w:rPr>
      <w:instrText>4</w:instrText>
    </w:r>
    <w:r>
      <w:fldChar w:fldCharType="end"/>
    </w:r>
    <w:r>
      <w:instrText xml:space="preserve"> -0 </w:instrText>
    </w:r>
    <w:r>
      <w:fldChar w:fldCharType="separate"/>
    </w:r>
    <w:r w:rsidR="00181679">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36" w:rsidRPr="00857836" w:rsidRDefault="00857836" w:rsidP="0085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FE" w:rsidRDefault="000E00FE" w:rsidP="000E00FE">
      <w:pPr>
        <w:spacing w:line="240" w:lineRule="auto"/>
      </w:pPr>
      <w:r>
        <w:separator/>
      </w:r>
    </w:p>
  </w:footnote>
  <w:footnote w:type="continuationSeparator" w:id="0">
    <w:p w:rsidR="000E00FE" w:rsidRDefault="000E00FE" w:rsidP="000E00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36" w:rsidRPr="00857836" w:rsidRDefault="00857836" w:rsidP="00857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36" w:rsidRPr="00857836" w:rsidRDefault="00857836" w:rsidP="00857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36" w:rsidRPr="00857836" w:rsidRDefault="00857836" w:rsidP="0085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5697177"/>
    <w:multiLevelType w:val="hybridMultilevel"/>
    <w:tmpl w:val="5A0ACD56"/>
    <w:lvl w:ilvl="0" w:tplc="96E2DB1A">
      <w:start w:val="1"/>
      <w:numFmt w:val="bullet"/>
      <w:lvlText w:val=""/>
      <w:lvlJc w:val="left"/>
      <w:pPr>
        <w:ind w:left="720" w:hanging="360"/>
      </w:pPr>
      <w:rPr>
        <w:rFonts w:ascii="Symbol" w:hAnsi="Symbol" w:cs="Symbol" w:hint="default"/>
      </w:rPr>
    </w:lvl>
    <w:lvl w:ilvl="1" w:tplc="EFD097CE">
      <w:start w:val="1"/>
      <w:numFmt w:val="bullet"/>
      <w:lvlText w:val="o"/>
      <w:lvlJc w:val="left"/>
      <w:pPr>
        <w:ind w:left="1440" w:hanging="360"/>
      </w:pPr>
      <w:rPr>
        <w:rFonts w:ascii="Courier New" w:hAnsi="Courier New" w:cs="Courier New" w:hint="default"/>
      </w:rPr>
    </w:lvl>
    <w:lvl w:ilvl="2" w:tplc="2FE6D730">
      <w:start w:val="1"/>
      <w:numFmt w:val="bullet"/>
      <w:lvlText w:val=""/>
      <w:lvlJc w:val="left"/>
      <w:pPr>
        <w:ind w:left="2160" w:hanging="360"/>
      </w:pPr>
      <w:rPr>
        <w:rFonts w:ascii="Wingdings" w:hAnsi="Wingdings" w:cs="Wingdings" w:hint="default"/>
      </w:rPr>
    </w:lvl>
    <w:lvl w:ilvl="3" w:tplc="C638F748">
      <w:start w:val="1"/>
      <w:numFmt w:val="bullet"/>
      <w:lvlText w:val=""/>
      <w:lvlJc w:val="left"/>
      <w:pPr>
        <w:ind w:left="2880" w:hanging="360"/>
      </w:pPr>
      <w:rPr>
        <w:rFonts w:ascii="Symbol" w:hAnsi="Symbol" w:cs="Symbol" w:hint="default"/>
      </w:rPr>
    </w:lvl>
    <w:lvl w:ilvl="4" w:tplc="0D86426E">
      <w:start w:val="1"/>
      <w:numFmt w:val="bullet"/>
      <w:lvlText w:val="o"/>
      <w:lvlJc w:val="left"/>
      <w:pPr>
        <w:ind w:left="3600" w:hanging="360"/>
      </w:pPr>
      <w:rPr>
        <w:rFonts w:ascii="Courier New" w:hAnsi="Courier New" w:cs="Courier New" w:hint="default"/>
      </w:rPr>
    </w:lvl>
    <w:lvl w:ilvl="5" w:tplc="ED187912">
      <w:start w:val="1"/>
      <w:numFmt w:val="bullet"/>
      <w:lvlText w:val=""/>
      <w:lvlJc w:val="left"/>
      <w:pPr>
        <w:ind w:left="4320" w:hanging="360"/>
      </w:pPr>
      <w:rPr>
        <w:rFonts w:ascii="Wingdings" w:hAnsi="Wingdings" w:cs="Wingdings" w:hint="default"/>
      </w:rPr>
    </w:lvl>
    <w:lvl w:ilvl="6" w:tplc="403E08BE">
      <w:start w:val="1"/>
      <w:numFmt w:val="bullet"/>
      <w:lvlText w:val=""/>
      <w:lvlJc w:val="left"/>
      <w:pPr>
        <w:ind w:left="5040" w:hanging="360"/>
      </w:pPr>
      <w:rPr>
        <w:rFonts w:ascii="Symbol" w:hAnsi="Symbol" w:cs="Symbol" w:hint="default"/>
      </w:rPr>
    </w:lvl>
    <w:lvl w:ilvl="7" w:tplc="E0469460">
      <w:start w:val="1"/>
      <w:numFmt w:val="bullet"/>
      <w:lvlText w:val="o"/>
      <w:lvlJc w:val="left"/>
      <w:pPr>
        <w:ind w:left="5760" w:hanging="360"/>
      </w:pPr>
      <w:rPr>
        <w:rFonts w:ascii="Courier New" w:hAnsi="Courier New" w:cs="Courier New" w:hint="default"/>
      </w:rPr>
    </w:lvl>
    <w:lvl w:ilvl="8" w:tplc="943A1518">
      <w:start w:val="1"/>
      <w:numFmt w:val="bullet"/>
      <w:lvlText w:val=""/>
      <w:lvlJc w:val="left"/>
      <w:pPr>
        <w:ind w:left="6480" w:hanging="360"/>
      </w:pPr>
      <w:rPr>
        <w:rFonts w:ascii="Wingdings" w:hAnsi="Wingdings" w:cs="Wingdings" w:hint="default"/>
      </w:rPr>
    </w:lvl>
  </w:abstractNum>
  <w:abstractNum w:abstractNumId="2">
    <w:nsid w:val="69135D4F"/>
    <w:multiLevelType w:val="hybridMultilevel"/>
    <w:tmpl w:val="D62CE9AC"/>
    <w:lvl w:ilvl="0" w:tplc="B5EA6DB0">
      <w:start w:val="1"/>
      <w:numFmt w:val="decimal"/>
      <w:lvlText w:val="%1."/>
      <w:lvlJc w:val="left"/>
      <w:pPr>
        <w:ind w:left="644" w:hanging="360"/>
      </w:pPr>
    </w:lvl>
    <w:lvl w:ilvl="1" w:tplc="87543FFE">
      <w:start w:val="1"/>
      <w:numFmt w:val="lowerLetter"/>
      <w:lvlText w:val="%2."/>
      <w:lvlJc w:val="left"/>
      <w:pPr>
        <w:ind w:left="1430" w:hanging="360"/>
      </w:pPr>
    </w:lvl>
    <w:lvl w:ilvl="2" w:tplc="794AACD2">
      <w:start w:val="1"/>
      <w:numFmt w:val="lowerRoman"/>
      <w:lvlText w:val="%3."/>
      <w:lvlJc w:val="right"/>
      <w:pPr>
        <w:ind w:left="2150" w:hanging="180"/>
      </w:pPr>
    </w:lvl>
    <w:lvl w:ilvl="3" w:tplc="775EAF28">
      <w:start w:val="1"/>
      <w:numFmt w:val="decimal"/>
      <w:lvlText w:val="%4."/>
      <w:lvlJc w:val="left"/>
      <w:pPr>
        <w:ind w:left="2870" w:hanging="360"/>
      </w:pPr>
    </w:lvl>
    <w:lvl w:ilvl="4" w:tplc="263E731A">
      <w:start w:val="1"/>
      <w:numFmt w:val="lowerLetter"/>
      <w:lvlText w:val="%5."/>
      <w:lvlJc w:val="left"/>
      <w:pPr>
        <w:ind w:left="3590" w:hanging="360"/>
      </w:pPr>
    </w:lvl>
    <w:lvl w:ilvl="5" w:tplc="081094EC">
      <w:start w:val="1"/>
      <w:numFmt w:val="lowerRoman"/>
      <w:lvlText w:val="%6."/>
      <w:lvlJc w:val="right"/>
      <w:pPr>
        <w:ind w:left="4310" w:hanging="180"/>
      </w:pPr>
    </w:lvl>
    <w:lvl w:ilvl="6" w:tplc="B7C8EA04">
      <w:start w:val="1"/>
      <w:numFmt w:val="decimal"/>
      <w:lvlText w:val="%7."/>
      <w:lvlJc w:val="left"/>
      <w:pPr>
        <w:ind w:left="5030" w:hanging="360"/>
      </w:pPr>
    </w:lvl>
    <w:lvl w:ilvl="7" w:tplc="2F0EA152">
      <w:start w:val="1"/>
      <w:numFmt w:val="lowerLetter"/>
      <w:lvlText w:val="%8."/>
      <w:lvlJc w:val="left"/>
      <w:pPr>
        <w:ind w:left="5750" w:hanging="360"/>
      </w:pPr>
    </w:lvl>
    <w:lvl w:ilvl="8" w:tplc="5B52D954">
      <w:start w:val="1"/>
      <w:numFmt w:val="lowerRoman"/>
      <w:lvlText w:val="%9."/>
      <w:lvlJc w:val="right"/>
      <w:pPr>
        <w:ind w:left="64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7D"/>
    <w:rsid w:val="00091D3C"/>
    <w:rsid w:val="000E00FE"/>
    <w:rsid w:val="00165C55"/>
    <w:rsid w:val="00181679"/>
    <w:rsid w:val="00377571"/>
    <w:rsid w:val="00405499"/>
    <w:rsid w:val="004F0B76"/>
    <w:rsid w:val="00527D7D"/>
    <w:rsid w:val="00543710"/>
    <w:rsid w:val="005815D1"/>
    <w:rsid w:val="0062173E"/>
    <w:rsid w:val="00665C18"/>
    <w:rsid w:val="00716204"/>
    <w:rsid w:val="007418BC"/>
    <w:rsid w:val="00772F40"/>
    <w:rsid w:val="007878ED"/>
    <w:rsid w:val="007E507C"/>
    <w:rsid w:val="00857836"/>
    <w:rsid w:val="0098573E"/>
    <w:rsid w:val="00AA19AF"/>
    <w:rsid w:val="00B4791D"/>
    <w:rsid w:val="00BE4642"/>
    <w:rsid w:val="00C91C77"/>
    <w:rsid w:val="00D8635C"/>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36"/>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857836"/>
    <w:pPr>
      <w:numPr>
        <w:numId w:val="3"/>
      </w:numPr>
      <w:ind w:left="567" w:hanging="567"/>
      <w:outlineLvl w:val="0"/>
    </w:pPr>
    <w:rPr>
      <w:kern w:val="28"/>
    </w:rPr>
  </w:style>
  <w:style w:type="paragraph" w:styleId="Heading2">
    <w:name w:val="heading 2"/>
    <w:basedOn w:val="Normal"/>
    <w:next w:val="Normal"/>
    <w:link w:val="Heading2Char"/>
    <w:qFormat/>
    <w:rsid w:val="00857836"/>
    <w:pPr>
      <w:numPr>
        <w:ilvl w:val="1"/>
        <w:numId w:val="3"/>
      </w:numPr>
      <w:ind w:left="567" w:hanging="567"/>
      <w:outlineLvl w:val="1"/>
    </w:pPr>
  </w:style>
  <w:style w:type="paragraph" w:styleId="Heading3">
    <w:name w:val="heading 3"/>
    <w:basedOn w:val="Normal"/>
    <w:next w:val="Normal"/>
    <w:link w:val="Heading3Char"/>
    <w:qFormat/>
    <w:rsid w:val="00857836"/>
    <w:pPr>
      <w:numPr>
        <w:ilvl w:val="2"/>
        <w:numId w:val="3"/>
      </w:numPr>
      <w:ind w:left="567" w:hanging="567"/>
      <w:outlineLvl w:val="2"/>
    </w:pPr>
  </w:style>
  <w:style w:type="paragraph" w:styleId="Heading4">
    <w:name w:val="heading 4"/>
    <w:basedOn w:val="Normal"/>
    <w:next w:val="Normal"/>
    <w:link w:val="Heading4Char"/>
    <w:qFormat/>
    <w:rsid w:val="00857836"/>
    <w:pPr>
      <w:numPr>
        <w:ilvl w:val="3"/>
        <w:numId w:val="3"/>
      </w:numPr>
      <w:ind w:left="567" w:hanging="567"/>
      <w:outlineLvl w:val="3"/>
    </w:pPr>
  </w:style>
  <w:style w:type="paragraph" w:styleId="Heading5">
    <w:name w:val="heading 5"/>
    <w:basedOn w:val="Normal"/>
    <w:next w:val="Normal"/>
    <w:link w:val="Heading5Char"/>
    <w:qFormat/>
    <w:rsid w:val="00857836"/>
    <w:pPr>
      <w:numPr>
        <w:ilvl w:val="4"/>
        <w:numId w:val="3"/>
      </w:numPr>
      <w:ind w:left="567" w:hanging="567"/>
      <w:outlineLvl w:val="4"/>
    </w:pPr>
  </w:style>
  <w:style w:type="paragraph" w:styleId="Heading6">
    <w:name w:val="heading 6"/>
    <w:basedOn w:val="Normal"/>
    <w:next w:val="Normal"/>
    <w:link w:val="Heading6Char"/>
    <w:qFormat/>
    <w:rsid w:val="00857836"/>
    <w:pPr>
      <w:numPr>
        <w:ilvl w:val="5"/>
        <w:numId w:val="3"/>
      </w:numPr>
      <w:ind w:left="567" w:hanging="567"/>
      <w:outlineLvl w:val="5"/>
    </w:pPr>
  </w:style>
  <w:style w:type="paragraph" w:styleId="Heading7">
    <w:name w:val="heading 7"/>
    <w:basedOn w:val="Normal"/>
    <w:next w:val="Normal"/>
    <w:link w:val="Heading7Char"/>
    <w:qFormat/>
    <w:rsid w:val="00857836"/>
    <w:pPr>
      <w:numPr>
        <w:ilvl w:val="6"/>
        <w:numId w:val="3"/>
      </w:numPr>
      <w:ind w:left="567" w:hanging="567"/>
      <w:outlineLvl w:val="6"/>
    </w:pPr>
  </w:style>
  <w:style w:type="paragraph" w:styleId="Heading8">
    <w:name w:val="heading 8"/>
    <w:basedOn w:val="Normal"/>
    <w:next w:val="Normal"/>
    <w:link w:val="Heading8Char"/>
    <w:qFormat/>
    <w:rsid w:val="00857836"/>
    <w:pPr>
      <w:numPr>
        <w:ilvl w:val="7"/>
        <w:numId w:val="3"/>
      </w:numPr>
      <w:ind w:left="567" w:hanging="567"/>
      <w:outlineLvl w:val="7"/>
    </w:pPr>
  </w:style>
  <w:style w:type="paragraph" w:styleId="Heading9">
    <w:name w:val="heading 9"/>
    <w:basedOn w:val="Normal"/>
    <w:next w:val="Normal"/>
    <w:link w:val="Heading9Char"/>
    <w:qFormat/>
    <w:rsid w:val="00857836"/>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E10"/>
    <w:pPr>
      <w:ind w:left="720"/>
      <w:contextualSpacing/>
    </w:pPr>
  </w:style>
  <w:style w:type="paragraph" w:styleId="FootnoteText">
    <w:name w:val="footnote text"/>
    <w:basedOn w:val="Normal"/>
    <w:link w:val="FootnoteTextChar"/>
    <w:qFormat/>
    <w:rsid w:val="00857836"/>
    <w:pPr>
      <w:keepLines/>
      <w:spacing w:after="60" w:line="240" w:lineRule="auto"/>
      <w:ind w:left="567" w:hanging="567"/>
    </w:pPr>
    <w:rPr>
      <w:sz w:val="16"/>
    </w:rPr>
  </w:style>
  <w:style w:type="character" w:customStyle="1" w:styleId="FootnoteTextChar">
    <w:name w:val="Footnote Text Char"/>
    <w:basedOn w:val="DefaultParagraphFont"/>
    <w:link w:val="FootnoteText"/>
    <w:rsid w:val="007A0BA0"/>
    <w:rPr>
      <w:rFonts w:ascii="Times New Roman" w:eastAsia="Times New Roman" w:hAnsi="Times New Roman" w:cs="Times New Roman"/>
      <w:sz w:val="16"/>
      <w:lang w:val="en-US"/>
    </w:rPr>
  </w:style>
  <w:style w:type="character" w:styleId="FootnoteReference">
    <w:name w:val="footnote reference"/>
    <w:basedOn w:val="DefaultParagraphFont"/>
    <w:unhideWhenUsed/>
    <w:qFormat/>
    <w:rsid w:val="00857836"/>
    <w:rPr>
      <w:sz w:val="24"/>
      <w:vertAlign w:val="superscript"/>
    </w:rPr>
  </w:style>
  <w:style w:type="paragraph" w:styleId="Header">
    <w:name w:val="header"/>
    <w:basedOn w:val="Normal"/>
    <w:link w:val="HeaderChar"/>
    <w:qFormat/>
    <w:rsid w:val="00857836"/>
  </w:style>
  <w:style w:type="character" w:customStyle="1" w:styleId="HeaderChar">
    <w:name w:val="Header Char"/>
    <w:basedOn w:val="DefaultParagraphFont"/>
    <w:link w:val="Header"/>
    <w:rsid w:val="000E00FE"/>
    <w:rPr>
      <w:rFonts w:ascii="Times New Roman" w:eastAsia="Times New Roman" w:hAnsi="Times New Roman" w:cs="Times New Roman"/>
      <w:lang w:val="en-US"/>
    </w:rPr>
  </w:style>
  <w:style w:type="paragraph" w:styleId="Footer">
    <w:name w:val="footer"/>
    <w:basedOn w:val="Normal"/>
    <w:link w:val="FooterChar"/>
    <w:qFormat/>
    <w:rsid w:val="00857836"/>
  </w:style>
  <w:style w:type="character" w:customStyle="1" w:styleId="FooterChar">
    <w:name w:val="Footer Char"/>
    <w:basedOn w:val="DefaultParagraphFont"/>
    <w:link w:val="Footer"/>
    <w:rsid w:val="000E00FE"/>
    <w:rPr>
      <w:rFonts w:ascii="Times New Roman" w:eastAsia="Times New Roman" w:hAnsi="Times New Roman" w:cs="Times New Roman"/>
      <w:lang w:val="en-US"/>
    </w:rPr>
  </w:style>
  <w:style w:type="character" w:customStyle="1" w:styleId="Heading1Char">
    <w:name w:val="Heading 1 Char"/>
    <w:basedOn w:val="DefaultParagraphFont"/>
    <w:link w:val="Heading1"/>
    <w:rsid w:val="0085783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57836"/>
    <w:rPr>
      <w:rFonts w:ascii="Times New Roman" w:eastAsia="Times New Roman" w:hAnsi="Times New Roman" w:cs="Times New Roman"/>
      <w:lang w:val="en-US"/>
    </w:rPr>
  </w:style>
  <w:style w:type="character" w:customStyle="1" w:styleId="Heading3Char">
    <w:name w:val="Heading 3 Char"/>
    <w:basedOn w:val="DefaultParagraphFont"/>
    <w:link w:val="Heading3"/>
    <w:rsid w:val="00857836"/>
    <w:rPr>
      <w:rFonts w:ascii="Times New Roman" w:eastAsia="Times New Roman" w:hAnsi="Times New Roman" w:cs="Times New Roman"/>
      <w:lang w:val="en-US"/>
    </w:rPr>
  </w:style>
  <w:style w:type="character" w:customStyle="1" w:styleId="Heading4Char">
    <w:name w:val="Heading 4 Char"/>
    <w:basedOn w:val="DefaultParagraphFont"/>
    <w:link w:val="Heading4"/>
    <w:rsid w:val="00857836"/>
    <w:rPr>
      <w:rFonts w:ascii="Times New Roman" w:eastAsia="Times New Roman" w:hAnsi="Times New Roman" w:cs="Times New Roman"/>
      <w:lang w:val="en-US"/>
    </w:rPr>
  </w:style>
  <w:style w:type="character" w:customStyle="1" w:styleId="Heading5Char">
    <w:name w:val="Heading 5 Char"/>
    <w:basedOn w:val="DefaultParagraphFont"/>
    <w:link w:val="Heading5"/>
    <w:rsid w:val="00857836"/>
    <w:rPr>
      <w:rFonts w:ascii="Times New Roman" w:eastAsia="Times New Roman" w:hAnsi="Times New Roman" w:cs="Times New Roman"/>
      <w:lang w:val="en-US"/>
    </w:rPr>
  </w:style>
  <w:style w:type="character" w:customStyle="1" w:styleId="Heading6Char">
    <w:name w:val="Heading 6 Char"/>
    <w:basedOn w:val="DefaultParagraphFont"/>
    <w:link w:val="Heading6"/>
    <w:rsid w:val="00857836"/>
    <w:rPr>
      <w:rFonts w:ascii="Times New Roman" w:eastAsia="Times New Roman" w:hAnsi="Times New Roman" w:cs="Times New Roman"/>
      <w:lang w:val="en-US"/>
    </w:rPr>
  </w:style>
  <w:style w:type="character" w:customStyle="1" w:styleId="Heading7Char">
    <w:name w:val="Heading 7 Char"/>
    <w:basedOn w:val="DefaultParagraphFont"/>
    <w:link w:val="Heading7"/>
    <w:rsid w:val="00857836"/>
    <w:rPr>
      <w:rFonts w:ascii="Times New Roman" w:eastAsia="Times New Roman" w:hAnsi="Times New Roman" w:cs="Times New Roman"/>
      <w:lang w:val="en-US"/>
    </w:rPr>
  </w:style>
  <w:style w:type="character" w:customStyle="1" w:styleId="Heading8Char">
    <w:name w:val="Heading 8 Char"/>
    <w:basedOn w:val="DefaultParagraphFont"/>
    <w:link w:val="Heading8"/>
    <w:rsid w:val="00857836"/>
    <w:rPr>
      <w:rFonts w:ascii="Times New Roman" w:eastAsia="Times New Roman" w:hAnsi="Times New Roman" w:cs="Times New Roman"/>
      <w:lang w:val="en-US"/>
    </w:rPr>
  </w:style>
  <w:style w:type="character" w:customStyle="1" w:styleId="Heading9Char">
    <w:name w:val="Heading 9 Char"/>
    <w:basedOn w:val="DefaultParagraphFont"/>
    <w:link w:val="Heading9"/>
    <w:rsid w:val="00857836"/>
    <w:rPr>
      <w:rFonts w:ascii="Times New Roman" w:eastAsia="Times New Roman" w:hAnsi="Times New Roman" w:cs="Times New Roman"/>
      <w:lang w:val="en-US"/>
    </w:rPr>
  </w:style>
  <w:style w:type="paragraph" w:customStyle="1" w:styleId="quotes">
    <w:name w:val="quotes"/>
    <w:basedOn w:val="Normal"/>
    <w:next w:val="Normal"/>
    <w:rsid w:val="008578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36"/>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857836"/>
    <w:pPr>
      <w:numPr>
        <w:numId w:val="3"/>
      </w:numPr>
      <w:ind w:left="567" w:hanging="567"/>
      <w:outlineLvl w:val="0"/>
    </w:pPr>
    <w:rPr>
      <w:kern w:val="28"/>
    </w:rPr>
  </w:style>
  <w:style w:type="paragraph" w:styleId="Heading2">
    <w:name w:val="heading 2"/>
    <w:basedOn w:val="Normal"/>
    <w:next w:val="Normal"/>
    <w:link w:val="Heading2Char"/>
    <w:qFormat/>
    <w:rsid w:val="00857836"/>
    <w:pPr>
      <w:numPr>
        <w:ilvl w:val="1"/>
        <w:numId w:val="3"/>
      </w:numPr>
      <w:ind w:left="567" w:hanging="567"/>
      <w:outlineLvl w:val="1"/>
    </w:pPr>
  </w:style>
  <w:style w:type="paragraph" w:styleId="Heading3">
    <w:name w:val="heading 3"/>
    <w:basedOn w:val="Normal"/>
    <w:next w:val="Normal"/>
    <w:link w:val="Heading3Char"/>
    <w:qFormat/>
    <w:rsid w:val="00857836"/>
    <w:pPr>
      <w:numPr>
        <w:ilvl w:val="2"/>
        <w:numId w:val="3"/>
      </w:numPr>
      <w:ind w:left="567" w:hanging="567"/>
      <w:outlineLvl w:val="2"/>
    </w:pPr>
  </w:style>
  <w:style w:type="paragraph" w:styleId="Heading4">
    <w:name w:val="heading 4"/>
    <w:basedOn w:val="Normal"/>
    <w:next w:val="Normal"/>
    <w:link w:val="Heading4Char"/>
    <w:qFormat/>
    <w:rsid w:val="00857836"/>
    <w:pPr>
      <w:numPr>
        <w:ilvl w:val="3"/>
        <w:numId w:val="3"/>
      </w:numPr>
      <w:ind w:left="567" w:hanging="567"/>
      <w:outlineLvl w:val="3"/>
    </w:pPr>
  </w:style>
  <w:style w:type="paragraph" w:styleId="Heading5">
    <w:name w:val="heading 5"/>
    <w:basedOn w:val="Normal"/>
    <w:next w:val="Normal"/>
    <w:link w:val="Heading5Char"/>
    <w:qFormat/>
    <w:rsid w:val="00857836"/>
    <w:pPr>
      <w:numPr>
        <w:ilvl w:val="4"/>
        <w:numId w:val="3"/>
      </w:numPr>
      <w:ind w:left="567" w:hanging="567"/>
      <w:outlineLvl w:val="4"/>
    </w:pPr>
  </w:style>
  <w:style w:type="paragraph" w:styleId="Heading6">
    <w:name w:val="heading 6"/>
    <w:basedOn w:val="Normal"/>
    <w:next w:val="Normal"/>
    <w:link w:val="Heading6Char"/>
    <w:qFormat/>
    <w:rsid w:val="00857836"/>
    <w:pPr>
      <w:numPr>
        <w:ilvl w:val="5"/>
        <w:numId w:val="3"/>
      </w:numPr>
      <w:ind w:left="567" w:hanging="567"/>
      <w:outlineLvl w:val="5"/>
    </w:pPr>
  </w:style>
  <w:style w:type="paragraph" w:styleId="Heading7">
    <w:name w:val="heading 7"/>
    <w:basedOn w:val="Normal"/>
    <w:next w:val="Normal"/>
    <w:link w:val="Heading7Char"/>
    <w:qFormat/>
    <w:rsid w:val="00857836"/>
    <w:pPr>
      <w:numPr>
        <w:ilvl w:val="6"/>
        <w:numId w:val="3"/>
      </w:numPr>
      <w:ind w:left="567" w:hanging="567"/>
      <w:outlineLvl w:val="6"/>
    </w:pPr>
  </w:style>
  <w:style w:type="paragraph" w:styleId="Heading8">
    <w:name w:val="heading 8"/>
    <w:basedOn w:val="Normal"/>
    <w:next w:val="Normal"/>
    <w:link w:val="Heading8Char"/>
    <w:qFormat/>
    <w:rsid w:val="00857836"/>
    <w:pPr>
      <w:numPr>
        <w:ilvl w:val="7"/>
        <w:numId w:val="3"/>
      </w:numPr>
      <w:ind w:left="567" w:hanging="567"/>
      <w:outlineLvl w:val="7"/>
    </w:pPr>
  </w:style>
  <w:style w:type="paragraph" w:styleId="Heading9">
    <w:name w:val="heading 9"/>
    <w:basedOn w:val="Normal"/>
    <w:next w:val="Normal"/>
    <w:link w:val="Heading9Char"/>
    <w:qFormat/>
    <w:rsid w:val="00857836"/>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E10"/>
    <w:pPr>
      <w:ind w:left="720"/>
      <w:contextualSpacing/>
    </w:pPr>
  </w:style>
  <w:style w:type="paragraph" w:styleId="FootnoteText">
    <w:name w:val="footnote text"/>
    <w:basedOn w:val="Normal"/>
    <w:link w:val="FootnoteTextChar"/>
    <w:qFormat/>
    <w:rsid w:val="00857836"/>
    <w:pPr>
      <w:keepLines/>
      <w:spacing w:after="60" w:line="240" w:lineRule="auto"/>
      <w:ind w:left="567" w:hanging="567"/>
    </w:pPr>
    <w:rPr>
      <w:sz w:val="16"/>
    </w:rPr>
  </w:style>
  <w:style w:type="character" w:customStyle="1" w:styleId="FootnoteTextChar">
    <w:name w:val="Footnote Text Char"/>
    <w:basedOn w:val="DefaultParagraphFont"/>
    <w:link w:val="FootnoteText"/>
    <w:rsid w:val="007A0BA0"/>
    <w:rPr>
      <w:rFonts w:ascii="Times New Roman" w:eastAsia="Times New Roman" w:hAnsi="Times New Roman" w:cs="Times New Roman"/>
      <w:sz w:val="16"/>
      <w:lang w:val="en-US"/>
    </w:rPr>
  </w:style>
  <w:style w:type="character" w:styleId="FootnoteReference">
    <w:name w:val="footnote reference"/>
    <w:basedOn w:val="DefaultParagraphFont"/>
    <w:unhideWhenUsed/>
    <w:qFormat/>
    <w:rsid w:val="00857836"/>
    <w:rPr>
      <w:sz w:val="24"/>
      <w:vertAlign w:val="superscript"/>
    </w:rPr>
  </w:style>
  <w:style w:type="paragraph" w:styleId="Header">
    <w:name w:val="header"/>
    <w:basedOn w:val="Normal"/>
    <w:link w:val="HeaderChar"/>
    <w:qFormat/>
    <w:rsid w:val="00857836"/>
  </w:style>
  <w:style w:type="character" w:customStyle="1" w:styleId="HeaderChar">
    <w:name w:val="Header Char"/>
    <w:basedOn w:val="DefaultParagraphFont"/>
    <w:link w:val="Header"/>
    <w:rsid w:val="000E00FE"/>
    <w:rPr>
      <w:rFonts w:ascii="Times New Roman" w:eastAsia="Times New Roman" w:hAnsi="Times New Roman" w:cs="Times New Roman"/>
      <w:lang w:val="en-US"/>
    </w:rPr>
  </w:style>
  <w:style w:type="paragraph" w:styleId="Footer">
    <w:name w:val="footer"/>
    <w:basedOn w:val="Normal"/>
    <w:link w:val="FooterChar"/>
    <w:qFormat/>
    <w:rsid w:val="00857836"/>
  </w:style>
  <w:style w:type="character" w:customStyle="1" w:styleId="FooterChar">
    <w:name w:val="Footer Char"/>
    <w:basedOn w:val="DefaultParagraphFont"/>
    <w:link w:val="Footer"/>
    <w:rsid w:val="000E00FE"/>
    <w:rPr>
      <w:rFonts w:ascii="Times New Roman" w:eastAsia="Times New Roman" w:hAnsi="Times New Roman" w:cs="Times New Roman"/>
      <w:lang w:val="en-US"/>
    </w:rPr>
  </w:style>
  <w:style w:type="character" w:customStyle="1" w:styleId="Heading1Char">
    <w:name w:val="Heading 1 Char"/>
    <w:basedOn w:val="DefaultParagraphFont"/>
    <w:link w:val="Heading1"/>
    <w:rsid w:val="0085783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57836"/>
    <w:rPr>
      <w:rFonts w:ascii="Times New Roman" w:eastAsia="Times New Roman" w:hAnsi="Times New Roman" w:cs="Times New Roman"/>
      <w:lang w:val="en-US"/>
    </w:rPr>
  </w:style>
  <w:style w:type="character" w:customStyle="1" w:styleId="Heading3Char">
    <w:name w:val="Heading 3 Char"/>
    <w:basedOn w:val="DefaultParagraphFont"/>
    <w:link w:val="Heading3"/>
    <w:rsid w:val="00857836"/>
    <w:rPr>
      <w:rFonts w:ascii="Times New Roman" w:eastAsia="Times New Roman" w:hAnsi="Times New Roman" w:cs="Times New Roman"/>
      <w:lang w:val="en-US"/>
    </w:rPr>
  </w:style>
  <w:style w:type="character" w:customStyle="1" w:styleId="Heading4Char">
    <w:name w:val="Heading 4 Char"/>
    <w:basedOn w:val="DefaultParagraphFont"/>
    <w:link w:val="Heading4"/>
    <w:rsid w:val="00857836"/>
    <w:rPr>
      <w:rFonts w:ascii="Times New Roman" w:eastAsia="Times New Roman" w:hAnsi="Times New Roman" w:cs="Times New Roman"/>
      <w:lang w:val="en-US"/>
    </w:rPr>
  </w:style>
  <w:style w:type="character" w:customStyle="1" w:styleId="Heading5Char">
    <w:name w:val="Heading 5 Char"/>
    <w:basedOn w:val="DefaultParagraphFont"/>
    <w:link w:val="Heading5"/>
    <w:rsid w:val="00857836"/>
    <w:rPr>
      <w:rFonts w:ascii="Times New Roman" w:eastAsia="Times New Roman" w:hAnsi="Times New Roman" w:cs="Times New Roman"/>
      <w:lang w:val="en-US"/>
    </w:rPr>
  </w:style>
  <w:style w:type="character" w:customStyle="1" w:styleId="Heading6Char">
    <w:name w:val="Heading 6 Char"/>
    <w:basedOn w:val="DefaultParagraphFont"/>
    <w:link w:val="Heading6"/>
    <w:rsid w:val="00857836"/>
    <w:rPr>
      <w:rFonts w:ascii="Times New Roman" w:eastAsia="Times New Roman" w:hAnsi="Times New Roman" w:cs="Times New Roman"/>
      <w:lang w:val="en-US"/>
    </w:rPr>
  </w:style>
  <w:style w:type="character" w:customStyle="1" w:styleId="Heading7Char">
    <w:name w:val="Heading 7 Char"/>
    <w:basedOn w:val="DefaultParagraphFont"/>
    <w:link w:val="Heading7"/>
    <w:rsid w:val="00857836"/>
    <w:rPr>
      <w:rFonts w:ascii="Times New Roman" w:eastAsia="Times New Roman" w:hAnsi="Times New Roman" w:cs="Times New Roman"/>
      <w:lang w:val="en-US"/>
    </w:rPr>
  </w:style>
  <w:style w:type="character" w:customStyle="1" w:styleId="Heading8Char">
    <w:name w:val="Heading 8 Char"/>
    <w:basedOn w:val="DefaultParagraphFont"/>
    <w:link w:val="Heading8"/>
    <w:rsid w:val="00857836"/>
    <w:rPr>
      <w:rFonts w:ascii="Times New Roman" w:eastAsia="Times New Roman" w:hAnsi="Times New Roman" w:cs="Times New Roman"/>
      <w:lang w:val="en-US"/>
    </w:rPr>
  </w:style>
  <w:style w:type="character" w:customStyle="1" w:styleId="Heading9Char">
    <w:name w:val="Heading 9 Char"/>
    <w:basedOn w:val="DefaultParagraphFont"/>
    <w:link w:val="Heading9"/>
    <w:rsid w:val="00857836"/>
    <w:rPr>
      <w:rFonts w:ascii="Times New Roman" w:eastAsia="Times New Roman" w:hAnsi="Times New Roman" w:cs="Times New Roman"/>
      <w:lang w:val="en-US"/>
    </w:rPr>
  </w:style>
  <w:style w:type="paragraph" w:customStyle="1" w:styleId="quotes">
    <w:name w:val="quotes"/>
    <w:basedOn w:val="Normal"/>
    <w:next w:val="Normal"/>
    <w:rsid w:val="008578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3XPXQ63Y2AW3-7-4711</_dlc_DocId>
    <_dlc_DocIdUrl xmlns="8835a8a4-5a07-4207-ac1e-223f88a8f7af">
      <Url>http://dm/EESC/2016/_layouts/DocIdRedir.aspx?ID=3XPXQ63Y2AW3-7-4711</Url>
      <Description>3XPXQ63Y2AW3-7-4711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2016-09-20T12:00:00+00:00</ProductionDate>
    <DocumentNumber xmlns="bd7587f5-5d05-4de0-b01a-b53d7118613b">4991</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20</Value>
      <Value>10</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10239</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5553F-75FC-428D-B327-217EDDED8159}">
  <ds:schemaRefs>
    <ds:schemaRef ds:uri="http://schemas.microsoft.com/sharepoint/events"/>
  </ds:schemaRefs>
</ds:datastoreItem>
</file>

<file path=customXml/itemProps2.xml><?xml version="1.0" encoding="utf-8"?>
<ds:datastoreItem xmlns:ds="http://schemas.openxmlformats.org/officeDocument/2006/customXml" ds:itemID="{991BADE9-3561-4D66-81C6-C15671ACF5BA}">
  <ds:schemaRefs>
    <ds:schemaRef ds:uri="http://schemas.microsoft.com/sharepoint/v3/contenttype/forms"/>
  </ds:schemaRefs>
</ds:datastoreItem>
</file>

<file path=customXml/itemProps3.xml><?xml version="1.0" encoding="utf-8"?>
<ds:datastoreItem xmlns:ds="http://schemas.openxmlformats.org/officeDocument/2006/customXml" ds:itemID="{12808E2A-3788-4E18-AFB3-C2A2E01F440B}">
  <ds:schemaRefs>
    <ds:schemaRef ds:uri="http://purl.org/dc/dcmitype/"/>
    <ds:schemaRef ds:uri="http://schemas.microsoft.com/sharepoint/v3/fields"/>
    <ds:schemaRef ds:uri="8835a8a4-5a07-4207-ac1e-223f88a8f7af"/>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bd7587f5-5d05-4de0-b01a-b53d7118613b"/>
    <ds:schemaRef ds:uri="http://www.w3.org/XML/1998/namespace"/>
  </ds:schemaRefs>
</ds:datastoreItem>
</file>

<file path=customXml/itemProps4.xml><?xml version="1.0" encoding="utf-8"?>
<ds:datastoreItem xmlns:ds="http://schemas.openxmlformats.org/officeDocument/2006/customXml" ds:itemID="{61D2B238-E71F-4A8D-B8AC-9CB24202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1832</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Study on coordination of social security systems between the EU and Euromed countries - executive summary</vt:lpstr>
      <vt:lpstr/>
    </vt:vector>
  </TitlesOfParts>
  <Company>Ministerio de Asuntos Exteriores y de Cooperación</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coordination of social security systems between the EU and Euromed countries - executive summary</dc:title>
  <dc:subject>Consultative work, various</dc:subject>
  <dc:creator>Carlos García de Cortazar</dc:creator>
  <cp:keywords>EESC-2016-04991-00-00-TCD-TRA-EN</cp:keywords>
  <dc:description>Rapporteur: -  Original language: - EN Date of document: - 20/09/2016 Date of meeting: -  External documents: -  Administrator responsible: -  FERNANDEZ ADMETLLA JAVIER</dc:description>
  <cp:lastModifiedBy>Samar Khanafer</cp:lastModifiedBy>
  <cp:revision>2</cp:revision>
  <dcterms:created xsi:type="dcterms:W3CDTF">2016-10-06T10:15:00Z</dcterms:created>
  <dcterms:modified xsi:type="dcterms:W3CDTF">2016-10-06T10:15:00Z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20/09/2016, 20/09/2016</vt:lpwstr>
  </property>
  <property fmtid="{D5CDD505-2E9C-101B-9397-08002B2CF9AE}" pid="4" name="Pref_Time">
    <vt:lpwstr>11:39:12, 11:14:32</vt:lpwstr>
  </property>
  <property fmtid="{D5CDD505-2E9C-101B-9397-08002B2CF9AE}" pid="5" name="Pref_User">
    <vt:lpwstr>enied, ssex</vt:lpwstr>
  </property>
  <property fmtid="{D5CDD505-2E9C-101B-9397-08002B2CF9AE}" pid="6" name="Pref_FileName">
    <vt:lpwstr>EESC-2016-04991-00-00-TCD-TRA-EN-CRR.docx, EESC-2016-04991-00-00-TCD-CRR-EN.docx</vt:lpwstr>
  </property>
  <property fmtid="{D5CDD505-2E9C-101B-9397-08002B2CF9AE}" pid="7" name="ContentTypeId">
    <vt:lpwstr>0x010100EA97B91038054C99906057A708A1480A0052D2E1C50FFCCA4DB10C28DB2B971CD9</vt:lpwstr>
  </property>
  <property fmtid="{D5CDD505-2E9C-101B-9397-08002B2CF9AE}" pid="8" name="_dlc_DocIdItemGuid">
    <vt:lpwstr>4121e1af-ab25-485c-9cc6-f9e114e523d8</vt:lpwstr>
  </property>
  <property fmtid="{D5CDD505-2E9C-101B-9397-08002B2CF9AE}" pid="9" name="DocumentType_0">
    <vt:lpwstr>TCD|cd9d6eb6-3f4f-424a-b2d1-57c9d450eaaf</vt:lpwstr>
  </property>
  <property fmtid="{D5CDD505-2E9C-101B-9397-08002B2CF9AE}" pid="10" name="AvailableTranslations">
    <vt:lpwstr>4;#FR|d2afafd3-4c81-4f60-8f52-ee33f2f54ff3;#28;#ES|e7a6b05b-ae16-40c8-add9-68b64b03aeba;#10;#EN|f2175f21-25d7-44a3-96da-d6a61b075e1b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4991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10;#EN|f2175f21-25d7-44a3-96da-d6a61b075e1b;#20;#TCD|cd9d6eb6-3f4f-424a-b2d1-57c9d450eaaf;#6;#Final|ea5e6674-7b27-4bac-b091-73adbb394efe;#5;#Unrestricted|826e22d7-d029-4ec0-a450-0c28ff673572;#2;#TRA|150d2a88-1431-44e6-a8ca-0bb753ab8672;#1;#EESC|422833ec-8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10239</vt:i4>
  </property>
  <property fmtid="{D5CDD505-2E9C-101B-9397-08002B2CF9AE}" pid="34" name="DocumentYear">
    <vt:i4>2016</vt:i4>
  </property>
  <property fmtid="{D5CDD505-2E9C-101B-9397-08002B2CF9AE}" pid="35" name="DocumentLanguage">
    <vt:lpwstr>10;#EN|f2175f21-25d7-44a3-96da-d6a61b075e1b</vt:lpwstr>
  </property>
</Properties>
</file>