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A20DF9" w:rsidRDefault="00CA2C5C" w:rsidP="007F385B">
      <w:pPr>
        <w:ind w:left="-993"/>
        <w:jc w:val="center"/>
      </w:pPr>
      <w:r w:rsidRPr="00A20DF9">
        <w:rPr>
          <w:noProof/>
          <w:lang w:val="en-US" w:eastAsia="en-US" w:bidi="ar-SA"/>
        </w:rPr>
        <w:drawing>
          <wp:inline distT="0" distB="0" distL="0" distR="0" wp14:anchorId="76ECD478" wp14:editId="769FFD3F">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A20DF9">
        <w:trPr>
          <w:cantSplit/>
        </w:trPr>
        <w:tc>
          <w:tcPr>
            <w:tcW w:w="5168" w:type="dxa"/>
          </w:tcPr>
          <w:p w:rsidR="0070012D" w:rsidRPr="00A20DF9" w:rsidRDefault="0081486D" w:rsidP="00C3085E">
            <w:pPr>
              <w:spacing w:line="240" w:lineRule="auto"/>
              <w:rPr>
                <w:rFonts w:ascii="Verdana" w:hAnsi="Verdana"/>
                <w:b/>
                <w:bCs/>
                <w:sz w:val="20"/>
              </w:rPr>
            </w:pPr>
            <w:r w:rsidRPr="00A20DF9">
              <w:rPr>
                <w:rFonts w:ascii="Verdana" w:hAnsi="Verdana"/>
                <w:b/>
                <w:sz w:val="20"/>
              </w:rPr>
              <w:t>COMMUNIQUÉ DE PRESSE N° 30/2016</w:t>
            </w:r>
          </w:p>
        </w:tc>
        <w:tc>
          <w:tcPr>
            <w:tcW w:w="4119" w:type="dxa"/>
          </w:tcPr>
          <w:p w:rsidR="008820BE" w:rsidRPr="00A20DF9" w:rsidRDefault="001F729B" w:rsidP="001F729B">
            <w:pPr>
              <w:spacing w:line="240" w:lineRule="auto"/>
              <w:jc w:val="right"/>
              <w:rPr>
                <w:rFonts w:ascii="Verdana" w:hAnsi="Verdana"/>
                <w:b/>
                <w:bCs/>
                <w:sz w:val="20"/>
              </w:rPr>
            </w:pPr>
            <w:r w:rsidRPr="00A20DF9">
              <w:rPr>
                <w:rFonts w:ascii="Verdana" w:hAnsi="Verdana"/>
                <w:b/>
                <w:sz w:val="20"/>
              </w:rPr>
              <w:t>28 avril 2016</w:t>
            </w:r>
          </w:p>
        </w:tc>
      </w:tr>
    </w:tbl>
    <w:p w:rsidR="008820BE" w:rsidRPr="00A20DF9" w:rsidRDefault="00CA2C5C" w:rsidP="00473E94">
      <w:pPr>
        <w:spacing w:line="240" w:lineRule="auto"/>
        <w:rPr>
          <w:rFonts w:ascii="Verdana" w:hAnsi="Verdana"/>
          <w:sz w:val="20"/>
        </w:rPr>
        <w:sectPr w:rsidR="008820BE" w:rsidRPr="00A20DF9" w:rsidSect="00D93A6F">
          <w:footerReference w:type="default" r:id="rId15"/>
          <w:pgSz w:w="11907" w:h="16839" w:code="9"/>
          <w:pgMar w:top="426" w:right="1418" w:bottom="1418" w:left="1418" w:header="3062" w:footer="118" w:gutter="0"/>
          <w:cols w:space="720"/>
          <w:docGrid w:linePitch="299"/>
        </w:sectPr>
      </w:pPr>
      <w:r w:rsidRPr="00A20DF9">
        <w:rPr>
          <w:noProof/>
          <w:lang w:val="en-US" w:eastAsia="en-US" w:bidi="ar-SA"/>
        </w:rPr>
        <mc:AlternateContent>
          <mc:Choice Requires="wps">
            <w:drawing>
              <wp:anchor distT="0" distB="0" distL="114300" distR="114300" simplePos="0" relativeHeight="251657728" behindDoc="1" locked="0" layoutInCell="0" allowOverlap="1" wp14:anchorId="72C34B40" wp14:editId="492ACFB5">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FR</w:t>
                      </w:r>
                    </w:p>
                  </w:txbxContent>
                </v:textbox>
                <w10:wrap anchorx="page" anchory="page"/>
              </v:shape>
            </w:pict>
          </mc:Fallback>
        </mc:AlternateContent>
      </w:r>
    </w:p>
    <w:p w:rsidR="00A62B8A" w:rsidRPr="00A20DF9" w:rsidRDefault="00A62B8A" w:rsidP="003532CC">
      <w:pPr>
        <w:jc w:val="center"/>
        <w:rPr>
          <w:rFonts w:ascii="Verdana" w:hAnsi="Verdana"/>
          <w:b/>
          <w:sz w:val="18"/>
          <w:szCs w:val="18"/>
        </w:rPr>
      </w:pPr>
    </w:p>
    <w:p w:rsidR="009E4D66" w:rsidRPr="00A20DF9" w:rsidRDefault="009E4D66" w:rsidP="009E4D66">
      <w:pPr>
        <w:overflowPunct/>
        <w:autoSpaceDE/>
        <w:autoSpaceDN/>
        <w:adjustRightInd/>
        <w:ind w:right="-1"/>
        <w:jc w:val="center"/>
        <w:textAlignment w:val="auto"/>
        <w:rPr>
          <w:rFonts w:ascii="Verdana" w:hAnsi="Verdana"/>
          <w:b/>
          <w:sz w:val="28"/>
          <w:szCs w:val="28"/>
        </w:rPr>
      </w:pPr>
      <w:r w:rsidRPr="00A20DF9">
        <w:rPr>
          <w:rFonts w:ascii="Verdana" w:hAnsi="Verdana"/>
          <w:b/>
          <w:sz w:val="28"/>
        </w:rPr>
        <w:t xml:space="preserve">Les citoyens européens </w:t>
      </w:r>
      <w:r w:rsidR="00C178CB" w:rsidRPr="00A20DF9">
        <w:rPr>
          <w:rFonts w:ascii="Verdana" w:hAnsi="Verdana"/>
          <w:b/>
          <w:sz w:val="28"/>
        </w:rPr>
        <w:br/>
      </w:r>
      <w:r w:rsidRPr="00A20DF9">
        <w:rPr>
          <w:rFonts w:ascii="Verdana" w:hAnsi="Verdana"/>
          <w:b/>
          <w:sz w:val="28"/>
        </w:rPr>
        <w:t>payent la facture de l’évasion fiscale</w:t>
      </w:r>
    </w:p>
    <w:p w:rsidR="0081486D" w:rsidRPr="00A20DF9" w:rsidRDefault="0081486D" w:rsidP="009E4D66">
      <w:pPr>
        <w:overflowPunct/>
        <w:autoSpaceDE/>
        <w:autoSpaceDN/>
        <w:adjustRightInd/>
        <w:ind w:right="-1"/>
        <w:jc w:val="center"/>
        <w:textAlignment w:val="auto"/>
        <w:rPr>
          <w:rFonts w:ascii="Verdana" w:hAnsi="Verdana"/>
          <w:b/>
          <w:sz w:val="24"/>
          <w:szCs w:val="24"/>
        </w:rPr>
      </w:pPr>
    </w:p>
    <w:p w:rsidR="009E4D66" w:rsidRPr="00A20DF9" w:rsidRDefault="009E4D66" w:rsidP="00A253E5">
      <w:pPr>
        <w:overflowPunct/>
        <w:autoSpaceDE/>
        <w:autoSpaceDN/>
        <w:adjustRightInd/>
        <w:ind w:right="-1"/>
        <w:textAlignment w:val="auto"/>
        <w:rPr>
          <w:rFonts w:ascii="Verdana" w:hAnsi="Verdana"/>
          <w:b/>
          <w:sz w:val="18"/>
          <w:szCs w:val="18"/>
        </w:rPr>
      </w:pPr>
      <w:r w:rsidRPr="00A20DF9">
        <w:rPr>
          <w:rFonts w:ascii="Verdana" w:hAnsi="Verdana"/>
          <w:b/>
          <w:sz w:val="18"/>
        </w:rPr>
        <w:t xml:space="preserve">Dans son </w:t>
      </w:r>
      <w:hyperlink r:id="rId16">
        <w:r w:rsidRPr="00A20DF9">
          <w:rPr>
            <w:rStyle w:val="Hyperlink"/>
            <w:rFonts w:ascii="Verdana" w:hAnsi="Verdana"/>
            <w:b/>
            <w:sz w:val="18"/>
          </w:rPr>
          <w:t>avis</w:t>
        </w:r>
      </w:hyperlink>
      <w:r w:rsidRPr="00A20DF9">
        <w:t xml:space="preserve"> </w:t>
      </w:r>
      <w:r w:rsidRPr="00A20DF9">
        <w:rPr>
          <w:rFonts w:ascii="Verdana" w:hAnsi="Verdana"/>
          <w:b/>
          <w:sz w:val="18"/>
        </w:rPr>
        <w:t>adopté aujourd’hui en session plénière, le CESE appelle à une mise en œuvre rapide et uniforme du train de mesures sur la lutte contre l’évasion fiscale.</w:t>
      </w:r>
    </w:p>
    <w:p w:rsidR="004A60E3" w:rsidRPr="00A20DF9" w:rsidRDefault="009E4D66" w:rsidP="009E4D66">
      <w:pPr>
        <w:overflowPunct/>
        <w:autoSpaceDE/>
        <w:autoSpaceDN/>
        <w:adjustRightInd/>
        <w:spacing w:line="276" w:lineRule="auto"/>
        <w:ind w:right="-1"/>
        <w:textAlignment w:val="auto"/>
        <w:rPr>
          <w:rFonts w:ascii="Verdana" w:hAnsi="Verdana"/>
          <w:b/>
          <w:sz w:val="18"/>
          <w:szCs w:val="18"/>
        </w:rPr>
      </w:pPr>
      <w:r w:rsidRPr="00A20DF9">
        <w:rPr>
          <w:rFonts w:ascii="Verdana" w:hAnsi="Verdana"/>
          <w:b/>
          <w:sz w:val="18"/>
        </w:rPr>
        <w:t>La planification fiscale agressive, une pratique utilisée en particulier par certaines multinationales, érode les bases d’imposition dans les États me</w:t>
      </w:r>
      <w:r w:rsidR="00A253E5" w:rsidRPr="00A20DF9">
        <w:rPr>
          <w:rFonts w:ascii="Verdana" w:hAnsi="Verdana"/>
          <w:b/>
          <w:sz w:val="18"/>
        </w:rPr>
        <w:t>mbres de l’UE à hauteur de 50 </w:t>
      </w:r>
      <w:r w:rsidRPr="00A20DF9">
        <w:rPr>
          <w:rFonts w:ascii="Verdana" w:hAnsi="Verdana"/>
          <w:b/>
          <w:sz w:val="18"/>
        </w:rPr>
        <w:t>à 70</w:t>
      </w:r>
      <w:r w:rsidR="00A253E5" w:rsidRPr="00A20DF9">
        <w:rPr>
          <w:rFonts w:ascii="Verdana" w:hAnsi="Verdana"/>
          <w:b/>
          <w:sz w:val="18"/>
        </w:rPr>
        <w:t> </w:t>
      </w:r>
      <w:r w:rsidRPr="00A20DF9">
        <w:rPr>
          <w:rFonts w:ascii="Verdana" w:hAnsi="Verdana"/>
          <w:b/>
          <w:sz w:val="18"/>
        </w:rPr>
        <w:t>milliards d’euros par an. L’Union européenne a finalement décidé de mettre un coup d’arrêt à cette pratique qui, souvent, est même perçue comme «légitime» par les fraudeurs à l'impôt. Le CESE soutient fermement la proposition de l’Union européenne d’établir des règles contre l’évasion fiscale. Toutefois, il appelle à plus de sévérité envers les fraudeurs, tout en sauvegardant la compétitivité de l’UE grâce à d’intenses négociations</w:t>
      </w:r>
      <w:r w:rsidR="00A253E5" w:rsidRPr="00A20DF9">
        <w:rPr>
          <w:rFonts w:ascii="Verdana" w:hAnsi="Verdana"/>
          <w:b/>
          <w:sz w:val="18"/>
        </w:rPr>
        <w:t xml:space="preserve"> au niveau de l’OCDE et du G20.</w:t>
      </w:r>
    </w:p>
    <w:p w:rsidR="004A60E3" w:rsidRPr="00A20DF9" w:rsidRDefault="004A60E3" w:rsidP="009E4D66">
      <w:pPr>
        <w:overflowPunct/>
        <w:autoSpaceDE/>
        <w:autoSpaceDN/>
        <w:adjustRightInd/>
        <w:spacing w:line="276" w:lineRule="auto"/>
        <w:ind w:right="-1"/>
        <w:textAlignment w:val="auto"/>
        <w:rPr>
          <w:rFonts w:ascii="Verdana" w:hAnsi="Verdana"/>
          <w:b/>
          <w:sz w:val="18"/>
          <w:szCs w:val="18"/>
        </w:rPr>
      </w:pPr>
    </w:p>
    <w:p w:rsidR="009E4D66" w:rsidRPr="00A20DF9" w:rsidRDefault="009E4D66" w:rsidP="009E4D66">
      <w:pPr>
        <w:overflowPunct/>
        <w:autoSpaceDE/>
        <w:autoSpaceDN/>
        <w:adjustRightInd/>
        <w:spacing w:line="276" w:lineRule="auto"/>
        <w:ind w:right="-1"/>
        <w:textAlignment w:val="auto"/>
        <w:rPr>
          <w:rFonts w:ascii="Verdana" w:hAnsi="Verdana"/>
          <w:sz w:val="18"/>
          <w:szCs w:val="18"/>
        </w:rPr>
      </w:pPr>
      <w:r w:rsidRPr="00A20DF9">
        <w:t>«</w:t>
      </w:r>
      <w:r w:rsidRPr="00A20DF9">
        <w:rPr>
          <w:rFonts w:ascii="Verdana" w:hAnsi="Verdana"/>
          <w:i/>
          <w:sz w:val="18"/>
        </w:rPr>
        <w:t xml:space="preserve">L’évasion fiscale est un délit, préjudiciable à toutes nos sociétés», a déclaré </w:t>
      </w:r>
      <w:hyperlink r:id="rId17">
        <w:r w:rsidRPr="00A20DF9">
          <w:rPr>
            <w:rFonts w:ascii="Verdana" w:hAnsi="Verdana"/>
            <w:color w:val="0000FF"/>
            <w:sz w:val="18"/>
            <w:u w:val="single"/>
          </w:rPr>
          <w:t>Petru Sorin Dandea</w:t>
        </w:r>
      </w:hyperlink>
      <w:r w:rsidRPr="00A20DF9">
        <w:rPr>
          <w:rFonts w:ascii="Verdana" w:hAnsi="Verdana"/>
          <w:sz w:val="18"/>
        </w:rPr>
        <w:t>, rapporteur de l’avis sur le train de mesures pour la lutte contre l’évasion fiscale.</w:t>
      </w:r>
    </w:p>
    <w:p w:rsidR="009E4D66" w:rsidRPr="00A20DF9" w:rsidRDefault="004A60E3" w:rsidP="009E4D66">
      <w:pPr>
        <w:overflowPunct/>
        <w:autoSpaceDE/>
        <w:autoSpaceDN/>
        <w:adjustRightInd/>
        <w:spacing w:line="276" w:lineRule="auto"/>
        <w:ind w:right="-1"/>
        <w:textAlignment w:val="auto"/>
        <w:rPr>
          <w:rFonts w:ascii="Verdana" w:hAnsi="Verdana"/>
          <w:sz w:val="18"/>
          <w:szCs w:val="18"/>
        </w:rPr>
      </w:pPr>
      <w:r w:rsidRPr="00A20DF9">
        <w:rPr>
          <w:rFonts w:ascii="Verdana" w:hAnsi="Verdana"/>
          <w:sz w:val="18"/>
        </w:rPr>
        <w:t>Le CESE propose une mise en œuvre uniforme des règles, conformément au plan d’action de l’OCDE concernant l’érosion fiscale et le transfert de bénéfices, qui est également suivi par d’autres partenaires internationaux dans l’ensemble des États membres. En outre, il invite instamment la Commission et les États membres à intensifier les négociations internationales dans le cadre d'institutions telles que l'OCDE ou le G20, afin de garantir une mise en œuvre uniforme au niveau de l'OCDE, y compris aux États-Unis et dans d’autres juridictions économiques importantes. Nous devrions aussi réfléchir aux moyens d’appliquer les règles proposées aux entreprises financières également.</w:t>
      </w:r>
    </w:p>
    <w:p w:rsidR="009E4D66" w:rsidRPr="00A20DF9" w:rsidRDefault="009E4D66" w:rsidP="009E4D66">
      <w:pPr>
        <w:overflowPunct/>
        <w:autoSpaceDE/>
        <w:autoSpaceDN/>
        <w:adjustRightInd/>
        <w:spacing w:line="276" w:lineRule="auto"/>
        <w:ind w:right="-1"/>
        <w:textAlignment w:val="auto"/>
        <w:rPr>
          <w:rFonts w:ascii="Verdana" w:hAnsi="Verdana"/>
          <w:sz w:val="18"/>
          <w:szCs w:val="18"/>
        </w:rPr>
      </w:pPr>
    </w:p>
    <w:p w:rsidR="009E4D66" w:rsidRPr="00A20DF9" w:rsidRDefault="009E4D66" w:rsidP="009E4D66">
      <w:pPr>
        <w:overflowPunct/>
        <w:autoSpaceDE/>
        <w:autoSpaceDN/>
        <w:adjustRightInd/>
        <w:spacing w:line="276" w:lineRule="auto"/>
        <w:ind w:right="-1"/>
        <w:textAlignment w:val="auto"/>
        <w:rPr>
          <w:rFonts w:ascii="Verdana" w:hAnsi="Verdana"/>
          <w:sz w:val="18"/>
          <w:szCs w:val="18"/>
        </w:rPr>
      </w:pPr>
      <w:r w:rsidRPr="00A20DF9">
        <w:rPr>
          <w:rFonts w:ascii="Verdana" w:hAnsi="Verdana"/>
          <w:i/>
          <w:sz w:val="18"/>
        </w:rPr>
        <w:t>«Les impôts sont un instrument important qui permet aux États membres de compenser les inégalités dans notre société. Nous en avons besoin pour les infrastructures, l’éducation et l’aide aux personnes dans le besoin. Par conséquent, l’évasion fiscale ne peut être considérée comme une peccadille car elle revient en vérité à voler l’État et, au bout du compte, la société», a déclaré M. Dandea.</w:t>
      </w:r>
      <w:r w:rsidRPr="00A20DF9">
        <w:rPr>
          <w:rFonts w:ascii="Verdana" w:hAnsi="Verdana"/>
          <w:sz w:val="18"/>
        </w:rPr>
        <w:t xml:space="preserve"> </w:t>
      </w:r>
    </w:p>
    <w:p w:rsidR="009E4D66" w:rsidRPr="00A20DF9" w:rsidRDefault="009E4D66" w:rsidP="009E4D66">
      <w:pPr>
        <w:overflowPunct/>
        <w:autoSpaceDE/>
        <w:autoSpaceDN/>
        <w:adjustRightInd/>
        <w:spacing w:line="276" w:lineRule="auto"/>
        <w:ind w:right="-1"/>
        <w:textAlignment w:val="auto"/>
        <w:rPr>
          <w:rFonts w:ascii="Verdana" w:hAnsi="Verdana"/>
          <w:sz w:val="18"/>
          <w:szCs w:val="18"/>
        </w:rPr>
      </w:pPr>
    </w:p>
    <w:p w:rsidR="009E4D66" w:rsidRPr="00A20DF9" w:rsidRDefault="009E4D66" w:rsidP="009E4D66">
      <w:pPr>
        <w:overflowPunct/>
        <w:autoSpaceDE/>
        <w:autoSpaceDN/>
        <w:adjustRightInd/>
        <w:spacing w:line="276" w:lineRule="auto"/>
        <w:ind w:right="-1"/>
        <w:textAlignment w:val="auto"/>
        <w:rPr>
          <w:rFonts w:ascii="Verdana" w:hAnsi="Verdana"/>
          <w:sz w:val="18"/>
          <w:szCs w:val="18"/>
        </w:rPr>
      </w:pPr>
      <w:r w:rsidRPr="00A20DF9">
        <w:rPr>
          <w:rFonts w:ascii="Verdana" w:hAnsi="Verdana"/>
          <w:sz w:val="18"/>
        </w:rPr>
        <w:t>Le CESE recommande en outre que la clause de passage de l'exonération au crédit d'impôt («switch-over»), en vertu de laquelle un contribuable d'un État membre n'est pas exonéré de l'impôt sur les revenus générés dans des pays tiers, soit appliquée directement à tous les contribuables qui ont généré des revenus dans des juridictions reconnues comme étant des paradis fiscaux.</w:t>
      </w:r>
    </w:p>
    <w:p w:rsidR="009E4D66" w:rsidRPr="00A20DF9" w:rsidRDefault="009E4D66" w:rsidP="009E4D66">
      <w:pPr>
        <w:overflowPunct/>
        <w:autoSpaceDE/>
        <w:autoSpaceDN/>
        <w:adjustRightInd/>
        <w:spacing w:line="276" w:lineRule="auto"/>
        <w:ind w:right="-1"/>
        <w:textAlignment w:val="auto"/>
        <w:rPr>
          <w:rFonts w:ascii="Verdana" w:hAnsi="Verdana"/>
          <w:sz w:val="18"/>
          <w:szCs w:val="18"/>
        </w:rPr>
      </w:pPr>
    </w:p>
    <w:p w:rsidR="009E4D66" w:rsidRPr="00A20DF9" w:rsidRDefault="009E4D66" w:rsidP="009E4D66">
      <w:pPr>
        <w:overflowPunct/>
        <w:autoSpaceDE/>
        <w:autoSpaceDN/>
        <w:adjustRightInd/>
        <w:spacing w:line="276" w:lineRule="auto"/>
        <w:ind w:right="-1"/>
        <w:textAlignment w:val="auto"/>
        <w:rPr>
          <w:rFonts w:ascii="Verdana" w:hAnsi="Verdana"/>
          <w:sz w:val="18"/>
          <w:szCs w:val="18"/>
        </w:rPr>
      </w:pPr>
      <w:r w:rsidRPr="00A20DF9">
        <w:rPr>
          <w:rFonts w:ascii="Verdana" w:hAnsi="Verdana"/>
          <w:sz w:val="18"/>
        </w:rPr>
        <w:t xml:space="preserve">Le CESE invite également la Commission à inclure dans sa directive l’exigence selon laquelle les États membres doivent divulguer les données présentées dans les déclarations qui seront soumises à l’échange automatique d’informations. Dans le même temps, il considère que ces déclarations ne devraient pas être imposées aux PME, sur lesquelles cette obligation aurait une incidence disproportionnée en termes de coûts. </w:t>
      </w:r>
      <w:r w:rsidRPr="00A20DF9">
        <w:rPr>
          <w:rFonts w:ascii="Verdana" w:hAnsi="Verdana"/>
          <w:i/>
          <w:sz w:val="18"/>
        </w:rPr>
        <w:t xml:space="preserve">«Les PME sont les piliers des économies des États membres de l’UE. Elles ont l’habitude de payer leurs impôts et ne disposent pas des possibilités ni des outils pour l’évasion fiscale. Nous devons éviter de leur imposer une charge administrative supplémentaire, car l’impact sur les coûts serait disproportionné», a déclaré le corapporteur </w:t>
      </w:r>
      <w:hyperlink r:id="rId18">
        <w:r w:rsidRPr="00A20DF9">
          <w:rPr>
            <w:rFonts w:ascii="Verdana" w:hAnsi="Verdana"/>
            <w:color w:val="0000FF"/>
            <w:sz w:val="18"/>
            <w:u w:val="single"/>
          </w:rPr>
          <w:t>Roger Barker</w:t>
        </w:r>
      </w:hyperlink>
      <w:r w:rsidRPr="00A20DF9">
        <w:rPr>
          <w:rFonts w:ascii="Verdana" w:hAnsi="Verdana"/>
          <w:sz w:val="18"/>
        </w:rPr>
        <w:t>.</w:t>
      </w:r>
    </w:p>
    <w:p w:rsidR="009E4D66" w:rsidRPr="00A20DF9" w:rsidRDefault="009E4D66" w:rsidP="009E4D66">
      <w:pPr>
        <w:overflowPunct/>
        <w:autoSpaceDE/>
        <w:autoSpaceDN/>
        <w:adjustRightInd/>
        <w:spacing w:line="276" w:lineRule="auto"/>
        <w:ind w:right="-1"/>
        <w:textAlignment w:val="auto"/>
        <w:rPr>
          <w:rFonts w:ascii="Verdana" w:hAnsi="Verdana"/>
          <w:sz w:val="18"/>
          <w:szCs w:val="18"/>
        </w:rPr>
      </w:pPr>
    </w:p>
    <w:p w:rsidR="0034670B" w:rsidRPr="00A20DF9" w:rsidRDefault="009E4D66" w:rsidP="009E4D66">
      <w:pPr>
        <w:spacing w:line="276" w:lineRule="auto"/>
        <w:ind w:right="-1"/>
        <w:rPr>
          <w:rFonts w:ascii="Verdana" w:hAnsi="Verdana"/>
          <w:sz w:val="18"/>
          <w:szCs w:val="18"/>
        </w:rPr>
      </w:pPr>
      <w:r w:rsidRPr="00A20DF9">
        <w:rPr>
          <w:rFonts w:ascii="Verdana" w:hAnsi="Verdana"/>
          <w:sz w:val="18"/>
        </w:rPr>
        <w:t xml:space="preserve">Il convient d'établir un classement des pays et régions qui refusent d’appliquer les normes de bonne gouvernance dans le domaine fiscal. Compte tenu du préjudice causé par la planification fiscale agressive à la base d'imposition des États membres, le CESE plaide pour une mise en œuvre de la directive dans un délai plus court que celui de trois ans actuellement prévu, qu’il juge excessif. </w:t>
      </w:r>
    </w:p>
    <w:p w:rsidR="009D02B8" w:rsidRPr="00A20DF9" w:rsidRDefault="009D02B8" w:rsidP="0034670B">
      <w:pPr>
        <w:spacing w:line="276" w:lineRule="auto"/>
        <w:ind w:left="-284" w:right="-427" w:firstLine="284"/>
        <w:rPr>
          <w:rFonts w:ascii="Verdana" w:hAnsi="Verdana"/>
          <w:sz w:val="18"/>
          <w:szCs w:val="18"/>
        </w:rPr>
      </w:pPr>
    </w:p>
    <w:p w:rsidR="001F4A23" w:rsidRPr="00A20DF9" w:rsidRDefault="001F4A23" w:rsidP="00E00727">
      <w:pPr>
        <w:spacing w:line="276" w:lineRule="auto"/>
        <w:rPr>
          <w:rFonts w:ascii="Verdana" w:hAnsi="Verdana"/>
          <w:sz w:val="18"/>
          <w:szCs w:val="18"/>
        </w:rPr>
      </w:pPr>
    </w:p>
    <w:p w:rsidR="003532CC" w:rsidRPr="00A20DF9" w:rsidRDefault="003532CC" w:rsidP="0081486D">
      <w:pPr>
        <w:keepNext/>
        <w:jc w:val="center"/>
        <w:rPr>
          <w:rFonts w:ascii="Verdana" w:hAnsi="Verdana"/>
          <w:b/>
          <w:sz w:val="18"/>
          <w:szCs w:val="18"/>
        </w:rPr>
      </w:pPr>
      <w:r w:rsidRPr="00A20DF9">
        <w:rPr>
          <w:rFonts w:ascii="Verdana" w:hAnsi="Verdana"/>
          <w:b/>
          <w:sz w:val="18"/>
        </w:rPr>
        <w:t xml:space="preserve">Pour de plus amples informations, veuillez contacter: </w:t>
      </w:r>
    </w:p>
    <w:p w:rsidR="00FF5CA0" w:rsidRPr="00A20DF9" w:rsidRDefault="004A60E3" w:rsidP="0081486D">
      <w:pPr>
        <w:keepNext/>
        <w:overflowPunct/>
        <w:autoSpaceDE/>
        <w:autoSpaceDN/>
        <w:adjustRightInd/>
        <w:spacing w:line="240" w:lineRule="auto"/>
        <w:jc w:val="center"/>
        <w:textAlignment w:val="auto"/>
        <w:rPr>
          <w:rFonts w:ascii="Verdana" w:eastAsia="PMingLiU" w:hAnsi="Verdana"/>
          <w:sz w:val="18"/>
          <w:szCs w:val="18"/>
        </w:rPr>
      </w:pPr>
      <w:r w:rsidRPr="00A20DF9">
        <w:rPr>
          <w:rFonts w:ascii="Verdana" w:hAnsi="Verdana"/>
          <w:sz w:val="18"/>
        </w:rPr>
        <w:t>M</w:t>
      </w:r>
      <w:r w:rsidRPr="00A20DF9">
        <w:rPr>
          <w:rFonts w:ascii="Verdana" w:hAnsi="Verdana"/>
          <w:sz w:val="18"/>
          <w:vertAlign w:val="superscript"/>
        </w:rPr>
        <w:t>me</w:t>
      </w:r>
      <w:r w:rsidRPr="00A20DF9">
        <w:rPr>
          <w:rFonts w:ascii="Verdana" w:hAnsi="Verdana"/>
          <w:sz w:val="18"/>
        </w:rPr>
        <w:t> Caroline Alibert-Deprez</w:t>
      </w:r>
    </w:p>
    <w:p w:rsidR="003532CC" w:rsidRPr="00A20DF9" w:rsidRDefault="003532CC" w:rsidP="0081486D">
      <w:pPr>
        <w:keepNext/>
        <w:overflowPunct/>
        <w:autoSpaceDE/>
        <w:autoSpaceDN/>
        <w:adjustRightInd/>
        <w:spacing w:line="240" w:lineRule="auto"/>
        <w:jc w:val="center"/>
        <w:textAlignment w:val="auto"/>
        <w:rPr>
          <w:rFonts w:ascii="Verdana" w:eastAsia="PMingLiU" w:hAnsi="Verdana"/>
          <w:sz w:val="18"/>
          <w:szCs w:val="18"/>
        </w:rPr>
      </w:pPr>
      <w:r w:rsidRPr="00A20DF9">
        <w:rPr>
          <w:rFonts w:ascii="Verdana" w:hAnsi="Verdana"/>
          <w:sz w:val="18"/>
        </w:rPr>
        <w:t>Courriel: press@eesc.europa.eu</w:t>
      </w:r>
    </w:p>
    <w:p w:rsidR="00325F72" w:rsidRPr="00A20DF9" w:rsidRDefault="003532CC" w:rsidP="0081486D">
      <w:pPr>
        <w:keepNext/>
        <w:spacing w:line="240" w:lineRule="auto"/>
        <w:jc w:val="center"/>
        <w:rPr>
          <w:rFonts w:ascii="Verdana" w:eastAsia="PMingLiU" w:hAnsi="Verdana"/>
          <w:sz w:val="18"/>
          <w:szCs w:val="18"/>
        </w:rPr>
      </w:pPr>
      <w:r w:rsidRPr="00A20DF9">
        <w:rPr>
          <w:rFonts w:ascii="Verdana" w:hAnsi="Verdana"/>
          <w:sz w:val="18"/>
        </w:rPr>
        <w:t>Tél.: +32 2 546 9406</w:t>
      </w:r>
    </w:p>
    <w:p w:rsidR="00DB2340" w:rsidRPr="00A20DF9" w:rsidRDefault="00BA6EEC" w:rsidP="0081486D">
      <w:pPr>
        <w:keepNext/>
        <w:spacing w:line="240" w:lineRule="auto"/>
        <w:jc w:val="center"/>
        <w:rPr>
          <w:rFonts w:ascii="Verdana" w:eastAsia="PMingLiU" w:hAnsi="Verdana"/>
          <w:b/>
          <w:sz w:val="16"/>
          <w:szCs w:val="16"/>
        </w:rPr>
      </w:pPr>
      <w:r w:rsidRPr="00A20DF9">
        <w:rPr>
          <w:rFonts w:ascii="Verdana" w:hAnsi="Verdana"/>
          <w:b/>
          <w:sz w:val="16"/>
        </w:rPr>
        <w:t>@EESC_PRESS</w:t>
      </w:r>
    </w:p>
    <w:p w:rsidR="0086606E" w:rsidRPr="00A20DF9" w:rsidRDefault="0086606E" w:rsidP="0081486D">
      <w:pPr>
        <w:keepNext/>
        <w:spacing w:line="240" w:lineRule="auto"/>
        <w:jc w:val="center"/>
        <w:rPr>
          <w:rFonts w:ascii="Verdana" w:eastAsia="PMingLiU" w:hAnsi="Verdana"/>
          <w:sz w:val="16"/>
          <w:szCs w:val="16"/>
        </w:rPr>
      </w:pPr>
    </w:p>
    <w:p w:rsidR="0043687E" w:rsidRPr="00A20DF9" w:rsidRDefault="0043687E" w:rsidP="0081486D">
      <w:pPr>
        <w:keepNext/>
        <w:spacing w:line="240" w:lineRule="auto"/>
        <w:jc w:val="center"/>
        <w:rPr>
          <w:rFonts w:ascii="Verdana" w:eastAsia="PMingLiU" w:hAnsi="Verdana"/>
          <w:sz w:val="16"/>
          <w:szCs w:val="16"/>
        </w:rPr>
      </w:pPr>
    </w:p>
    <w:p w:rsidR="00C1739B" w:rsidRPr="00A20DF9" w:rsidRDefault="00C1739B" w:rsidP="0081486D">
      <w:pPr>
        <w:keepNext/>
        <w:spacing w:line="240" w:lineRule="auto"/>
        <w:jc w:val="center"/>
        <w:rPr>
          <w:rFonts w:ascii="Verdana" w:eastAsia="PMingLiU" w:hAnsi="Verdana"/>
          <w:sz w:val="16"/>
          <w:szCs w:val="16"/>
        </w:rPr>
      </w:pPr>
    </w:p>
    <w:p w:rsidR="00CE439D" w:rsidRPr="00A20DF9" w:rsidRDefault="00CE439D" w:rsidP="0081486D">
      <w:pPr>
        <w:keepNext/>
        <w:jc w:val="center"/>
        <w:rPr>
          <w:rFonts w:ascii="Verdana" w:hAnsi="Verdana"/>
          <w:i/>
          <w:sz w:val="16"/>
        </w:rPr>
      </w:pPr>
      <w:r w:rsidRPr="00A20DF9">
        <w:rPr>
          <w:rFonts w:ascii="Verdana" w:hAnsi="Verdana"/>
          <w:i/>
          <w:sz w:val="16"/>
        </w:rPr>
        <w:t>__</w:t>
      </w:r>
      <w:r w:rsidRPr="00A20DF9">
        <w:rPr>
          <w:rFonts w:ascii="Verdana" w:hAnsi="Verdana"/>
          <w:b/>
          <w:i/>
          <w:sz w:val="16"/>
        </w:rPr>
        <w:t>_____________________________________________________________________________</w:t>
      </w:r>
    </w:p>
    <w:p w:rsidR="00CE439D" w:rsidRPr="00A20DF9" w:rsidRDefault="00CE439D" w:rsidP="0081486D">
      <w:pPr>
        <w:keepNext/>
        <w:rPr>
          <w:rFonts w:ascii="Verdana" w:hAnsi="Verdana"/>
          <w:i/>
          <w:sz w:val="16"/>
          <w:szCs w:val="16"/>
        </w:rPr>
      </w:pPr>
      <w:r w:rsidRPr="00A20DF9">
        <w:rPr>
          <w:rFonts w:ascii="Verdana" w:hAnsi="Verdana"/>
          <w:i/>
          <w:sz w:val="16"/>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9F7B3B" w:rsidRPr="00A20DF9" w:rsidRDefault="00CE439D" w:rsidP="0081486D">
      <w:pPr>
        <w:keepNext/>
        <w:jc w:val="center"/>
        <w:rPr>
          <w:rFonts w:ascii="Verdana" w:hAnsi="Verdana"/>
          <w:b/>
          <w:i/>
          <w:sz w:val="16"/>
        </w:rPr>
      </w:pPr>
      <w:r w:rsidRPr="00A20DF9">
        <w:rPr>
          <w:rFonts w:ascii="Verdana" w:hAnsi="Verdana"/>
          <w:i/>
          <w:sz w:val="16"/>
        </w:rPr>
        <w:t>__</w:t>
      </w:r>
      <w:r w:rsidRPr="00A20DF9">
        <w:rPr>
          <w:rFonts w:ascii="Verdana" w:hAnsi="Verdana"/>
          <w:b/>
          <w:i/>
          <w:sz w:val="16"/>
        </w:rPr>
        <w:t>_____________________________________________________________________________</w:t>
      </w:r>
    </w:p>
    <w:sectPr w:rsidR="009F7B3B" w:rsidRPr="00A20DF9"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7A" w:rsidRDefault="00D0247A">
      <w:r>
        <w:separator/>
      </w:r>
    </w:p>
  </w:endnote>
  <w:endnote w:type="continuationSeparator" w:id="0">
    <w:p w:rsidR="00D0247A" w:rsidRDefault="00D0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 99 — 1040 Bruxelles — BELGIQUE</w:t>
    </w:r>
  </w:p>
  <w:p w:rsidR="00E12168" w:rsidRPr="00EA5513" w:rsidRDefault="00E12168" w:rsidP="0004715C">
    <w:pPr>
      <w:spacing w:line="240" w:lineRule="auto"/>
      <w:jc w:val="center"/>
      <w:rPr>
        <w:rFonts w:ascii="Verdana" w:hAnsi="Verdana"/>
        <w:sz w:val="16"/>
      </w:rPr>
    </w:pPr>
    <w:r>
      <w:rPr>
        <w:rFonts w:ascii="Verdana" w:hAnsi="Verdana"/>
        <w:sz w:val="16"/>
      </w:rPr>
      <w:t>Tél. +32 2 5469779 – Fax +32 2 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Courriel: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7C9EEE93" wp14:editId="783385FE">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6BA86692" wp14:editId="3673CE46">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13BD282D" wp14:editId="5ABB0A88">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7A" w:rsidRDefault="00D0247A">
      <w:r>
        <w:separator/>
      </w:r>
    </w:p>
  </w:footnote>
  <w:footnote w:type="continuationSeparator" w:id="0">
    <w:p w:rsidR="00D0247A" w:rsidRDefault="00D02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6"/>
  </w:num>
  <w:num w:numId="6">
    <w:abstractNumId w:val="12"/>
  </w:num>
  <w:num w:numId="7">
    <w:abstractNumId w:val="2"/>
  </w:num>
  <w:num w:numId="8">
    <w:abstractNumId w:val="17"/>
  </w:num>
  <w:num w:numId="9">
    <w:abstractNumId w:val="16"/>
  </w:num>
  <w:num w:numId="10">
    <w:abstractNumId w:val="15"/>
  </w:num>
  <w:num w:numId="11">
    <w:abstractNumId w:val="13"/>
  </w:num>
  <w:num w:numId="12">
    <w:abstractNumId w:val="7"/>
  </w:num>
  <w:num w:numId="13">
    <w:abstractNumId w:val="3"/>
  </w:num>
  <w:num w:numId="14">
    <w:abstractNumId w:val="10"/>
  </w:num>
  <w:num w:numId="15">
    <w:abstractNumId w:val="14"/>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364B"/>
    <w:rsid w:val="0003423E"/>
    <w:rsid w:val="00034390"/>
    <w:rsid w:val="00034652"/>
    <w:rsid w:val="00034AD4"/>
    <w:rsid w:val="00036A1D"/>
    <w:rsid w:val="0003721F"/>
    <w:rsid w:val="000404B0"/>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175"/>
    <w:rsid w:val="000F5238"/>
    <w:rsid w:val="000F5572"/>
    <w:rsid w:val="000F56F6"/>
    <w:rsid w:val="000F68E1"/>
    <w:rsid w:val="000F7AED"/>
    <w:rsid w:val="000F7DB1"/>
    <w:rsid w:val="00102967"/>
    <w:rsid w:val="00104DFA"/>
    <w:rsid w:val="00107055"/>
    <w:rsid w:val="00110E35"/>
    <w:rsid w:val="00111E4B"/>
    <w:rsid w:val="00120D27"/>
    <w:rsid w:val="00122176"/>
    <w:rsid w:val="001277F0"/>
    <w:rsid w:val="0013137C"/>
    <w:rsid w:val="00134081"/>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29B"/>
    <w:rsid w:val="001F7D5E"/>
    <w:rsid w:val="002029DA"/>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97B7E"/>
    <w:rsid w:val="002A2433"/>
    <w:rsid w:val="002A2C6F"/>
    <w:rsid w:val="002A3668"/>
    <w:rsid w:val="002B04A8"/>
    <w:rsid w:val="002B290E"/>
    <w:rsid w:val="002B3986"/>
    <w:rsid w:val="002B6234"/>
    <w:rsid w:val="002B640B"/>
    <w:rsid w:val="002B67A9"/>
    <w:rsid w:val="002B7F00"/>
    <w:rsid w:val="002C5AD0"/>
    <w:rsid w:val="002C5CBB"/>
    <w:rsid w:val="002D08ED"/>
    <w:rsid w:val="002D12B2"/>
    <w:rsid w:val="002D22E9"/>
    <w:rsid w:val="002D685E"/>
    <w:rsid w:val="002D6898"/>
    <w:rsid w:val="002D7A8C"/>
    <w:rsid w:val="002E14FC"/>
    <w:rsid w:val="002E1924"/>
    <w:rsid w:val="002E6934"/>
    <w:rsid w:val="002E6F72"/>
    <w:rsid w:val="002E75A0"/>
    <w:rsid w:val="002F04D7"/>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6F54"/>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4670B"/>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3F7F52"/>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424F"/>
    <w:rsid w:val="004605FD"/>
    <w:rsid w:val="00460FE4"/>
    <w:rsid w:val="00462AF4"/>
    <w:rsid w:val="00465C38"/>
    <w:rsid w:val="00470B59"/>
    <w:rsid w:val="0047111F"/>
    <w:rsid w:val="00471681"/>
    <w:rsid w:val="004718B6"/>
    <w:rsid w:val="00472D63"/>
    <w:rsid w:val="00473E94"/>
    <w:rsid w:val="00485300"/>
    <w:rsid w:val="00487258"/>
    <w:rsid w:val="00490528"/>
    <w:rsid w:val="00492D0F"/>
    <w:rsid w:val="00494BBC"/>
    <w:rsid w:val="00495BF2"/>
    <w:rsid w:val="004969A2"/>
    <w:rsid w:val="00496C47"/>
    <w:rsid w:val="004A114B"/>
    <w:rsid w:val="004A35E4"/>
    <w:rsid w:val="004A391C"/>
    <w:rsid w:val="004A60E3"/>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549C"/>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4EDB"/>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6C38"/>
    <w:rsid w:val="00627902"/>
    <w:rsid w:val="006300C9"/>
    <w:rsid w:val="006309A7"/>
    <w:rsid w:val="006371D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233E"/>
    <w:rsid w:val="00685B4B"/>
    <w:rsid w:val="00686EC2"/>
    <w:rsid w:val="006962DB"/>
    <w:rsid w:val="00696394"/>
    <w:rsid w:val="00697C97"/>
    <w:rsid w:val="00697E02"/>
    <w:rsid w:val="006A011F"/>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79"/>
    <w:rsid w:val="00741FFA"/>
    <w:rsid w:val="007423BD"/>
    <w:rsid w:val="007423E6"/>
    <w:rsid w:val="00742761"/>
    <w:rsid w:val="00742CC2"/>
    <w:rsid w:val="00745939"/>
    <w:rsid w:val="007459F3"/>
    <w:rsid w:val="00753402"/>
    <w:rsid w:val="007542C6"/>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86D"/>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605DC"/>
    <w:rsid w:val="00862C04"/>
    <w:rsid w:val="00863AB1"/>
    <w:rsid w:val="0086517A"/>
    <w:rsid w:val="0086606E"/>
    <w:rsid w:val="00867162"/>
    <w:rsid w:val="0087205A"/>
    <w:rsid w:val="00876120"/>
    <w:rsid w:val="008775D1"/>
    <w:rsid w:val="008820BE"/>
    <w:rsid w:val="00883365"/>
    <w:rsid w:val="008843A7"/>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547"/>
    <w:rsid w:val="00967844"/>
    <w:rsid w:val="009678A3"/>
    <w:rsid w:val="0097280B"/>
    <w:rsid w:val="00980840"/>
    <w:rsid w:val="009852B8"/>
    <w:rsid w:val="00990350"/>
    <w:rsid w:val="00994326"/>
    <w:rsid w:val="00996D8C"/>
    <w:rsid w:val="00997755"/>
    <w:rsid w:val="009A098F"/>
    <w:rsid w:val="009A0D29"/>
    <w:rsid w:val="009A124F"/>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7FA3"/>
    <w:rsid w:val="009E0550"/>
    <w:rsid w:val="009E095D"/>
    <w:rsid w:val="009E4D66"/>
    <w:rsid w:val="009E6BF7"/>
    <w:rsid w:val="009E6DD9"/>
    <w:rsid w:val="009E6EA1"/>
    <w:rsid w:val="009E79A3"/>
    <w:rsid w:val="009F1222"/>
    <w:rsid w:val="009F271A"/>
    <w:rsid w:val="009F401B"/>
    <w:rsid w:val="009F5812"/>
    <w:rsid w:val="009F601D"/>
    <w:rsid w:val="009F7B3B"/>
    <w:rsid w:val="00A00EAD"/>
    <w:rsid w:val="00A020E6"/>
    <w:rsid w:val="00A022FA"/>
    <w:rsid w:val="00A0571E"/>
    <w:rsid w:val="00A11825"/>
    <w:rsid w:val="00A1195A"/>
    <w:rsid w:val="00A1273D"/>
    <w:rsid w:val="00A14889"/>
    <w:rsid w:val="00A15E07"/>
    <w:rsid w:val="00A16E4D"/>
    <w:rsid w:val="00A20DF9"/>
    <w:rsid w:val="00A21AF7"/>
    <w:rsid w:val="00A23175"/>
    <w:rsid w:val="00A24A5D"/>
    <w:rsid w:val="00A253E5"/>
    <w:rsid w:val="00A27D7B"/>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876CF"/>
    <w:rsid w:val="00A9124D"/>
    <w:rsid w:val="00A94C10"/>
    <w:rsid w:val="00A94D22"/>
    <w:rsid w:val="00A95040"/>
    <w:rsid w:val="00A959B3"/>
    <w:rsid w:val="00A96AAE"/>
    <w:rsid w:val="00A9706C"/>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6BD1"/>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31D91"/>
    <w:rsid w:val="00B33636"/>
    <w:rsid w:val="00B33867"/>
    <w:rsid w:val="00B3478A"/>
    <w:rsid w:val="00B3530C"/>
    <w:rsid w:val="00B36E03"/>
    <w:rsid w:val="00B403EA"/>
    <w:rsid w:val="00B41CDB"/>
    <w:rsid w:val="00B43F58"/>
    <w:rsid w:val="00B45742"/>
    <w:rsid w:val="00B523FD"/>
    <w:rsid w:val="00B54123"/>
    <w:rsid w:val="00B55085"/>
    <w:rsid w:val="00B57D80"/>
    <w:rsid w:val="00B60B16"/>
    <w:rsid w:val="00B61411"/>
    <w:rsid w:val="00B62589"/>
    <w:rsid w:val="00B66941"/>
    <w:rsid w:val="00B7000E"/>
    <w:rsid w:val="00B70056"/>
    <w:rsid w:val="00B71203"/>
    <w:rsid w:val="00B73294"/>
    <w:rsid w:val="00B738CE"/>
    <w:rsid w:val="00B74E74"/>
    <w:rsid w:val="00B76E9A"/>
    <w:rsid w:val="00B864B3"/>
    <w:rsid w:val="00B86F7D"/>
    <w:rsid w:val="00B87414"/>
    <w:rsid w:val="00B9349D"/>
    <w:rsid w:val="00B94224"/>
    <w:rsid w:val="00B96D77"/>
    <w:rsid w:val="00B96EB7"/>
    <w:rsid w:val="00B97CC4"/>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F0D55"/>
    <w:rsid w:val="00BF1192"/>
    <w:rsid w:val="00BF3CA8"/>
    <w:rsid w:val="00BF5A0B"/>
    <w:rsid w:val="00BF5FCE"/>
    <w:rsid w:val="00BF6BED"/>
    <w:rsid w:val="00BF7D17"/>
    <w:rsid w:val="00C05075"/>
    <w:rsid w:val="00C112BD"/>
    <w:rsid w:val="00C12A8E"/>
    <w:rsid w:val="00C13DBC"/>
    <w:rsid w:val="00C1739B"/>
    <w:rsid w:val="00C178CB"/>
    <w:rsid w:val="00C21C96"/>
    <w:rsid w:val="00C22491"/>
    <w:rsid w:val="00C24707"/>
    <w:rsid w:val="00C25B3A"/>
    <w:rsid w:val="00C26F5C"/>
    <w:rsid w:val="00C30652"/>
    <w:rsid w:val="00C3085E"/>
    <w:rsid w:val="00C3511A"/>
    <w:rsid w:val="00C36609"/>
    <w:rsid w:val="00C3679D"/>
    <w:rsid w:val="00C36C84"/>
    <w:rsid w:val="00C41126"/>
    <w:rsid w:val="00C42407"/>
    <w:rsid w:val="00C449D5"/>
    <w:rsid w:val="00C51729"/>
    <w:rsid w:val="00C52473"/>
    <w:rsid w:val="00C52BBD"/>
    <w:rsid w:val="00C56B37"/>
    <w:rsid w:val="00C56D06"/>
    <w:rsid w:val="00C62A3C"/>
    <w:rsid w:val="00C676E8"/>
    <w:rsid w:val="00C70063"/>
    <w:rsid w:val="00C755F1"/>
    <w:rsid w:val="00C818A3"/>
    <w:rsid w:val="00C82A73"/>
    <w:rsid w:val="00C83074"/>
    <w:rsid w:val="00C83428"/>
    <w:rsid w:val="00C83470"/>
    <w:rsid w:val="00C84283"/>
    <w:rsid w:val="00C86A64"/>
    <w:rsid w:val="00C870AB"/>
    <w:rsid w:val="00C92538"/>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C036A"/>
    <w:rsid w:val="00CC2EEE"/>
    <w:rsid w:val="00CC51C7"/>
    <w:rsid w:val="00CC66BE"/>
    <w:rsid w:val="00CC6D33"/>
    <w:rsid w:val="00CC7B71"/>
    <w:rsid w:val="00CD0945"/>
    <w:rsid w:val="00CE42C2"/>
    <w:rsid w:val="00CE439D"/>
    <w:rsid w:val="00CE4DF9"/>
    <w:rsid w:val="00CF25A1"/>
    <w:rsid w:val="00CF3A7A"/>
    <w:rsid w:val="00D000D0"/>
    <w:rsid w:val="00D0041E"/>
    <w:rsid w:val="00D0247A"/>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31E98"/>
    <w:rsid w:val="00D34F52"/>
    <w:rsid w:val="00D37A25"/>
    <w:rsid w:val="00D37C30"/>
    <w:rsid w:val="00D46BF9"/>
    <w:rsid w:val="00D5051B"/>
    <w:rsid w:val="00D52E14"/>
    <w:rsid w:val="00D55465"/>
    <w:rsid w:val="00D60FF1"/>
    <w:rsid w:val="00D6198E"/>
    <w:rsid w:val="00D62DF8"/>
    <w:rsid w:val="00D65555"/>
    <w:rsid w:val="00D70574"/>
    <w:rsid w:val="00D71673"/>
    <w:rsid w:val="00D7221D"/>
    <w:rsid w:val="00D72DCD"/>
    <w:rsid w:val="00D72FBC"/>
    <w:rsid w:val="00D735E3"/>
    <w:rsid w:val="00D73916"/>
    <w:rsid w:val="00D756D2"/>
    <w:rsid w:val="00D821FD"/>
    <w:rsid w:val="00D85524"/>
    <w:rsid w:val="00D9312D"/>
    <w:rsid w:val="00D93A6F"/>
    <w:rsid w:val="00D9429B"/>
    <w:rsid w:val="00D97D8E"/>
    <w:rsid w:val="00DA0D4D"/>
    <w:rsid w:val="00DA1AC4"/>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7624"/>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5419"/>
    <w:rsid w:val="00E666FE"/>
    <w:rsid w:val="00E7107D"/>
    <w:rsid w:val="00E71274"/>
    <w:rsid w:val="00E74CF2"/>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1AE7"/>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54B3"/>
    <w:rsid w:val="00F67E91"/>
    <w:rsid w:val="00F70D20"/>
    <w:rsid w:val="00F72C33"/>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55A1"/>
    <w:rsid w:val="00FC21E0"/>
    <w:rsid w:val="00FC3DAC"/>
    <w:rsid w:val="00FD0526"/>
    <w:rsid w:val="00FD0A48"/>
    <w:rsid w:val="00FD2F70"/>
    <w:rsid w:val="00FD3497"/>
    <w:rsid w:val="00FD3865"/>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memberspage.eesc.europa.eu/Search/Details/Person/2032963"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memberspage.eesc.europa.eu/Search/Details/Person/2021510" TargetMode="External"/><Relationship Id="rId2" Type="http://schemas.openxmlformats.org/officeDocument/2006/relationships/customXml" Target="../customXml/item2.xml"/><Relationship Id="rId16" Type="http://schemas.openxmlformats.org/officeDocument/2006/relationships/hyperlink" Target="http://www.eesc.europa.eu/?i=portal.fr.eco-opinions&amp;itemCode=383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3XPXQ63Y2AW3-5-1948</_dlc_DocId>
    <_dlc_DocIdUrl xmlns="8835a8a4-5a07-4207-ac1e-223f88a8f7af">
      <Url>http://dm/EESC/2016/_layouts/DocIdRedir.aspx?ID=3XPXQ63Y2AW3-5-1948</Url>
      <Description>3XPXQ63Y2AW3-5-1948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2016-04-29T12:00:00+00:00</ProductionDate>
    <DocumentNumber xmlns="81b83a11-8bf4-4815-ab46-df1aa9d1dbfa">2547</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15</Value>
      <Value>14</Value>
      <Value>10</Value>
      <Value>28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5145</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81b83a11-8bf4-4815-ab46-df1aa9d1dbfa"/>
  </ds:schemaRefs>
</ds:datastoreItem>
</file>

<file path=customXml/itemProps4.xml><?xml version="1.0" encoding="utf-8"?>
<ds:datastoreItem xmlns:ds="http://schemas.openxmlformats.org/officeDocument/2006/customXml" ds:itemID="{A52369A5-1E04-48FC-8EDF-F2E3B25EF12D}">
  <ds:schemaRefs>
    <ds:schemaRef ds:uri="http://schemas.microsoft.com/sharepoint/events"/>
  </ds:schemaRefs>
</ds:datastoreItem>
</file>

<file path=customXml/itemProps5.xml><?xml version="1.0" encoding="utf-8"?>
<ds:datastoreItem xmlns:ds="http://schemas.openxmlformats.org/officeDocument/2006/customXml" ds:itemID="{4B22D080-BCEE-46F1-B2D0-AFD014F90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24F500-C44A-4B52-B538-CD6B38BB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31</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CP EN 30 tax avoidance</vt:lpstr>
    </vt:vector>
  </TitlesOfParts>
  <Company>CESE-CdR</Company>
  <LinksUpToDate>false</LinksUpToDate>
  <CharactersWithSpaces>4787</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EN 30 tax avoidance</dc:title>
  <dc:subject>Communiqué de presse</dc:subject>
  <dc:creator/>
  <cp:keywords>EESC-2016-02547-00-00-CP-TRA-FR</cp:keywords>
  <dc:description>Rapporteur : -_x000d_
Langue originale : EN_x000d_
Date du document : 29/04/2016_x000d_
Date de la réunion : _x000d_
Documents externes : -_x000d_
Fonctionnaire responsable : ALIBERT CAROLINE, téléphone : + 2 546 9406_x000d_
_x000d_
Résumé :</dc:description>
  <cp:lastModifiedBy>Grégory Lacroix</cp:lastModifiedBy>
  <cp:revision>8</cp:revision>
  <cp:lastPrinted>2016-04-19T16:08:00Z</cp:lastPrinted>
  <dcterms:created xsi:type="dcterms:W3CDTF">2016-04-28T13:14:00Z</dcterms:created>
  <dcterms:modified xsi:type="dcterms:W3CDTF">2016-04-29T13:28:00Z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28/04/2016</vt:lpwstr>
  </property>
  <property fmtid="{D5CDD505-2E9C-101B-9397-08002B2CF9AE}" pid="7" name="Pref_Time">
    <vt:lpwstr>15:04:30</vt:lpwstr>
  </property>
  <property fmtid="{D5CDD505-2E9C-101B-9397-08002B2CF9AE}" pid="8" name="Pref_User">
    <vt:lpwstr>tvoc</vt:lpwstr>
  </property>
  <property fmtid="{D5CDD505-2E9C-101B-9397-08002B2CF9AE}" pid="9" name="Pref_FileName">
    <vt:lpwstr>EESC-2016-02547-00-00-CP-ORI.docx</vt:lpwstr>
  </property>
  <property fmtid="{D5CDD505-2E9C-101B-9397-08002B2CF9AE}" pid="10" name="_dlc_DocIdItemGuid">
    <vt:lpwstr>1b4f885f-8c73-4a34-b472-18204e11c2a0</vt:lpwstr>
  </property>
  <property fmtid="{D5CDD505-2E9C-101B-9397-08002B2CF9AE}" pid="11" name="DocumentType_0">
    <vt:lpwstr>CP|de8ad211-9e8d-408b-8324-674d21bb7d18</vt:lpwstr>
  </property>
  <property fmtid="{D5CDD505-2E9C-101B-9397-08002B2CF9AE}" pid="12" name="AvailableTranslations">
    <vt:lpwstr>4;#FR|d2afafd3-4c81-4f60-8f52-ee33f2f54ff3;#22;#DE|f6b31e5a-26fa-4935-b661-318e46daf27e;#28;#ES|e7a6b05b-ae16-40c8-add9-68b64b03aeba;#24;#PL|1e03da61-4678-4e07-b136-b5024ca9197b;#15;#IT|0774613c-01ed-4e5d-a25d-11d2388de825;#10;#EN|f2175f21-25d7-44a3-96da-</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2547</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22;#DE|f6b31e5a-26fa-4935-b661-318e46daf27e;#15;#IT|0774613c-01ed-4e5d-a25d-11d2388de825;#14;#CP|de8ad211-9e8d-408b-8324-674d21bb7d18;#10;#EN|f2175f21-25d7-44a3-96da-d6a61b075e1b;#28;#ES|e7a6b05b-ae16-40c8-add9-68b64b03aeba;#6;#Final|ea5e6674-7b27-4bac-b0</vt:lpwstr>
  </property>
  <property fmtid="{D5CDD505-2E9C-101B-9397-08002B2CF9AE}" pid="32" name="AvailableTranslations_0">
    <vt:lpwstr>DE|f6b31e5a-26fa-4935-b661-318e46daf27e;ES|e7a6b05b-ae16-40c8-add9-68b64b03aeba;PL|1e03da61-4678-4e07-b136-b5024ca9197b;IT|0774613c-01ed-4e5d-a25d-11d2388de825;EN|f2175f21-25d7-44a3-96da-d6a61b075e1b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5145</vt:i4>
  </property>
  <property fmtid="{D5CDD505-2E9C-101B-9397-08002B2CF9AE}" pid="36" name="DocumentYear">
    <vt:i4>2016</vt:i4>
  </property>
  <property fmtid="{D5CDD505-2E9C-101B-9397-08002B2CF9AE}" pid="37" name="DocumentLanguage">
    <vt:lpwstr>4;#FR|d2afafd3-4c81-4f60-8f52-ee33f2f54ff3</vt:lpwstr>
  </property>
</Properties>
</file>