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443B8A" w:rsidRDefault="008405A0" w:rsidP="00000CE8">
      <w:pPr>
        <w:snapToGrid w:val="0"/>
        <w:jc w:val="center"/>
        <w:rPr>
          <w:lang w:val="es-ES_tradnl"/>
        </w:rPr>
      </w:pPr>
      <w:r w:rsidRPr="00443B8A">
        <w:rPr>
          <w:lang w:val="es-ES_tradnl" w:eastAsia="en-GB" w:bidi="ar-SA"/>
        </w:rPr>
        <w:drawing>
          <wp:inline distT="0" distB="0" distL="0" distR="0" wp14:anchorId="73FF54AD" wp14:editId="25607267">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443B8A">
        <w:rPr>
          <w:lang w:val="es-ES_tradnl" w:eastAsia="en-GB" w:bidi="ar-SA"/>
        </w:rPr>
        <mc:AlternateContent>
          <mc:Choice Requires="wps">
            <w:drawing>
              <wp:anchor distT="0" distB="0" distL="114300" distR="114300" simplePos="0" relativeHeight="251659264" behindDoc="1" locked="0" layoutInCell="0" allowOverlap="1" wp14:anchorId="00118F25" wp14:editId="3CAD3AFC">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DB4" w:rsidRPr="0079472F" w:rsidRDefault="00205DB4" w:rsidP="00000CE8">
                            <w:pPr>
                              <w:snapToGrid w:val="0"/>
                              <w:jc w:val="center"/>
                              <w:rPr>
                                <w:rFonts w:ascii="Arial" w:hAnsi="Arial" w:cs="Arial"/>
                                <w:b/>
                                <w:sz w:val="48"/>
                              </w:rPr>
                            </w:pPr>
                            <w:r>
                              <w:rPr>
                                <w:rFonts w:ascii="Arial" w:hAnsi="Arial"/>
                                <w:b/>
                                <w:noProof/>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205DB4" w:rsidRPr="0079472F" w:rsidRDefault="00205DB4" w:rsidP="00000CE8">
                      <w:pPr>
                        <w:snapToGrid w:val="0"/>
                        <w:jc w:val="center"/>
                        <w:rPr>
                          <w:rFonts w:ascii="Arial" w:hAnsi="Arial" w:cs="Arial"/>
                          <w:b/>
                          <w:sz w:val="48"/>
                        </w:rPr>
                      </w:pPr>
                      <w:r>
                        <w:rPr>
                          <w:rFonts w:ascii="Arial" w:hAnsi="Arial"/>
                          <w:b/>
                          <w:noProof/>
                          <w:sz w:val="48"/>
                        </w:rPr>
                        <w:t>ES</w:t>
                      </w:r>
                    </w:p>
                  </w:txbxContent>
                </v:textbox>
                <w10:wrap anchorx="page" anchory="page"/>
              </v:shape>
            </w:pict>
          </mc:Fallback>
        </mc:AlternateContent>
      </w:r>
    </w:p>
    <w:p w:rsidR="008405A0" w:rsidRPr="00443B8A" w:rsidRDefault="008405A0" w:rsidP="00000CE8">
      <w:pPr>
        <w:snapToGrid w:val="0"/>
        <w:spacing w:line="280" w:lineRule="auto"/>
        <w:jc w:val="center"/>
        <w:rPr>
          <w:rFonts w:ascii="Arial" w:eastAsia="MS Mincho" w:hAnsi="Arial" w:cs="Arial"/>
          <w:b/>
          <w:i/>
          <w:sz w:val="20"/>
          <w:lang w:val="es-ES_tradnl"/>
        </w:rPr>
      </w:pPr>
      <w:r w:rsidRPr="00443B8A">
        <w:rPr>
          <w:rFonts w:ascii="Arial" w:hAnsi="Arial"/>
          <w:b/>
          <w:i/>
          <w:sz w:val="20"/>
          <w:lang w:val="es-ES_tradnl"/>
        </w:rPr>
        <w:t>Comité Económico y Social Europeo</w:t>
      </w:r>
    </w:p>
    <w:p w:rsidR="008405A0" w:rsidRPr="00443B8A" w:rsidRDefault="008405A0" w:rsidP="0079472F">
      <w:pPr>
        <w:rPr>
          <w:rFonts w:ascii="Arial" w:eastAsia="SimSun" w:hAnsi="Arial" w:cs="Arial"/>
          <w:b/>
          <w:i/>
          <w:sz w:val="20"/>
          <w:lang w:val="es-ES_tradnl"/>
        </w:rPr>
        <w:sectPr w:rsidR="008405A0" w:rsidRPr="00443B8A" w:rsidSect="008E328D">
          <w:footerReference w:type="default" r:id="rId14"/>
          <w:pgSz w:w="11907" w:h="16839" w:code="9"/>
          <w:pgMar w:top="567" w:right="1440" w:bottom="1928" w:left="1440" w:header="283" w:footer="1134" w:gutter="0"/>
          <w:pgNumType w:start="1"/>
          <w:cols w:space="708"/>
          <w:docGrid w:linePitch="360"/>
        </w:sectPr>
      </w:pPr>
    </w:p>
    <w:p w:rsidR="008405A0" w:rsidRPr="00443B8A" w:rsidRDefault="008405A0" w:rsidP="00000CE8">
      <w:pPr>
        <w:snapToGrid w:val="0"/>
        <w:jc w:val="center"/>
        <w:rPr>
          <w:lang w:val="es-ES_tradnl"/>
        </w:rPr>
      </w:pPr>
    </w:p>
    <w:p w:rsidR="008405A0" w:rsidRPr="00443B8A" w:rsidRDefault="008405A0" w:rsidP="00000CE8">
      <w:pPr>
        <w:snapToGrid w:val="0"/>
        <w:rPr>
          <w:lang w:val="es-ES_tradnl"/>
        </w:rPr>
      </w:pPr>
    </w:p>
    <w:p w:rsidR="008405A0" w:rsidRPr="00443B8A" w:rsidRDefault="008405A0" w:rsidP="00000CE8">
      <w:pPr>
        <w:snapToGrid w:val="0"/>
        <w:rPr>
          <w:lang w:val="es-ES_tradnl"/>
        </w:rPr>
      </w:pPr>
    </w:p>
    <w:p w:rsidR="008405A0" w:rsidRPr="00443B8A" w:rsidRDefault="008405A0" w:rsidP="00000CE8">
      <w:pPr>
        <w:snapToGrid w:val="0"/>
        <w:spacing w:line="280" w:lineRule="auto"/>
        <w:jc w:val="right"/>
        <w:rPr>
          <w:rFonts w:eastAsia="MS Mincho"/>
          <w:lang w:val="es-ES_tradnl"/>
        </w:rPr>
      </w:pPr>
      <w:r w:rsidRPr="00443B8A">
        <w:rPr>
          <w:lang w:val="es-ES_tradnl"/>
        </w:rPr>
        <w:t xml:space="preserve">Bruselas, </w:t>
      </w:r>
      <w:r w:rsidR="00543013" w:rsidRPr="00443B8A">
        <w:rPr>
          <w:lang w:val="es-ES_tradnl"/>
        </w:rPr>
        <w:t>1</w:t>
      </w:r>
      <w:r w:rsidRPr="00443B8A">
        <w:rPr>
          <w:lang w:val="es-ES_tradnl"/>
        </w:rPr>
        <w:t xml:space="preserve">9 de </w:t>
      </w:r>
      <w:r w:rsidR="00543013" w:rsidRPr="00443B8A">
        <w:rPr>
          <w:lang w:val="es-ES_tradnl"/>
        </w:rPr>
        <w:t>mayo</w:t>
      </w:r>
      <w:r w:rsidRPr="00443B8A">
        <w:rPr>
          <w:lang w:val="es-ES_tradnl"/>
        </w:rPr>
        <w:t xml:space="preserve"> de 2016</w:t>
      </w:r>
    </w:p>
    <w:p w:rsidR="008405A0" w:rsidRPr="00443B8A" w:rsidRDefault="008405A0" w:rsidP="00000CE8">
      <w:pPr>
        <w:snapToGrid w:val="0"/>
        <w:rPr>
          <w:lang w:val="es-ES_tradnl"/>
        </w:rPr>
      </w:pPr>
    </w:p>
    <w:p w:rsidR="008405A0" w:rsidRPr="00443B8A" w:rsidRDefault="008405A0" w:rsidP="00000CE8">
      <w:pPr>
        <w:snapToGrid w:val="0"/>
        <w:rPr>
          <w:lang w:val="es-ES_tradnl"/>
        </w:rPr>
      </w:pPr>
    </w:p>
    <w:p w:rsidR="008405A0" w:rsidRPr="00443B8A" w:rsidRDefault="008405A0" w:rsidP="00000CE8">
      <w:pPr>
        <w:snapToGrid w:val="0"/>
        <w:rPr>
          <w:lang w:val="es-ES_tradnl"/>
        </w:rPr>
      </w:pPr>
    </w:p>
    <w:p w:rsidR="008405A0" w:rsidRPr="00443B8A" w:rsidRDefault="008405A0" w:rsidP="00000CE8">
      <w:pPr>
        <w:snapToGrid w:val="0"/>
        <w:rPr>
          <w:lang w:val="es-ES_tradnl"/>
        </w:rPr>
      </w:pPr>
    </w:p>
    <w:p w:rsidR="008405A0" w:rsidRPr="00443B8A" w:rsidRDefault="008405A0" w:rsidP="00000CE8">
      <w:pPr>
        <w:snapToGrid w:val="0"/>
        <w:rPr>
          <w:lang w:val="es-ES_tradnl"/>
        </w:rPr>
      </w:pPr>
    </w:p>
    <w:tbl>
      <w:tblPr>
        <w:tblW w:w="0" w:type="auto"/>
        <w:tblLayout w:type="fixed"/>
        <w:tblLook w:val="0000" w:firstRow="0" w:lastRow="0" w:firstColumn="0" w:lastColumn="0" w:noHBand="0" w:noVBand="0"/>
      </w:tblPr>
      <w:tblGrid>
        <w:gridCol w:w="9243"/>
      </w:tblGrid>
      <w:tr w:rsidR="008405A0" w:rsidRPr="00443B8A" w:rsidTr="008405A0">
        <w:tc>
          <w:tcPr>
            <w:tcW w:w="9243" w:type="dxa"/>
            <w:tcBorders>
              <w:top w:val="nil"/>
              <w:left w:val="nil"/>
              <w:bottom w:val="double" w:sz="4" w:space="0" w:color="auto"/>
              <w:right w:val="nil"/>
            </w:tcBorders>
          </w:tcPr>
          <w:p w:rsidR="008405A0" w:rsidRPr="00443B8A" w:rsidRDefault="008405A0" w:rsidP="00000CE8">
            <w:pPr>
              <w:snapToGrid w:val="0"/>
              <w:spacing w:line="280" w:lineRule="auto"/>
              <w:jc w:val="center"/>
              <w:rPr>
                <w:rFonts w:eastAsia="MS Mincho"/>
                <w:b/>
                <w:sz w:val="32"/>
                <w:lang w:val="es-ES_tradnl"/>
              </w:rPr>
            </w:pPr>
            <w:r w:rsidRPr="00443B8A">
              <w:rPr>
                <w:b/>
                <w:sz w:val="32"/>
                <w:lang w:val="es-ES_tradnl"/>
              </w:rPr>
              <w:t xml:space="preserve">PLENO </w:t>
            </w:r>
            <w:r w:rsidRPr="00443B8A">
              <w:rPr>
                <w:b/>
                <w:sz w:val="32"/>
                <w:lang w:val="es-ES_tradnl"/>
              </w:rPr>
              <w:br/>
              <w:t xml:space="preserve"> </w:t>
            </w:r>
            <w:r w:rsidRPr="00443B8A">
              <w:rPr>
                <w:b/>
                <w:sz w:val="32"/>
                <w:lang w:val="es-ES_tradnl"/>
              </w:rPr>
              <w:br/>
              <w:t xml:space="preserve">DE LOS DÍAS 27 Y 28 DE ABRIL DE 2016 </w:t>
            </w:r>
            <w:r w:rsidRPr="00443B8A">
              <w:rPr>
                <w:b/>
                <w:sz w:val="32"/>
                <w:lang w:val="es-ES_tradnl"/>
              </w:rPr>
              <w:br/>
              <w:t xml:space="preserve"> </w:t>
            </w:r>
            <w:r w:rsidRPr="00443B8A">
              <w:rPr>
                <w:b/>
                <w:sz w:val="32"/>
                <w:lang w:val="es-ES_tradnl"/>
              </w:rPr>
              <w:br/>
              <w:t>SÍNTESIS DE LOS DICTÁMENES APROBADOS</w:t>
            </w:r>
          </w:p>
          <w:p w:rsidR="008405A0" w:rsidRPr="00443B8A" w:rsidRDefault="008405A0" w:rsidP="00000CE8">
            <w:pPr>
              <w:snapToGrid w:val="0"/>
              <w:jc w:val="center"/>
              <w:rPr>
                <w:b/>
                <w:sz w:val="32"/>
                <w:lang w:val="es-ES_tradnl"/>
              </w:rPr>
            </w:pPr>
          </w:p>
          <w:p w:rsidR="008405A0" w:rsidRPr="00443B8A" w:rsidRDefault="008405A0" w:rsidP="00000CE8">
            <w:pPr>
              <w:snapToGrid w:val="0"/>
              <w:jc w:val="center"/>
              <w:rPr>
                <w:rFonts w:eastAsia="Calibri"/>
                <w:b/>
                <w:bCs/>
                <w:lang w:val="es-ES_tradnl"/>
              </w:rPr>
            </w:pPr>
          </w:p>
        </w:tc>
      </w:tr>
      <w:tr w:rsidR="008405A0" w:rsidRPr="00443B8A" w:rsidTr="008405A0">
        <w:tc>
          <w:tcPr>
            <w:tcW w:w="9243" w:type="dxa"/>
            <w:tcBorders>
              <w:top w:val="double" w:sz="4" w:space="0" w:color="auto"/>
              <w:left w:val="double" w:sz="4" w:space="0" w:color="auto"/>
              <w:bottom w:val="double" w:sz="4" w:space="0" w:color="auto"/>
              <w:right w:val="double" w:sz="4" w:space="0" w:color="auto"/>
            </w:tcBorders>
          </w:tcPr>
          <w:p w:rsidR="008405A0" w:rsidRPr="00443B8A" w:rsidRDefault="00A31921" w:rsidP="00000CE8">
            <w:pPr>
              <w:snapToGrid w:val="0"/>
              <w:spacing w:line="280" w:lineRule="auto"/>
              <w:jc w:val="center"/>
              <w:rPr>
                <w:rFonts w:eastAsia="MS Mincho"/>
                <w:b/>
                <w:lang w:val="es-ES_tradnl"/>
              </w:rPr>
            </w:pPr>
            <w:r w:rsidRPr="00443B8A">
              <w:rPr>
                <w:b/>
                <w:lang w:val="es-ES_tradnl"/>
              </w:rPr>
              <w:t>Este documento puede consultarse en todas las lenguas oficiales en el sitio Internet del Comité en la siguiente dirección:</w:t>
            </w:r>
          </w:p>
          <w:p w:rsidR="008405A0" w:rsidRPr="00443B8A" w:rsidRDefault="008405A0" w:rsidP="00000CE8">
            <w:pPr>
              <w:snapToGrid w:val="0"/>
              <w:jc w:val="center"/>
              <w:rPr>
                <w:b/>
                <w:lang w:val="es-ES_tradnl"/>
              </w:rPr>
            </w:pPr>
          </w:p>
          <w:p w:rsidR="008405A0" w:rsidRPr="00443B8A" w:rsidRDefault="00443B8A" w:rsidP="00000CE8">
            <w:pPr>
              <w:spacing w:line="280" w:lineRule="auto"/>
              <w:jc w:val="center"/>
              <w:rPr>
                <w:rFonts w:eastAsia="MS Mincho"/>
                <w:u w:val="single"/>
                <w:lang w:val="es-ES_tradnl"/>
              </w:rPr>
            </w:pPr>
            <w:hyperlink r:id="rId15" w:anchor="/boxTab1-2">
              <w:r w:rsidR="00FC2BAB" w:rsidRPr="00443B8A">
                <w:rPr>
                  <w:rStyle w:val="Hyperlink"/>
                  <w:b/>
                  <w:color w:val="auto"/>
                  <w:lang w:val="es-ES_tradnl"/>
                </w:rPr>
                <w:t>http://www.eesc.europa.eu/?i=portal.fr.documents#/boxTab1-2</w:t>
              </w:r>
            </w:hyperlink>
          </w:p>
          <w:p w:rsidR="008405A0" w:rsidRPr="00443B8A" w:rsidRDefault="008405A0" w:rsidP="00000CE8">
            <w:pPr>
              <w:snapToGrid w:val="0"/>
              <w:jc w:val="center"/>
              <w:rPr>
                <w:lang w:val="es-ES_tradnl"/>
              </w:rPr>
            </w:pPr>
          </w:p>
          <w:p w:rsidR="008405A0" w:rsidRPr="00443B8A" w:rsidRDefault="008405A0" w:rsidP="00000CE8">
            <w:pPr>
              <w:snapToGrid w:val="0"/>
              <w:jc w:val="center"/>
              <w:rPr>
                <w:rFonts w:eastAsia="SimSun"/>
                <w:b/>
                <w:lang w:val="es-ES_tradnl"/>
              </w:rPr>
            </w:pPr>
          </w:p>
          <w:p w:rsidR="00422293" w:rsidRPr="00443B8A" w:rsidRDefault="00422293" w:rsidP="00422293">
            <w:pPr>
              <w:snapToGrid w:val="0"/>
              <w:spacing w:line="280" w:lineRule="auto"/>
              <w:jc w:val="center"/>
              <w:rPr>
                <w:b/>
                <w:lang w:val="es-ES_tradnl"/>
              </w:rPr>
            </w:pPr>
            <w:r w:rsidRPr="00443B8A">
              <w:rPr>
                <w:b/>
                <w:lang w:val="es-ES_tradnl"/>
              </w:rPr>
              <w:t xml:space="preserve">Los dictámenes mencionados pueden consultarse en línea </w:t>
            </w:r>
          </w:p>
          <w:p w:rsidR="00422293" w:rsidRPr="00443B8A" w:rsidRDefault="00422293" w:rsidP="00422293">
            <w:pPr>
              <w:snapToGrid w:val="0"/>
              <w:spacing w:line="280" w:lineRule="auto"/>
              <w:jc w:val="center"/>
              <w:rPr>
                <w:b/>
                <w:lang w:val="es-ES_tradnl"/>
              </w:rPr>
            </w:pPr>
            <w:r w:rsidRPr="00443B8A">
              <w:rPr>
                <w:b/>
                <w:lang w:val="es-ES_tradnl"/>
              </w:rPr>
              <w:t xml:space="preserve"> a partir del motor de búsqueda del Comité:  </w:t>
            </w:r>
          </w:p>
          <w:p w:rsidR="008405A0" w:rsidRPr="00443B8A" w:rsidRDefault="008405A0" w:rsidP="00000CE8">
            <w:pPr>
              <w:snapToGrid w:val="0"/>
              <w:spacing w:line="280" w:lineRule="auto"/>
              <w:jc w:val="center"/>
              <w:rPr>
                <w:rFonts w:eastAsia="MS Mincho"/>
                <w:b/>
                <w:lang w:val="es-ES_tradnl"/>
              </w:rPr>
            </w:pPr>
          </w:p>
          <w:p w:rsidR="008405A0" w:rsidRPr="00443B8A" w:rsidRDefault="008405A0" w:rsidP="00000CE8">
            <w:pPr>
              <w:snapToGrid w:val="0"/>
              <w:jc w:val="center"/>
              <w:rPr>
                <w:b/>
                <w:lang w:val="es-ES_tradnl"/>
              </w:rPr>
            </w:pPr>
          </w:p>
          <w:p w:rsidR="008405A0" w:rsidRPr="00443B8A" w:rsidRDefault="00443B8A" w:rsidP="00000CE8">
            <w:pPr>
              <w:snapToGrid w:val="0"/>
              <w:spacing w:line="280" w:lineRule="auto"/>
              <w:jc w:val="center"/>
              <w:rPr>
                <w:rFonts w:eastAsia="MS Mincho"/>
                <w:b/>
                <w:lang w:val="es-ES_tradnl"/>
              </w:rPr>
            </w:pPr>
            <w:hyperlink r:id="rId16">
              <w:r w:rsidR="00FC2BAB" w:rsidRPr="00443B8A">
                <w:rPr>
                  <w:rStyle w:val="Hyperlink"/>
                  <w:b/>
                  <w:color w:val="auto"/>
                  <w:lang w:val="es-ES_tradnl"/>
                </w:rPr>
                <w:t>http://www.eesc.europa.eu/?i=portal.fr.opinions-search</w:t>
              </w:r>
            </w:hyperlink>
          </w:p>
          <w:p w:rsidR="008405A0" w:rsidRPr="00443B8A" w:rsidRDefault="008405A0" w:rsidP="00000CE8">
            <w:pPr>
              <w:snapToGrid w:val="0"/>
              <w:jc w:val="center"/>
              <w:rPr>
                <w:rFonts w:eastAsia="Calibri"/>
                <w:b/>
                <w:bCs/>
                <w:lang w:val="es-ES_tradnl"/>
              </w:rPr>
            </w:pPr>
          </w:p>
        </w:tc>
      </w:tr>
    </w:tbl>
    <w:p w:rsidR="008405A0" w:rsidRPr="00443B8A" w:rsidRDefault="008405A0" w:rsidP="00000CE8">
      <w:pPr>
        <w:rPr>
          <w:lang w:val="es-ES_tradnl"/>
        </w:rPr>
      </w:pPr>
    </w:p>
    <w:p w:rsidR="008405A0" w:rsidRPr="00443B8A" w:rsidRDefault="008405A0" w:rsidP="00000CE8">
      <w:pPr>
        <w:snapToGrid w:val="0"/>
        <w:rPr>
          <w:lang w:val="es-ES_tradnl"/>
        </w:rPr>
      </w:pPr>
    </w:p>
    <w:p w:rsidR="008405A0" w:rsidRPr="00443B8A" w:rsidRDefault="008405A0" w:rsidP="0079472F">
      <w:pPr>
        <w:rPr>
          <w:rFonts w:eastAsia="SimSun"/>
          <w:b/>
          <w:sz w:val="28"/>
          <w:u w:val="single"/>
          <w:lang w:val="es-ES_tradnl"/>
        </w:rPr>
        <w:sectPr w:rsidR="008405A0" w:rsidRPr="00443B8A" w:rsidSect="008E328D">
          <w:headerReference w:type="even" r:id="rId17"/>
          <w:headerReference w:type="default" r:id="rId18"/>
          <w:footerReference w:type="even" r:id="rId19"/>
          <w:footerReference w:type="default" r:id="rId20"/>
          <w:headerReference w:type="first" r:id="rId21"/>
          <w:footerReference w:type="first" r:id="rId22"/>
          <w:type w:val="continuous"/>
          <w:pgSz w:w="11907" w:h="16839"/>
          <w:pgMar w:top="1701" w:right="1440" w:bottom="1928" w:left="1440" w:header="1020" w:footer="1247" w:gutter="0"/>
          <w:cols w:space="720"/>
          <w:docGrid w:linePitch="299"/>
        </w:sectPr>
      </w:pPr>
    </w:p>
    <w:p w:rsidR="008405A0" w:rsidRPr="00443B8A" w:rsidRDefault="008405A0" w:rsidP="00000CE8">
      <w:pPr>
        <w:snapToGrid w:val="0"/>
        <w:rPr>
          <w:b/>
          <w:sz w:val="28"/>
          <w:u w:val="single"/>
          <w:lang w:val="es-ES_tradnl"/>
        </w:rPr>
      </w:pPr>
      <w:bookmarkStart w:id="0" w:name="_GoBack"/>
      <w:bookmarkEnd w:id="0"/>
    </w:p>
    <w:p w:rsidR="008405A0" w:rsidRPr="00443B8A" w:rsidRDefault="008405A0" w:rsidP="00000CE8">
      <w:pPr>
        <w:snapToGrid w:val="0"/>
        <w:spacing w:line="280" w:lineRule="auto"/>
        <w:rPr>
          <w:rFonts w:eastAsia="MS Mincho"/>
          <w:b/>
          <w:sz w:val="28"/>
          <w:u w:val="single"/>
          <w:lang w:val="es-ES_tradnl"/>
        </w:rPr>
      </w:pPr>
      <w:r w:rsidRPr="00443B8A">
        <w:rPr>
          <w:b/>
          <w:lang w:val="es-ES_tradnl"/>
        </w:rPr>
        <w:t xml:space="preserve">Índice: </w:t>
      </w:r>
    </w:p>
    <w:p w:rsidR="00B939A6" w:rsidRPr="00443B8A" w:rsidRDefault="00B939A6" w:rsidP="00000CE8">
      <w:pPr>
        <w:snapToGrid w:val="0"/>
        <w:rPr>
          <w:b/>
          <w:sz w:val="28"/>
          <w:u w:val="single"/>
          <w:lang w:val="es-ES_tradnl"/>
        </w:rPr>
      </w:pPr>
    </w:p>
    <w:p w:rsidR="00543013" w:rsidRPr="00443B8A" w:rsidRDefault="00B97C33">
      <w:pPr>
        <w:pStyle w:val="TOC1"/>
        <w:tabs>
          <w:tab w:val="left" w:pos="440"/>
          <w:tab w:val="right" w:leader="dot" w:pos="9017"/>
        </w:tabs>
        <w:rPr>
          <w:rFonts w:asciiTheme="minorHAnsi" w:eastAsiaTheme="minorEastAsia" w:hAnsiTheme="minorHAnsi" w:cstheme="minorBidi"/>
          <w:lang w:val="es-ES_tradnl" w:eastAsia="fr-BE" w:bidi="ar-SA"/>
        </w:rPr>
      </w:pPr>
      <w:r w:rsidRPr="00443B8A">
        <w:rPr>
          <w:lang w:val="es-ES_tradnl"/>
        </w:rPr>
        <w:fldChar w:fldCharType="begin"/>
      </w:r>
      <w:r w:rsidRPr="00443B8A">
        <w:rPr>
          <w:lang w:val="es-ES_tradnl"/>
        </w:rPr>
        <w:instrText xml:space="preserve"> TOC \o "1-3" \h \z \u </w:instrText>
      </w:r>
      <w:r w:rsidRPr="00443B8A">
        <w:rPr>
          <w:lang w:val="es-ES_tradnl"/>
        </w:rPr>
        <w:fldChar w:fldCharType="separate"/>
      </w:r>
      <w:hyperlink w:anchor="_Toc451270269" w:history="1">
        <w:r w:rsidR="00543013" w:rsidRPr="00443B8A">
          <w:rPr>
            <w:rStyle w:val="Hyperlink"/>
            <w:lang w:val="es-ES_tradnl"/>
          </w:rPr>
          <w:t>1.</w:t>
        </w:r>
        <w:r w:rsidR="00543013" w:rsidRPr="00443B8A">
          <w:rPr>
            <w:rFonts w:asciiTheme="minorHAnsi" w:eastAsiaTheme="minorEastAsia" w:hAnsiTheme="minorHAnsi" w:cstheme="minorBidi"/>
            <w:lang w:val="es-ES_tradnl" w:eastAsia="fr-BE" w:bidi="ar-SA"/>
          </w:rPr>
          <w:tab/>
        </w:r>
        <w:r w:rsidR="00543013" w:rsidRPr="00443B8A">
          <w:rPr>
            <w:rStyle w:val="Hyperlink"/>
            <w:b/>
            <w:lang w:val="es-ES_tradnl"/>
          </w:rPr>
          <w:t>GOBERNANZA ECONÓMICA / INSTRUMENTOS FINANCIEROS / FISCALIDAD</w:t>
        </w:r>
        <w:r w:rsidR="00543013" w:rsidRPr="00443B8A">
          <w:rPr>
            <w:webHidden/>
            <w:lang w:val="es-ES_tradnl"/>
          </w:rPr>
          <w:tab/>
        </w:r>
        <w:r w:rsidR="00543013" w:rsidRPr="00443B8A">
          <w:rPr>
            <w:webHidden/>
            <w:lang w:val="es-ES_tradnl"/>
          </w:rPr>
          <w:fldChar w:fldCharType="begin"/>
        </w:r>
        <w:r w:rsidR="00543013" w:rsidRPr="00443B8A">
          <w:rPr>
            <w:webHidden/>
            <w:lang w:val="es-ES_tradnl"/>
          </w:rPr>
          <w:instrText xml:space="preserve"> PAGEREF _Toc451270269 \h </w:instrText>
        </w:r>
        <w:r w:rsidR="00543013" w:rsidRPr="00443B8A">
          <w:rPr>
            <w:webHidden/>
            <w:lang w:val="es-ES_tradnl"/>
          </w:rPr>
        </w:r>
        <w:r w:rsidR="00543013" w:rsidRPr="00443B8A">
          <w:rPr>
            <w:webHidden/>
            <w:lang w:val="es-ES_tradnl"/>
          </w:rPr>
          <w:fldChar w:fldCharType="separate"/>
        </w:r>
        <w:r w:rsidR="00543013" w:rsidRPr="00443B8A">
          <w:rPr>
            <w:webHidden/>
            <w:lang w:val="es-ES_tradnl"/>
          </w:rPr>
          <w:t>3</w:t>
        </w:r>
        <w:r w:rsidR="00543013" w:rsidRPr="00443B8A">
          <w:rPr>
            <w:webHidden/>
            <w:lang w:val="es-ES_tradnl"/>
          </w:rPr>
          <w:fldChar w:fldCharType="end"/>
        </w:r>
      </w:hyperlink>
    </w:p>
    <w:p w:rsidR="00543013" w:rsidRPr="00443B8A" w:rsidRDefault="00443B8A">
      <w:pPr>
        <w:pStyle w:val="TOC1"/>
        <w:tabs>
          <w:tab w:val="left" w:pos="440"/>
          <w:tab w:val="right" w:leader="dot" w:pos="9017"/>
        </w:tabs>
        <w:rPr>
          <w:rFonts w:asciiTheme="minorHAnsi" w:eastAsiaTheme="minorEastAsia" w:hAnsiTheme="minorHAnsi" w:cstheme="minorBidi"/>
          <w:lang w:val="es-ES_tradnl" w:eastAsia="fr-BE" w:bidi="ar-SA"/>
        </w:rPr>
      </w:pPr>
      <w:hyperlink w:anchor="_Toc451270270" w:history="1">
        <w:r w:rsidR="00543013" w:rsidRPr="00443B8A">
          <w:rPr>
            <w:rStyle w:val="Hyperlink"/>
            <w:lang w:val="es-ES_tradnl"/>
          </w:rPr>
          <w:t>2.</w:t>
        </w:r>
        <w:r w:rsidR="00543013" w:rsidRPr="00443B8A">
          <w:rPr>
            <w:rFonts w:asciiTheme="minorHAnsi" w:eastAsiaTheme="minorEastAsia" w:hAnsiTheme="minorHAnsi" w:cstheme="minorBidi"/>
            <w:lang w:val="es-ES_tradnl" w:eastAsia="fr-BE" w:bidi="ar-SA"/>
          </w:rPr>
          <w:tab/>
        </w:r>
        <w:r w:rsidR="00543013" w:rsidRPr="00443B8A">
          <w:rPr>
            <w:rStyle w:val="Hyperlink"/>
            <w:b/>
            <w:lang w:val="es-ES_tradnl"/>
          </w:rPr>
          <w:t>MERCADO INTERIOR / COMERCIO</w:t>
        </w:r>
        <w:r w:rsidR="00543013" w:rsidRPr="00443B8A">
          <w:rPr>
            <w:webHidden/>
            <w:lang w:val="es-ES_tradnl"/>
          </w:rPr>
          <w:tab/>
        </w:r>
        <w:r w:rsidR="00543013" w:rsidRPr="00443B8A">
          <w:rPr>
            <w:webHidden/>
            <w:lang w:val="es-ES_tradnl"/>
          </w:rPr>
          <w:fldChar w:fldCharType="begin"/>
        </w:r>
        <w:r w:rsidR="00543013" w:rsidRPr="00443B8A">
          <w:rPr>
            <w:webHidden/>
            <w:lang w:val="es-ES_tradnl"/>
          </w:rPr>
          <w:instrText xml:space="preserve"> PAGEREF _Toc451270270 \h </w:instrText>
        </w:r>
        <w:r w:rsidR="00543013" w:rsidRPr="00443B8A">
          <w:rPr>
            <w:webHidden/>
            <w:lang w:val="es-ES_tradnl"/>
          </w:rPr>
        </w:r>
        <w:r w:rsidR="00543013" w:rsidRPr="00443B8A">
          <w:rPr>
            <w:webHidden/>
            <w:lang w:val="es-ES_tradnl"/>
          </w:rPr>
          <w:fldChar w:fldCharType="separate"/>
        </w:r>
        <w:r w:rsidR="00543013" w:rsidRPr="00443B8A">
          <w:rPr>
            <w:webHidden/>
            <w:lang w:val="es-ES_tradnl"/>
          </w:rPr>
          <w:t>4</w:t>
        </w:r>
        <w:r w:rsidR="00543013" w:rsidRPr="00443B8A">
          <w:rPr>
            <w:webHidden/>
            <w:lang w:val="es-ES_tradnl"/>
          </w:rPr>
          <w:fldChar w:fldCharType="end"/>
        </w:r>
      </w:hyperlink>
    </w:p>
    <w:p w:rsidR="00543013" w:rsidRPr="00443B8A" w:rsidRDefault="00443B8A">
      <w:pPr>
        <w:pStyle w:val="TOC1"/>
        <w:tabs>
          <w:tab w:val="left" w:pos="440"/>
          <w:tab w:val="right" w:leader="dot" w:pos="9017"/>
        </w:tabs>
        <w:rPr>
          <w:rFonts w:asciiTheme="minorHAnsi" w:eastAsiaTheme="minorEastAsia" w:hAnsiTheme="minorHAnsi" w:cstheme="minorBidi"/>
          <w:lang w:val="es-ES_tradnl" w:eastAsia="fr-BE" w:bidi="ar-SA"/>
        </w:rPr>
      </w:pPr>
      <w:hyperlink w:anchor="_Toc451270271" w:history="1">
        <w:r w:rsidR="00543013" w:rsidRPr="00443B8A">
          <w:rPr>
            <w:rStyle w:val="Hyperlink"/>
            <w:lang w:val="es-ES_tradnl"/>
          </w:rPr>
          <w:t>3.</w:t>
        </w:r>
        <w:r w:rsidR="00543013" w:rsidRPr="00443B8A">
          <w:rPr>
            <w:rFonts w:asciiTheme="minorHAnsi" w:eastAsiaTheme="minorEastAsia" w:hAnsiTheme="minorHAnsi" w:cstheme="minorBidi"/>
            <w:lang w:val="es-ES_tradnl" w:eastAsia="fr-BE" w:bidi="ar-SA"/>
          </w:rPr>
          <w:tab/>
        </w:r>
        <w:r w:rsidR="00543013" w:rsidRPr="00443B8A">
          <w:rPr>
            <w:rStyle w:val="Hyperlink"/>
            <w:b/>
            <w:lang w:val="es-ES_tradnl"/>
          </w:rPr>
          <w:t>ASUNTOS SOCIALES / EMPLEO</w:t>
        </w:r>
        <w:r w:rsidR="00543013" w:rsidRPr="00443B8A">
          <w:rPr>
            <w:webHidden/>
            <w:lang w:val="es-ES_tradnl"/>
          </w:rPr>
          <w:tab/>
        </w:r>
        <w:r w:rsidR="00543013" w:rsidRPr="00443B8A">
          <w:rPr>
            <w:webHidden/>
            <w:lang w:val="es-ES_tradnl"/>
          </w:rPr>
          <w:fldChar w:fldCharType="begin"/>
        </w:r>
        <w:r w:rsidR="00543013" w:rsidRPr="00443B8A">
          <w:rPr>
            <w:webHidden/>
            <w:lang w:val="es-ES_tradnl"/>
          </w:rPr>
          <w:instrText xml:space="preserve"> PAGEREF _Toc451270271 \h </w:instrText>
        </w:r>
        <w:r w:rsidR="00543013" w:rsidRPr="00443B8A">
          <w:rPr>
            <w:webHidden/>
            <w:lang w:val="es-ES_tradnl"/>
          </w:rPr>
        </w:r>
        <w:r w:rsidR="00543013" w:rsidRPr="00443B8A">
          <w:rPr>
            <w:webHidden/>
            <w:lang w:val="es-ES_tradnl"/>
          </w:rPr>
          <w:fldChar w:fldCharType="separate"/>
        </w:r>
        <w:r w:rsidR="00543013" w:rsidRPr="00443B8A">
          <w:rPr>
            <w:webHidden/>
            <w:lang w:val="es-ES_tradnl"/>
          </w:rPr>
          <w:t>16</w:t>
        </w:r>
        <w:r w:rsidR="00543013" w:rsidRPr="00443B8A">
          <w:rPr>
            <w:webHidden/>
            <w:lang w:val="es-ES_tradnl"/>
          </w:rPr>
          <w:fldChar w:fldCharType="end"/>
        </w:r>
      </w:hyperlink>
    </w:p>
    <w:p w:rsidR="00543013" w:rsidRPr="00443B8A" w:rsidRDefault="00443B8A">
      <w:pPr>
        <w:pStyle w:val="TOC1"/>
        <w:tabs>
          <w:tab w:val="left" w:pos="440"/>
          <w:tab w:val="right" w:leader="dot" w:pos="9017"/>
        </w:tabs>
        <w:rPr>
          <w:rFonts w:asciiTheme="minorHAnsi" w:eastAsiaTheme="minorEastAsia" w:hAnsiTheme="minorHAnsi" w:cstheme="minorBidi"/>
          <w:lang w:val="es-ES_tradnl" w:eastAsia="fr-BE" w:bidi="ar-SA"/>
        </w:rPr>
      </w:pPr>
      <w:hyperlink w:anchor="_Toc451270272" w:history="1">
        <w:r w:rsidR="00543013" w:rsidRPr="00443B8A">
          <w:rPr>
            <w:rStyle w:val="Hyperlink"/>
            <w:lang w:val="es-ES_tradnl"/>
          </w:rPr>
          <w:t>4.</w:t>
        </w:r>
        <w:r w:rsidR="00543013" w:rsidRPr="00443B8A">
          <w:rPr>
            <w:rFonts w:asciiTheme="minorHAnsi" w:eastAsiaTheme="minorEastAsia" w:hAnsiTheme="minorHAnsi" w:cstheme="minorBidi"/>
            <w:lang w:val="es-ES_tradnl" w:eastAsia="fr-BE" w:bidi="ar-SA"/>
          </w:rPr>
          <w:tab/>
        </w:r>
        <w:r w:rsidR="00543013" w:rsidRPr="00443B8A">
          <w:rPr>
            <w:rStyle w:val="Hyperlink"/>
            <w:b/>
            <w:lang w:val="es-ES_tradnl"/>
          </w:rPr>
          <w:t>MEDIO AMBIENTE</w:t>
        </w:r>
        <w:r w:rsidR="00543013" w:rsidRPr="00443B8A">
          <w:rPr>
            <w:webHidden/>
            <w:lang w:val="es-ES_tradnl"/>
          </w:rPr>
          <w:tab/>
        </w:r>
        <w:r w:rsidR="00543013" w:rsidRPr="00443B8A">
          <w:rPr>
            <w:webHidden/>
            <w:lang w:val="es-ES_tradnl"/>
          </w:rPr>
          <w:fldChar w:fldCharType="begin"/>
        </w:r>
        <w:r w:rsidR="00543013" w:rsidRPr="00443B8A">
          <w:rPr>
            <w:webHidden/>
            <w:lang w:val="es-ES_tradnl"/>
          </w:rPr>
          <w:instrText xml:space="preserve"> PAGEREF _Toc451270272 \h </w:instrText>
        </w:r>
        <w:r w:rsidR="00543013" w:rsidRPr="00443B8A">
          <w:rPr>
            <w:webHidden/>
            <w:lang w:val="es-ES_tradnl"/>
          </w:rPr>
        </w:r>
        <w:r w:rsidR="00543013" w:rsidRPr="00443B8A">
          <w:rPr>
            <w:webHidden/>
            <w:lang w:val="es-ES_tradnl"/>
          </w:rPr>
          <w:fldChar w:fldCharType="separate"/>
        </w:r>
        <w:r w:rsidR="00543013" w:rsidRPr="00443B8A">
          <w:rPr>
            <w:webHidden/>
            <w:lang w:val="es-ES_tradnl"/>
          </w:rPr>
          <w:t>19</w:t>
        </w:r>
        <w:r w:rsidR="00543013" w:rsidRPr="00443B8A">
          <w:rPr>
            <w:webHidden/>
            <w:lang w:val="es-ES_tradnl"/>
          </w:rPr>
          <w:fldChar w:fldCharType="end"/>
        </w:r>
      </w:hyperlink>
    </w:p>
    <w:p w:rsidR="00543013" w:rsidRPr="00443B8A" w:rsidRDefault="00443B8A">
      <w:pPr>
        <w:pStyle w:val="TOC1"/>
        <w:tabs>
          <w:tab w:val="left" w:pos="440"/>
          <w:tab w:val="right" w:leader="dot" w:pos="9017"/>
        </w:tabs>
        <w:rPr>
          <w:rFonts w:asciiTheme="minorHAnsi" w:eastAsiaTheme="minorEastAsia" w:hAnsiTheme="minorHAnsi" w:cstheme="minorBidi"/>
          <w:lang w:val="es-ES_tradnl" w:eastAsia="fr-BE" w:bidi="ar-SA"/>
        </w:rPr>
      </w:pPr>
      <w:hyperlink w:anchor="_Toc451270273" w:history="1">
        <w:r w:rsidR="00543013" w:rsidRPr="00443B8A">
          <w:rPr>
            <w:rStyle w:val="Hyperlink"/>
            <w:lang w:val="es-ES_tradnl"/>
          </w:rPr>
          <w:t>5.</w:t>
        </w:r>
        <w:r w:rsidR="00543013" w:rsidRPr="00443B8A">
          <w:rPr>
            <w:rFonts w:asciiTheme="minorHAnsi" w:eastAsiaTheme="minorEastAsia" w:hAnsiTheme="minorHAnsi" w:cstheme="minorBidi"/>
            <w:lang w:val="es-ES_tradnl" w:eastAsia="fr-BE" w:bidi="ar-SA"/>
          </w:rPr>
          <w:tab/>
        </w:r>
        <w:r w:rsidR="00543013" w:rsidRPr="00443B8A">
          <w:rPr>
            <w:rStyle w:val="Hyperlink"/>
            <w:b/>
            <w:lang w:val="es-ES_tradnl"/>
          </w:rPr>
          <w:t>ENERGÍA</w:t>
        </w:r>
        <w:r w:rsidR="00543013" w:rsidRPr="00443B8A">
          <w:rPr>
            <w:webHidden/>
            <w:lang w:val="es-ES_tradnl"/>
          </w:rPr>
          <w:tab/>
        </w:r>
        <w:r w:rsidR="00543013" w:rsidRPr="00443B8A">
          <w:rPr>
            <w:webHidden/>
            <w:lang w:val="es-ES_tradnl"/>
          </w:rPr>
          <w:fldChar w:fldCharType="begin"/>
        </w:r>
        <w:r w:rsidR="00543013" w:rsidRPr="00443B8A">
          <w:rPr>
            <w:webHidden/>
            <w:lang w:val="es-ES_tradnl"/>
          </w:rPr>
          <w:instrText xml:space="preserve"> PAGEREF _Toc451270273 \h </w:instrText>
        </w:r>
        <w:r w:rsidR="00543013" w:rsidRPr="00443B8A">
          <w:rPr>
            <w:webHidden/>
            <w:lang w:val="es-ES_tradnl"/>
          </w:rPr>
        </w:r>
        <w:r w:rsidR="00543013" w:rsidRPr="00443B8A">
          <w:rPr>
            <w:webHidden/>
            <w:lang w:val="es-ES_tradnl"/>
          </w:rPr>
          <w:fldChar w:fldCharType="separate"/>
        </w:r>
        <w:r w:rsidR="00543013" w:rsidRPr="00443B8A">
          <w:rPr>
            <w:webHidden/>
            <w:lang w:val="es-ES_tradnl"/>
          </w:rPr>
          <w:t>21</w:t>
        </w:r>
        <w:r w:rsidR="00543013" w:rsidRPr="00443B8A">
          <w:rPr>
            <w:webHidden/>
            <w:lang w:val="es-ES_tradnl"/>
          </w:rPr>
          <w:fldChar w:fldCharType="end"/>
        </w:r>
      </w:hyperlink>
    </w:p>
    <w:p w:rsidR="00543013" w:rsidRPr="00443B8A" w:rsidRDefault="00443B8A">
      <w:pPr>
        <w:pStyle w:val="TOC1"/>
        <w:tabs>
          <w:tab w:val="left" w:pos="440"/>
          <w:tab w:val="right" w:leader="dot" w:pos="9017"/>
        </w:tabs>
        <w:rPr>
          <w:rFonts w:asciiTheme="minorHAnsi" w:eastAsiaTheme="minorEastAsia" w:hAnsiTheme="minorHAnsi" w:cstheme="minorBidi"/>
          <w:lang w:val="es-ES_tradnl" w:eastAsia="fr-BE" w:bidi="ar-SA"/>
        </w:rPr>
      </w:pPr>
      <w:hyperlink w:anchor="_Toc451270274" w:history="1">
        <w:r w:rsidR="00543013" w:rsidRPr="00443B8A">
          <w:rPr>
            <w:rStyle w:val="Hyperlink"/>
            <w:lang w:val="es-ES_tradnl"/>
          </w:rPr>
          <w:t>6.</w:t>
        </w:r>
        <w:r w:rsidR="00543013" w:rsidRPr="00443B8A">
          <w:rPr>
            <w:rFonts w:asciiTheme="minorHAnsi" w:eastAsiaTheme="minorEastAsia" w:hAnsiTheme="minorHAnsi" w:cstheme="minorBidi"/>
            <w:lang w:val="es-ES_tradnl" w:eastAsia="fr-BE" w:bidi="ar-SA"/>
          </w:rPr>
          <w:tab/>
        </w:r>
        <w:r w:rsidR="00543013" w:rsidRPr="00443B8A">
          <w:rPr>
            <w:rStyle w:val="Hyperlink"/>
            <w:b/>
            <w:lang w:val="es-ES_tradnl"/>
          </w:rPr>
          <w:t>SEGURIDAD</w:t>
        </w:r>
        <w:r w:rsidR="00543013" w:rsidRPr="00443B8A">
          <w:rPr>
            <w:webHidden/>
            <w:lang w:val="es-ES_tradnl"/>
          </w:rPr>
          <w:tab/>
        </w:r>
        <w:r w:rsidR="00543013" w:rsidRPr="00443B8A">
          <w:rPr>
            <w:webHidden/>
            <w:lang w:val="es-ES_tradnl"/>
          </w:rPr>
          <w:fldChar w:fldCharType="begin"/>
        </w:r>
        <w:r w:rsidR="00543013" w:rsidRPr="00443B8A">
          <w:rPr>
            <w:webHidden/>
            <w:lang w:val="es-ES_tradnl"/>
          </w:rPr>
          <w:instrText xml:space="preserve"> PAGEREF _Toc451270274 \h </w:instrText>
        </w:r>
        <w:r w:rsidR="00543013" w:rsidRPr="00443B8A">
          <w:rPr>
            <w:webHidden/>
            <w:lang w:val="es-ES_tradnl"/>
          </w:rPr>
        </w:r>
        <w:r w:rsidR="00543013" w:rsidRPr="00443B8A">
          <w:rPr>
            <w:webHidden/>
            <w:lang w:val="es-ES_tradnl"/>
          </w:rPr>
          <w:fldChar w:fldCharType="separate"/>
        </w:r>
        <w:r w:rsidR="00543013" w:rsidRPr="00443B8A">
          <w:rPr>
            <w:webHidden/>
            <w:lang w:val="es-ES_tradnl"/>
          </w:rPr>
          <w:t>23</w:t>
        </w:r>
        <w:r w:rsidR="00543013" w:rsidRPr="00443B8A">
          <w:rPr>
            <w:webHidden/>
            <w:lang w:val="es-ES_tradnl"/>
          </w:rPr>
          <w:fldChar w:fldCharType="end"/>
        </w:r>
      </w:hyperlink>
    </w:p>
    <w:p w:rsidR="003759AE" w:rsidRPr="00443B8A" w:rsidRDefault="00B97C33">
      <w:pPr>
        <w:pStyle w:val="TOC1"/>
        <w:tabs>
          <w:tab w:val="left" w:pos="440"/>
          <w:tab w:val="right" w:leader="dot" w:pos="9017"/>
        </w:tabs>
        <w:rPr>
          <w:rFonts w:asciiTheme="minorHAnsi" w:eastAsiaTheme="minorEastAsia" w:hAnsiTheme="minorHAnsi" w:cstheme="minorBidi"/>
          <w:lang w:val="es-ES_tradnl"/>
        </w:rPr>
      </w:pPr>
      <w:r w:rsidRPr="00443B8A">
        <w:rPr>
          <w:lang w:val="es-ES_tradnl"/>
        </w:rPr>
        <w:fldChar w:fldCharType="end"/>
      </w:r>
    </w:p>
    <w:p w:rsidR="008405A0" w:rsidRPr="00443B8A" w:rsidRDefault="008405A0" w:rsidP="0079472F">
      <w:pPr>
        <w:rPr>
          <w:lang w:val="es-ES_tradnl"/>
        </w:rPr>
      </w:pPr>
      <w:r w:rsidRPr="00443B8A">
        <w:rPr>
          <w:lang w:val="es-ES_tradnl"/>
        </w:rPr>
        <w:br w:type="page"/>
      </w:r>
    </w:p>
    <w:p w:rsidR="008D00A6" w:rsidRPr="00443B8A" w:rsidRDefault="008405A0" w:rsidP="008D00A6">
      <w:pPr>
        <w:rPr>
          <w:lang w:val="es-ES_tradnl"/>
        </w:rPr>
      </w:pPr>
      <w:r w:rsidRPr="00443B8A">
        <w:rPr>
          <w:lang w:val="es-ES_tradnl"/>
        </w:rPr>
        <w:lastRenderedPageBreak/>
        <w:t>El pleno de los días 27 y 28 de abril de 2016 contó con la participación de Maroš ŠEFČOVIČ, vicepresidente de la Comisión Europea, encargado de la Unión de la Energía.</w:t>
      </w:r>
    </w:p>
    <w:p w:rsidR="008D00A6" w:rsidRPr="00443B8A" w:rsidRDefault="008D00A6" w:rsidP="00932118">
      <w:pPr>
        <w:spacing w:line="240" w:lineRule="auto"/>
        <w:rPr>
          <w:lang w:val="es-ES_tradnl"/>
        </w:rPr>
      </w:pPr>
    </w:p>
    <w:p w:rsidR="0048090F" w:rsidRPr="00443B8A" w:rsidRDefault="008D00A6" w:rsidP="0048090F">
      <w:pPr>
        <w:rPr>
          <w:lang w:val="es-ES_tradnl"/>
        </w:rPr>
      </w:pPr>
      <w:r w:rsidRPr="00443B8A">
        <w:rPr>
          <w:lang w:val="es-ES_tradnl"/>
        </w:rPr>
        <w:t>Los dictámenes aprobados en el pleno son los siguientes:</w:t>
      </w:r>
      <w:bookmarkStart w:id="1" w:name="_Toc442171220"/>
    </w:p>
    <w:p w:rsidR="004929C8" w:rsidRPr="00443B8A" w:rsidRDefault="004929C8" w:rsidP="0048090F">
      <w:pPr>
        <w:rPr>
          <w:lang w:val="es-ES_tradnl"/>
        </w:rPr>
      </w:pPr>
    </w:p>
    <w:p w:rsidR="009F58A3" w:rsidRPr="00443B8A" w:rsidRDefault="001E76FC" w:rsidP="0048090F">
      <w:pPr>
        <w:keepNext/>
        <w:numPr>
          <w:ilvl w:val="0"/>
          <w:numId w:val="2"/>
        </w:numPr>
        <w:ind w:left="567" w:hanging="578"/>
        <w:outlineLvl w:val="0"/>
        <w:rPr>
          <w:b/>
          <w:lang w:val="es-ES_tradnl"/>
        </w:rPr>
      </w:pPr>
      <w:bookmarkStart w:id="2" w:name="_Toc449349326"/>
      <w:bookmarkStart w:id="3" w:name="_Toc451270269"/>
      <w:r w:rsidRPr="00443B8A">
        <w:rPr>
          <w:b/>
          <w:lang w:val="es-ES_tradnl"/>
        </w:rPr>
        <w:t>GOBERNANZA ECONÓMICA / INSTRUMENTOS FINANCIEROS / FISCALIDAD</w:t>
      </w:r>
      <w:bookmarkEnd w:id="1"/>
      <w:bookmarkEnd w:id="2"/>
      <w:bookmarkEnd w:id="3"/>
    </w:p>
    <w:p w:rsidR="009523E9" w:rsidRPr="00443B8A" w:rsidRDefault="009523E9" w:rsidP="00932118">
      <w:pPr>
        <w:spacing w:line="240" w:lineRule="auto"/>
        <w:rPr>
          <w:iCs/>
          <w:highlight w:val="yellow"/>
          <w:lang w:val="es-ES_tradnl"/>
        </w:rPr>
      </w:pPr>
    </w:p>
    <w:p w:rsidR="001E74A2" w:rsidRPr="00443B8A" w:rsidRDefault="001E74A2" w:rsidP="001E74A2">
      <w:pPr>
        <w:widowControl w:val="0"/>
        <w:numPr>
          <w:ilvl w:val="0"/>
          <w:numId w:val="5"/>
        </w:numPr>
        <w:overflowPunct w:val="0"/>
        <w:autoSpaceDE w:val="0"/>
        <w:autoSpaceDN w:val="0"/>
        <w:adjustRightInd w:val="0"/>
        <w:ind w:left="283"/>
        <w:textAlignment w:val="baseline"/>
        <w:rPr>
          <w:b/>
          <w:bCs/>
          <w:i/>
          <w:iCs/>
          <w:sz w:val="28"/>
          <w:szCs w:val="28"/>
          <w:lang w:val="es-ES_tradnl"/>
        </w:rPr>
      </w:pPr>
      <w:r w:rsidRPr="00443B8A">
        <w:rPr>
          <w:b/>
          <w:i/>
          <w:sz w:val="28"/>
          <w:lang w:val="es-ES_tradnl"/>
        </w:rPr>
        <w:t>Paquete de lucha contra la elusión fiscal</w:t>
      </w:r>
    </w:p>
    <w:p w:rsidR="001E74A2" w:rsidRPr="00443B8A" w:rsidRDefault="001E74A2" w:rsidP="00932118">
      <w:pPr>
        <w:spacing w:line="240" w:lineRule="auto"/>
        <w:rPr>
          <w:lang w:val="es-ES_tradnl"/>
        </w:rPr>
      </w:pPr>
    </w:p>
    <w:p w:rsidR="001E74A2" w:rsidRPr="00443B8A" w:rsidRDefault="001E74A2" w:rsidP="001E74A2">
      <w:pPr>
        <w:rPr>
          <w:lang w:val="es-ES_tradnl"/>
        </w:rPr>
      </w:pPr>
      <w:r w:rsidRPr="00443B8A">
        <w:rPr>
          <w:b/>
          <w:lang w:val="es-ES_tradnl"/>
        </w:rPr>
        <w:t>Ponente:</w:t>
      </w:r>
      <w:r w:rsidR="00932118" w:rsidRPr="00443B8A">
        <w:rPr>
          <w:lang w:val="es-ES_tradnl"/>
        </w:rPr>
        <w:tab/>
      </w:r>
      <w:r w:rsidR="00205DB4" w:rsidRPr="00443B8A">
        <w:rPr>
          <w:lang w:val="es-ES_tradnl"/>
        </w:rPr>
        <w:t xml:space="preserve">Petru </w:t>
      </w:r>
      <w:r w:rsidRPr="00443B8A">
        <w:rPr>
          <w:lang w:val="es-ES_tradnl"/>
        </w:rPr>
        <w:t>DANDEA (Trabajadores – RO)</w:t>
      </w:r>
    </w:p>
    <w:p w:rsidR="001E74A2" w:rsidRPr="00443B8A" w:rsidRDefault="001E74A2" w:rsidP="00932118">
      <w:pPr>
        <w:spacing w:line="240" w:lineRule="auto"/>
        <w:rPr>
          <w:lang w:val="es-ES_tradnl"/>
        </w:rPr>
      </w:pPr>
    </w:p>
    <w:p w:rsidR="001E74A2" w:rsidRPr="00443B8A" w:rsidRDefault="001E74A2" w:rsidP="001E74A2">
      <w:pPr>
        <w:rPr>
          <w:lang w:val="es-ES_tradnl"/>
        </w:rPr>
      </w:pPr>
      <w:r w:rsidRPr="00443B8A">
        <w:rPr>
          <w:b/>
          <w:lang w:val="es-ES_tradnl"/>
        </w:rPr>
        <w:t>Coponente:</w:t>
      </w:r>
      <w:r w:rsidRPr="00443B8A">
        <w:rPr>
          <w:lang w:val="es-ES_tradnl"/>
        </w:rPr>
        <w:tab/>
        <w:t>Roger BARKER (Empresarios – UK)</w:t>
      </w:r>
    </w:p>
    <w:p w:rsidR="001E74A2" w:rsidRPr="00443B8A" w:rsidRDefault="001E74A2" w:rsidP="00932118">
      <w:pPr>
        <w:spacing w:line="240" w:lineRule="auto"/>
        <w:rPr>
          <w:lang w:val="es-ES_tradnl"/>
        </w:rPr>
      </w:pPr>
    </w:p>
    <w:p w:rsidR="001E74A2" w:rsidRPr="00443B8A" w:rsidRDefault="001E74A2" w:rsidP="001E74A2">
      <w:pPr>
        <w:ind w:left="-5"/>
        <w:rPr>
          <w:lang w:val="es-ES_tradnl"/>
        </w:rPr>
      </w:pPr>
      <w:r w:rsidRPr="00443B8A">
        <w:rPr>
          <w:b/>
          <w:lang w:val="es-ES_tradnl"/>
        </w:rPr>
        <w:t>Referencias:</w:t>
      </w:r>
      <w:r w:rsidR="00932118" w:rsidRPr="00443B8A">
        <w:rPr>
          <w:lang w:val="es-ES_tradnl"/>
        </w:rPr>
        <w:tab/>
      </w:r>
      <w:r w:rsidRPr="00443B8A">
        <w:rPr>
          <w:lang w:val="es-ES_tradnl"/>
        </w:rPr>
        <w:t>COM(2016) 26 final, COM(2016) 25 final</w:t>
      </w:r>
    </w:p>
    <w:p w:rsidR="001E74A2" w:rsidRPr="00443B8A" w:rsidRDefault="001E74A2" w:rsidP="00932118">
      <w:pPr>
        <w:ind w:left="1418"/>
        <w:rPr>
          <w:lang w:val="es-ES_tradnl"/>
        </w:rPr>
      </w:pPr>
      <w:r w:rsidRPr="00443B8A">
        <w:rPr>
          <w:lang w:val="es-ES_tradnl"/>
        </w:rPr>
        <w:t>EESC-2016-01284-00-00-AC-TRA</w:t>
      </w:r>
    </w:p>
    <w:p w:rsidR="001E74A2" w:rsidRPr="00443B8A" w:rsidRDefault="001E74A2" w:rsidP="00932118">
      <w:pPr>
        <w:spacing w:line="240" w:lineRule="auto"/>
        <w:rPr>
          <w:b/>
          <w:lang w:val="es-ES_tradnl"/>
        </w:rPr>
      </w:pPr>
    </w:p>
    <w:p w:rsidR="001E74A2" w:rsidRPr="00443B8A" w:rsidRDefault="001E74A2" w:rsidP="00D56136">
      <w:pPr>
        <w:ind w:left="-5"/>
        <w:rPr>
          <w:bCs/>
          <w:iCs/>
          <w:lang w:val="es-ES_tradnl"/>
        </w:rPr>
      </w:pPr>
      <w:r w:rsidRPr="00443B8A">
        <w:rPr>
          <w:b/>
          <w:lang w:val="es-ES_tradnl"/>
        </w:rPr>
        <w:t>Puntos clave:</w:t>
      </w:r>
    </w:p>
    <w:p w:rsidR="008D00A6" w:rsidRPr="00443B8A" w:rsidRDefault="008D00A6" w:rsidP="00932118">
      <w:pPr>
        <w:spacing w:line="240" w:lineRule="auto"/>
        <w:rPr>
          <w:lang w:val="es-ES_tradnl"/>
        </w:rPr>
      </w:pPr>
    </w:p>
    <w:p w:rsidR="008D00A6" w:rsidRPr="00443B8A" w:rsidRDefault="001E74A2" w:rsidP="00D06A85">
      <w:pPr>
        <w:rPr>
          <w:lang w:val="es-ES_tradnl"/>
        </w:rPr>
      </w:pPr>
      <w:r w:rsidRPr="00443B8A">
        <w:rPr>
          <w:lang w:val="es-ES_tradnl"/>
        </w:rPr>
        <w:t>El CESE acoge favorablemente la iniciativa de la Comisión.</w:t>
      </w:r>
    </w:p>
    <w:p w:rsidR="008D00A6" w:rsidRPr="00443B8A" w:rsidRDefault="008D00A6" w:rsidP="00932118">
      <w:pPr>
        <w:spacing w:line="240" w:lineRule="auto"/>
        <w:rPr>
          <w:lang w:val="es-ES_tradnl"/>
        </w:rPr>
      </w:pPr>
    </w:p>
    <w:p w:rsidR="001E74A2" w:rsidRPr="00443B8A" w:rsidRDefault="001E74A2" w:rsidP="00D06A85">
      <w:pPr>
        <w:rPr>
          <w:lang w:val="es-ES_tradnl"/>
        </w:rPr>
      </w:pPr>
      <w:r w:rsidRPr="00443B8A">
        <w:rPr>
          <w:lang w:val="es-ES_tradnl"/>
        </w:rPr>
        <w:t>El Comité sugiere:</w:t>
      </w:r>
    </w:p>
    <w:p w:rsidR="001E74A2" w:rsidRPr="00443B8A" w:rsidRDefault="001E74A2" w:rsidP="001E74A2">
      <w:pPr>
        <w:overflowPunct w:val="0"/>
        <w:autoSpaceDE w:val="0"/>
        <w:autoSpaceDN w:val="0"/>
        <w:adjustRightInd w:val="0"/>
        <w:spacing w:line="240" w:lineRule="auto"/>
        <w:textAlignment w:val="baseline"/>
        <w:rPr>
          <w:szCs w:val="20"/>
          <w:lang w:val="es-ES_tradnl"/>
        </w:rPr>
      </w:pPr>
    </w:p>
    <w:p w:rsidR="001E74A2" w:rsidRPr="00443B8A" w:rsidRDefault="001E74A2" w:rsidP="00D06A85">
      <w:pPr>
        <w:pStyle w:val="ListParagraph"/>
        <w:numPr>
          <w:ilvl w:val="0"/>
          <w:numId w:val="76"/>
        </w:numPr>
        <w:tabs>
          <w:tab w:val="left" w:pos="770"/>
        </w:tabs>
        <w:ind w:left="369" w:hanging="369"/>
        <w:rPr>
          <w:lang w:val="es-ES_tradnl"/>
        </w:rPr>
      </w:pPr>
      <w:r w:rsidRPr="00443B8A">
        <w:rPr>
          <w:lang w:val="es-ES_tradnl"/>
        </w:rPr>
        <w:t>que conviene alinearse con los aspectos realmente acordados en la esfera de la OCDE ;</w:t>
      </w:r>
    </w:p>
    <w:p w:rsidR="00413EED" w:rsidRPr="00443B8A" w:rsidRDefault="00413EED" w:rsidP="00932118">
      <w:pPr>
        <w:spacing w:line="240" w:lineRule="auto"/>
        <w:rPr>
          <w:lang w:val="es-ES_tradnl"/>
        </w:rPr>
      </w:pPr>
    </w:p>
    <w:p w:rsidR="001E74A2" w:rsidRPr="00443B8A" w:rsidRDefault="001E74A2" w:rsidP="00D06A85">
      <w:pPr>
        <w:pStyle w:val="ListParagraph"/>
        <w:numPr>
          <w:ilvl w:val="0"/>
          <w:numId w:val="76"/>
        </w:numPr>
        <w:tabs>
          <w:tab w:val="left" w:pos="770"/>
        </w:tabs>
        <w:ind w:left="369" w:hanging="369"/>
        <w:rPr>
          <w:lang w:val="es-ES_tradnl"/>
        </w:rPr>
      </w:pPr>
      <w:r w:rsidRPr="00443B8A">
        <w:rPr>
          <w:lang w:val="es-ES_tradnl"/>
        </w:rPr>
        <w:t xml:space="preserve">que se garantice una aplicación uniforme; </w:t>
      </w:r>
    </w:p>
    <w:p w:rsidR="00413EED" w:rsidRPr="00443B8A" w:rsidRDefault="00413EED" w:rsidP="00932118">
      <w:pPr>
        <w:spacing w:line="240" w:lineRule="auto"/>
        <w:rPr>
          <w:lang w:val="es-ES_tradnl"/>
        </w:rPr>
      </w:pPr>
    </w:p>
    <w:p w:rsidR="001E74A2" w:rsidRPr="00443B8A" w:rsidRDefault="001E74A2" w:rsidP="00D06A85">
      <w:pPr>
        <w:pStyle w:val="ListParagraph"/>
        <w:numPr>
          <w:ilvl w:val="0"/>
          <w:numId w:val="76"/>
        </w:numPr>
        <w:tabs>
          <w:tab w:val="left" w:pos="770"/>
        </w:tabs>
        <w:ind w:left="369" w:hanging="369"/>
        <w:rPr>
          <w:lang w:val="es-ES_tradnl"/>
        </w:rPr>
      </w:pPr>
      <w:r w:rsidRPr="00443B8A">
        <w:rPr>
          <w:lang w:val="es-ES_tradnl"/>
        </w:rPr>
        <w:t>que se examine si las normas propuestas también pueden aplicarse a las sociedades financieras;</w:t>
      </w:r>
    </w:p>
    <w:p w:rsidR="00413EED" w:rsidRPr="00443B8A" w:rsidRDefault="00413EED" w:rsidP="00932118">
      <w:pPr>
        <w:spacing w:line="240" w:lineRule="auto"/>
        <w:rPr>
          <w:lang w:val="es-ES_tradnl"/>
        </w:rPr>
      </w:pPr>
    </w:p>
    <w:p w:rsidR="001E74A2" w:rsidRPr="00443B8A" w:rsidRDefault="001E74A2" w:rsidP="00D06A85">
      <w:pPr>
        <w:pStyle w:val="ListParagraph"/>
        <w:numPr>
          <w:ilvl w:val="0"/>
          <w:numId w:val="76"/>
        </w:numPr>
        <w:tabs>
          <w:tab w:val="left" w:pos="770"/>
        </w:tabs>
        <w:ind w:left="369" w:hanging="369"/>
        <w:rPr>
          <w:lang w:val="es-ES_tradnl"/>
        </w:rPr>
      </w:pPr>
      <w:r w:rsidRPr="00443B8A">
        <w:rPr>
          <w:lang w:val="es-ES_tradnl"/>
        </w:rPr>
        <w:t>que la regla de la cláusula de inversión (</w:t>
      </w:r>
      <w:r w:rsidRPr="00443B8A">
        <w:rPr>
          <w:i/>
          <w:lang w:val="es-ES_tradnl"/>
        </w:rPr>
        <w:t>switch over</w:t>
      </w:r>
      <w:r w:rsidRPr="00443B8A">
        <w:rPr>
          <w:lang w:val="es-ES_tradnl"/>
        </w:rPr>
        <w:t>) se debería aplicar directamente a todos los contribuyentes que hayan obtenido rentas en territorios reconocidos como paraísos fiscales;</w:t>
      </w:r>
    </w:p>
    <w:p w:rsidR="00413EED" w:rsidRPr="00443B8A" w:rsidRDefault="00413EED" w:rsidP="00932118">
      <w:pPr>
        <w:spacing w:line="240" w:lineRule="auto"/>
        <w:rPr>
          <w:lang w:val="es-ES_tradnl"/>
        </w:rPr>
      </w:pPr>
    </w:p>
    <w:p w:rsidR="001E74A2" w:rsidRPr="00443B8A" w:rsidRDefault="001E74A2" w:rsidP="00D06A85">
      <w:pPr>
        <w:pStyle w:val="ListParagraph"/>
        <w:numPr>
          <w:ilvl w:val="0"/>
          <w:numId w:val="76"/>
        </w:numPr>
        <w:tabs>
          <w:tab w:val="left" w:pos="770"/>
        </w:tabs>
        <w:ind w:left="369" w:hanging="369"/>
        <w:rPr>
          <w:lang w:val="es-ES_tradnl"/>
        </w:rPr>
      </w:pPr>
      <w:r w:rsidRPr="00443B8A">
        <w:rPr>
          <w:lang w:val="es-ES_tradnl"/>
        </w:rPr>
        <w:t>que habría que apoyar las normas relativas a las sociedades extranjeras controladas establecidas en la propuesta de Directiva;</w:t>
      </w:r>
    </w:p>
    <w:p w:rsidR="00413EED" w:rsidRPr="00443B8A" w:rsidRDefault="00413EED" w:rsidP="00932118">
      <w:pPr>
        <w:spacing w:line="240" w:lineRule="auto"/>
        <w:rPr>
          <w:lang w:val="es-ES_tradnl"/>
        </w:rPr>
      </w:pPr>
    </w:p>
    <w:p w:rsidR="001E74A2" w:rsidRPr="00443B8A" w:rsidRDefault="001E74A2" w:rsidP="00D06A85">
      <w:pPr>
        <w:pStyle w:val="ListParagraph"/>
        <w:numPr>
          <w:ilvl w:val="0"/>
          <w:numId w:val="76"/>
        </w:numPr>
        <w:tabs>
          <w:tab w:val="left" w:pos="770"/>
        </w:tabs>
        <w:ind w:left="369" w:hanging="369"/>
        <w:rPr>
          <w:lang w:val="es-ES_tradnl"/>
        </w:rPr>
      </w:pPr>
      <w:r w:rsidRPr="00443B8A">
        <w:rPr>
          <w:lang w:val="es-ES_tradnl"/>
        </w:rPr>
        <w:t>que las pymes deberían quedar excluidas de la propuesta;</w:t>
      </w:r>
    </w:p>
    <w:p w:rsidR="00413EED" w:rsidRPr="00443B8A" w:rsidRDefault="00413EED" w:rsidP="00932118">
      <w:pPr>
        <w:spacing w:line="240" w:lineRule="auto"/>
        <w:rPr>
          <w:lang w:val="es-ES_tradnl"/>
        </w:rPr>
      </w:pPr>
    </w:p>
    <w:p w:rsidR="001E74A2" w:rsidRPr="00443B8A" w:rsidRDefault="001E74A2" w:rsidP="00D06A85">
      <w:pPr>
        <w:pStyle w:val="ListParagraph"/>
        <w:numPr>
          <w:ilvl w:val="0"/>
          <w:numId w:val="76"/>
        </w:numPr>
        <w:tabs>
          <w:tab w:val="left" w:pos="770"/>
        </w:tabs>
        <w:ind w:left="369" w:hanging="369"/>
        <w:rPr>
          <w:lang w:val="es-ES_tradnl"/>
        </w:rPr>
      </w:pPr>
      <w:r w:rsidRPr="00443B8A">
        <w:rPr>
          <w:lang w:val="es-ES_tradnl"/>
        </w:rPr>
        <w:t>que los Estados miembros hagan públicas las declaraciones sobre los resultados financieros que serán objeto del intercambio automático de información;</w:t>
      </w:r>
    </w:p>
    <w:p w:rsidR="00413EED" w:rsidRPr="00443B8A" w:rsidRDefault="00413EED" w:rsidP="00932118">
      <w:pPr>
        <w:spacing w:line="240" w:lineRule="auto"/>
        <w:rPr>
          <w:lang w:val="es-ES_tradnl"/>
        </w:rPr>
      </w:pPr>
    </w:p>
    <w:p w:rsidR="001E74A2" w:rsidRPr="00443B8A" w:rsidRDefault="001E74A2" w:rsidP="00D06A85">
      <w:pPr>
        <w:pStyle w:val="ListParagraph"/>
        <w:numPr>
          <w:ilvl w:val="0"/>
          <w:numId w:val="76"/>
        </w:numPr>
        <w:tabs>
          <w:tab w:val="left" w:pos="770"/>
        </w:tabs>
        <w:ind w:left="369" w:hanging="369"/>
        <w:rPr>
          <w:lang w:val="es-ES_tradnl"/>
        </w:rPr>
      </w:pPr>
      <w:r w:rsidRPr="00443B8A">
        <w:rPr>
          <w:lang w:val="es-ES_tradnl"/>
        </w:rPr>
        <w:t>que habría que confeccionar una lista de los países y regiones que se nieguen a aplicar buenas normas de gobernanza en el ámbito fiscal.</w:t>
      </w:r>
    </w:p>
    <w:p w:rsidR="001E74A2" w:rsidRPr="00443B8A" w:rsidRDefault="001E74A2" w:rsidP="001E74A2">
      <w:pPr>
        <w:tabs>
          <w:tab w:val="left" w:pos="770"/>
        </w:tabs>
        <w:ind w:left="1430" w:hanging="1430"/>
        <w:rPr>
          <w:bCs/>
          <w:iCs/>
          <w:lang w:val="es-ES_tradnl"/>
        </w:rPr>
      </w:pPr>
    </w:p>
    <w:p w:rsidR="001E74A2" w:rsidRPr="00443B8A" w:rsidRDefault="001E74A2" w:rsidP="001E74A2">
      <w:pPr>
        <w:tabs>
          <w:tab w:val="left" w:pos="770"/>
        </w:tabs>
        <w:ind w:left="1430" w:hanging="1430"/>
        <w:rPr>
          <w:i/>
          <w:iCs/>
          <w:lang w:val="es-ES_tradnl"/>
        </w:rPr>
      </w:pPr>
      <w:r w:rsidRPr="00443B8A">
        <w:rPr>
          <w:b/>
          <w:i/>
          <w:lang w:val="es-ES_tradnl"/>
        </w:rPr>
        <w:t>Contacto:</w:t>
      </w:r>
      <w:r w:rsidRPr="00443B8A">
        <w:rPr>
          <w:lang w:val="es-ES_tradnl"/>
        </w:rPr>
        <w:tab/>
      </w:r>
      <w:r w:rsidRPr="00443B8A">
        <w:rPr>
          <w:i/>
          <w:lang w:val="es-ES_tradnl"/>
        </w:rPr>
        <w:t>Siegfried Jantscher</w:t>
      </w:r>
    </w:p>
    <w:p w:rsidR="001E74A2" w:rsidRPr="00443B8A" w:rsidRDefault="001E74A2" w:rsidP="001E74A2">
      <w:pPr>
        <w:rPr>
          <w:i/>
          <w:iCs/>
          <w:lang w:val="es-ES_tradnl"/>
        </w:rPr>
      </w:pPr>
      <w:r w:rsidRPr="00443B8A">
        <w:rPr>
          <w:i/>
          <w:lang w:val="es-ES_tradnl"/>
        </w:rPr>
        <w:t xml:space="preserve">(Tel. 00 32 2 546 82 87 – correo electrónico: </w:t>
      </w:r>
      <w:hyperlink r:id="rId23">
        <w:r w:rsidRPr="00443B8A">
          <w:rPr>
            <w:rStyle w:val="Hyperlink"/>
            <w:i/>
            <w:lang w:val="es-ES_tradnl"/>
          </w:rPr>
          <w:t>siegfried.jantscher@eesc.europa.eu</w:t>
        </w:r>
      </w:hyperlink>
      <w:r w:rsidRPr="00443B8A">
        <w:rPr>
          <w:i/>
          <w:lang w:val="es-ES_tradnl"/>
        </w:rPr>
        <w:t>)</w:t>
      </w:r>
    </w:p>
    <w:p w:rsidR="001E74A2" w:rsidRPr="00443B8A" w:rsidRDefault="001E74A2" w:rsidP="001E74A2">
      <w:pPr>
        <w:rPr>
          <w:lang w:val="es-ES_tradnl"/>
        </w:rPr>
      </w:pPr>
    </w:p>
    <w:p w:rsidR="006140BB" w:rsidRPr="00443B8A" w:rsidRDefault="006140BB" w:rsidP="006140BB">
      <w:pPr>
        <w:keepNext/>
        <w:numPr>
          <w:ilvl w:val="0"/>
          <w:numId w:val="2"/>
        </w:numPr>
        <w:ind w:left="567" w:hanging="578"/>
        <w:outlineLvl w:val="0"/>
        <w:rPr>
          <w:b/>
          <w:lang w:val="es-ES_tradnl"/>
        </w:rPr>
      </w:pPr>
      <w:bookmarkStart w:id="4" w:name="_Toc449349327"/>
      <w:bookmarkStart w:id="5" w:name="_Toc451270270"/>
      <w:r w:rsidRPr="00443B8A">
        <w:rPr>
          <w:b/>
          <w:lang w:val="es-ES_tradnl"/>
        </w:rPr>
        <w:t>MERCADO INTERIOR / COMERCIO</w:t>
      </w:r>
      <w:bookmarkEnd w:id="4"/>
      <w:bookmarkEnd w:id="5"/>
    </w:p>
    <w:p w:rsidR="00DC7A11" w:rsidRPr="00443B8A" w:rsidRDefault="00DC7A11" w:rsidP="001E74A2">
      <w:pPr>
        <w:ind w:left="-567" w:hanging="284"/>
        <w:rPr>
          <w:b/>
          <w:highlight w:val="yellow"/>
          <w:u w:val="single"/>
          <w:lang w:val="es-ES_tradnl"/>
        </w:rPr>
      </w:pPr>
    </w:p>
    <w:p w:rsidR="001E74A2" w:rsidRPr="00443B8A" w:rsidRDefault="001E74A2" w:rsidP="00E21B91">
      <w:pPr>
        <w:widowControl w:val="0"/>
        <w:numPr>
          <w:ilvl w:val="0"/>
          <w:numId w:val="5"/>
        </w:numPr>
        <w:overflowPunct w:val="0"/>
        <w:autoSpaceDE w:val="0"/>
        <w:autoSpaceDN w:val="0"/>
        <w:adjustRightInd w:val="0"/>
        <w:ind w:left="284" w:hanging="284"/>
        <w:textAlignment w:val="baseline"/>
        <w:rPr>
          <w:b/>
          <w:bCs/>
          <w:i/>
          <w:iCs/>
          <w:sz w:val="28"/>
          <w:szCs w:val="28"/>
          <w:lang w:val="es-ES_tradnl"/>
        </w:rPr>
      </w:pPr>
      <w:r w:rsidRPr="00443B8A">
        <w:rPr>
          <w:b/>
          <w:i/>
          <w:sz w:val="28"/>
          <w:lang w:val="es-ES_tradnl"/>
        </w:rPr>
        <w:t xml:space="preserve">Servicios financieros al por menor y seguros </w:t>
      </w:r>
    </w:p>
    <w:p w:rsidR="001E74A2" w:rsidRPr="00443B8A" w:rsidRDefault="001E74A2" w:rsidP="001E74A2">
      <w:pPr>
        <w:tabs>
          <w:tab w:val="center" w:pos="284"/>
        </w:tabs>
        <w:ind w:left="266" w:hanging="266"/>
        <w:rPr>
          <w:lang w:val="es-ES_tradnl"/>
        </w:rPr>
      </w:pPr>
    </w:p>
    <w:p w:rsidR="001E74A2" w:rsidRPr="00443B8A" w:rsidRDefault="001E74A2" w:rsidP="001E74A2">
      <w:pPr>
        <w:tabs>
          <w:tab w:val="center" w:pos="284"/>
        </w:tabs>
        <w:ind w:left="266" w:hanging="266"/>
        <w:rPr>
          <w:lang w:val="es-ES_tradnl"/>
        </w:rPr>
      </w:pPr>
      <w:r w:rsidRPr="00443B8A">
        <w:rPr>
          <w:b/>
          <w:lang w:val="es-ES_tradnl"/>
        </w:rPr>
        <w:t>Ponente:</w:t>
      </w:r>
      <w:r w:rsidRPr="00443B8A">
        <w:rPr>
          <w:lang w:val="es-ES_tradnl"/>
        </w:rPr>
        <w:tab/>
        <w:t>Milena ANGELOVA (Empresarios – BG)</w:t>
      </w:r>
    </w:p>
    <w:p w:rsidR="001E74A2" w:rsidRPr="00443B8A" w:rsidRDefault="001E74A2" w:rsidP="001E74A2">
      <w:pPr>
        <w:tabs>
          <w:tab w:val="center" w:pos="284"/>
        </w:tabs>
        <w:ind w:left="266" w:hanging="266"/>
        <w:rPr>
          <w:b/>
          <w:lang w:val="es-ES_tradnl"/>
        </w:rPr>
      </w:pPr>
    </w:p>
    <w:p w:rsidR="001E74A2" w:rsidRPr="00443B8A" w:rsidRDefault="001E74A2" w:rsidP="001E74A2">
      <w:pPr>
        <w:tabs>
          <w:tab w:val="center" w:pos="284"/>
        </w:tabs>
        <w:ind w:left="266" w:hanging="266"/>
        <w:rPr>
          <w:lang w:val="es-ES_tradnl"/>
        </w:rPr>
      </w:pPr>
      <w:r w:rsidRPr="00443B8A">
        <w:rPr>
          <w:b/>
          <w:lang w:val="es-ES_tradnl"/>
        </w:rPr>
        <w:t>Referencias:</w:t>
      </w:r>
      <w:r w:rsidRPr="00443B8A">
        <w:rPr>
          <w:lang w:val="es-ES_tradnl"/>
        </w:rPr>
        <w:tab/>
        <w:t>COM(2015) 630 final</w:t>
      </w:r>
    </w:p>
    <w:p w:rsidR="00543013" w:rsidRPr="00443B8A" w:rsidRDefault="00543013" w:rsidP="001E74A2">
      <w:pPr>
        <w:tabs>
          <w:tab w:val="center" w:pos="284"/>
        </w:tabs>
        <w:ind w:left="266" w:hanging="266"/>
        <w:rPr>
          <w:lang w:val="es-ES_tradnl"/>
        </w:rPr>
      </w:pPr>
      <w:r w:rsidRPr="00443B8A">
        <w:rPr>
          <w:b/>
          <w:lang w:val="es-ES_tradnl"/>
        </w:rPr>
        <w:tab/>
      </w:r>
      <w:r w:rsidRPr="00443B8A">
        <w:rPr>
          <w:b/>
          <w:lang w:val="es-ES_tradnl"/>
        </w:rPr>
        <w:tab/>
      </w:r>
      <w:r w:rsidRPr="00443B8A">
        <w:rPr>
          <w:b/>
          <w:lang w:val="es-ES_tradnl"/>
        </w:rPr>
        <w:tab/>
      </w:r>
      <w:r w:rsidRPr="00443B8A">
        <w:rPr>
          <w:b/>
          <w:lang w:val="es-ES_tradnl"/>
        </w:rPr>
        <w:tab/>
      </w:r>
      <w:r w:rsidRPr="00443B8A">
        <w:rPr>
          <w:lang w:val="es-ES_tradnl"/>
        </w:rPr>
        <w:t>EESC-2015-06603-00-00-AC-TRA</w:t>
      </w:r>
    </w:p>
    <w:p w:rsidR="001E74A2" w:rsidRPr="00443B8A" w:rsidRDefault="001E74A2" w:rsidP="001E74A2">
      <w:pPr>
        <w:tabs>
          <w:tab w:val="center" w:pos="284"/>
        </w:tabs>
        <w:ind w:left="266" w:hanging="266"/>
        <w:rPr>
          <w:lang w:val="es-ES_tradnl"/>
        </w:rPr>
      </w:pPr>
    </w:p>
    <w:p w:rsidR="001E74A2" w:rsidRPr="00443B8A" w:rsidRDefault="001E74A2" w:rsidP="001E74A2">
      <w:pPr>
        <w:rPr>
          <w:b/>
          <w:lang w:val="es-ES_tradnl"/>
        </w:rPr>
      </w:pPr>
      <w:r w:rsidRPr="00443B8A">
        <w:rPr>
          <w:b/>
          <w:lang w:val="es-ES_tradnl"/>
        </w:rPr>
        <w:t>Puntos clave:</w:t>
      </w:r>
    </w:p>
    <w:p w:rsidR="00A76B23" w:rsidRPr="00443B8A" w:rsidRDefault="00A76B23" w:rsidP="00B52DA2">
      <w:pPr>
        <w:rPr>
          <w:lang w:val="es-ES_tradnl"/>
        </w:rPr>
      </w:pPr>
    </w:p>
    <w:p w:rsidR="001E74A2" w:rsidRPr="00443B8A" w:rsidRDefault="001E74A2" w:rsidP="00D56136">
      <w:pPr>
        <w:rPr>
          <w:lang w:val="es-ES_tradnl"/>
        </w:rPr>
      </w:pPr>
      <w:r w:rsidRPr="00443B8A">
        <w:rPr>
          <w:lang w:val="es-ES_tradnl"/>
        </w:rPr>
        <w:t>El CESE:</w:t>
      </w:r>
    </w:p>
    <w:p w:rsidR="006D698D" w:rsidRPr="00443B8A" w:rsidRDefault="006D698D" w:rsidP="00D56136">
      <w:pPr>
        <w:rPr>
          <w:lang w:val="es-ES_tradnl"/>
        </w:rPr>
      </w:pPr>
    </w:p>
    <w:p w:rsidR="001E74A2" w:rsidRPr="00443B8A" w:rsidRDefault="001E74A2" w:rsidP="00D56136">
      <w:pPr>
        <w:pStyle w:val="ListParagraph"/>
        <w:numPr>
          <w:ilvl w:val="0"/>
          <w:numId w:val="76"/>
        </w:numPr>
        <w:tabs>
          <w:tab w:val="left" w:pos="770"/>
        </w:tabs>
        <w:ind w:left="369" w:hanging="369"/>
        <w:rPr>
          <w:lang w:val="es-ES_tradnl"/>
        </w:rPr>
      </w:pPr>
      <w:r w:rsidRPr="00443B8A">
        <w:rPr>
          <w:lang w:val="es-ES_tradnl"/>
        </w:rPr>
        <w:t>acoge con satisfacción que la Comisión ya esté dando pasos y tenga un ambicioso programa para aplicar el Plan de acción para la creación de una unión de los mercados de capitales;</w:t>
      </w:r>
    </w:p>
    <w:p w:rsidR="00413EED" w:rsidRPr="00443B8A" w:rsidRDefault="00413EED" w:rsidP="00413EED">
      <w:pPr>
        <w:pStyle w:val="ListParagraph"/>
        <w:tabs>
          <w:tab w:val="left" w:pos="770"/>
        </w:tabs>
        <w:ind w:left="369"/>
        <w:rPr>
          <w:lang w:val="es-ES_tradnl"/>
        </w:rPr>
      </w:pPr>
    </w:p>
    <w:p w:rsidR="001E74A2" w:rsidRPr="00443B8A" w:rsidRDefault="001E74A2" w:rsidP="00D56136">
      <w:pPr>
        <w:pStyle w:val="ListParagraph"/>
        <w:numPr>
          <w:ilvl w:val="0"/>
          <w:numId w:val="76"/>
        </w:numPr>
        <w:tabs>
          <w:tab w:val="left" w:pos="770"/>
        </w:tabs>
        <w:ind w:left="369" w:hanging="369"/>
        <w:rPr>
          <w:lang w:val="es-ES_tradnl"/>
        </w:rPr>
      </w:pPr>
      <w:r w:rsidRPr="00443B8A">
        <w:rPr>
          <w:lang w:val="es-ES_tradnl"/>
        </w:rPr>
        <w:t>respalda la idea de esforzarse por facilitar la penetración transfronteriza de los servicios financieros al por menor y las posibilidades de los consumidores a la hora de cambiar de proveedor;</w:t>
      </w:r>
    </w:p>
    <w:p w:rsidR="00413EED" w:rsidRPr="00443B8A" w:rsidRDefault="00413EED" w:rsidP="00413EED">
      <w:pPr>
        <w:pStyle w:val="ListParagraph"/>
        <w:tabs>
          <w:tab w:val="left" w:pos="770"/>
        </w:tabs>
        <w:ind w:left="369"/>
        <w:rPr>
          <w:lang w:val="es-ES_tradnl"/>
        </w:rPr>
      </w:pPr>
    </w:p>
    <w:p w:rsidR="001E74A2" w:rsidRPr="00443B8A" w:rsidRDefault="001E74A2" w:rsidP="00D56136">
      <w:pPr>
        <w:pStyle w:val="ListParagraph"/>
        <w:numPr>
          <w:ilvl w:val="0"/>
          <w:numId w:val="76"/>
        </w:numPr>
        <w:tabs>
          <w:tab w:val="left" w:pos="770"/>
        </w:tabs>
        <w:ind w:left="369" w:hanging="369"/>
        <w:rPr>
          <w:lang w:val="es-ES_tradnl"/>
        </w:rPr>
      </w:pPr>
      <w:r w:rsidRPr="00443B8A">
        <w:rPr>
          <w:lang w:val="es-ES_tradnl"/>
        </w:rPr>
        <w:t>acoge positivamente el enfoque planteado por la Comisión en el Libro Verde consistente en buscar políticas adecuadas para estimular las dos vertientes del mercado de servicios financieros al por menor: la oferta y la demanda;</w:t>
      </w:r>
    </w:p>
    <w:p w:rsidR="00413EED" w:rsidRPr="00443B8A" w:rsidRDefault="00413EED" w:rsidP="00413EED">
      <w:pPr>
        <w:pStyle w:val="ListParagraph"/>
        <w:tabs>
          <w:tab w:val="left" w:pos="770"/>
        </w:tabs>
        <w:ind w:left="369"/>
        <w:rPr>
          <w:lang w:val="es-ES_tradnl"/>
        </w:rPr>
      </w:pPr>
    </w:p>
    <w:p w:rsidR="001E74A2" w:rsidRPr="00443B8A" w:rsidRDefault="001E74A2" w:rsidP="00D56136">
      <w:pPr>
        <w:pStyle w:val="ListParagraph"/>
        <w:numPr>
          <w:ilvl w:val="0"/>
          <w:numId w:val="76"/>
        </w:numPr>
        <w:tabs>
          <w:tab w:val="left" w:pos="770"/>
        </w:tabs>
        <w:ind w:left="369" w:hanging="369"/>
        <w:rPr>
          <w:lang w:val="es-ES_tradnl"/>
        </w:rPr>
      </w:pPr>
      <w:r w:rsidRPr="00443B8A">
        <w:rPr>
          <w:lang w:val="es-ES_tradnl"/>
        </w:rPr>
        <w:t>respalda que los consumidores deberían tener la oportunidad, cuando sea posible, de comparar diferentes productos a fin de tomar una decisión con conocimiento de causa;</w:t>
      </w:r>
    </w:p>
    <w:p w:rsidR="00413EED" w:rsidRPr="00443B8A" w:rsidRDefault="00413EED" w:rsidP="00413EED">
      <w:pPr>
        <w:pStyle w:val="ListParagraph"/>
        <w:tabs>
          <w:tab w:val="left" w:pos="770"/>
        </w:tabs>
        <w:ind w:left="369"/>
        <w:rPr>
          <w:lang w:val="es-ES_tradnl"/>
        </w:rPr>
      </w:pPr>
    </w:p>
    <w:p w:rsidR="001E74A2" w:rsidRPr="00443B8A" w:rsidRDefault="001E74A2" w:rsidP="00D56136">
      <w:pPr>
        <w:pStyle w:val="ListParagraph"/>
        <w:numPr>
          <w:ilvl w:val="0"/>
          <w:numId w:val="76"/>
        </w:numPr>
        <w:tabs>
          <w:tab w:val="left" w:pos="770"/>
        </w:tabs>
        <w:ind w:left="369" w:hanging="369"/>
        <w:rPr>
          <w:lang w:val="es-ES_tradnl"/>
        </w:rPr>
      </w:pPr>
      <w:r w:rsidRPr="00443B8A">
        <w:rPr>
          <w:lang w:val="es-ES_tradnl"/>
        </w:rPr>
        <w:t>desde su punto de vista,  los resultados de esta consulta deben traducirse en un programa más ambicioso que ponga fin a los problemas que se vienen arrastrando;</w:t>
      </w:r>
    </w:p>
    <w:p w:rsidR="00413EED" w:rsidRPr="00443B8A" w:rsidRDefault="00413EED" w:rsidP="00413EED">
      <w:pPr>
        <w:pStyle w:val="ListParagraph"/>
        <w:tabs>
          <w:tab w:val="left" w:pos="770"/>
        </w:tabs>
        <w:ind w:left="369"/>
        <w:rPr>
          <w:lang w:val="es-ES_tradnl"/>
        </w:rPr>
      </w:pPr>
    </w:p>
    <w:p w:rsidR="001E74A2" w:rsidRPr="00443B8A" w:rsidRDefault="001E74A2" w:rsidP="00D56136">
      <w:pPr>
        <w:pStyle w:val="ListParagraph"/>
        <w:numPr>
          <w:ilvl w:val="0"/>
          <w:numId w:val="76"/>
        </w:numPr>
        <w:tabs>
          <w:tab w:val="left" w:pos="770"/>
        </w:tabs>
        <w:ind w:left="369" w:hanging="369"/>
        <w:rPr>
          <w:lang w:val="es-ES_tradnl"/>
        </w:rPr>
      </w:pPr>
      <w:r w:rsidRPr="00443B8A">
        <w:rPr>
          <w:lang w:val="es-ES_tradnl"/>
        </w:rPr>
        <w:t>sugiere que los resultados del proceso de consulta se apliquen de forma prioritaria a los productos más sencillos para los que los factores locales tengan una repercusión relativamente menor;</w:t>
      </w:r>
    </w:p>
    <w:p w:rsidR="00413EED" w:rsidRPr="00443B8A" w:rsidRDefault="00413EED" w:rsidP="00413EED">
      <w:pPr>
        <w:pStyle w:val="ListParagraph"/>
        <w:tabs>
          <w:tab w:val="left" w:pos="770"/>
        </w:tabs>
        <w:ind w:left="369"/>
        <w:rPr>
          <w:lang w:val="es-ES_tradnl"/>
        </w:rPr>
      </w:pPr>
    </w:p>
    <w:p w:rsidR="001E74A2" w:rsidRPr="00443B8A" w:rsidRDefault="001E74A2" w:rsidP="00D56136">
      <w:pPr>
        <w:pStyle w:val="ListParagraph"/>
        <w:numPr>
          <w:ilvl w:val="0"/>
          <w:numId w:val="76"/>
        </w:numPr>
        <w:tabs>
          <w:tab w:val="left" w:pos="770"/>
        </w:tabs>
        <w:ind w:left="369" w:hanging="369"/>
        <w:rPr>
          <w:lang w:val="es-ES_tradnl"/>
        </w:rPr>
      </w:pPr>
      <w:r w:rsidRPr="00443B8A">
        <w:rPr>
          <w:lang w:val="es-ES_tradnl"/>
        </w:rPr>
        <w:t>considera indispensable hacer todo lo posible para evitar que se revisen las directivas que se acaban de adoptar (como la Directiva revisada sobre servicios de pago y la Directiva sobre créditos hipotecarios).</w:t>
      </w:r>
    </w:p>
    <w:p w:rsidR="001E74A2" w:rsidRPr="00443B8A" w:rsidRDefault="001E74A2" w:rsidP="001E74A2">
      <w:pPr>
        <w:rPr>
          <w:lang w:val="es-ES_tradnl"/>
        </w:rPr>
      </w:pPr>
    </w:p>
    <w:p w:rsidR="001E74A2" w:rsidRPr="00443B8A" w:rsidRDefault="001E74A2" w:rsidP="001E74A2">
      <w:pPr>
        <w:rPr>
          <w:i/>
          <w:lang w:val="es-ES_tradnl"/>
        </w:rPr>
      </w:pPr>
      <w:r w:rsidRPr="00443B8A">
        <w:rPr>
          <w:b/>
          <w:i/>
          <w:lang w:val="es-ES_tradnl"/>
        </w:rPr>
        <w:t>Contacto:</w:t>
      </w:r>
      <w:r w:rsidRPr="00443B8A">
        <w:rPr>
          <w:lang w:val="es-ES_tradnl"/>
        </w:rPr>
        <w:tab/>
      </w:r>
      <w:r w:rsidRPr="00443B8A">
        <w:rPr>
          <w:i/>
          <w:lang w:val="es-ES_tradnl"/>
        </w:rPr>
        <w:t>Claudia Drewes-Wran</w:t>
      </w:r>
    </w:p>
    <w:p w:rsidR="001E74A2" w:rsidRPr="00443B8A" w:rsidRDefault="001E74A2" w:rsidP="001E74A2">
      <w:pPr>
        <w:rPr>
          <w:lang w:val="es-ES_tradnl"/>
        </w:rPr>
      </w:pPr>
      <w:r w:rsidRPr="00443B8A">
        <w:rPr>
          <w:i/>
          <w:lang w:val="es-ES_tradnl"/>
        </w:rPr>
        <w:t xml:space="preserve">(Tel. 00 32 2 546 80 67 – correo electrónico: </w:t>
      </w:r>
      <w:hyperlink r:id="rId24">
        <w:r w:rsidRPr="00443B8A">
          <w:rPr>
            <w:rStyle w:val="Hyperlink"/>
            <w:i/>
            <w:lang w:val="es-ES_tradnl"/>
          </w:rPr>
          <w:t>claudia.drewes-wran@eesc.europa.eu</w:t>
        </w:r>
      </w:hyperlink>
      <w:r w:rsidRPr="00443B8A">
        <w:rPr>
          <w:i/>
          <w:lang w:val="es-ES_tradnl"/>
        </w:rPr>
        <w:t>)</w:t>
      </w:r>
    </w:p>
    <w:p w:rsidR="001E74A2" w:rsidRPr="00443B8A" w:rsidRDefault="001E74A2" w:rsidP="001E74A2">
      <w:pPr>
        <w:rPr>
          <w:lang w:val="es-ES_tradnl"/>
        </w:rPr>
      </w:pPr>
    </w:p>
    <w:p w:rsidR="00413EED" w:rsidRPr="00443B8A" w:rsidRDefault="003D3B49" w:rsidP="00413EED">
      <w:pPr>
        <w:rPr>
          <w:lang w:val="es-ES_tradnl"/>
        </w:rPr>
      </w:pPr>
      <w:r w:rsidRPr="00443B8A">
        <w:rPr>
          <w:lang w:val="es-ES_tradnl"/>
        </w:rPr>
        <w:br w:type="page"/>
      </w:r>
    </w:p>
    <w:p w:rsidR="009523E9" w:rsidRPr="00443B8A" w:rsidRDefault="009523E9" w:rsidP="00B52DA2">
      <w:pPr>
        <w:rPr>
          <w:b/>
          <w:highlight w:val="yellow"/>
          <w:u w:val="single"/>
          <w:lang w:val="es-ES_tradnl"/>
        </w:rPr>
      </w:pPr>
    </w:p>
    <w:p w:rsidR="00413EED" w:rsidRPr="00443B8A" w:rsidRDefault="00413EED" w:rsidP="00E21B91">
      <w:pPr>
        <w:widowControl w:val="0"/>
        <w:numPr>
          <w:ilvl w:val="0"/>
          <w:numId w:val="5"/>
        </w:numPr>
        <w:overflowPunct w:val="0"/>
        <w:autoSpaceDE w:val="0"/>
        <w:autoSpaceDN w:val="0"/>
        <w:adjustRightInd w:val="0"/>
        <w:ind w:left="284" w:hanging="284"/>
        <w:textAlignment w:val="baseline"/>
        <w:rPr>
          <w:sz w:val="24"/>
          <w:szCs w:val="24"/>
          <w:lang w:val="es-ES_tradnl"/>
        </w:rPr>
      </w:pPr>
      <w:r w:rsidRPr="00443B8A">
        <w:rPr>
          <w:b/>
          <w:i/>
          <w:sz w:val="28"/>
          <w:lang w:val="es-ES_tradnl"/>
        </w:rPr>
        <w:t>Modernización de las normas sobre los derechos de autor</w:t>
      </w:r>
    </w:p>
    <w:p w:rsidR="00413EED" w:rsidRPr="00443B8A" w:rsidRDefault="00413EED" w:rsidP="00413EED">
      <w:pPr>
        <w:tabs>
          <w:tab w:val="center" w:pos="284"/>
        </w:tabs>
        <w:ind w:left="266" w:hanging="266"/>
        <w:rPr>
          <w:b/>
          <w:lang w:val="es-ES_tradnl"/>
        </w:rPr>
      </w:pPr>
    </w:p>
    <w:p w:rsidR="00413EED" w:rsidRPr="00443B8A" w:rsidRDefault="00413EED" w:rsidP="00413EED">
      <w:pPr>
        <w:tabs>
          <w:tab w:val="center" w:pos="284"/>
        </w:tabs>
        <w:ind w:left="266" w:hanging="266"/>
        <w:rPr>
          <w:lang w:val="es-ES_tradnl"/>
        </w:rPr>
      </w:pPr>
      <w:r w:rsidRPr="00443B8A">
        <w:rPr>
          <w:b/>
          <w:lang w:val="es-ES_tradnl"/>
        </w:rPr>
        <w:t>Rapporteur:</w:t>
      </w:r>
      <w:r w:rsidRPr="00443B8A">
        <w:rPr>
          <w:lang w:val="es-ES_tradnl"/>
        </w:rPr>
        <w:tab/>
        <w:t>Denis MEYNENT (Trabajadores – FR)</w:t>
      </w:r>
    </w:p>
    <w:p w:rsidR="00413EED" w:rsidRPr="00443B8A" w:rsidRDefault="00413EED" w:rsidP="00413EED">
      <w:pPr>
        <w:tabs>
          <w:tab w:val="center" w:pos="284"/>
        </w:tabs>
        <w:ind w:left="266" w:hanging="266"/>
        <w:rPr>
          <w:b/>
          <w:lang w:val="es-ES_tradnl"/>
        </w:rPr>
      </w:pPr>
    </w:p>
    <w:p w:rsidR="00413EED" w:rsidRPr="00443B8A" w:rsidRDefault="00413EED" w:rsidP="00413EED">
      <w:pPr>
        <w:tabs>
          <w:tab w:val="center" w:pos="284"/>
        </w:tabs>
        <w:ind w:left="266" w:hanging="266"/>
        <w:rPr>
          <w:lang w:val="es-ES_tradnl"/>
        </w:rPr>
      </w:pPr>
      <w:r w:rsidRPr="00443B8A">
        <w:rPr>
          <w:b/>
          <w:lang w:val="es-ES_tradnl"/>
        </w:rPr>
        <w:t>Referencias:</w:t>
      </w:r>
      <w:r w:rsidRPr="00443B8A">
        <w:rPr>
          <w:lang w:val="es-ES_tradnl"/>
        </w:rPr>
        <w:tab/>
        <w:t>COM(2015) 626 final</w:t>
      </w:r>
    </w:p>
    <w:p w:rsidR="00413EED" w:rsidRPr="00443B8A" w:rsidRDefault="00543013" w:rsidP="00413EED">
      <w:pPr>
        <w:tabs>
          <w:tab w:val="center" w:pos="284"/>
        </w:tabs>
        <w:ind w:left="266" w:hanging="266"/>
        <w:rPr>
          <w:lang w:val="es-ES_tradnl"/>
        </w:rPr>
      </w:pPr>
      <w:r w:rsidRPr="00443B8A">
        <w:rPr>
          <w:lang w:val="es-ES_tradnl"/>
        </w:rPr>
        <w:tab/>
      </w:r>
      <w:r w:rsidRPr="00443B8A">
        <w:rPr>
          <w:lang w:val="es-ES_tradnl"/>
        </w:rPr>
        <w:tab/>
      </w:r>
      <w:r w:rsidRPr="00443B8A">
        <w:rPr>
          <w:lang w:val="es-ES_tradnl"/>
        </w:rPr>
        <w:tab/>
      </w:r>
      <w:r w:rsidRPr="00443B8A">
        <w:rPr>
          <w:lang w:val="es-ES_tradnl"/>
        </w:rPr>
        <w:tab/>
        <w:t>EESC-2016-00030-00-01-AC-TRA</w:t>
      </w:r>
    </w:p>
    <w:p w:rsidR="00543013" w:rsidRPr="00443B8A" w:rsidRDefault="00543013" w:rsidP="00413EED">
      <w:pPr>
        <w:tabs>
          <w:tab w:val="center" w:pos="284"/>
        </w:tabs>
        <w:ind w:left="266" w:hanging="266"/>
        <w:rPr>
          <w:lang w:val="es-ES_tradnl"/>
        </w:rPr>
      </w:pPr>
    </w:p>
    <w:p w:rsidR="00413EED" w:rsidRPr="00443B8A" w:rsidRDefault="00413EED" w:rsidP="00413EED">
      <w:pPr>
        <w:rPr>
          <w:b/>
          <w:lang w:val="es-ES_tradnl"/>
        </w:rPr>
      </w:pPr>
      <w:r w:rsidRPr="00443B8A">
        <w:rPr>
          <w:b/>
          <w:lang w:val="es-ES_tradnl"/>
        </w:rPr>
        <w:t>Puntos clave:</w:t>
      </w:r>
    </w:p>
    <w:p w:rsidR="00413EED" w:rsidRPr="00443B8A" w:rsidRDefault="00413EED" w:rsidP="00413EED">
      <w:pPr>
        <w:rPr>
          <w:lang w:val="es-ES_tradnl"/>
        </w:rPr>
      </w:pPr>
    </w:p>
    <w:p w:rsidR="00413EED" w:rsidRPr="00443B8A" w:rsidRDefault="00413EED" w:rsidP="00413EED">
      <w:pPr>
        <w:rPr>
          <w:lang w:val="es-ES_tradnl"/>
        </w:rPr>
      </w:pPr>
      <w:r w:rsidRPr="00443B8A">
        <w:rPr>
          <w:lang w:val="es-ES_tradnl"/>
        </w:rPr>
        <w:t>El CESE:</w:t>
      </w:r>
    </w:p>
    <w:p w:rsidR="00413EED" w:rsidRPr="00443B8A" w:rsidRDefault="00413EED" w:rsidP="00413EED">
      <w:pPr>
        <w:rPr>
          <w:lang w:val="es-ES_tradnl"/>
        </w:rPr>
      </w:pPr>
    </w:p>
    <w:p w:rsidR="00413EED" w:rsidRPr="00443B8A" w:rsidRDefault="00413EED" w:rsidP="00413EED">
      <w:pPr>
        <w:pStyle w:val="ListParagraph"/>
        <w:numPr>
          <w:ilvl w:val="0"/>
          <w:numId w:val="76"/>
        </w:numPr>
        <w:tabs>
          <w:tab w:val="left" w:pos="770"/>
        </w:tabs>
        <w:ind w:left="369" w:hanging="369"/>
        <w:rPr>
          <w:lang w:val="es-ES_tradnl"/>
        </w:rPr>
      </w:pPr>
      <w:r w:rsidRPr="00443B8A">
        <w:rPr>
          <w:lang w:val="es-ES_tradnl"/>
        </w:rPr>
        <w:t>estima que los derechos de autor siguen siendo un medio fundamental para la protección y justa remuneración de los autores y los participantes en la difusión de las obras y espectáculos por las redes digitales interconectadas;</w:t>
      </w:r>
    </w:p>
    <w:p w:rsidR="00413EED" w:rsidRPr="00443B8A" w:rsidRDefault="00413EED" w:rsidP="00413EED">
      <w:pPr>
        <w:rPr>
          <w:lang w:val="es-ES_tradnl"/>
        </w:rPr>
      </w:pPr>
    </w:p>
    <w:p w:rsidR="00413EED" w:rsidRPr="00443B8A" w:rsidRDefault="00413EED" w:rsidP="00413EED">
      <w:pPr>
        <w:pStyle w:val="ListParagraph"/>
        <w:numPr>
          <w:ilvl w:val="0"/>
          <w:numId w:val="76"/>
        </w:numPr>
        <w:tabs>
          <w:tab w:val="left" w:pos="770"/>
        </w:tabs>
        <w:ind w:left="369" w:hanging="369"/>
        <w:rPr>
          <w:lang w:val="es-ES_tradnl"/>
        </w:rPr>
      </w:pPr>
      <w:r w:rsidRPr="00443B8A">
        <w:rPr>
          <w:lang w:val="es-ES_tradnl"/>
        </w:rPr>
        <w:t>pide que se ratifique rápidamente el Tratado de Marrakech;</w:t>
      </w:r>
    </w:p>
    <w:p w:rsidR="00413EED" w:rsidRPr="00443B8A" w:rsidRDefault="00413EED" w:rsidP="00413EED">
      <w:pPr>
        <w:pStyle w:val="ListParagraph"/>
        <w:tabs>
          <w:tab w:val="left" w:pos="770"/>
        </w:tabs>
        <w:ind w:left="369"/>
        <w:rPr>
          <w:lang w:val="es-ES_tradnl"/>
        </w:rPr>
      </w:pPr>
    </w:p>
    <w:p w:rsidR="00413EED" w:rsidRPr="00443B8A" w:rsidRDefault="00413EED" w:rsidP="00413EED">
      <w:pPr>
        <w:pStyle w:val="ListParagraph"/>
        <w:numPr>
          <w:ilvl w:val="0"/>
          <w:numId w:val="76"/>
        </w:numPr>
        <w:tabs>
          <w:tab w:val="left" w:pos="770"/>
        </w:tabs>
        <w:ind w:left="369" w:hanging="369"/>
        <w:rPr>
          <w:lang w:val="es-ES_tradnl"/>
        </w:rPr>
      </w:pPr>
      <w:r w:rsidRPr="00443B8A">
        <w:rPr>
          <w:lang w:val="es-ES_tradnl"/>
        </w:rPr>
        <w:t>considera que la unificación europea en materia de copia privada es posible y deseable.</w:t>
      </w:r>
    </w:p>
    <w:p w:rsidR="00413EED" w:rsidRPr="00443B8A" w:rsidRDefault="00413EED" w:rsidP="00413EED">
      <w:pPr>
        <w:pStyle w:val="ListParagraph"/>
        <w:tabs>
          <w:tab w:val="left" w:pos="770"/>
        </w:tabs>
        <w:ind w:left="369"/>
        <w:rPr>
          <w:lang w:val="es-ES_tradnl"/>
        </w:rPr>
      </w:pPr>
    </w:p>
    <w:p w:rsidR="00413EED" w:rsidRPr="00443B8A" w:rsidRDefault="00413EED" w:rsidP="00413EED">
      <w:pPr>
        <w:pStyle w:val="ListParagraph"/>
        <w:numPr>
          <w:ilvl w:val="0"/>
          <w:numId w:val="76"/>
        </w:numPr>
        <w:tabs>
          <w:tab w:val="left" w:pos="770"/>
        </w:tabs>
        <w:ind w:left="369" w:hanging="369"/>
        <w:rPr>
          <w:lang w:val="es-ES_tradnl"/>
        </w:rPr>
      </w:pPr>
      <w:r w:rsidRPr="00443B8A">
        <w:rPr>
          <w:lang w:val="es-ES_tradnl"/>
        </w:rPr>
        <w:t>aboga por un nuevo contexto jurídico que favorezca al mismo tiempo la creación de obras amparadas por el derecho de autor y la participación de nuevos modelos de licencias y nuevos modelos de negocio en la construcción del mercado único europeo;</w:t>
      </w:r>
    </w:p>
    <w:p w:rsidR="00413EED" w:rsidRPr="00443B8A" w:rsidRDefault="00413EED" w:rsidP="00413EED">
      <w:pPr>
        <w:pStyle w:val="ListParagraph"/>
        <w:tabs>
          <w:tab w:val="left" w:pos="770"/>
        </w:tabs>
        <w:ind w:left="369"/>
        <w:rPr>
          <w:lang w:val="es-ES_tradnl"/>
        </w:rPr>
      </w:pPr>
    </w:p>
    <w:p w:rsidR="00413EED" w:rsidRPr="00443B8A" w:rsidRDefault="00413EED" w:rsidP="00413EED">
      <w:pPr>
        <w:pStyle w:val="ListParagraph"/>
        <w:numPr>
          <w:ilvl w:val="0"/>
          <w:numId w:val="76"/>
        </w:numPr>
        <w:tabs>
          <w:tab w:val="left" w:pos="770"/>
        </w:tabs>
        <w:ind w:left="369" w:hanging="369"/>
        <w:rPr>
          <w:lang w:val="es-ES_tradnl"/>
        </w:rPr>
      </w:pPr>
      <w:r w:rsidRPr="00443B8A">
        <w:rPr>
          <w:lang w:val="es-ES_tradnl"/>
        </w:rPr>
        <w:t>considera que el reglamento es el instrumento más adecuado para la construcción del mercado único digital;</w:t>
      </w:r>
    </w:p>
    <w:p w:rsidR="00413EED" w:rsidRPr="00443B8A" w:rsidRDefault="00413EED" w:rsidP="00413EED">
      <w:pPr>
        <w:pStyle w:val="ListParagraph"/>
        <w:tabs>
          <w:tab w:val="left" w:pos="770"/>
        </w:tabs>
        <w:ind w:left="369"/>
        <w:rPr>
          <w:lang w:val="es-ES_tradnl"/>
        </w:rPr>
      </w:pPr>
    </w:p>
    <w:p w:rsidR="00413EED" w:rsidRPr="00443B8A" w:rsidRDefault="00413EED" w:rsidP="00413EED">
      <w:pPr>
        <w:pStyle w:val="ListParagraph"/>
        <w:numPr>
          <w:ilvl w:val="0"/>
          <w:numId w:val="76"/>
        </w:numPr>
        <w:tabs>
          <w:tab w:val="left" w:pos="770"/>
        </w:tabs>
        <w:ind w:left="369" w:hanging="369"/>
        <w:rPr>
          <w:lang w:val="es-ES_tradnl"/>
        </w:rPr>
      </w:pPr>
      <w:r w:rsidRPr="00443B8A">
        <w:rPr>
          <w:lang w:val="es-ES_tradnl"/>
        </w:rPr>
        <w:t>insta a la Comisión a realizar estudios e investigaciones en profundidad sobre los modelos de negocio relacionados con las licencias libres, sobre su importancia económica actual y potencial, sobre los ingresos y los puestos de trabajo que podrían generar en los diversos campos, así como sobre las eventuales propuestas jurídicas que podrían ser útiles para su promoción y uso;</w:t>
      </w:r>
    </w:p>
    <w:p w:rsidR="00413EED" w:rsidRPr="00443B8A" w:rsidRDefault="00413EED" w:rsidP="00413EED">
      <w:pPr>
        <w:pStyle w:val="ListParagraph"/>
        <w:tabs>
          <w:tab w:val="left" w:pos="770"/>
        </w:tabs>
        <w:ind w:left="369"/>
        <w:rPr>
          <w:lang w:val="es-ES_tradnl"/>
        </w:rPr>
      </w:pPr>
    </w:p>
    <w:p w:rsidR="00413EED" w:rsidRPr="00443B8A" w:rsidRDefault="00413EED" w:rsidP="00413EED">
      <w:pPr>
        <w:pStyle w:val="ListParagraph"/>
        <w:numPr>
          <w:ilvl w:val="0"/>
          <w:numId w:val="76"/>
        </w:numPr>
        <w:tabs>
          <w:tab w:val="left" w:pos="770"/>
        </w:tabs>
        <w:ind w:left="369" w:hanging="369"/>
        <w:rPr>
          <w:lang w:val="es-ES_tradnl"/>
        </w:rPr>
      </w:pPr>
      <w:r w:rsidRPr="00443B8A">
        <w:rPr>
          <w:lang w:val="es-ES_tradnl"/>
        </w:rPr>
        <w:t>estima que la diversidad cultural de Europa ocupa un lugar central en la identidad europea y debe fomentarse y promoverse entre los Estados miembros.</w:t>
      </w:r>
    </w:p>
    <w:p w:rsidR="00413EED" w:rsidRPr="00443B8A" w:rsidRDefault="00413EED" w:rsidP="00413EED">
      <w:pPr>
        <w:rPr>
          <w:lang w:val="es-ES_tradnl"/>
        </w:rPr>
      </w:pPr>
    </w:p>
    <w:p w:rsidR="00413EED" w:rsidRPr="00443B8A" w:rsidRDefault="00413EED" w:rsidP="00413EED">
      <w:pPr>
        <w:rPr>
          <w:i/>
          <w:lang w:val="es-ES_tradnl"/>
        </w:rPr>
      </w:pPr>
      <w:r w:rsidRPr="00443B8A">
        <w:rPr>
          <w:b/>
          <w:i/>
          <w:lang w:val="es-ES_tradnl"/>
        </w:rPr>
        <w:t>Contacto:</w:t>
      </w:r>
      <w:r w:rsidRPr="00443B8A">
        <w:rPr>
          <w:lang w:val="es-ES_tradnl"/>
        </w:rPr>
        <w:tab/>
      </w:r>
      <w:r w:rsidRPr="00443B8A">
        <w:rPr>
          <w:i/>
          <w:lang w:val="es-ES_tradnl"/>
        </w:rPr>
        <w:t>Claudia Drewes-Wran</w:t>
      </w:r>
    </w:p>
    <w:p w:rsidR="00413EED" w:rsidRPr="00443B8A" w:rsidRDefault="00413EED" w:rsidP="00413EED">
      <w:pPr>
        <w:rPr>
          <w:lang w:val="es-ES_tradnl"/>
        </w:rPr>
      </w:pPr>
      <w:r w:rsidRPr="00443B8A">
        <w:rPr>
          <w:i/>
          <w:lang w:val="es-ES_tradnl"/>
        </w:rPr>
        <w:t xml:space="preserve">(Tel. 00 32 2 546 80 67 – correo electrónico: </w:t>
      </w:r>
      <w:hyperlink r:id="rId25">
        <w:r w:rsidRPr="00443B8A">
          <w:rPr>
            <w:rStyle w:val="Hyperlink"/>
            <w:i/>
            <w:lang w:val="es-ES_tradnl"/>
          </w:rPr>
          <w:t>claudia.drewes-wran@eesc.europa.eu</w:t>
        </w:r>
      </w:hyperlink>
      <w:r w:rsidRPr="00443B8A">
        <w:rPr>
          <w:i/>
          <w:lang w:val="es-ES_tradnl"/>
        </w:rPr>
        <w:t>)</w:t>
      </w:r>
    </w:p>
    <w:p w:rsidR="00413EED" w:rsidRPr="00443B8A" w:rsidRDefault="00413EED" w:rsidP="00413EED">
      <w:pPr>
        <w:rPr>
          <w:lang w:val="es-ES_tradnl"/>
        </w:rPr>
      </w:pPr>
    </w:p>
    <w:p w:rsidR="00413EED" w:rsidRPr="00443B8A" w:rsidRDefault="00413EED" w:rsidP="00413EED">
      <w:pPr>
        <w:spacing w:line="240" w:lineRule="auto"/>
        <w:jc w:val="left"/>
        <w:rPr>
          <w:i/>
          <w:iCs/>
          <w:lang w:val="es-ES_tradnl"/>
        </w:rPr>
      </w:pPr>
    </w:p>
    <w:p w:rsidR="00413EED" w:rsidRPr="00443B8A" w:rsidRDefault="00413EED">
      <w:pPr>
        <w:spacing w:line="240" w:lineRule="auto"/>
        <w:jc w:val="left"/>
        <w:rPr>
          <w:b/>
          <w:u w:val="single"/>
          <w:lang w:val="es-ES_tradnl"/>
        </w:rPr>
      </w:pPr>
      <w:r w:rsidRPr="00443B8A">
        <w:rPr>
          <w:lang w:val="es-ES_tradnl"/>
        </w:rPr>
        <w:br w:type="page"/>
      </w:r>
    </w:p>
    <w:p w:rsidR="00DC7A11" w:rsidRPr="00443B8A" w:rsidRDefault="00DC7A11" w:rsidP="001E74A2">
      <w:pPr>
        <w:ind w:left="-567" w:hanging="284"/>
        <w:rPr>
          <w:b/>
          <w:highlight w:val="yellow"/>
          <w:u w:val="single"/>
          <w:lang w:val="es-ES_tradnl"/>
        </w:rPr>
      </w:pPr>
    </w:p>
    <w:p w:rsidR="001E74A2" w:rsidRPr="00443B8A" w:rsidRDefault="001E74A2" w:rsidP="00E21B91">
      <w:pPr>
        <w:widowControl w:val="0"/>
        <w:numPr>
          <w:ilvl w:val="0"/>
          <w:numId w:val="5"/>
        </w:numPr>
        <w:overflowPunct w:val="0"/>
        <w:autoSpaceDE w:val="0"/>
        <w:autoSpaceDN w:val="0"/>
        <w:adjustRightInd w:val="0"/>
        <w:ind w:left="284" w:hanging="284"/>
        <w:textAlignment w:val="baseline"/>
        <w:rPr>
          <w:b/>
          <w:i/>
          <w:sz w:val="28"/>
          <w:lang w:val="es-ES_tradnl"/>
        </w:rPr>
      </w:pPr>
      <w:r w:rsidRPr="00443B8A">
        <w:rPr>
          <w:b/>
          <w:i/>
          <w:sz w:val="28"/>
          <w:lang w:val="es-ES_tradnl"/>
        </w:rPr>
        <w:t>Derechos contractuales digitales</w:t>
      </w:r>
    </w:p>
    <w:p w:rsidR="001E74A2" w:rsidRPr="00443B8A" w:rsidRDefault="001E74A2" w:rsidP="001E74A2">
      <w:pPr>
        <w:tabs>
          <w:tab w:val="center" w:pos="284"/>
        </w:tabs>
        <w:ind w:left="266" w:hanging="266"/>
        <w:rPr>
          <w:b/>
          <w:lang w:val="es-ES_tradnl"/>
        </w:rPr>
      </w:pPr>
    </w:p>
    <w:p w:rsidR="001E74A2" w:rsidRPr="00443B8A" w:rsidRDefault="001E74A2" w:rsidP="001E74A2">
      <w:pPr>
        <w:tabs>
          <w:tab w:val="center" w:pos="284"/>
        </w:tabs>
        <w:ind w:left="266" w:hanging="266"/>
        <w:rPr>
          <w:lang w:val="es-ES_tradnl"/>
        </w:rPr>
      </w:pPr>
      <w:r w:rsidRPr="00443B8A">
        <w:rPr>
          <w:b/>
          <w:lang w:val="es-ES_tradnl"/>
        </w:rPr>
        <w:t>Ponente:</w:t>
      </w:r>
      <w:r w:rsidRPr="00443B8A">
        <w:rPr>
          <w:lang w:val="es-ES_tradnl"/>
        </w:rPr>
        <w:tab/>
        <w:t>Jorge PEGADO LIZ (Actividades Diversas - PT)</w:t>
      </w:r>
    </w:p>
    <w:p w:rsidR="001E74A2" w:rsidRPr="00443B8A" w:rsidRDefault="001E74A2" w:rsidP="001E74A2">
      <w:pPr>
        <w:tabs>
          <w:tab w:val="center" w:pos="284"/>
        </w:tabs>
        <w:ind w:left="266" w:hanging="266"/>
        <w:rPr>
          <w:b/>
          <w:lang w:val="es-ES_tradnl"/>
        </w:rPr>
      </w:pPr>
    </w:p>
    <w:p w:rsidR="001E74A2" w:rsidRPr="00443B8A" w:rsidRDefault="001E74A2" w:rsidP="00C065B0">
      <w:pPr>
        <w:ind w:left="1418" w:hanging="1418"/>
        <w:rPr>
          <w:lang w:val="es-ES_tradnl"/>
        </w:rPr>
      </w:pPr>
      <w:r w:rsidRPr="00443B8A">
        <w:rPr>
          <w:b/>
          <w:lang w:val="es-ES_tradnl"/>
        </w:rPr>
        <w:t>Referencias:</w:t>
      </w:r>
      <w:r w:rsidRPr="00443B8A">
        <w:rPr>
          <w:lang w:val="es-ES_tradnl"/>
        </w:rPr>
        <w:tab/>
        <w:t>COM(2015) 634 final – 2015/0287 (COD)</w:t>
      </w:r>
    </w:p>
    <w:p w:rsidR="006D698D" w:rsidRPr="00443B8A" w:rsidRDefault="001E74A2" w:rsidP="00C065B0">
      <w:pPr>
        <w:tabs>
          <w:tab w:val="center" w:pos="284"/>
        </w:tabs>
        <w:ind w:left="266" w:firstLine="1152"/>
        <w:rPr>
          <w:lang w:val="es-ES_tradnl"/>
        </w:rPr>
      </w:pPr>
      <w:r w:rsidRPr="00443B8A">
        <w:rPr>
          <w:lang w:val="es-ES_tradnl"/>
        </w:rPr>
        <w:t>COM(2015) 635 final – 2015/0288 (COD)</w:t>
      </w:r>
    </w:p>
    <w:p w:rsidR="00543013" w:rsidRPr="00443B8A" w:rsidRDefault="00543013" w:rsidP="00C065B0">
      <w:pPr>
        <w:tabs>
          <w:tab w:val="center" w:pos="284"/>
        </w:tabs>
        <w:ind w:left="266" w:firstLine="1152"/>
        <w:rPr>
          <w:lang w:val="es-ES_tradnl"/>
        </w:rPr>
      </w:pPr>
      <w:r w:rsidRPr="00443B8A">
        <w:rPr>
          <w:lang w:val="es-ES_tradnl"/>
        </w:rPr>
        <w:t>EESC-2015-06292-00-00-AC-TRA</w:t>
      </w:r>
    </w:p>
    <w:p w:rsidR="001E74A2" w:rsidRPr="00443B8A" w:rsidRDefault="001E74A2" w:rsidP="001E74A2">
      <w:pPr>
        <w:rPr>
          <w:b/>
          <w:lang w:val="es-ES_tradnl"/>
        </w:rPr>
      </w:pPr>
    </w:p>
    <w:p w:rsidR="001E74A2" w:rsidRPr="00443B8A" w:rsidRDefault="001E74A2" w:rsidP="001E74A2">
      <w:pPr>
        <w:keepNext/>
        <w:keepLines/>
        <w:rPr>
          <w:b/>
          <w:lang w:val="es-ES_tradnl"/>
        </w:rPr>
      </w:pPr>
      <w:r w:rsidRPr="00443B8A">
        <w:rPr>
          <w:b/>
          <w:lang w:val="es-ES_tradnl"/>
        </w:rPr>
        <w:t>Puntos clave:</w:t>
      </w:r>
    </w:p>
    <w:p w:rsidR="00D56136" w:rsidRPr="00443B8A" w:rsidRDefault="00D56136" w:rsidP="00D56136">
      <w:pPr>
        <w:rPr>
          <w:lang w:val="es-ES_tradnl"/>
        </w:rPr>
      </w:pPr>
    </w:p>
    <w:p w:rsidR="001E74A2" w:rsidRPr="00443B8A" w:rsidRDefault="001E74A2" w:rsidP="00D56136">
      <w:pPr>
        <w:rPr>
          <w:lang w:val="es-ES_tradnl"/>
        </w:rPr>
      </w:pPr>
      <w:r w:rsidRPr="00443B8A">
        <w:rPr>
          <w:lang w:val="es-ES_tradnl"/>
        </w:rPr>
        <w:t>El CESE apoya la necesidad y la conveniencia de regular algunas de las cuestiones contempladas en la Comunicación sobre Derechos contractuales digitales</w:t>
      </w:r>
      <w:r w:rsidRPr="00443B8A">
        <w:rPr>
          <w:rStyle w:val="FootnoteReference"/>
          <w:lang w:val="es-ES_tradnl"/>
        </w:rPr>
        <w:footnoteReference w:id="2"/>
      </w:r>
      <w:r w:rsidRPr="00443B8A">
        <w:rPr>
          <w:lang w:val="es-ES_tradnl"/>
        </w:rPr>
        <w:t xml:space="preserve">, pero considera que otros factores, que el Comité señala en este dictamen sobre el contenido digital y la compraventa de bienes en línea, son mucho más importantes que la regulación de los derechos contractuales en los contratos de compraventa de bienes materiales en línea. </w:t>
      </w:r>
    </w:p>
    <w:p w:rsidR="001E74A2" w:rsidRPr="00443B8A" w:rsidRDefault="001E74A2" w:rsidP="00D56136">
      <w:pPr>
        <w:rPr>
          <w:lang w:val="es-ES_tradnl"/>
        </w:rPr>
      </w:pPr>
    </w:p>
    <w:p w:rsidR="001E74A2" w:rsidRPr="00443B8A" w:rsidRDefault="001E74A2" w:rsidP="00D56136">
      <w:pPr>
        <w:rPr>
          <w:lang w:val="es-ES_tradnl"/>
        </w:rPr>
      </w:pPr>
      <w:r w:rsidRPr="00443B8A">
        <w:rPr>
          <w:lang w:val="es-ES_tradnl"/>
        </w:rPr>
        <w:t>En principio, de modo coherente con sus posiciones anteriores, el CESE se muestra a favor de un Reglamento en lugar de una Directiva y no está de acuerdo con el fundamento jurídico elegido por la Comisión. El Comité propone que se tome como fundamento el artículo 169 del TFUE y, en consecuencia, que las medidas adoptadas se basen en una armonización mínima.</w:t>
      </w:r>
    </w:p>
    <w:p w:rsidR="001E74A2" w:rsidRPr="00443B8A" w:rsidRDefault="001E74A2" w:rsidP="00D56136">
      <w:pPr>
        <w:rPr>
          <w:lang w:val="es-ES_tradnl"/>
        </w:rPr>
      </w:pPr>
    </w:p>
    <w:p w:rsidR="001E74A2" w:rsidRPr="00443B8A" w:rsidRDefault="001E74A2" w:rsidP="00D56136">
      <w:pPr>
        <w:rPr>
          <w:lang w:val="es-ES_tradnl"/>
        </w:rPr>
      </w:pPr>
      <w:r w:rsidRPr="00443B8A">
        <w:rPr>
          <w:lang w:val="es-ES_tradnl"/>
        </w:rPr>
        <w:t>No obstante, en el caso de la propuesta para el suministro de contenidos digitales, por razones pragmáticas, acepta la propuesta de la Comisión de alcanzar la armonización plena específica, aunque considera que no está motivada de forma suficiente.</w:t>
      </w:r>
    </w:p>
    <w:p w:rsidR="001E74A2" w:rsidRPr="00443B8A" w:rsidRDefault="001E74A2" w:rsidP="00D56136">
      <w:pPr>
        <w:rPr>
          <w:lang w:val="es-ES_tradnl"/>
        </w:rPr>
      </w:pPr>
    </w:p>
    <w:p w:rsidR="001E74A2" w:rsidRPr="00443B8A" w:rsidRDefault="001E74A2" w:rsidP="00D56136">
      <w:pPr>
        <w:rPr>
          <w:lang w:val="es-ES_tradnl"/>
        </w:rPr>
      </w:pPr>
      <w:r w:rsidRPr="00443B8A">
        <w:rPr>
          <w:lang w:val="es-ES_tradnl"/>
        </w:rPr>
        <w:t>Por otra parte, el CESE considera que el hecho de que la propuesta de la Comisión relativa a la compraventa de bienes en línea cree dos sistemas dispensa un tratamiento distinto a la venta de bienes en línea y fuera de línea, lo que es inaceptable.</w:t>
      </w:r>
    </w:p>
    <w:p w:rsidR="001E74A2" w:rsidRPr="00443B8A" w:rsidRDefault="001E74A2" w:rsidP="001E74A2">
      <w:pPr>
        <w:rPr>
          <w:lang w:val="es-ES_tradnl"/>
        </w:rPr>
      </w:pPr>
    </w:p>
    <w:p w:rsidR="001E74A2" w:rsidRPr="00443B8A" w:rsidRDefault="001E74A2" w:rsidP="001E74A2">
      <w:pPr>
        <w:rPr>
          <w:i/>
          <w:lang w:val="es-ES_tradnl"/>
        </w:rPr>
      </w:pPr>
      <w:r w:rsidRPr="00443B8A">
        <w:rPr>
          <w:b/>
          <w:i/>
          <w:lang w:val="es-ES_tradnl"/>
        </w:rPr>
        <w:t>Contacto</w:t>
      </w:r>
      <w:r w:rsidRPr="00443B8A">
        <w:rPr>
          <w:lang w:val="es-ES_tradnl"/>
        </w:rPr>
        <w:t>:</w:t>
      </w:r>
      <w:r w:rsidRPr="00443B8A">
        <w:rPr>
          <w:lang w:val="es-ES_tradnl"/>
        </w:rPr>
        <w:tab/>
      </w:r>
      <w:r w:rsidRPr="00443B8A">
        <w:rPr>
          <w:i/>
          <w:lang w:val="es-ES_tradnl"/>
        </w:rPr>
        <w:t>Janine Borg</w:t>
      </w:r>
    </w:p>
    <w:p w:rsidR="001E74A2" w:rsidRPr="00443B8A" w:rsidRDefault="001E74A2" w:rsidP="001E74A2">
      <w:pPr>
        <w:rPr>
          <w:lang w:val="es-ES_tradnl"/>
        </w:rPr>
      </w:pPr>
      <w:r w:rsidRPr="00443B8A">
        <w:rPr>
          <w:i/>
          <w:lang w:val="es-ES_tradnl"/>
        </w:rPr>
        <w:t xml:space="preserve">(Tel. 00 32 2 546 88 79 – correo electrónico: </w:t>
      </w:r>
      <w:hyperlink r:id="rId26">
        <w:r w:rsidRPr="00443B8A">
          <w:rPr>
            <w:rStyle w:val="Hyperlink"/>
            <w:i/>
            <w:lang w:val="es-ES_tradnl"/>
          </w:rPr>
          <w:t>janine.borg@eesc.europa.eu</w:t>
        </w:r>
      </w:hyperlink>
    </w:p>
    <w:p w:rsidR="001E74A2" w:rsidRPr="00443B8A" w:rsidRDefault="001E74A2" w:rsidP="001E74A2">
      <w:pPr>
        <w:rPr>
          <w:lang w:val="es-ES_tradnl"/>
        </w:rPr>
      </w:pPr>
    </w:p>
    <w:p w:rsidR="001E74A2" w:rsidRPr="00443B8A" w:rsidRDefault="001E74A2" w:rsidP="001E74A2">
      <w:pPr>
        <w:rPr>
          <w:lang w:val="es-ES_tradnl"/>
        </w:rPr>
      </w:pPr>
    </w:p>
    <w:p w:rsidR="003D3B49" w:rsidRPr="00443B8A" w:rsidRDefault="003D3B49">
      <w:pPr>
        <w:spacing w:line="240" w:lineRule="auto"/>
        <w:jc w:val="left"/>
        <w:rPr>
          <w:b/>
          <w:u w:val="single"/>
          <w:lang w:val="es-ES_tradnl"/>
        </w:rPr>
      </w:pPr>
      <w:r w:rsidRPr="00443B8A">
        <w:rPr>
          <w:lang w:val="es-ES_tradnl"/>
        </w:rPr>
        <w:br w:type="page"/>
      </w:r>
    </w:p>
    <w:p w:rsidR="009523E9" w:rsidRPr="00443B8A" w:rsidRDefault="009523E9" w:rsidP="00B52DA2">
      <w:pPr>
        <w:rPr>
          <w:highlight w:val="yellow"/>
          <w:lang w:val="es-ES_tradnl"/>
        </w:rPr>
      </w:pPr>
    </w:p>
    <w:p w:rsidR="001E74A2" w:rsidRPr="00443B8A" w:rsidRDefault="001E74A2" w:rsidP="00E21B91">
      <w:pPr>
        <w:widowControl w:val="0"/>
        <w:numPr>
          <w:ilvl w:val="0"/>
          <w:numId w:val="5"/>
        </w:numPr>
        <w:overflowPunct w:val="0"/>
        <w:autoSpaceDE w:val="0"/>
        <w:autoSpaceDN w:val="0"/>
        <w:adjustRightInd w:val="0"/>
        <w:ind w:left="284" w:hanging="284"/>
        <w:textAlignment w:val="baseline"/>
        <w:rPr>
          <w:b/>
          <w:i/>
          <w:sz w:val="28"/>
          <w:lang w:val="es-ES_tradnl"/>
        </w:rPr>
      </w:pPr>
      <w:r w:rsidRPr="00443B8A">
        <w:rPr>
          <w:b/>
          <w:i/>
          <w:sz w:val="28"/>
          <w:lang w:val="es-ES_tradnl"/>
        </w:rPr>
        <w:t>Contratación pública / Crisis del asilo</w:t>
      </w:r>
    </w:p>
    <w:p w:rsidR="001E74A2" w:rsidRPr="00443B8A" w:rsidRDefault="001E74A2" w:rsidP="001E74A2">
      <w:pPr>
        <w:tabs>
          <w:tab w:val="center" w:pos="284"/>
        </w:tabs>
        <w:ind w:left="266" w:hanging="266"/>
        <w:rPr>
          <w:b/>
          <w:lang w:val="es-ES_tradnl"/>
        </w:rPr>
      </w:pPr>
    </w:p>
    <w:p w:rsidR="001E74A2" w:rsidRPr="00443B8A" w:rsidRDefault="001E74A2" w:rsidP="001E74A2">
      <w:pPr>
        <w:tabs>
          <w:tab w:val="center" w:pos="284"/>
        </w:tabs>
        <w:ind w:left="266" w:hanging="266"/>
        <w:rPr>
          <w:lang w:val="es-ES_tradnl"/>
        </w:rPr>
      </w:pPr>
      <w:r w:rsidRPr="00443B8A">
        <w:rPr>
          <w:b/>
          <w:lang w:val="es-ES_tradnl"/>
        </w:rPr>
        <w:t>Ponente:</w:t>
      </w:r>
      <w:r w:rsidRPr="00443B8A">
        <w:rPr>
          <w:lang w:val="es-ES_tradnl"/>
        </w:rPr>
        <w:tab/>
        <w:t>Erik SVENSSON (Empresarios – SE)</w:t>
      </w:r>
    </w:p>
    <w:p w:rsidR="001E74A2" w:rsidRPr="00443B8A" w:rsidRDefault="001E74A2" w:rsidP="001E74A2">
      <w:pPr>
        <w:tabs>
          <w:tab w:val="center" w:pos="284"/>
        </w:tabs>
        <w:ind w:left="266" w:hanging="266"/>
        <w:rPr>
          <w:b/>
          <w:lang w:val="es-ES_tradnl"/>
        </w:rPr>
      </w:pPr>
    </w:p>
    <w:p w:rsidR="001E74A2" w:rsidRPr="00443B8A" w:rsidRDefault="001E74A2" w:rsidP="001E74A2">
      <w:pPr>
        <w:tabs>
          <w:tab w:val="center" w:pos="284"/>
        </w:tabs>
        <w:ind w:left="266" w:hanging="266"/>
        <w:rPr>
          <w:lang w:val="es-ES_tradnl"/>
        </w:rPr>
      </w:pPr>
      <w:r w:rsidRPr="00443B8A">
        <w:rPr>
          <w:b/>
          <w:lang w:val="es-ES_tradnl"/>
        </w:rPr>
        <w:t>Referencia:</w:t>
      </w:r>
      <w:r w:rsidRPr="00443B8A">
        <w:rPr>
          <w:lang w:val="es-ES_tradnl"/>
        </w:rPr>
        <w:tab/>
        <w:t>COM(2015) 454 final</w:t>
      </w:r>
    </w:p>
    <w:p w:rsidR="00543013" w:rsidRPr="00443B8A" w:rsidRDefault="00543013" w:rsidP="001E74A2">
      <w:pPr>
        <w:tabs>
          <w:tab w:val="center" w:pos="284"/>
        </w:tabs>
        <w:ind w:left="266" w:hanging="266"/>
        <w:rPr>
          <w:lang w:val="es-ES_tradnl"/>
        </w:rPr>
      </w:pPr>
      <w:r w:rsidRPr="00443B8A">
        <w:rPr>
          <w:b/>
          <w:lang w:val="es-ES_tradnl"/>
        </w:rPr>
        <w:tab/>
      </w:r>
      <w:r w:rsidRPr="00443B8A">
        <w:rPr>
          <w:b/>
          <w:lang w:val="es-ES_tradnl"/>
        </w:rPr>
        <w:tab/>
      </w:r>
      <w:r w:rsidRPr="00443B8A">
        <w:rPr>
          <w:b/>
          <w:lang w:val="es-ES_tradnl"/>
        </w:rPr>
        <w:tab/>
      </w:r>
      <w:r w:rsidRPr="00443B8A">
        <w:rPr>
          <w:b/>
          <w:lang w:val="es-ES_tradnl"/>
        </w:rPr>
        <w:tab/>
      </w:r>
      <w:r w:rsidRPr="00443B8A">
        <w:rPr>
          <w:lang w:val="es-ES_tradnl"/>
        </w:rPr>
        <w:t>EESC-2016-00076-00-00-AC-TRA</w:t>
      </w:r>
    </w:p>
    <w:p w:rsidR="001E74A2" w:rsidRPr="00443B8A" w:rsidRDefault="001E74A2" w:rsidP="001E74A2">
      <w:pPr>
        <w:tabs>
          <w:tab w:val="center" w:pos="284"/>
        </w:tabs>
        <w:ind w:left="266" w:hanging="266"/>
        <w:rPr>
          <w:lang w:val="es-ES_tradnl"/>
        </w:rPr>
      </w:pPr>
    </w:p>
    <w:p w:rsidR="001E74A2" w:rsidRPr="00443B8A" w:rsidRDefault="001E74A2" w:rsidP="001E74A2">
      <w:pPr>
        <w:rPr>
          <w:b/>
          <w:lang w:val="es-ES_tradnl"/>
        </w:rPr>
      </w:pPr>
      <w:r w:rsidRPr="00443B8A">
        <w:rPr>
          <w:b/>
          <w:lang w:val="es-ES_tradnl"/>
        </w:rPr>
        <w:t>Puntos clave:</w:t>
      </w:r>
    </w:p>
    <w:p w:rsidR="00D56136" w:rsidRPr="00443B8A" w:rsidRDefault="00D56136" w:rsidP="001E74A2">
      <w:pPr>
        <w:rPr>
          <w:lang w:val="es-ES_tradnl"/>
        </w:rPr>
      </w:pPr>
    </w:p>
    <w:p w:rsidR="001E74A2" w:rsidRPr="00443B8A" w:rsidRDefault="001E74A2" w:rsidP="00D56136">
      <w:pPr>
        <w:rPr>
          <w:lang w:val="es-ES_tradnl"/>
        </w:rPr>
      </w:pPr>
      <w:r w:rsidRPr="00443B8A">
        <w:rPr>
          <w:lang w:val="es-ES_tradnl"/>
        </w:rPr>
        <w:t>El CESE valora positivamente el carácter clarificador de la Comisión, en un contexto en el que los poderes adjudicadores se ven sometidos a una gran presión para responder a las situaciones de emergencia causadas por la crisis de los refugiados y el asilo.</w:t>
      </w:r>
    </w:p>
    <w:p w:rsidR="001E74A2" w:rsidRPr="00443B8A" w:rsidRDefault="001E74A2" w:rsidP="001E74A2">
      <w:pPr>
        <w:rPr>
          <w:lang w:val="es-ES_tradnl"/>
        </w:rPr>
      </w:pPr>
    </w:p>
    <w:p w:rsidR="001E74A2" w:rsidRPr="00443B8A" w:rsidRDefault="001E74A2" w:rsidP="00D56136">
      <w:pPr>
        <w:rPr>
          <w:lang w:val="es-ES_tradnl"/>
        </w:rPr>
      </w:pPr>
      <w:r w:rsidRPr="00443B8A">
        <w:rPr>
          <w:lang w:val="es-ES_tradnl"/>
        </w:rPr>
        <w:t>Al mismo tiempo, el CESE hace hincapié en la importancia de:</w:t>
      </w:r>
    </w:p>
    <w:p w:rsidR="00D56136" w:rsidRPr="00443B8A" w:rsidRDefault="00D56136" w:rsidP="00D56136">
      <w:pPr>
        <w:overflowPunct w:val="0"/>
        <w:autoSpaceDE w:val="0"/>
        <w:autoSpaceDN w:val="0"/>
        <w:adjustRightInd w:val="0"/>
        <w:spacing w:line="240" w:lineRule="auto"/>
        <w:textAlignment w:val="baseline"/>
        <w:rPr>
          <w:lang w:val="es-ES_tradnl"/>
        </w:rPr>
      </w:pPr>
    </w:p>
    <w:p w:rsidR="001E74A2" w:rsidRPr="00443B8A" w:rsidRDefault="001E74A2" w:rsidP="00D56136">
      <w:pPr>
        <w:pStyle w:val="ListParagraph"/>
        <w:numPr>
          <w:ilvl w:val="0"/>
          <w:numId w:val="76"/>
        </w:numPr>
        <w:tabs>
          <w:tab w:val="left" w:pos="770"/>
        </w:tabs>
        <w:ind w:left="369" w:hanging="369"/>
        <w:rPr>
          <w:lang w:val="es-ES_tradnl"/>
        </w:rPr>
      </w:pPr>
      <w:r w:rsidRPr="00443B8A">
        <w:rPr>
          <w:lang w:val="es-ES_tradnl"/>
        </w:rPr>
        <w:t>garantizar la transparencia;</w:t>
      </w:r>
    </w:p>
    <w:p w:rsidR="00891B74" w:rsidRPr="00443B8A" w:rsidRDefault="00891B74" w:rsidP="00891B74">
      <w:pPr>
        <w:pStyle w:val="ListParagraph"/>
        <w:tabs>
          <w:tab w:val="left" w:pos="770"/>
        </w:tabs>
        <w:ind w:left="369"/>
        <w:rPr>
          <w:lang w:val="es-ES_tradnl"/>
        </w:rPr>
      </w:pPr>
    </w:p>
    <w:p w:rsidR="001E74A2" w:rsidRPr="00443B8A" w:rsidRDefault="001E74A2" w:rsidP="00D56136">
      <w:pPr>
        <w:pStyle w:val="ListParagraph"/>
        <w:numPr>
          <w:ilvl w:val="0"/>
          <w:numId w:val="76"/>
        </w:numPr>
        <w:tabs>
          <w:tab w:val="left" w:pos="770"/>
        </w:tabs>
        <w:ind w:left="369" w:hanging="369"/>
        <w:rPr>
          <w:lang w:val="es-ES_tradnl"/>
        </w:rPr>
      </w:pPr>
      <w:r w:rsidRPr="00443B8A">
        <w:rPr>
          <w:lang w:val="es-ES_tradnl"/>
        </w:rPr>
        <w:t>no aprovechar de forma indebida la flexibilidad de la legislación en esta materia;</w:t>
      </w:r>
    </w:p>
    <w:p w:rsidR="00891B74" w:rsidRPr="00443B8A" w:rsidRDefault="00891B74" w:rsidP="00891B74">
      <w:pPr>
        <w:pStyle w:val="ListParagraph"/>
        <w:tabs>
          <w:tab w:val="left" w:pos="770"/>
        </w:tabs>
        <w:ind w:left="369"/>
        <w:rPr>
          <w:lang w:val="es-ES_tradnl"/>
        </w:rPr>
      </w:pPr>
    </w:p>
    <w:p w:rsidR="001E74A2" w:rsidRPr="00443B8A" w:rsidRDefault="001E74A2" w:rsidP="00D56136">
      <w:pPr>
        <w:pStyle w:val="ListParagraph"/>
        <w:numPr>
          <w:ilvl w:val="0"/>
          <w:numId w:val="76"/>
        </w:numPr>
        <w:tabs>
          <w:tab w:val="left" w:pos="770"/>
        </w:tabs>
        <w:ind w:left="369" w:hanging="369"/>
        <w:rPr>
          <w:lang w:val="es-ES_tradnl"/>
        </w:rPr>
      </w:pPr>
      <w:r w:rsidRPr="00443B8A">
        <w:rPr>
          <w:lang w:val="es-ES_tradnl"/>
        </w:rPr>
        <w:t>incluir soluciones que faciliten posteriormente la integración y un apoyo suplementario, y</w:t>
      </w:r>
    </w:p>
    <w:p w:rsidR="00891B74" w:rsidRPr="00443B8A" w:rsidRDefault="00891B74" w:rsidP="00891B74">
      <w:pPr>
        <w:pStyle w:val="ListParagraph"/>
        <w:tabs>
          <w:tab w:val="left" w:pos="770"/>
        </w:tabs>
        <w:ind w:left="369"/>
        <w:rPr>
          <w:lang w:val="es-ES_tradnl"/>
        </w:rPr>
      </w:pPr>
    </w:p>
    <w:p w:rsidR="001E74A2" w:rsidRPr="00443B8A" w:rsidRDefault="001E74A2" w:rsidP="00D56136">
      <w:pPr>
        <w:pStyle w:val="ListParagraph"/>
        <w:numPr>
          <w:ilvl w:val="0"/>
          <w:numId w:val="76"/>
        </w:numPr>
        <w:tabs>
          <w:tab w:val="left" w:pos="770"/>
        </w:tabs>
        <w:ind w:left="369" w:hanging="369"/>
        <w:rPr>
          <w:lang w:val="es-ES_tradnl"/>
        </w:rPr>
      </w:pPr>
      <w:r w:rsidRPr="00443B8A">
        <w:rPr>
          <w:lang w:val="es-ES_tradnl"/>
        </w:rPr>
        <w:t>garantizar que los contratos adjudicados para responder a una situación de emergencia sean de corta duración.</w:t>
      </w:r>
    </w:p>
    <w:p w:rsidR="001E74A2" w:rsidRPr="00443B8A" w:rsidRDefault="001E74A2" w:rsidP="00D56136">
      <w:pPr>
        <w:pStyle w:val="ListParagraph"/>
        <w:tabs>
          <w:tab w:val="left" w:pos="770"/>
        </w:tabs>
        <w:ind w:left="369"/>
        <w:rPr>
          <w:lang w:val="es-ES_tradnl"/>
        </w:rPr>
      </w:pPr>
    </w:p>
    <w:p w:rsidR="001E74A2" w:rsidRPr="00443B8A" w:rsidRDefault="001E74A2" w:rsidP="00D56136">
      <w:pPr>
        <w:rPr>
          <w:lang w:val="es-ES_tradnl"/>
        </w:rPr>
      </w:pPr>
      <w:r w:rsidRPr="00443B8A">
        <w:rPr>
          <w:lang w:val="es-ES_tradnl"/>
        </w:rPr>
        <w:t>El Comité reconoce además el papel fundamental que desempeña el sector sin ánimo de lucro y considera que hay que reducir los trámites burocráticos para evitar retrasos en los procedimientos de adjudicación.</w:t>
      </w:r>
    </w:p>
    <w:p w:rsidR="001E74A2" w:rsidRPr="00443B8A" w:rsidRDefault="001E74A2" w:rsidP="00D56136">
      <w:pPr>
        <w:rPr>
          <w:lang w:val="es-ES_tradnl"/>
        </w:rPr>
      </w:pPr>
    </w:p>
    <w:p w:rsidR="001E74A2" w:rsidRPr="00443B8A" w:rsidRDefault="001E74A2" w:rsidP="00D56136">
      <w:pPr>
        <w:rPr>
          <w:lang w:val="es-ES_tradnl"/>
        </w:rPr>
      </w:pPr>
      <w:r w:rsidRPr="00443B8A">
        <w:rPr>
          <w:lang w:val="es-ES_tradnl"/>
        </w:rPr>
        <w:t>Asimismo, recomienda que, debido a un contexto de nuevas y crecientes amenazas, los poderes adjudicadores deberían plantearse adjudicar separadamente los contratos de seguridad y seguros. También es preciso tener en cuenta a los refugiados que optan por no presentar solicitud de asilo, pues en estos casos también hay una necesidad urgente de asistencia, atención sanitaria y protección.</w:t>
      </w:r>
    </w:p>
    <w:p w:rsidR="001E74A2" w:rsidRPr="00443B8A" w:rsidRDefault="001E74A2" w:rsidP="00D56136">
      <w:pPr>
        <w:rPr>
          <w:lang w:val="es-ES_tradnl"/>
        </w:rPr>
      </w:pPr>
    </w:p>
    <w:p w:rsidR="001E74A2" w:rsidRPr="00443B8A" w:rsidRDefault="001E74A2" w:rsidP="00D56136">
      <w:pPr>
        <w:rPr>
          <w:lang w:val="es-ES_tradnl"/>
        </w:rPr>
      </w:pPr>
      <w:r w:rsidRPr="00443B8A">
        <w:rPr>
          <w:lang w:val="es-ES_tradnl"/>
        </w:rPr>
        <w:t>El CESE pide y recomienda a la Comisión que clarifique en la Comunicación lo referente a la contratación pública en el contexto de la actual crisis del asilo y los refugiados, o que se elabore otra Comunicación que trate la cuestión de la contratación pública en relación con la crisis del asilo.</w:t>
      </w:r>
    </w:p>
    <w:p w:rsidR="001E74A2" w:rsidRPr="00443B8A" w:rsidRDefault="001E74A2" w:rsidP="001E74A2">
      <w:pPr>
        <w:rPr>
          <w:lang w:val="es-ES_tradnl"/>
        </w:rPr>
      </w:pPr>
    </w:p>
    <w:p w:rsidR="001E74A2" w:rsidRPr="00443B8A" w:rsidRDefault="001E74A2" w:rsidP="001E74A2">
      <w:pPr>
        <w:rPr>
          <w:i/>
          <w:lang w:val="es-ES_tradnl"/>
        </w:rPr>
      </w:pPr>
      <w:r w:rsidRPr="00443B8A">
        <w:rPr>
          <w:b/>
          <w:i/>
          <w:lang w:val="es-ES_tradnl"/>
        </w:rPr>
        <w:t>Contacto:</w:t>
      </w:r>
      <w:r w:rsidRPr="00443B8A">
        <w:rPr>
          <w:lang w:val="es-ES_tradnl"/>
        </w:rPr>
        <w:tab/>
      </w:r>
      <w:r w:rsidRPr="00443B8A">
        <w:rPr>
          <w:i/>
          <w:lang w:val="es-ES_tradnl"/>
        </w:rPr>
        <w:t>Janine Borg</w:t>
      </w:r>
    </w:p>
    <w:p w:rsidR="001E74A2" w:rsidRPr="00443B8A" w:rsidRDefault="001E74A2" w:rsidP="001E74A2">
      <w:pPr>
        <w:rPr>
          <w:lang w:val="es-ES_tradnl"/>
        </w:rPr>
      </w:pPr>
      <w:r w:rsidRPr="00443B8A">
        <w:rPr>
          <w:i/>
          <w:lang w:val="es-ES_tradnl"/>
        </w:rPr>
        <w:t xml:space="preserve">(Tel. 00 32 2 546 88 79 – correo electrónico: </w:t>
      </w:r>
      <w:hyperlink r:id="rId27">
        <w:r w:rsidRPr="00443B8A">
          <w:rPr>
            <w:rStyle w:val="Hyperlink"/>
            <w:i/>
            <w:lang w:val="es-ES_tradnl"/>
          </w:rPr>
          <w:t>janine.borg@eesc.europa.eu</w:t>
        </w:r>
      </w:hyperlink>
    </w:p>
    <w:p w:rsidR="0035631F" w:rsidRPr="00443B8A" w:rsidRDefault="0035631F">
      <w:pPr>
        <w:spacing w:line="240" w:lineRule="auto"/>
        <w:jc w:val="left"/>
        <w:rPr>
          <w:b/>
          <w:highlight w:val="yellow"/>
          <w:u w:val="single"/>
          <w:lang w:val="es-ES_tradnl"/>
        </w:rPr>
      </w:pPr>
      <w:r w:rsidRPr="00443B8A">
        <w:rPr>
          <w:lang w:val="es-ES_tradnl"/>
        </w:rPr>
        <w:br w:type="page"/>
      </w:r>
    </w:p>
    <w:p w:rsidR="00DC7A11" w:rsidRPr="00443B8A" w:rsidRDefault="00DC7A11" w:rsidP="00B52DA2">
      <w:pPr>
        <w:rPr>
          <w:b/>
          <w:highlight w:val="yellow"/>
          <w:u w:val="single"/>
          <w:lang w:val="es-ES_tradnl"/>
        </w:rPr>
      </w:pPr>
    </w:p>
    <w:p w:rsidR="0035631F" w:rsidRPr="00443B8A" w:rsidRDefault="0035631F" w:rsidP="00E21B91">
      <w:pPr>
        <w:widowControl w:val="0"/>
        <w:numPr>
          <w:ilvl w:val="0"/>
          <w:numId w:val="5"/>
        </w:numPr>
        <w:overflowPunct w:val="0"/>
        <w:autoSpaceDE w:val="0"/>
        <w:autoSpaceDN w:val="0"/>
        <w:adjustRightInd w:val="0"/>
        <w:ind w:left="284" w:hanging="284"/>
        <w:textAlignment w:val="baseline"/>
        <w:rPr>
          <w:b/>
          <w:i/>
          <w:sz w:val="28"/>
          <w:lang w:val="es-ES_tradnl"/>
        </w:rPr>
      </w:pPr>
      <w:r w:rsidRPr="00443B8A">
        <w:rPr>
          <w:b/>
          <w:i/>
          <w:sz w:val="28"/>
          <w:lang w:val="es-ES_tradnl"/>
        </w:rPr>
        <w:t>Control de la adquisición y tenencia de armas</w:t>
      </w:r>
    </w:p>
    <w:p w:rsidR="0035631F" w:rsidRPr="00443B8A" w:rsidRDefault="0035631F" w:rsidP="0035631F">
      <w:pPr>
        <w:tabs>
          <w:tab w:val="center" w:pos="284"/>
        </w:tabs>
        <w:ind w:left="266" w:hanging="266"/>
        <w:rPr>
          <w:b/>
          <w:lang w:val="es-ES_tradnl"/>
        </w:rPr>
      </w:pPr>
    </w:p>
    <w:p w:rsidR="0035631F" w:rsidRPr="00443B8A" w:rsidRDefault="0035631F" w:rsidP="0035631F">
      <w:pPr>
        <w:tabs>
          <w:tab w:val="center" w:pos="284"/>
        </w:tabs>
        <w:ind w:left="266" w:hanging="266"/>
        <w:rPr>
          <w:lang w:val="es-ES_tradnl"/>
        </w:rPr>
      </w:pPr>
      <w:r w:rsidRPr="00443B8A">
        <w:rPr>
          <w:b/>
          <w:lang w:val="es-ES_tradnl"/>
        </w:rPr>
        <w:t>Ponente:</w:t>
      </w:r>
      <w:r w:rsidRPr="00443B8A">
        <w:rPr>
          <w:lang w:val="es-ES_tradnl"/>
        </w:rPr>
        <w:tab/>
        <w:t>Paulo BARROS VALE (Empresarios – PT)</w:t>
      </w:r>
    </w:p>
    <w:p w:rsidR="0035631F" w:rsidRPr="00443B8A" w:rsidRDefault="0035631F" w:rsidP="0035631F">
      <w:pPr>
        <w:tabs>
          <w:tab w:val="center" w:pos="284"/>
        </w:tabs>
        <w:ind w:left="266" w:hanging="266"/>
        <w:rPr>
          <w:b/>
          <w:lang w:val="es-ES_tradnl"/>
        </w:rPr>
      </w:pPr>
    </w:p>
    <w:p w:rsidR="0035631F" w:rsidRPr="00443B8A" w:rsidRDefault="0035631F" w:rsidP="0035631F">
      <w:pPr>
        <w:tabs>
          <w:tab w:val="center" w:pos="284"/>
        </w:tabs>
        <w:ind w:left="266" w:hanging="266"/>
        <w:rPr>
          <w:lang w:val="es-ES_tradnl"/>
        </w:rPr>
      </w:pPr>
      <w:r w:rsidRPr="00443B8A">
        <w:rPr>
          <w:b/>
          <w:lang w:val="es-ES_tradnl"/>
        </w:rPr>
        <w:t>Referencias:</w:t>
      </w:r>
      <w:r w:rsidRPr="00443B8A">
        <w:rPr>
          <w:lang w:val="es-ES_tradnl"/>
        </w:rPr>
        <w:tab/>
        <w:t>COM(2015) 750 final – 2015/0269 (COD)</w:t>
      </w:r>
    </w:p>
    <w:p w:rsidR="00543013" w:rsidRPr="00443B8A" w:rsidRDefault="00543013" w:rsidP="0035631F">
      <w:pPr>
        <w:tabs>
          <w:tab w:val="center" w:pos="284"/>
        </w:tabs>
        <w:ind w:left="266" w:hanging="266"/>
        <w:rPr>
          <w:lang w:val="es-ES_tradnl"/>
        </w:rPr>
      </w:pPr>
      <w:r w:rsidRPr="00443B8A">
        <w:rPr>
          <w:b/>
          <w:lang w:val="es-ES_tradnl"/>
        </w:rPr>
        <w:tab/>
      </w:r>
      <w:r w:rsidRPr="00443B8A">
        <w:rPr>
          <w:b/>
          <w:lang w:val="es-ES_tradnl"/>
        </w:rPr>
        <w:tab/>
      </w:r>
      <w:r w:rsidRPr="00443B8A">
        <w:rPr>
          <w:b/>
          <w:lang w:val="es-ES_tradnl"/>
        </w:rPr>
        <w:tab/>
      </w:r>
      <w:r w:rsidRPr="00443B8A">
        <w:rPr>
          <w:b/>
          <w:lang w:val="es-ES_tradnl"/>
        </w:rPr>
        <w:tab/>
      </w:r>
      <w:r w:rsidRPr="00443B8A">
        <w:rPr>
          <w:lang w:val="es-ES_tradnl"/>
        </w:rPr>
        <w:t>EESC-2015-06789-00-00-AC-TRA</w:t>
      </w:r>
    </w:p>
    <w:p w:rsidR="0035631F" w:rsidRPr="00443B8A" w:rsidRDefault="0035631F" w:rsidP="0035631F">
      <w:pPr>
        <w:tabs>
          <w:tab w:val="center" w:pos="284"/>
        </w:tabs>
        <w:ind w:left="266" w:hanging="266"/>
        <w:rPr>
          <w:lang w:val="es-ES_tradnl"/>
        </w:rPr>
      </w:pPr>
    </w:p>
    <w:p w:rsidR="0035631F" w:rsidRPr="00443B8A" w:rsidRDefault="0035631F" w:rsidP="0035631F">
      <w:pPr>
        <w:rPr>
          <w:b/>
          <w:lang w:val="es-ES_tradnl"/>
        </w:rPr>
      </w:pPr>
      <w:r w:rsidRPr="00443B8A">
        <w:rPr>
          <w:b/>
          <w:lang w:val="es-ES_tradnl"/>
        </w:rPr>
        <w:t>Puntos clave:</w:t>
      </w:r>
    </w:p>
    <w:p w:rsidR="0035631F" w:rsidRPr="00443B8A" w:rsidRDefault="0035631F" w:rsidP="0035631F">
      <w:pPr>
        <w:rPr>
          <w:lang w:val="es-ES_tradnl"/>
        </w:rPr>
      </w:pPr>
    </w:p>
    <w:p w:rsidR="0035631F" w:rsidRPr="00443B8A" w:rsidRDefault="0035631F" w:rsidP="0035631F">
      <w:pPr>
        <w:rPr>
          <w:lang w:val="es-ES_tradnl"/>
        </w:rPr>
      </w:pPr>
      <w:r w:rsidRPr="00443B8A">
        <w:rPr>
          <w:lang w:val="es-ES_tradnl"/>
        </w:rPr>
        <w:t>El CESE apoya la propuesta de directiva, pero propone medidas que, a su juicio, pueden contribuir a aumentar la seguridad de los ciudadanos. Así:</w:t>
      </w:r>
    </w:p>
    <w:p w:rsidR="0035631F" w:rsidRPr="00443B8A" w:rsidRDefault="0035631F" w:rsidP="0035631F">
      <w:pPr>
        <w:rPr>
          <w:lang w:val="es-ES_tradnl"/>
        </w:rPr>
      </w:pPr>
    </w:p>
    <w:p w:rsidR="0035631F" w:rsidRPr="00443B8A" w:rsidRDefault="0035631F" w:rsidP="00BE0CD6">
      <w:pPr>
        <w:pStyle w:val="ListParagraph"/>
        <w:numPr>
          <w:ilvl w:val="0"/>
          <w:numId w:val="87"/>
        </w:numPr>
        <w:tabs>
          <w:tab w:val="clear" w:pos="0"/>
        </w:tabs>
        <w:overflowPunct w:val="0"/>
        <w:autoSpaceDE w:val="0"/>
        <w:autoSpaceDN w:val="0"/>
        <w:adjustRightInd w:val="0"/>
        <w:textAlignment w:val="baseline"/>
        <w:rPr>
          <w:lang w:val="es-ES_tradnl"/>
        </w:rPr>
      </w:pPr>
      <w:r w:rsidRPr="00443B8A">
        <w:rPr>
          <w:lang w:val="es-ES_tradnl"/>
        </w:rPr>
        <w:t xml:space="preserve"> se considere la posibilidad de que se lleve a la industria a evolucionar hacia el marcado de los proyectiles de forma indeleble y en un lugar que no se destruya con el uso a fin de facilitar la rastreabilidad no solo de las armas, sino también de las municiones;</w:t>
      </w:r>
    </w:p>
    <w:p w:rsidR="0035631F" w:rsidRPr="00443B8A" w:rsidRDefault="0035631F" w:rsidP="00BE0CD6">
      <w:pPr>
        <w:pStyle w:val="ListParagraph"/>
        <w:overflowPunct w:val="0"/>
        <w:autoSpaceDE w:val="0"/>
        <w:autoSpaceDN w:val="0"/>
        <w:adjustRightInd w:val="0"/>
        <w:ind w:left="0"/>
        <w:textAlignment w:val="baseline"/>
        <w:rPr>
          <w:lang w:val="es-ES_tradnl"/>
        </w:rPr>
      </w:pPr>
    </w:p>
    <w:p w:rsidR="0035631F" w:rsidRPr="00443B8A" w:rsidRDefault="0035631F" w:rsidP="00BE0CD6">
      <w:pPr>
        <w:pStyle w:val="ListParagraph"/>
        <w:numPr>
          <w:ilvl w:val="0"/>
          <w:numId w:val="87"/>
        </w:numPr>
        <w:tabs>
          <w:tab w:val="clear" w:pos="0"/>
        </w:tabs>
        <w:overflowPunct w:val="0"/>
        <w:autoSpaceDE w:val="0"/>
        <w:autoSpaceDN w:val="0"/>
        <w:adjustRightInd w:val="0"/>
        <w:textAlignment w:val="baseline"/>
        <w:rPr>
          <w:lang w:val="es-ES_tradnl"/>
        </w:rPr>
      </w:pPr>
      <w:r w:rsidRPr="00443B8A">
        <w:rPr>
          <w:lang w:val="es-ES_tradnl"/>
        </w:rPr>
        <w:t>introducir estos datos en bases de datos interoperables a nivel europeo a disposición de las autoridades competentes;</w:t>
      </w:r>
    </w:p>
    <w:p w:rsidR="0035631F" w:rsidRPr="00443B8A" w:rsidRDefault="0035631F" w:rsidP="00BE0CD6">
      <w:pPr>
        <w:pStyle w:val="ListParagraph"/>
        <w:overflowPunct w:val="0"/>
        <w:autoSpaceDE w:val="0"/>
        <w:autoSpaceDN w:val="0"/>
        <w:adjustRightInd w:val="0"/>
        <w:ind w:left="0"/>
        <w:textAlignment w:val="baseline"/>
        <w:rPr>
          <w:lang w:val="es-ES_tradnl"/>
        </w:rPr>
      </w:pPr>
    </w:p>
    <w:p w:rsidR="0035631F" w:rsidRPr="00443B8A" w:rsidRDefault="0035631F" w:rsidP="00BE0CD6">
      <w:pPr>
        <w:pStyle w:val="ListParagraph"/>
        <w:numPr>
          <w:ilvl w:val="0"/>
          <w:numId w:val="87"/>
        </w:numPr>
        <w:tabs>
          <w:tab w:val="clear" w:pos="0"/>
        </w:tabs>
        <w:overflowPunct w:val="0"/>
        <w:autoSpaceDE w:val="0"/>
        <w:autoSpaceDN w:val="0"/>
        <w:adjustRightInd w:val="0"/>
        <w:textAlignment w:val="baseline"/>
        <w:rPr>
          <w:lang w:val="es-ES_tradnl"/>
        </w:rPr>
      </w:pPr>
      <w:r w:rsidRPr="00443B8A">
        <w:rPr>
          <w:lang w:val="es-ES_tradnl"/>
        </w:rPr>
        <w:t>considerar la posibilidad de seguir el ejemplo australiano y británico con sus programas de compra de armas ;</w:t>
      </w:r>
    </w:p>
    <w:p w:rsidR="0035631F" w:rsidRPr="00443B8A" w:rsidRDefault="0035631F" w:rsidP="00BE0CD6">
      <w:pPr>
        <w:pStyle w:val="ListParagraph"/>
        <w:overflowPunct w:val="0"/>
        <w:autoSpaceDE w:val="0"/>
        <w:autoSpaceDN w:val="0"/>
        <w:adjustRightInd w:val="0"/>
        <w:ind w:left="0"/>
        <w:textAlignment w:val="baseline"/>
        <w:rPr>
          <w:lang w:val="es-ES_tradnl"/>
        </w:rPr>
      </w:pPr>
    </w:p>
    <w:p w:rsidR="0035631F" w:rsidRPr="00443B8A" w:rsidRDefault="0035631F" w:rsidP="00BE0CD6">
      <w:pPr>
        <w:pStyle w:val="ListParagraph"/>
        <w:numPr>
          <w:ilvl w:val="0"/>
          <w:numId w:val="87"/>
        </w:numPr>
        <w:tabs>
          <w:tab w:val="clear" w:pos="0"/>
        </w:tabs>
        <w:overflowPunct w:val="0"/>
        <w:autoSpaceDE w:val="0"/>
        <w:autoSpaceDN w:val="0"/>
        <w:adjustRightInd w:val="0"/>
        <w:textAlignment w:val="baseline"/>
        <w:rPr>
          <w:lang w:val="es-ES_tradnl"/>
        </w:rPr>
      </w:pPr>
      <w:r w:rsidRPr="00443B8A">
        <w:rPr>
          <w:lang w:val="es-ES_tradnl"/>
        </w:rPr>
        <w:t xml:space="preserve">incluir el asunto de la producción de armas letales mediante impresión en 3D sin ninguna posibilidad de control ni de trazabilidad en la agenda de los programas nacionales de seguridad. </w:t>
      </w:r>
    </w:p>
    <w:p w:rsidR="0035631F" w:rsidRPr="00443B8A" w:rsidRDefault="0035631F" w:rsidP="00BE0CD6">
      <w:pPr>
        <w:pStyle w:val="ListParagraph"/>
        <w:ind w:left="0"/>
        <w:rPr>
          <w:lang w:val="es-ES_tradnl"/>
        </w:rPr>
      </w:pPr>
    </w:p>
    <w:p w:rsidR="0035631F" w:rsidRPr="00443B8A" w:rsidRDefault="0035631F" w:rsidP="0035631F">
      <w:pPr>
        <w:rPr>
          <w:i/>
          <w:lang w:val="es-ES_tradnl"/>
        </w:rPr>
      </w:pPr>
      <w:r w:rsidRPr="00443B8A">
        <w:rPr>
          <w:b/>
          <w:i/>
          <w:lang w:val="es-ES_tradnl"/>
        </w:rPr>
        <w:t>Contacto</w:t>
      </w:r>
      <w:r w:rsidRPr="00443B8A">
        <w:rPr>
          <w:lang w:val="es-ES_tradnl"/>
        </w:rPr>
        <w:t>:</w:t>
      </w:r>
      <w:r w:rsidRPr="00443B8A">
        <w:rPr>
          <w:lang w:val="es-ES_tradnl"/>
        </w:rPr>
        <w:tab/>
      </w:r>
      <w:r w:rsidRPr="00443B8A">
        <w:rPr>
          <w:i/>
          <w:lang w:val="es-ES_tradnl"/>
        </w:rPr>
        <w:t>Luís Lobo</w:t>
      </w:r>
    </w:p>
    <w:p w:rsidR="0035631F" w:rsidRPr="00443B8A" w:rsidRDefault="0035631F" w:rsidP="0035631F">
      <w:pPr>
        <w:rPr>
          <w:i/>
          <w:lang w:val="es-ES_tradnl"/>
        </w:rPr>
      </w:pPr>
      <w:r w:rsidRPr="00443B8A">
        <w:rPr>
          <w:i/>
          <w:lang w:val="es-ES_tradnl"/>
        </w:rPr>
        <w:t xml:space="preserve">(Tel. 00 32 2 546 97 17 – correo electrónico: </w:t>
      </w:r>
      <w:hyperlink r:id="rId28">
        <w:r w:rsidRPr="00443B8A">
          <w:rPr>
            <w:rStyle w:val="Hyperlink"/>
            <w:i/>
            <w:lang w:val="es-ES_tradnl"/>
          </w:rPr>
          <w:t>luis.lobo@eesc.europa.eu</w:t>
        </w:r>
      </w:hyperlink>
      <w:r w:rsidRPr="00443B8A">
        <w:rPr>
          <w:i/>
          <w:lang w:val="es-ES_tradnl"/>
        </w:rPr>
        <w:t>)</w:t>
      </w:r>
    </w:p>
    <w:p w:rsidR="001E74A2" w:rsidRPr="00443B8A" w:rsidRDefault="001E74A2" w:rsidP="001E74A2">
      <w:pPr>
        <w:rPr>
          <w:lang w:val="es-ES_tradnl"/>
        </w:rPr>
      </w:pPr>
    </w:p>
    <w:p w:rsidR="003D3B49" w:rsidRPr="00443B8A" w:rsidRDefault="003D3B49">
      <w:pPr>
        <w:spacing w:line="240" w:lineRule="auto"/>
        <w:jc w:val="left"/>
        <w:rPr>
          <w:b/>
          <w:u w:val="single"/>
          <w:lang w:val="es-ES_tradnl"/>
        </w:rPr>
      </w:pPr>
      <w:r w:rsidRPr="00443B8A">
        <w:rPr>
          <w:lang w:val="es-ES_tradnl"/>
        </w:rPr>
        <w:br w:type="page"/>
      </w:r>
    </w:p>
    <w:p w:rsidR="00DC7A11" w:rsidRPr="00443B8A" w:rsidRDefault="00DC7A11" w:rsidP="00B52DA2">
      <w:pPr>
        <w:rPr>
          <w:b/>
          <w:highlight w:val="yellow"/>
          <w:u w:val="single"/>
          <w:lang w:val="es-ES_tradnl"/>
        </w:rPr>
      </w:pPr>
    </w:p>
    <w:p w:rsidR="001E74A2" w:rsidRPr="00443B8A" w:rsidRDefault="001E74A2" w:rsidP="00E21B91">
      <w:pPr>
        <w:widowControl w:val="0"/>
        <w:numPr>
          <w:ilvl w:val="0"/>
          <w:numId w:val="5"/>
        </w:numPr>
        <w:overflowPunct w:val="0"/>
        <w:autoSpaceDE w:val="0"/>
        <w:autoSpaceDN w:val="0"/>
        <w:adjustRightInd w:val="0"/>
        <w:ind w:left="284" w:hanging="284"/>
        <w:textAlignment w:val="baseline"/>
        <w:rPr>
          <w:b/>
          <w:bCs/>
          <w:i/>
          <w:iCs/>
          <w:sz w:val="28"/>
          <w:szCs w:val="28"/>
          <w:lang w:val="es-ES_tradnl"/>
        </w:rPr>
      </w:pPr>
      <w:r w:rsidRPr="00443B8A">
        <w:rPr>
          <w:b/>
          <w:i/>
          <w:sz w:val="28"/>
          <w:lang w:val="es-ES_tradnl"/>
        </w:rPr>
        <w:t>Derecho de sociedades</w:t>
      </w:r>
    </w:p>
    <w:p w:rsidR="001E74A2" w:rsidRPr="00443B8A" w:rsidRDefault="001E74A2" w:rsidP="001E74A2">
      <w:pPr>
        <w:tabs>
          <w:tab w:val="center" w:pos="284"/>
        </w:tabs>
        <w:ind w:left="266" w:hanging="266"/>
        <w:rPr>
          <w:b/>
          <w:lang w:val="es-ES_tradnl"/>
        </w:rPr>
      </w:pPr>
    </w:p>
    <w:p w:rsidR="001E74A2" w:rsidRPr="00443B8A" w:rsidRDefault="001E74A2" w:rsidP="001E74A2">
      <w:pPr>
        <w:tabs>
          <w:tab w:val="center" w:pos="284"/>
        </w:tabs>
        <w:ind w:left="266" w:hanging="266"/>
        <w:rPr>
          <w:lang w:val="es-ES_tradnl"/>
        </w:rPr>
      </w:pPr>
      <w:r w:rsidRPr="00443B8A">
        <w:rPr>
          <w:b/>
          <w:lang w:val="es-ES_tradnl"/>
        </w:rPr>
        <w:t>Ponente:</w:t>
      </w:r>
      <w:r w:rsidRPr="00443B8A">
        <w:rPr>
          <w:lang w:val="es-ES_tradnl"/>
        </w:rPr>
        <w:tab/>
        <w:t>Jorge PEGADO LIZ (Actividades Diversas - PT)</w:t>
      </w:r>
    </w:p>
    <w:p w:rsidR="001E74A2" w:rsidRPr="00443B8A" w:rsidRDefault="001E74A2" w:rsidP="001E74A2">
      <w:pPr>
        <w:tabs>
          <w:tab w:val="center" w:pos="284"/>
        </w:tabs>
        <w:ind w:left="266" w:hanging="266"/>
        <w:rPr>
          <w:b/>
          <w:lang w:val="es-ES_tradnl"/>
        </w:rPr>
      </w:pPr>
    </w:p>
    <w:p w:rsidR="001E74A2" w:rsidRPr="00443B8A" w:rsidRDefault="001E74A2" w:rsidP="001E74A2">
      <w:pPr>
        <w:tabs>
          <w:tab w:val="center" w:pos="284"/>
        </w:tabs>
        <w:ind w:left="266" w:hanging="266"/>
        <w:rPr>
          <w:lang w:val="es-ES_tradnl"/>
        </w:rPr>
      </w:pPr>
      <w:r w:rsidRPr="00443B8A">
        <w:rPr>
          <w:b/>
          <w:lang w:val="es-ES_tradnl"/>
        </w:rPr>
        <w:t>Referencias:</w:t>
      </w:r>
      <w:r w:rsidRPr="00443B8A">
        <w:rPr>
          <w:lang w:val="es-ES_tradnl"/>
        </w:rPr>
        <w:tab/>
        <w:t>COM(2015) 616 final - 2015/0283 (COD)</w:t>
      </w:r>
    </w:p>
    <w:p w:rsidR="00543013" w:rsidRPr="00443B8A" w:rsidRDefault="00543013" w:rsidP="001E74A2">
      <w:pPr>
        <w:tabs>
          <w:tab w:val="center" w:pos="284"/>
        </w:tabs>
        <w:ind w:left="266" w:hanging="266"/>
        <w:rPr>
          <w:lang w:val="es-ES_tradnl"/>
        </w:rPr>
      </w:pPr>
      <w:r w:rsidRPr="00443B8A">
        <w:rPr>
          <w:b/>
          <w:lang w:val="es-ES_tradnl"/>
        </w:rPr>
        <w:tab/>
      </w:r>
      <w:r w:rsidRPr="00443B8A">
        <w:rPr>
          <w:b/>
          <w:lang w:val="es-ES_tradnl"/>
        </w:rPr>
        <w:tab/>
      </w:r>
      <w:r w:rsidRPr="00443B8A">
        <w:rPr>
          <w:b/>
          <w:lang w:val="es-ES_tradnl"/>
        </w:rPr>
        <w:tab/>
      </w:r>
      <w:r w:rsidRPr="00443B8A">
        <w:rPr>
          <w:b/>
          <w:lang w:val="es-ES_tradnl"/>
        </w:rPr>
        <w:tab/>
      </w:r>
      <w:r w:rsidRPr="00443B8A">
        <w:rPr>
          <w:lang w:val="es-ES_tradnl"/>
        </w:rPr>
        <w:t>EESC-2016-00895-00-00-AC-TRA</w:t>
      </w:r>
    </w:p>
    <w:p w:rsidR="001E74A2" w:rsidRPr="00443B8A" w:rsidRDefault="001E74A2" w:rsidP="001E74A2">
      <w:pPr>
        <w:tabs>
          <w:tab w:val="center" w:pos="284"/>
        </w:tabs>
        <w:ind w:left="266" w:hanging="266"/>
        <w:rPr>
          <w:lang w:val="es-ES_tradnl"/>
        </w:rPr>
      </w:pPr>
    </w:p>
    <w:p w:rsidR="001E74A2" w:rsidRPr="00443B8A" w:rsidRDefault="001E74A2" w:rsidP="001E74A2">
      <w:pPr>
        <w:rPr>
          <w:b/>
          <w:lang w:val="es-ES_tradnl"/>
        </w:rPr>
      </w:pPr>
      <w:r w:rsidRPr="00443B8A">
        <w:rPr>
          <w:b/>
          <w:lang w:val="es-ES_tradnl"/>
        </w:rPr>
        <w:t>Puntos clave:</w:t>
      </w:r>
    </w:p>
    <w:p w:rsidR="001E74A2" w:rsidRPr="00443B8A" w:rsidRDefault="001E74A2" w:rsidP="001E74A2">
      <w:pPr>
        <w:rPr>
          <w:lang w:val="es-ES_tradnl"/>
        </w:rPr>
      </w:pPr>
    </w:p>
    <w:p w:rsidR="001E74A2" w:rsidRPr="00443B8A" w:rsidRDefault="001E74A2" w:rsidP="00D56136">
      <w:pPr>
        <w:rPr>
          <w:lang w:val="es-ES_tradnl"/>
        </w:rPr>
      </w:pPr>
      <w:r w:rsidRPr="00443B8A">
        <w:rPr>
          <w:lang w:val="es-ES_tradnl"/>
        </w:rPr>
        <w:t>El CESE manifiesta su acuerdo con el ejercicio de consolidación, codificación y, por tanto, simplificación del texto de la propuesta sobre ciertos aspectos del derecho de sociedades.</w:t>
      </w:r>
    </w:p>
    <w:p w:rsidR="00D56136" w:rsidRPr="00443B8A" w:rsidRDefault="00D56136" w:rsidP="00D56136">
      <w:pPr>
        <w:rPr>
          <w:lang w:val="es-ES_tradnl"/>
        </w:rPr>
      </w:pPr>
    </w:p>
    <w:p w:rsidR="001E74A2" w:rsidRPr="00443B8A" w:rsidRDefault="001E74A2" w:rsidP="00D56136">
      <w:pPr>
        <w:rPr>
          <w:lang w:val="es-ES_tradnl"/>
        </w:rPr>
      </w:pPr>
      <w:r w:rsidRPr="00443B8A">
        <w:rPr>
          <w:lang w:val="es-ES_tradnl"/>
        </w:rPr>
        <w:t>Por otra parte, el CESE habría preferido también un ejercicio más ambicioso, que abordara la codificación de aspectos que siguen estando dispersos en otros instrumentos legislativos.</w:t>
      </w:r>
    </w:p>
    <w:p w:rsidR="00D56136" w:rsidRPr="00443B8A" w:rsidRDefault="00D56136" w:rsidP="00D56136">
      <w:pPr>
        <w:rPr>
          <w:lang w:val="es-ES_tradnl"/>
        </w:rPr>
      </w:pPr>
    </w:p>
    <w:p w:rsidR="001E74A2" w:rsidRPr="00443B8A" w:rsidRDefault="001E74A2" w:rsidP="00D56136">
      <w:pPr>
        <w:rPr>
          <w:lang w:val="es-ES_tradnl"/>
        </w:rPr>
      </w:pPr>
      <w:r w:rsidRPr="00443B8A">
        <w:rPr>
          <w:lang w:val="es-ES_tradnl"/>
        </w:rPr>
        <w:t>En el momento de la revisión sustancial del nuevo texto, el Comité desearía que se tuvieran en cuenta las propuestas que ha formulado con el paso de los años sobre cada una de las directivas objeto del ejercicio de la Comisión.</w:t>
      </w:r>
    </w:p>
    <w:p w:rsidR="001E74A2" w:rsidRPr="00443B8A" w:rsidRDefault="001E74A2" w:rsidP="001E74A2">
      <w:pPr>
        <w:rPr>
          <w:lang w:val="es-ES_tradnl"/>
        </w:rPr>
      </w:pPr>
    </w:p>
    <w:p w:rsidR="001E74A2" w:rsidRPr="00443B8A" w:rsidRDefault="001E74A2" w:rsidP="001E74A2">
      <w:pPr>
        <w:rPr>
          <w:i/>
          <w:lang w:val="es-ES_tradnl"/>
        </w:rPr>
      </w:pPr>
      <w:r w:rsidRPr="00443B8A">
        <w:rPr>
          <w:b/>
          <w:i/>
          <w:lang w:val="es-ES_tradnl"/>
        </w:rPr>
        <w:t>Contacto</w:t>
      </w:r>
      <w:r w:rsidRPr="00443B8A">
        <w:rPr>
          <w:lang w:val="es-ES_tradnl"/>
        </w:rPr>
        <w:t>:</w:t>
      </w:r>
      <w:r w:rsidRPr="00443B8A">
        <w:rPr>
          <w:lang w:val="es-ES_tradnl"/>
        </w:rPr>
        <w:tab/>
      </w:r>
      <w:r w:rsidRPr="00443B8A">
        <w:rPr>
          <w:i/>
          <w:lang w:val="es-ES_tradnl"/>
        </w:rPr>
        <w:t>Alina Girbea</w:t>
      </w:r>
    </w:p>
    <w:p w:rsidR="001E74A2" w:rsidRPr="00443B8A" w:rsidRDefault="001E74A2" w:rsidP="001E74A2">
      <w:pPr>
        <w:rPr>
          <w:lang w:val="es-ES_tradnl"/>
        </w:rPr>
      </w:pPr>
      <w:r w:rsidRPr="00443B8A">
        <w:rPr>
          <w:i/>
          <w:lang w:val="es-ES_tradnl"/>
        </w:rPr>
        <w:t xml:space="preserve">(Tel. 00 32 2 546 98 32 - correo electrónico: </w:t>
      </w:r>
      <w:hyperlink r:id="rId29">
        <w:r w:rsidRPr="00443B8A">
          <w:rPr>
            <w:rStyle w:val="Hyperlink"/>
            <w:i/>
            <w:lang w:val="es-ES_tradnl"/>
          </w:rPr>
          <w:t>alina.girbea@eesc.europa.eu</w:t>
        </w:r>
      </w:hyperlink>
      <w:r w:rsidRPr="00443B8A">
        <w:rPr>
          <w:i/>
          <w:lang w:val="es-ES_tradnl"/>
        </w:rPr>
        <w:t>)</w:t>
      </w:r>
    </w:p>
    <w:p w:rsidR="001E74A2" w:rsidRPr="00443B8A" w:rsidRDefault="001E74A2" w:rsidP="001E74A2">
      <w:pPr>
        <w:rPr>
          <w:lang w:val="es-ES_tradnl"/>
        </w:rPr>
      </w:pPr>
    </w:p>
    <w:p w:rsidR="001E74A2" w:rsidRPr="00443B8A" w:rsidRDefault="001E74A2" w:rsidP="001E74A2">
      <w:pPr>
        <w:rPr>
          <w:lang w:val="es-ES_tradnl"/>
        </w:rPr>
      </w:pPr>
    </w:p>
    <w:p w:rsidR="003D3B49" w:rsidRPr="00443B8A" w:rsidRDefault="003D3B49">
      <w:pPr>
        <w:spacing w:line="240" w:lineRule="auto"/>
        <w:jc w:val="left"/>
        <w:rPr>
          <w:b/>
          <w:u w:val="single"/>
          <w:lang w:val="es-ES_tradnl"/>
        </w:rPr>
      </w:pPr>
      <w:r w:rsidRPr="00443B8A">
        <w:rPr>
          <w:lang w:val="es-ES_tradnl"/>
        </w:rPr>
        <w:br w:type="page"/>
      </w:r>
    </w:p>
    <w:p w:rsidR="002D1B76" w:rsidRPr="00443B8A" w:rsidRDefault="002D1B76" w:rsidP="00B52DA2">
      <w:pPr>
        <w:rPr>
          <w:b/>
          <w:highlight w:val="yellow"/>
          <w:u w:val="single"/>
          <w:lang w:val="es-ES_tradnl"/>
        </w:rPr>
      </w:pPr>
    </w:p>
    <w:p w:rsidR="001E74A2" w:rsidRPr="00443B8A" w:rsidRDefault="001E74A2" w:rsidP="00E21B91">
      <w:pPr>
        <w:widowControl w:val="0"/>
        <w:numPr>
          <w:ilvl w:val="0"/>
          <w:numId w:val="5"/>
        </w:numPr>
        <w:overflowPunct w:val="0"/>
        <w:autoSpaceDE w:val="0"/>
        <w:autoSpaceDN w:val="0"/>
        <w:adjustRightInd w:val="0"/>
        <w:ind w:left="284" w:hanging="284"/>
        <w:textAlignment w:val="baseline"/>
        <w:rPr>
          <w:b/>
          <w:bCs/>
          <w:i/>
          <w:iCs/>
          <w:sz w:val="28"/>
          <w:szCs w:val="28"/>
          <w:lang w:val="es-ES_tradnl"/>
        </w:rPr>
      </w:pPr>
      <w:r w:rsidRPr="00443B8A">
        <w:rPr>
          <w:b/>
          <w:i/>
          <w:sz w:val="28"/>
          <w:lang w:val="es-ES_tradnl"/>
        </w:rPr>
        <w:t>Portabilidad de los servicios de contenidos en línea</w:t>
      </w:r>
    </w:p>
    <w:p w:rsidR="001E74A2" w:rsidRPr="00443B8A" w:rsidRDefault="001E74A2" w:rsidP="001E74A2">
      <w:pPr>
        <w:tabs>
          <w:tab w:val="center" w:pos="284"/>
        </w:tabs>
        <w:ind w:left="266" w:hanging="266"/>
        <w:rPr>
          <w:b/>
          <w:lang w:val="es-ES_tradnl"/>
        </w:rPr>
      </w:pPr>
    </w:p>
    <w:p w:rsidR="001E74A2" w:rsidRPr="00443B8A" w:rsidRDefault="001E74A2" w:rsidP="001E74A2">
      <w:pPr>
        <w:tabs>
          <w:tab w:val="center" w:pos="284"/>
        </w:tabs>
        <w:ind w:left="266" w:hanging="266"/>
        <w:rPr>
          <w:lang w:val="es-ES_tradnl"/>
        </w:rPr>
      </w:pPr>
      <w:r w:rsidRPr="00443B8A">
        <w:rPr>
          <w:b/>
          <w:lang w:val="es-ES_tradnl"/>
        </w:rPr>
        <w:t>Ponente:</w:t>
      </w:r>
      <w:r w:rsidRPr="00443B8A">
        <w:rPr>
          <w:lang w:val="es-ES_tradnl"/>
        </w:rPr>
        <w:tab/>
        <w:t>Bernardo HERNÁNDEZ BATALLER (Actividades Diversas – ES)</w:t>
      </w:r>
    </w:p>
    <w:p w:rsidR="001E74A2" w:rsidRPr="00443B8A" w:rsidRDefault="001E74A2" w:rsidP="001E74A2">
      <w:pPr>
        <w:tabs>
          <w:tab w:val="center" w:pos="284"/>
        </w:tabs>
        <w:ind w:left="266" w:hanging="266"/>
        <w:rPr>
          <w:b/>
          <w:lang w:val="es-ES_tradnl"/>
        </w:rPr>
      </w:pPr>
    </w:p>
    <w:p w:rsidR="001E74A2" w:rsidRPr="00443B8A" w:rsidRDefault="001E74A2" w:rsidP="001E74A2">
      <w:pPr>
        <w:tabs>
          <w:tab w:val="center" w:pos="284"/>
        </w:tabs>
        <w:ind w:left="266" w:hanging="266"/>
        <w:rPr>
          <w:lang w:val="es-ES_tradnl"/>
        </w:rPr>
      </w:pPr>
      <w:r w:rsidRPr="00443B8A">
        <w:rPr>
          <w:b/>
          <w:lang w:val="es-ES_tradnl"/>
        </w:rPr>
        <w:t>Referencias:</w:t>
      </w:r>
      <w:r w:rsidRPr="00443B8A">
        <w:rPr>
          <w:lang w:val="es-ES_tradnl"/>
        </w:rPr>
        <w:tab/>
        <w:t>COM(2015) 627 final – 2015/0284 (COD)</w:t>
      </w:r>
    </w:p>
    <w:p w:rsidR="00543013" w:rsidRPr="00443B8A" w:rsidRDefault="00543013" w:rsidP="001E74A2">
      <w:pPr>
        <w:tabs>
          <w:tab w:val="center" w:pos="284"/>
        </w:tabs>
        <w:ind w:left="266" w:hanging="266"/>
        <w:rPr>
          <w:lang w:val="es-ES_tradnl"/>
        </w:rPr>
      </w:pPr>
      <w:r w:rsidRPr="00443B8A">
        <w:rPr>
          <w:b/>
          <w:lang w:val="es-ES_tradnl"/>
        </w:rPr>
        <w:tab/>
      </w:r>
      <w:r w:rsidRPr="00443B8A">
        <w:rPr>
          <w:b/>
          <w:lang w:val="es-ES_tradnl"/>
        </w:rPr>
        <w:tab/>
      </w:r>
      <w:r w:rsidRPr="00443B8A">
        <w:rPr>
          <w:b/>
          <w:lang w:val="es-ES_tradnl"/>
        </w:rPr>
        <w:tab/>
      </w:r>
      <w:r w:rsidRPr="00443B8A">
        <w:rPr>
          <w:b/>
          <w:lang w:val="es-ES_tradnl"/>
        </w:rPr>
        <w:tab/>
      </w:r>
      <w:r w:rsidRPr="00443B8A">
        <w:rPr>
          <w:lang w:val="es-ES_tradnl"/>
        </w:rPr>
        <w:t>EESC-2016-00719-00-00-AC-TRA</w:t>
      </w:r>
    </w:p>
    <w:p w:rsidR="001E74A2" w:rsidRPr="00443B8A" w:rsidRDefault="001E74A2" w:rsidP="001E74A2">
      <w:pPr>
        <w:tabs>
          <w:tab w:val="center" w:pos="284"/>
        </w:tabs>
        <w:ind w:left="266" w:hanging="266"/>
        <w:rPr>
          <w:lang w:val="es-ES_tradnl"/>
        </w:rPr>
      </w:pPr>
    </w:p>
    <w:p w:rsidR="001E74A2" w:rsidRPr="00443B8A" w:rsidRDefault="001E74A2" w:rsidP="001E74A2">
      <w:pPr>
        <w:rPr>
          <w:b/>
          <w:lang w:val="es-ES_tradnl"/>
        </w:rPr>
      </w:pPr>
      <w:r w:rsidRPr="00443B8A">
        <w:rPr>
          <w:b/>
          <w:lang w:val="es-ES_tradnl"/>
        </w:rPr>
        <w:t>Puntos clave:</w:t>
      </w:r>
    </w:p>
    <w:p w:rsidR="001E74A2" w:rsidRPr="00443B8A" w:rsidRDefault="001E74A2" w:rsidP="001E74A2">
      <w:pPr>
        <w:rPr>
          <w:lang w:val="es-ES_tradnl"/>
        </w:rPr>
      </w:pPr>
    </w:p>
    <w:p w:rsidR="001E74A2" w:rsidRPr="00443B8A" w:rsidRDefault="001E74A2" w:rsidP="00D56136">
      <w:pPr>
        <w:rPr>
          <w:lang w:val="es-ES_tradnl"/>
        </w:rPr>
      </w:pPr>
      <w:r w:rsidRPr="00443B8A">
        <w:rPr>
          <w:lang w:val="es-ES_tradnl"/>
        </w:rPr>
        <w:t>El CESE:</w:t>
      </w:r>
    </w:p>
    <w:p w:rsidR="006D698D" w:rsidRPr="00443B8A" w:rsidRDefault="006D698D" w:rsidP="006D698D">
      <w:pPr>
        <w:tabs>
          <w:tab w:val="left" w:pos="770"/>
        </w:tabs>
        <w:ind w:left="1430" w:hanging="1430"/>
        <w:rPr>
          <w:bCs/>
          <w:iCs/>
          <w:lang w:val="es-ES_tradnl"/>
        </w:rPr>
      </w:pPr>
    </w:p>
    <w:p w:rsidR="001E74A2" w:rsidRPr="00443B8A" w:rsidRDefault="001E74A2" w:rsidP="00D56136">
      <w:pPr>
        <w:pStyle w:val="ListParagraph"/>
        <w:numPr>
          <w:ilvl w:val="0"/>
          <w:numId w:val="76"/>
        </w:numPr>
        <w:tabs>
          <w:tab w:val="left" w:pos="770"/>
        </w:tabs>
        <w:ind w:left="369" w:hanging="369"/>
        <w:rPr>
          <w:lang w:val="es-ES_tradnl"/>
        </w:rPr>
      </w:pPr>
      <w:r w:rsidRPr="00443B8A">
        <w:rPr>
          <w:lang w:val="es-ES_tradnl"/>
        </w:rPr>
        <w:t>valora positivamente la iniciativa de la Comisión de abordar la denominada «portabilidad transfronteriza» a través de un Reglamento;</w:t>
      </w:r>
    </w:p>
    <w:p w:rsidR="006D698D" w:rsidRPr="00443B8A" w:rsidRDefault="006D698D" w:rsidP="006D698D">
      <w:pPr>
        <w:tabs>
          <w:tab w:val="left" w:pos="770"/>
        </w:tabs>
        <w:ind w:left="1430" w:hanging="1430"/>
        <w:rPr>
          <w:bCs/>
          <w:iCs/>
          <w:lang w:val="es-ES_tradnl"/>
        </w:rPr>
      </w:pPr>
    </w:p>
    <w:p w:rsidR="001E74A2" w:rsidRPr="00443B8A" w:rsidRDefault="001E74A2" w:rsidP="006D698D">
      <w:pPr>
        <w:pStyle w:val="ListParagraph"/>
        <w:numPr>
          <w:ilvl w:val="0"/>
          <w:numId w:val="76"/>
        </w:numPr>
        <w:tabs>
          <w:tab w:val="left" w:pos="770"/>
        </w:tabs>
        <w:ind w:left="369" w:hanging="369"/>
        <w:rPr>
          <w:lang w:val="es-ES_tradnl"/>
        </w:rPr>
      </w:pPr>
      <w:r w:rsidRPr="00443B8A">
        <w:rPr>
          <w:lang w:val="es-ES_tradnl"/>
        </w:rPr>
        <w:t>considera necesario establecer de forma clara el concepto de «Estado miembro de residencia» del abonado, de modo que el resto de Estados miembros de la UE deban considerarse por defecto Estados en los que puede encontrarse presente temporalmente;</w:t>
      </w:r>
    </w:p>
    <w:p w:rsidR="006D698D" w:rsidRPr="00443B8A" w:rsidRDefault="006D698D" w:rsidP="006D698D">
      <w:pPr>
        <w:tabs>
          <w:tab w:val="left" w:pos="770"/>
        </w:tabs>
        <w:ind w:left="1430" w:hanging="1430"/>
        <w:rPr>
          <w:bCs/>
          <w:iCs/>
          <w:lang w:val="es-ES_tradnl"/>
        </w:rPr>
      </w:pPr>
    </w:p>
    <w:p w:rsidR="001E74A2" w:rsidRPr="00443B8A" w:rsidRDefault="001E74A2" w:rsidP="00D56136">
      <w:pPr>
        <w:pStyle w:val="ListParagraph"/>
        <w:numPr>
          <w:ilvl w:val="0"/>
          <w:numId w:val="76"/>
        </w:numPr>
        <w:tabs>
          <w:tab w:val="left" w:pos="770"/>
        </w:tabs>
        <w:ind w:left="369" w:hanging="369"/>
        <w:rPr>
          <w:lang w:val="es-ES_tradnl"/>
        </w:rPr>
      </w:pPr>
      <w:r w:rsidRPr="00443B8A">
        <w:rPr>
          <w:lang w:val="es-ES_tradnl"/>
        </w:rPr>
        <w:t>considera que, cuando existe la condición de cliente, suscriptor o abonado a un servicio, y el usuario aparece vinculado a un Estado miembro e identificado por su dirección IP, conexión a internet u otro indicador equivalente, ello debería garantizar la portabilidad transfronteriza;</w:t>
      </w:r>
    </w:p>
    <w:p w:rsidR="006D698D" w:rsidRPr="00443B8A" w:rsidRDefault="006D698D" w:rsidP="006D698D">
      <w:pPr>
        <w:tabs>
          <w:tab w:val="left" w:pos="770"/>
        </w:tabs>
        <w:ind w:left="1430" w:hanging="1430"/>
        <w:rPr>
          <w:bCs/>
          <w:iCs/>
          <w:lang w:val="es-ES_tradnl"/>
        </w:rPr>
      </w:pPr>
    </w:p>
    <w:p w:rsidR="001E74A2" w:rsidRPr="00443B8A" w:rsidRDefault="001E74A2" w:rsidP="00D56136">
      <w:pPr>
        <w:pStyle w:val="ListParagraph"/>
        <w:numPr>
          <w:ilvl w:val="0"/>
          <w:numId w:val="76"/>
        </w:numPr>
        <w:tabs>
          <w:tab w:val="left" w:pos="770"/>
        </w:tabs>
        <w:ind w:left="369" w:hanging="369"/>
        <w:rPr>
          <w:lang w:val="es-ES_tradnl"/>
        </w:rPr>
      </w:pPr>
      <w:r w:rsidRPr="00443B8A">
        <w:rPr>
          <w:lang w:val="es-ES_tradnl"/>
        </w:rPr>
        <w:t>considera que debería garantizarse la portabilidad de estos servicios cuando el Estado miembro sea «verificable», siempre que ello no suponga para el prestador un coste añadido;</w:t>
      </w:r>
    </w:p>
    <w:p w:rsidR="006D698D" w:rsidRPr="00443B8A" w:rsidRDefault="006D698D" w:rsidP="006D698D">
      <w:pPr>
        <w:tabs>
          <w:tab w:val="left" w:pos="770"/>
        </w:tabs>
        <w:ind w:left="1430" w:hanging="1430"/>
        <w:rPr>
          <w:bCs/>
          <w:iCs/>
          <w:lang w:val="es-ES_tradnl"/>
        </w:rPr>
      </w:pPr>
    </w:p>
    <w:p w:rsidR="001E74A2" w:rsidRPr="00443B8A" w:rsidRDefault="001E74A2" w:rsidP="006D698D">
      <w:pPr>
        <w:pStyle w:val="ListParagraph"/>
        <w:numPr>
          <w:ilvl w:val="0"/>
          <w:numId w:val="76"/>
        </w:numPr>
        <w:tabs>
          <w:tab w:val="left" w:pos="770"/>
        </w:tabs>
        <w:ind w:left="369" w:hanging="369"/>
        <w:rPr>
          <w:lang w:val="es-ES_tradnl"/>
        </w:rPr>
      </w:pPr>
      <w:r w:rsidRPr="00443B8A">
        <w:rPr>
          <w:lang w:val="es-ES_tradnl"/>
        </w:rPr>
        <w:t>cree que debería incluirse expresamente en la parte dispositiva que cualquier empobrecimiento o degradación de la oferta que afecte a las prestaciones, repertorio, accesibilidad en dispositivos y número de usuarios se consideraría incumplimiento del servicio</w:t>
      </w:r>
      <w:r w:rsidR="00566AA5" w:rsidRPr="00443B8A">
        <w:rPr>
          <w:lang w:val="es-ES_tradnl"/>
        </w:rPr>
        <w:t>.</w:t>
      </w:r>
    </w:p>
    <w:p w:rsidR="001E74A2" w:rsidRPr="00443B8A" w:rsidRDefault="001E74A2" w:rsidP="001E74A2">
      <w:pPr>
        <w:rPr>
          <w:lang w:val="es-ES_tradnl"/>
        </w:rPr>
      </w:pPr>
    </w:p>
    <w:p w:rsidR="001E74A2" w:rsidRPr="00443B8A" w:rsidRDefault="001E74A2" w:rsidP="001E74A2">
      <w:pPr>
        <w:rPr>
          <w:i/>
          <w:lang w:val="es-ES_tradnl"/>
        </w:rPr>
      </w:pPr>
      <w:r w:rsidRPr="00443B8A">
        <w:rPr>
          <w:b/>
          <w:i/>
          <w:lang w:val="es-ES_tradnl"/>
        </w:rPr>
        <w:t>Contacto:</w:t>
      </w:r>
      <w:r w:rsidRPr="00443B8A">
        <w:rPr>
          <w:lang w:val="es-ES_tradnl"/>
        </w:rPr>
        <w:tab/>
      </w:r>
      <w:r w:rsidRPr="00443B8A">
        <w:rPr>
          <w:i/>
          <w:lang w:val="es-ES_tradnl"/>
        </w:rPr>
        <w:t>Claudia Drewes-Wran</w:t>
      </w:r>
    </w:p>
    <w:p w:rsidR="001E74A2" w:rsidRPr="00443B8A" w:rsidRDefault="001E74A2" w:rsidP="001E74A2">
      <w:pPr>
        <w:rPr>
          <w:lang w:val="es-ES_tradnl"/>
        </w:rPr>
      </w:pPr>
      <w:r w:rsidRPr="00443B8A">
        <w:rPr>
          <w:i/>
          <w:lang w:val="es-ES_tradnl"/>
        </w:rPr>
        <w:t xml:space="preserve">(Tel. 00 32 2 546 80 67 – correo electrónico: </w:t>
      </w:r>
      <w:hyperlink r:id="rId30" w:history="1">
        <w:r w:rsidR="00205DB4" w:rsidRPr="00443B8A">
          <w:rPr>
            <w:rStyle w:val="Hyperlink"/>
            <w:i/>
            <w:lang w:val="es-ES_tradnl"/>
          </w:rPr>
          <w:t>claudia.dreweswran@eesc.europa.eu</w:t>
        </w:r>
      </w:hyperlink>
      <w:r w:rsidRPr="00443B8A">
        <w:rPr>
          <w:i/>
          <w:lang w:val="es-ES_tradnl"/>
        </w:rPr>
        <w:t>)</w:t>
      </w:r>
    </w:p>
    <w:p w:rsidR="001E74A2" w:rsidRPr="00443B8A" w:rsidRDefault="001E74A2" w:rsidP="001E74A2">
      <w:pPr>
        <w:rPr>
          <w:lang w:val="es-ES_tradnl"/>
        </w:rPr>
      </w:pPr>
    </w:p>
    <w:p w:rsidR="001E74A2" w:rsidRPr="00443B8A" w:rsidRDefault="001E74A2" w:rsidP="001E74A2">
      <w:pPr>
        <w:rPr>
          <w:lang w:val="es-ES_tradnl"/>
        </w:rPr>
      </w:pPr>
    </w:p>
    <w:p w:rsidR="003D3B49" w:rsidRPr="00443B8A" w:rsidRDefault="003D3B49">
      <w:pPr>
        <w:spacing w:line="240" w:lineRule="auto"/>
        <w:jc w:val="left"/>
        <w:rPr>
          <w:b/>
          <w:u w:val="single"/>
          <w:lang w:val="es-ES_tradnl"/>
        </w:rPr>
      </w:pPr>
      <w:r w:rsidRPr="00443B8A">
        <w:rPr>
          <w:lang w:val="es-ES_tradnl"/>
        </w:rPr>
        <w:br w:type="page"/>
      </w:r>
    </w:p>
    <w:p w:rsidR="002D1B76" w:rsidRPr="00443B8A" w:rsidRDefault="002D1B76" w:rsidP="00B52DA2">
      <w:pPr>
        <w:rPr>
          <w:b/>
          <w:highlight w:val="yellow"/>
          <w:u w:val="single"/>
          <w:lang w:val="es-ES_tradnl"/>
        </w:rPr>
      </w:pPr>
    </w:p>
    <w:p w:rsidR="001E74A2" w:rsidRPr="00443B8A" w:rsidRDefault="001E74A2" w:rsidP="00E21B91">
      <w:pPr>
        <w:widowControl w:val="0"/>
        <w:numPr>
          <w:ilvl w:val="0"/>
          <w:numId w:val="5"/>
        </w:numPr>
        <w:overflowPunct w:val="0"/>
        <w:autoSpaceDE w:val="0"/>
        <w:autoSpaceDN w:val="0"/>
        <w:adjustRightInd w:val="0"/>
        <w:ind w:left="284" w:hanging="284"/>
        <w:textAlignment w:val="baseline"/>
        <w:rPr>
          <w:b/>
          <w:bCs/>
          <w:i/>
          <w:iCs/>
          <w:sz w:val="28"/>
          <w:szCs w:val="28"/>
          <w:lang w:val="es-ES_tradnl"/>
        </w:rPr>
      </w:pPr>
      <w:r w:rsidRPr="00443B8A">
        <w:rPr>
          <w:b/>
          <w:i/>
          <w:sz w:val="28"/>
          <w:lang w:val="es-ES_tradnl"/>
        </w:rPr>
        <w:t>Exenciones para los operadores en materias primas</w:t>
      </w:r>
    </w:p>
    <w:p w:rsidR="001E74A2" w:rsidRPr="00443B8A" w:rsidRDefault="001E74A2" w:rsidP="001E74A2">
      <w:pPr>
        <w:tabs>
          <w:tab w:val="center" w:pos="284"/>
        </w:tabs>
        <w:ind w:left="266" w:hanging="266"/>
        <w:rPr>
          <w:b/>
          <w:lang w:val="es-ES_tradnl"/>
        </w:rPr>
      </w:pPr>
    </w:p>
    <w:p w:rsidR="001E74A2" w:rsidRPr="00443B8A" w:rsidRDefault="001E74A2" w:rsidP="001E74A2">
      <w:pPr>
        <w:tabs>
          <w:tab w:val="center" w:pos="284"/>
        </w:tabs>
        <w:ind w:left="266" w:hanging="266"/>
        <w:rPr>
          <w:lang w:val="es-ES_tradnl"/>
        </w:rPr>
      </w:pPr>
      <w:r w:rsidRPr="00443B8A">
        <w:rPr>
          <w:b/>
          <w:lang w:val="es-ES_tradnl"/>
        </w:rPr>
        <w:t>Ponente:</w:t>
      </w:r>
      <w:r w:rsidRPr="00443B8A">
        <w:rPr>
          <w:lang w:val="es-ES_tradnl"/>
        </w:rPr>
        <w:tab/>
        <w:t>John WALKER (Empresarios - UK)</w:t>
      </w:r>
    </w:p>
    <w:p w:rsidR="001E74A2" w:rsidRPr="00443B8A" w:rsidRDefault="001E74A2" w:rsidP="001E74A2">
      <w:pPr>
        <w:tabs>
          <w:tab w:val="center" w:pos="284"/>
        </w:tabs>
        <w:ind w:left="266" w:hanging="266"/>
        <w:rPr>
          <w:b/>
          <w:lang w:val="es-ES_tradnl"/>
        </w:rPr>
      </w:pPr>
    </w:p>
    <w:p w:rsidR="001E74A2" w:rsidRPr="00443B8A" w:rsidRDefault="001E74A2" w:rsidP="001E74A2">
      <w:pPr>
        <w:tabs>
          <w:tab w:val="center" w:pos="284"/>
        </w:tabs>
        <w:ind w:left="266" w:hanging="266"/>
        <w:rPr>
          <w:lang w:val="es-ES_tradnl"/>
        </w:rPr>
      </w:pPr>
      <w:r w:rsidRPr="00443B8A">
        <w:rPr>
          <w:b/>
          <w:lang w:val="es-ES_tradnl"/>
        </w:rPr>
        <w:t>Referencias:</w:t>
      </w:r>
      <w:r w:rsidRPr="00443B8A">
        <w:rPr>
          <w:lang w:val="es-ES_tradnl"/>
        </w:rPr>
        <w:tab/>
        <w:t>COM(2015) 648 final – 2015/0295 (COD)</w:t>
      </w:r>
    </w:p>
    <w:p w:rsidR="00543013" w:rsidRPr="00443B8A" w:rsidRDefault="00543013" w:rsidP="001E74A2">
      <w:pPr>
        <w:tabs>
          <w:tab w:val="center" w:pos="284"/>
        </w:tabs>
        <w:ind w:left="266" w:hanging="266"/>
        <w:rPr>
          <w:lang w:val="es-ES_tradnl"/>
        </w:rPr>
      </w:pPr>
      <w:r w:rsidRPr="00443B8A">
        <w:rPr>
          <w:b/>
          <w:lang w:val="es-ES_tradnl"/>
        </w:rPr>
        <w:tab/>
      </w:r>
      <w:r w:rsidRPr="00443B8A">
        <w:rPr>
          <w:b/>
          <w:lang w:val="es-ES_tradnl"/>
        </w:rPr>
        <w:tab/>
      </w:r>
      <w:r w:rsidRPr="00443B8A">
        <w:rPr>
          <w:b/>
          <w:lang w:val="es-ES_tradnl"/>
        </w:rPr>
        <w:tab/>
      </w:r>
      <w:r w:rsidRPr="00443B8A">
        <w:rPr>
          <w:b/>
          <w:lang w:val="es-ES_tradnl"/>
        </w:rPr>
        <w:tab/>
      </w:r>
      <w:r w:rsidRPr="00443B8A">
        <w:rPr>
          <w:lang w:val="es-ES_tradnl"/>
        </w:rPr>
        <w:t>EESC-2016-00642-00-00-AC-TRA</w:t>
      </w:r>
    </w:p>
    <w:p w:rsidR="001E74A2" w:rsidRPr="00443B8A" w:rsidRDefault="001E74A2" w:rsidP="001E74A2">
      <w:pPr>
        <w:tabs>
          <w:tab w:val="center" w:pos="284"/>
        </w:tabs>
        <w:ind w:left="266" w:hanging="266"/>
        <w:rPr>
          <w:lang w:val="es-ES_tradnl"/>
        </w:rPr>
      </w:pPr>
    </w:p>
    <w:p w:rsidR="001E74A2" w:rsidRPr="00443B8A" w:rsidRDefault="001E74A2" w:rsidP="001E74A2">
      <w:pPr>
        <w:rPr>
          <w:b/>
          <w:lang w:val="es-ES_tradnl"/>
        </w:rPr>
      </w:pPr>
      <w:r w:rsidRPr="00443B8A">
        <w:rPr>
          <w:b/>
          <w:lang w:val="es-ES_tradnl"/>
        </w:rPr>
        <w:t>Puntos clave:</w:t>
      </w:r>
    </w:p>
    <w:p w:rsidR="002D1B76" w:rsidRPr="00443B8A" w:rsidRDefault="002D1B76" w:rsidP="001E74A2">
      <w:pPr>
        <w:rPr>
          <w:b/>
          <w:lang w:val="es-ES_tradnl"/>
        </w:rPr>
      </w:pPr>
    </w:p>
    <w:p w:rsidR="001E74A2" w:rsidRPr="00443B8A" w:rsidRDefault="001E74A2" w:rsidP="00D56136">
      <w:pPr>
        <w:rPr>
          <w:lang w:val="es-ES_tradnl"/>
        </w:rPr>
      </w:pPr>
      <w:r w:rsidRPr="00443B8A">
        <w:rPr>
          <w:lang w:val="es-ES_tradnl"/>
        </w:rPr>
        <w:t>El CESE reconoce la necesidad de modificar el Reglamento (UE) n.º 575/2013 (Reglamento sobre los Requisitos de Capital) y aprueba las modificaciones propuestas.</w:t>
      </w:r>
    </w:p>
    <w:p w:rsidR="001E74A2" w:rsidRPr="00443B8A" w:rsidRDefault="001E74A2" w:rsidP="00D56136">
      <w:pPr>
        <w:rPr>
          <w:lang w:val="es-ES_tradnl"/>
        </w:rPr>
      </w:pPr>
    </w:p>
    <w:p w:rsidR="001E74A2" w:rsidRPr="00443B8A" w:rsidRDefault="001E74A2" w:rsidP="00D56136">
      <w:pPr>
        <w:rPr>
          <w:lang w:val="es-ES_tradnl"/>
        </w:rPr>
      </w:pPr>
      <w:r w:rsidRPr="00443B8A">
        <w:rPr>
          <w:lang w:val="es-ES_tradnl"/>
        </w:rPr>
        <w:t>El CESE lamenta que la Comisión no haya sido capaz de cumplir los plazos que se impuso para la revisión del tratamiento prudencial de las empresas de inversión. Considera, sin embargo, que  deben establecerse requisitos prudenciales tras un análisis y una revisión detallados.</w:t>
      </w:r>
    </w:p>
    <w:p w:rsidR="00D56136" w:rsidRPr="00443B8A" w:rsidRDefault="00D56136" w:rsidP="00D56136">
      <w:pPr>
        <w:overflowPunct w:val="0"/>
        <w:autoSpaceDE w:val="0"/>
        <w:autoSpaceDN w:val="0"/>
        <w:adjustRightInd w:val="0"/>
        <w:textAlignment w:val="baseline"/>
        <w:rPr>
          <w:bCs/>
          <w:iCs/>
          <w:lang w:val="es-ES_tradnl"/>
        </w:rPr>
      </w:pPr>
    </w:p>
    <w:p w:rsidR="001E74A2" w:rsidRPr="00443B8A" w:rsidRDefault="001E74A2" w:rsidP="001E74A2">
      <w:pPr>
        <w:rPr>
          <w:i/>
          <w:lang w:val="es-ES_tradnl"/>
        </w:rPr>
      </w:pPr>
      <w:r w:rsidRPr="00443B8A">
        <w:rPr>
          <w:b/>
          <w:i/>
          <w:lang w:val="es-ES_tradnl"/>
        </w:rPr>
        <w:t>Contacto</w:t>
      </w:r>
      <w:r w:rsidRPr="00443B8A">
        <w:rPr>
          <w:lang w:val="es-ES_tradnl"/>
        </w:rPr>
        <w:t>:</w:t>
      </w:r>
      <w:r w:rsidRPr="00443B8A">
        <w:rPr>
          <w:lang w:val="es-ES_tradnl"/>
        </w:rPr>
        <w:tab/>
      </w:r>
      <w:r w:rsidRPr="00443B8A">
        <w:rPr>
          <w:i/>
          <w:lang w:val="es-ES_tradnl"/>
        </w:rPr>
        <w:t>Alice Tétu</w:t>
      </w:r>
    </w:p>
    <w:p w:rsidR="001E74A2" w:rsidRPr="00443B8A" w:rsidRDefault="001E74A2" w:rsidP="001E74A2">
      <w:pPr>
        <w:rPr>
          <w:i/>
          <w:lang w:val="es-ES_tradnl"/>
        </w:rPr>
      </w:pPr>
      <w:r w:rsidRPr="00443B8A">
        <w:rPr>
          <w:i/>
          <w:lang w:val="es-ES_tradnl"/>
        </w:rPr>
        <w:t xml:space="preserve">(Tel. 00 32 2 546 82 86 – correo electrónico: </w:t>
      </w:r>
      <w:hyperlink r:id="rId31">
        <w:r w:rsidRPr="00443B8A">
          <w:rPr>
            <w:rStyle w:val="Hyperlink"/>
            <w:i/>
            <w:lang w:val="es-ES_tradnl"/>
          </w:rPr>
          <w:t>alice.tetu@eesc.europa.eu</w:t>
        </w:r>
      </w:hyperlink>
      <w:r w:rsidRPr="00443B8A">
        <w:rPr>
          <w:i/>
          <w:lang w:val="es-ES_tradnl"/>
        </w:rPr>
        <w:t>)</w:t>
      </w:r>
    </w:p>
    <w:p w:rsidR="001E74A2" w:rsidRPr="00443B8A" w:rsidRDefault="001E74A2" w:rsidP="001E74A2">
      <w:pPr>
        <w:rPr>
          <w:lang w:val="es-ES_tradnl"/>
        </w:rPr>
      </w:pPr>
    </w:p>
    <w:p w:rsidR="001E74A2" w:rsidRPr="00443B8A" w:rsidRDefault="001E74A2">
      <w:pPr>
        <w:spacing w:line="240" w:lineRule="auto"/>
        <w:jc w:val="left"/>
        <w:rPr>
          <w:lang w:val="es-ES_tradnl"/>
        </w:rPr>
      </w:pPr>
    </w:p>
    <w:p w:rsidR="002D1B76" w:rsidRPr="00443B8A" w:rsidRDefault="003D3B49" w:rsidP="00D56136">
      <w:pPr>
        <w:ind w:left="-567" w:hanging="284"/>
        <w:rPr>
          <w:b/>
          <w:lang w:val="es-ES_tradnl"/>
        </w:rPr>
      </w:pPr>
      <w:r w:rsidRPr="00443B8A">
        <w:rPr>
          <w:lang w:val="es-ES_tradnl"/>
        </w:rPr>
        <w:br w:type="page"/>
      </w:r>
    </w:p>
    <w:p w:rsidR="002D1B76" w:rsidRPr="00443B8A" w:rsidRDefault="002D1B76" w:rsidP="00B52DA2">
      <w:pPr>
        <w:rPr>
          <w:b/>
          <w:highlight w:val="yellow"/>
          <w:u w:val="single"/>
          <w:lang w:val="es-ES_tradnl"/>
        </w:rPr>
      </w:pPr>
    </w:p>
    <w:p w:rsidR="00D56136" w:rsidRPr="00443B8A" w:rsidRDefault="00D56136" w:rsidP="00E21B91">
      <w:pPr>
        <w:widowControl w:val="0"/>
        <w:numPr>
          <w:ilvl w:val="0"/>
          <w:numId w:val="5"/>
        </w:numPr>
        <w:overflowPunct w:val="0"/>
        <w:autoSpaceDE w:val="0"/>
        <w:autoSpaceDN w:val="0"/>
        <w:adjustRightInd w:val="0"/>
        <w:ind w:left="284" w:hanging="284"/>
        <w:textAlignment w:val="baseline"/>
        <w:rPr>
          <w:b/>
          <w:bCs/>
          <w:i/>
          <w:iCs/>
          <w:sz w:val="28"/>
          <w:szCs w:val="28"/>
          <w:lang w:val="es-ES_tradnl"/>
        </w:rPr>
      </w:pPr>
      <w:r w:rsidRPr="00443B8A">
        <w:rPr>
          <w:b/>
          <w:i/>
          <w:sz w:val="28"/>
          <w:lang w:val="es-ES_tradnl"/>
        </w:rPr>
        <w:t>Instrumento de contratación pública internacional (ICPI)</w:t>
      </w:r>
    </w:p>
    <w:p w:rsidR="00D56136" w:rsidRPr="00443B8A" w:rsidRDefault="00D56136" w:rsidP="00D56136">
      <w:pPr>
        <w:widowControl w:val="0"/>
        <w:spacing w:line="240" w:lineRule="auto"/>
        <w:rPr>
          <w:lang w:val="es-ES_tradnl"/>
        </w:rPr>
      </w:pPr>
    </w:p>
    <w:p w:rsidR="00D56136" w:rsidRPr="00443B8A" w:rsidRDefault="00D56136" w:rsidP="00D56136">
      <w:pPr>
        <w:spacing w:line="240" w:lineRule="auto"/>
        <w:rPr>
          <w:lang w:val="es-ES_tradnl"/>
        </w:rPr>
      </w:pPr>
      <w:r w:rsidRPr="00443B8A">
        <w:rPr>
          <w:b/>
          <w:lang w:val="es-ES_tradnl"/>
        </w:rPr>
        <w:t>Ponente:</w:t>
      </w:r>
      <w:r w:rsidRPr="00443B8A">
        <w:rPr>
          <w:lang w:val="es-ES_tradnl"/>
        </w:rPr>
        <w:tab/>
        <w:t>Mário SOARES (Trabajadores – PT)</w:t>
      </w:r>
    </w:p>
    <w:p w:rsidR="00D56136" w:rsidRPr="00443B8A" w:rsidRDefault="00D56136" w:rsidP="00D56136">
      <w:pPr>
        <w:spacing w:line="240" w:lineRule="auto"/>
        <w:rPr>
          <w:lang w:val="es-ES_tradnl"/>
        </w:rPr>
      </w:pPr>
    </w:p>
    <w:p w:rsidR="005A22B5" w:rsidRPr="00443B8A" w:rsidRDefault="005A22B5" w:rsidP="00D56136">
      <w:pPr>
        <w:tabs>
          <w:tab w:val="num" w:pos="550"/>
        </w:tabs>
        <w:spacing w:line="240" w:lineRule="auto"/>
        <w:rPr>
          <w:bCs/>
          <w:lang w:val="es-ES_tradnl"/>
        </w:rPr>
      </w:pPr>
      <w:r w:rsidRPr="00443B8A">
        <w:rPr>
          <w:b/>
          <w:lang w:val="es-ES_tradnl"/>
        </w:rPr>
        <w:t>Referencias:</w:t>
      </w:r>
      <w:r w:rsidRPr="00443B8A">
        <w:rPr>
          <w:lang w:val="es-ES_tradnl"/>
        </w:rPr>
        <w:t xml:space="preserve"> </w:t>
      </w:r>
      <w:r w:rsidRPr="00443B8A">
        <w:rPr>
          <w:lang w:val="es-ES_tradnl"/>
        </w:rPr>
        <w:tab/>
        <w:t>COM(2016) 34 final - 2016/0060 (COD)</w:t>
      </w:r>
    </w:p>
    <w:p w:rsidR="00D56136" w:rsidRPr="00443B8A" w:rsidRDefault="00D56136" w:rsidP="00BE0CD6">
      <w:pPr>
        <w:tabs>
          <w:tab w:val="num" w:pos="550"/>
        </w:tabs>
        <w:spacing w:line="240" w:lineRule="auto"/>
        <w:ind w:left="1418"/>
        <w:rPr>
          <w:bCs/>
          <w:lang w:val="es-ES_tradnl"/>
        </w:rPr>
      </w:pPr>
      <w:r w:rsidRPr="00443B8A">
        <w:rPr>
          <w:lang w:val="es-ES_tradnl"/>
        </w:rPr>
        <w:t>EESC-2016-01578-00-00-A</w:t>
      </w:r>
      <w:r w:rsidR="00543013" w:rsidRPr="00443B8A">
        <w:rPr>
          <w:lang w:val="es-ES_tradnl"/>
        </w:rPr>
        <w:t>C</w:t>
      </w:r>
      <w:r w:rsidRPr="00443B8A">
        <w:rPr>
          <w:lang w:val="es-ES_tradnl"/>
        </w:rPr>
        <w:t>-TRA</w:t>
      </w:r>
    </w:p>
    <w:p w:rsidR="00D56136" w:rsidRPr="00443B8A" w:rsidRDefault="00D56136" w:rsidP="00D56136">
      <w:pPr>
        <w:spacing w:line="240" w:lineRule="auto"/>
        <w:jc w:val="left"/>
        <w:rPr>
          <w:lang w:val="es-ES_tradnl"/>
        </w:rPr>
      </w:pPr>
    </w:p>
    <w:p w:rsidR="00D56136" w:rsidRPr="00443B8A" w:rsidRDefault="00D56136" w:rsidP="00D56136">
      <w:pPr>
        <w:spacing w:line="240" w:lineRule="auto"/>
        <w:rPr>
          <w:lang w:val="es-ES_tradnl"/>
        </w:rPr>
      </w:pPr>
      <w:r w:rsidRPr="00443B8A">
        <w:rPr>
          <w:b/>
          <w:lang w:val="es-ES_tradnl"/>
        </w:rPr>
        <w:t>Puntos clave:</w:t>
      </w:r>
    </w:p>
    <w:p w:rsidR="00D56136" w:rsidRPr="00443B8A" w:rsidRDefault="00D56136" w:rsidP="00D56136">
      <w:pPr>
        <w:rPr>
          <w:lang w:val="es-ES_tradnl"/>
        </w:rPr>
      </w:pPr>
    </w:p>
    <w:p w:rsidR="00D56136" w:rsidRPr="00443B8A" w:rsidRDefault="00D56136" w:rsidP="00D56136">
      <w:pPr>
        <w:rPr>
          <w:lang w:val="es-ES_tradnl"/>
        </w:rPr>
      </w:pPr>
      <w:r w:rsidRPr="00443B8A">
        <w:rPr>
          <w:lang w:val="es-ES_tradnl"/>
        </w:rPr>
        <w:t>El Comité considera que la propuesta de Reglamento puede constituir un primer paso hacia una mayor apertura de la contratación pública, por ejemplo, en las negociaciones en curso en el marco de la ATCI entre la UE y los Estados Unidos, en las negociaciones para la celebración de un acuerdo comercial con Japón o en las negociaciones para la de adhesión de China al ACP de la OMC, ya que en estos países la contratación pública está menos abierta que en la Unión Europea, pero también en relación con países no signatarios del ACP, como Rusia, Brasil o Argentina.</w:t>
      </w:r>
    </w:p>
    <w:p w:rsidR="00D56136" w:rsidRPr="00443B8A" w:rsidRDefault="00D56136" w:rsidP="00D56136">
      <w:pPr>
        <w:rPr>
          <w:lang w:val="es-ES_tradnl"/>
        </w:rPr>
      </w:pPr>
    </w:p>
    <w:p w:rsidR="00D56136" w:rsidRPr="00443B8A" w:rsidRDefault="00D56136" w:rsidP="00D56136">
      <w:pPr>
        <w:rPr>
          <w:lang w:val="es-ES_tradnl"/>
        </w:rPr>
      </w:pPr>
      <w:r w:rsidRPr="00443B8A">
        <w:rPr>
          <w:lang w:val="es-ES_tradnl"/>
        </w:rPr>
        <w:t>No obstante, el Comité es consciente del profundo desacuerdo entre el Consejo y el Parlamento Europeo en lo que respecta a la pertinencia y la eficacia de la propuesta de Reglamento.</w:t>
      </w:r>
    </w:p>
    <w:p w:rsidR="00D56136" w:rsidRPr="00443B8A" w:rsidRDefault="00D56136" w:rsidP="00D56136">
      <w:pPr>
        <w:rPr>
          <w:lang w:val="es-ES_tradnl"/>
        </w:rPr>
      </w:pPr>
    </w:p>
    <w:p w:rsidR="00D56136" w:rsidRPr="00443B8A" w:rsidRDefault="00D56136" w:rsidP="00D56136">
      <w:pPr>
        <w:rPr>
          <w:lang w:val="es-ES_tradnl"/>
        </w:rPr>
      </w:pPr>
      <w:r w:rsidRPr="00443B8A">
        <w:rPr>
          <w:lang w:val="es-ES_tradnl"/>
        </w:rPr>
        <w:t>El Comité considera especialmente que la nueva propuesta de Reglamento adolece de falta de ambición debido a que su ámbito de aplicación se limita a un mero ajuste de precio para los contratos de valor superior o igual a 5 000 000 de euros, y señala que solo el 7 % de todos los contratos públicos tienen un valor superior a esa cantidad. El Comité propone aplicar medidas de ajuste de precios para los contratos cuyo valor estimado sea igual o superior a 2 500 000 euros.</w:t>
      </w:r>
    </w:p>
    <w:p w:rsidR="00D56136" w:rsidRPr="00443B8A" w:rsidRDefault="00D56136" w:rsidP="00D56136">
      <w:pPr>
        <w:rPr>
          <w:lang w:val="es-ES_tradnl"/>
        </w:rPr>
      </w:pPr>
    </w:p>
    <w:p w:rsidR="00D56136" w:rsidRPr="00443B8A" w:rsidRDefault="00D56136" w:rsidP="00D56136">
      <w:pPr>
        <w:rPr>
          <w:lang w:val="es-ES_tradnl"/>
        </w:rPr>
      </w:pPr>
      <w:r w:rsidRPr="00443B8A">
        <w:rPr>
          <w:lang w:val="es-ES_tradnl"/>
        </w:rPr>
        <w:t>El Comité subraya la absoluta necesidad de garantizar que la competencia con las empresas de terceros países, en el marco de la adjudicación de contratos públicos, sea libre y leal. Lamenta que la propuesta de Reglamento no contenga ninguna referencia al objetivo del desarrollo sostenible, mientras que la Comisión ha incluido este objetivo como un elemento importante de su Comunicación «Comercio para todos».</w:t>
      </w:r>
    </w:p>
    <w:p w:rsidR="00D56136" w:rsidRPr="00443B8A" w:rsidRDefault="00D56136" w:rsidP="00D56136">
      <w:pPr>
        <w:rPr>
          <w:lang w:val="es-ES_tradnl"/>
        </w:rPr>
      </w:pPr>
    </w:p>
    <w:p w:rsidR="00D56136" w:rsidRPr="00443B8A" w:rsidRDefault="00D56136" w:rsidP="00D56136">
      <w:pPr>
        <w:rPr>
          <w:lang w:val="es-ES_tradnl"/>
        </w:rPr>
      </w:pPr>
      <w:r w:rsidRPr="00443B8A">
        <w:rPr>
          <w:lang w:val="es-ES_tradnl"/>
        </w:rPr>
        <w:t>El Comité opina que el Reglamento debe desarrollar un enfoque más ambiciosa a la hora de impulsar los objetivos de desarrollo sostenible, el respeto de los derechos fundamentales y la protección del consumidor en el procedimiento de adjudicación de contratos públicos en terceros países.</w:t>
      </w:r>
    </w:p>
    <w:p w:rsidR="00D56136" w:rsidRPr="00443B8A" w:rsidRDefault="00D56136" w:rsidP="00D56136">
      <w:pPr>
        <w:rPr>
          <w:lang w:val="es-ES_tradnl"/>
        </w:rPr>
      </w:pPr>
    </w:p>
    <w:p w:rsidR="00D56136" w:rsidRPr="00443B8A" w:rsidRDefault="00D56136" w:rsidP="00D56136">
      <w:pPr>
        <w:rPr>
          <w:lang w:val="es-ES_tradnl"/>
        </w:rPr>
      </w:pPr>
      <w:r w:rsidRPr="00443B8A">
        <w:rPr>
          <w:lang w:val="es-ES_tradnl"/>
        </w:rPr>
        <w:t>El Comité es totalmente favorable a que no se aplique el Reglamento a los países menos desarrollados y más vulnerables del Reglamento SPG, pero recuerda a la Comisión que deben adoptarse medidas complementarias para promover la participación de los países menos desarrollados y más vulnerables en la contratación pública de la UE.</w:t>
      </w:r>
    </w:p>
    <w:p w:rsidR="00D56136" w:rsidRPr="00443B8A" w:rsidRDefault="00D56136" w:rsidP="00D56136">
      <w:pPr>
        <w:rPr>
          <w:lang w:val="es-ES_tradnl"/>
        </w:rPr>
      </w:pPr>
    </w:p>
    <w:p w:rsidR="00D56136" w:rsidRPr="00443B8A" w:rsidRDefault="00D56136" w:rsidP="00BE0CD6">
      <w:pPr>
        <w:keepNext/>
        <w:keepLines/>
        <w:rPr>
          <w:lang w:val="es-ES_tradnl"/>
        </w:rPr>
      </w:pPr>
      <w:r w:rsidRPr="00443B8A">
        <w:rPr>
          <w:lang w:val="es-ES_tradnl"/>
        </w:rPr>
        <w:t>Asimismo, el Comité aprueba la no aplicación del Reglamento a las pymes europeas. No obstante, quiere recordar a la Comisión que las pymes necesitan una ayuda especial, tanto para acceder a contratos «transfronterizos» en la Unión Europea, como para acceder a contratos públicos en terceros países.</w:t>
      </w:r>
    </w:p>
    <w:p w:rsidR="00D56136" w:rsidRPr="00443B8A" w:rsidRDefault="00D56136" w:rsidP="00D56136">
      <w:pPr>
        <w:widowControl w:val="0"/>
        <w:rPr>
          <w:lang w:val="es-ES_tradnl"/>
        </w:rPr>
      </w:pPr>
    </w:p>
    <w:p w:rsidR="00D56136" w:rsidRPr="00443B8A" w:rsidRDefault="00D56136" w:rsidP="00D56136">
      <w:pPr>
        <w:rPr>
          <w:i/>
          <w:lang w:val="es-ES_tradnl"/>
        </w:rPr>
      </w:pPr>
      <w:r w:rsidRPr="00443B8A">
        <w:rPr>
          <w:b/>
          <w:i/>
          <w:lang w:val="es-ES_tradnl"/>
        </w:rPr>
        <w:t>Contacto:</w:t>
      </w:r>
      <w:r w:rsidR="00205DB4" w:rsidRPr="00443B8A">
        <w:rPr>
          <w:b/>
          <w:i/>
          <w:lang w:val="es-ES_tradnl"/>
        </w:rPr>
        <w:tab/>
      </w:r>
      <w:r w:rsidRPr="00443B8A">
        <w:rPr>
          <w:i/>
          <w:lang w:val="es-ES_tradnl"/>
        </w:rPr>
        <w:t>Tzonka Iotzova</w:t>
      </w:r>
    </w:p>
    <w:p w:rsidR="00D56136" w:rsidRPr="00443B8A" w:rsidRDefault="00D56136" w:rsidP="00D56136">
      <w:pPr>
        <w:tabs>
          <w:tab w:val="left" w:pos="990"/>
          <w:tab w:val="left" w:pos="2420"/>
        </w:tabs>
        <w:rPr>
          <w:i/>
          <w:iCs/>
          <w:lang w:val="es-ES_tradnl"/>
        </w:rPr>
      </w:pPr>
      <w:r w:rsidRPr="00443B8A">
        <w:rPr>
          <w:i/>
          <w:lang w:val="es-ES_tradnl"/>
        </w:rPr>
        <w:t xml:space="preserve">(Tel. +32 2 546 8978 - correo electrónico: </w:t>
      </w:r>
      <w:hyperlink r:id="rId32">
        <w:r w:rsidRPr="00443B8A">
          <w:rPr>
            <w:rStyle w:val="Hyperlink"/>
            <w:i/>
            <w:lang w:val="es-ES_tradnl"/>
          </w:rPr>
          <w:t>Tzonka.Iotzova@eesc.europa.eu</w:t>
        </w:r>
      </w:hyperlink>
      <w:r w:rsidRPr="00443B8A">
        <w:rPr>
          <w:i/>
          <w:lang w:val="es-ES_tradnl"/>
        </w:rPr>
        <w:t>)</w:t>
      </w:r>
    </w:p>
    <w:p w:rsidR="005A22B5" w:rsidRPr="00443B8A" w:rsidRDefault="005A22B5">
      <w:pPr>
        <w:spacing w:line="240" w:lineRule="auto"/>
        <w:jc w:val="left"/>
        <w:rPr>
          <w:i/>
          <w:iCs/>
          <w:lang w:val="es-ES_tradnl"/>
        </w:rPr>
      </w:pPr>
      <w:r w:rsidRPr="00443B8A">
        <w:rPr>
          <w:lang w:val="es-ES_tradnl"/>
        </w:rPr>
        <w:br w:type="page"/>
      </w:r>
    </w:p>
    <w:p w:rsidR="005A22B5" w:rsidRPr="00443B8A" w:rsidRDefault="005A22B5" w:rsidP="005A22B5">
      <w:pPr>
        <w:widowControl w:val="0"/>
        <w:ind w:left="-567"/>
        <w:rPr>
          <w:lang w:val="es-ES_tradnl"/>
        </w:rPr>
      </w:pPr>
    </w:p>
    <w:p w:rsidR="002D1B76" w:rsidRPr="00443B8A" w:rsidRDefault="002D1B76" w:rsidP="00B52DA2">
      <w:pPr>
        <w:widowControl w:val="0"/>
        <w:rPr>
          <w:lang w:val="es-ES_tradnl"/>
        </w:rPr>
      </w:pPr>
    </w:p>
    <w:p w:rsidR="005A22B5" w:rsidRPr="00443B8A" w:rsidRDefault="005A22B5" w:rsidP="00E21B91">
      <w:pPr>
        <w:widowControl w:val="0"/>
        <w:numPr>
          <w:ilvl w:val="0"/>
          <w:numId w:val="5"/>
        </w:numPr>
        <w:overflowPunct w:val="0"/>
        <w:autoSpaceDE w:val="0"/>
        <w:autoSpaceDN w:val="0"/>
        <w:adjustRightInd w:val="0"/>
        <w:ind w:left="284" w:hanging="284"/>
        <w:textAlignment w:val="baseline"/>
        <w:rPr>
          <w:b/>
          <w:bCs/>
          <w:i/>
          <w:iCs/>
          <w:sz w:val="28"/>
          <w:szCs w:val="28"/>
          <w:lang w:val="es-ES_tradnl"/>
        </w:rPr>
      </w:pPr>
      <w:r w:rsidRPr="00443B8A">
        <w:rPr>
          <w:b/>
          <w:i/>
          <w:sz w:val="28"/>
          <w:lang w:val="es-ES_tradnl"/>
        </w:rPr>
        <w:t>Comercio para todos - Hacia una política de comercio e inversión más responsable</w:t>
      </w:r>
    </w:p>
    <w:p w:rsidR="005A22B5" w:rsidRPr="00443B8A" w:rsidRDefault="005A22B5" w:rsidP="005A22B5">
      <w:pPr>
        <w:widowControl w:val="0"/>
        <w:rPr>
          <w:lang w:val="es-ES_tradnl"/>
        </w:rPr>
      </w:pPr>
    </w:p>
    <w:p w:rsidR="005A22B5" w:rsidRPr="00443B8A" w:rsidRDefault="005A22B5" w:rsidP="005A22B5">
      <w:pPr>
        <w:rPr>
          <w:b/>
          <w:i/>
          <w:highlight w:val="yellow"/>
          <w:lang w:val="es-ES_tradnl"/>
        </w:rPr>
      </w:pPr>
      <w:r w:rsidRPr="00443B8A">
        <w:rPr>
          <w:b/>
          <w:lang w:val="es-ES_tradnl"/>
        </w:rPr>
        <w:t>Ponente:</w:t>
      </w:r>
      <w:r w:rsidRPr="00443B8A">
        <w:rPr>
          <w:lang w:val="es-ES_tradnl"/>
        </w:rPr>
        <w:tab/>
        <w:t>Jonathan PEEL (Empresarios - UK)</w:t>
      </w:r>
    </w:p>
    <w:p w:rsidR="005A22B5" w:rsidRPr="00443B8A" w:rsidRDefault="005A22B5" w:rsidP="005A22B5">
      <w:pPr>
        <w:rPr>
          <w:lang w:val="es-ES_tradnl"/>
        </w:rPr>
      </w:pPr>
    </w:p>
    <w:p w:rsidR="005A22B5" w:rsidRPr="00443B8A" w:rsidRDefault="005A22B5" w:rsidP="005A22B5">
      <w:pPr>
        <w:tabs>
          <w:tab w:val="num" w:pos="550"/>
        </w:tabs>
        <w:rPr>
          <w:bCs/>
          <w:lang w:val="es-ES_tradnl"/>
        </w:rPr>
      </w:pPr>
      <w:r w:rsidRPr="00443B8A">
        <w:rPr>
          <w:b/>
          <w:lang w:val="es-ES_tradnl"/>
        </w:rPr>
        <w:t>Referencias:</w:t>
      </w:r>
      <w:r w:rsidRPr="00443B8A">
        <w:rPr>
          <w:lang w:val="es-ES_tradnl"/>
        </w:rPr>
        <w:t xml:space="preserve"> </w:t>
      </w:r>
      <w:r w:rsidRPr="00443B8A">
        <w:rPr>
          <w:lang w:val="es-ES_tradnl"/>
        </w:rPr>
        <w:tab/>
        <w:t>COM(2015) 497 final</w:t>
      </w:r>
    </w:p>
    <w:p w:rsidR="005A22B5" w:rsidRPr="00443B8A" w:rsidRDefault="005A22B5" w:rsidP="00BE0CD6">
      <w:pPr>
        <w:tabs>
          <w:tab w:val="num" w:pos="550"/>
        </w:tabs>
        <w:ind w:left="1418"/>
        <w:rPr>
          <w:bCs/>
          <w:lang w:val="es-ES_tradnl"/>
        </w:rPr>
      </w:pPr>
      <w:r w:rsidRPr="00443B8A">
        <w:rPr>
          <w:lang w:val="es-ES_tradnl"/>
        </w:rPr>
        <w:t>EESC-2015-02717-00-00-A</w:t>
      </w:r>
      <w:r w:rsidR="00543013" w:rsidRPr="00443B8A">
        <w:rPr>
          <w:lang w:val="es-ES_tradnl"/>
        </w:rPr>
        <w:t>C</w:t>
      </w:r>
      <w:r w:rsidRPr="00443B8A">
        <w:rPr>
          <w:lang w:val="es-ES_tradnl"/>
        </w:rPr>
        <w:t>-TRA</w:t>
      </w:r>
    </w:p>
    <w:p w:rsidR="005A22B5" w:rsidRPr="00443B8A" w:rsidRDefault="005A22B5" w:rsidP="005A22B5">
      <w:pPr>
        <w:jc w:val="left"/>
        <w:rPr>
          <w:lang w:val="es-ES_tradnl"/>
        </w:rPr>
      </w:pPr>
    </w:p>
    <w:p w:rsidR="005A22B5" w:rsidRPr="00443B8A" w:rsidRDefault="005A22B5" w:rsidP="005A22B5">
      <w:pPr>
        <w:rPr>
          <w:lang w:val="es-ES_tradnl"/>
        </w:rPr>
      </w:pPr>
      <w:r w:rsidRPr="00443B8A">
        <w:rPr>
          <w:b/>
          <w:lang w:val="es-ES_tradnl"/>
        </w:rPr>
        <w:t>Puntos clave:</w:t>
      </w:r>
    </w:p>
    <w:p w:rsidR="005A22B5" w:rsidRPr="00443B8A" w:rsidRDefault="005A22B5" w:rsidP="005A22B5">
      <w:pPr>
        <w:widowControl w:val="0"/>
        <w:rPr>
          <w:lang w:val="es-ES_tradnl"/>
        </w:rPr>
      </w:pPr>
    </w:p>
    <w:p w:rsidR="005A22B5" w:rsidRPr="00443B8A" w:rsidRDefault="005A22B5" w:rsidP="005A22B5">
      <w:pPr>
        <w:rPr>
          <w:lang w:val="es-ES_tradnl"/>
        </w:rPr>
      </w:pPr>
      <w:r w:rsidRPr="00443B8A">
        <w:rPr>
          <w:lang w:val="es-ES_tradnl"/>
        </w:rPr>
        <w:t>El CESE acoge favorablemente la Comunicación de la CE «Comercio para todos – Hacia una política comercial y de inversión más responsable», publicada en octubre de 2015, ya que constituye una puesta al día oportuna y positiva de la política de comercio e inversión de la UE.</w:t>
      </w:r>
    </w:p>
    <w:p w:rsidR="005A22B5" w:rsidRPr="00443B8A" w:rsidRDefault="005A22B5" w:rsidP="005A22B5">
      <w:pPr>
        <w:rPr>
          <w:lang w:val="es-ES_tradnl"/>
        </w:rPr>
      </w:pPr>
    </w:p>
    <w:p w:rsidR="005A22B5" w:rsidRPr="00443B8A" w:rsidRDefault="005A22B5" w:rsidP="005A22B5">
      <w:pPr>
        <w:rPr>
          <w:lang w:val="es-ES_tradnl"/>
        </w:rPr>
      </w:pPr>
      <w:r w:rsidRPr="00443B8A">
        <w:rPr>
          <w:lang w:val="es-ES_tradnl"/>
        </w:rPr>
        <w:t>No obstante, el CESE expresa su preocupación por que resulte difícil satisfacer las numerosas expectativas, lo cual podría, con el paso del tiempo, plantear problemas y acogerse con decepción cuando las negociaciones comerciales de la UE desemboquen inevitablemente en una serie de compromisos. El CESE opina que la mejor forma de evitarlo es mediante una participación mucho más significativa de la sociedad civil durante las negociaciones y, posteriormente, a lo largo del proceso de aplicación. Habida cuenta de su papel institucional, el CESE está en condiciones de contribuir a la consecución de este objetivo gracias a sus numerosos contactos tanto dentro como fuera de nuestras fronteras. Este diálogo reforzado debe incluir también una mayor consulta de los interlocutores sociales sobre las posibles repercusiones del comercio y la inversión en el empleo.  En este sentido, el Comité considera muy decepcionante que la Comunicación no haga referencia a los mecanismos de supervisión de la sociedad civil respecto de los capítulos sobre comercio y desarrollo sostenible que figuran en los acuerdos comerciales de la UE vigentes, ni a la manera en que podrían desarrollarse y reforzarse. El Comité recuerda que es necesario un debate fundado de alto nivel, tanto en la UE como en los Estados miembros.</w:t>
      </w:r>
    </w:p>
    <w:p w:rsidR="005A22B5" w:rsidRPr="00443B8A" w:rsidRDefault="005A22B5" w:rsidP="005A22B5">
      <w:pPr>
        <w:rPr>
          <w:lang w:val="es-ES_tradnl"/>
        </w:rPr>
      </w:pPr>
    </w:p>
    <w:p w:rsidR="005A22B5" w:rsidRPr="00443B8A" w:rsidRDefault="005A22B5" w:rsidP="005A22B5">
      <w:pPr>
        <w:rPr>
          <w:lang w:val="es-ES_tradnl"/>
        </w:rPr>
      </w:pPr>
      <w:r w:rsidRPr="00443B8A">
        <w:rPr>
          <w:lang w:val="es-ES_tradnl"/>
        </w:rPr>
        <w:t>El Comité apoya el énfasis de esta Comunicación en la necesidad de una mayor eficacia de los intercambios comerciales e inversiones que se realizan en la UE y de una mayor transparencia, así como en la importancia de promover los valores de la UE y la necesidad de garantizar la coherencia con otras políticas fundamentales de la UE. Sobre todo, se aborda en profundidad el desarrollo sostenible, especialmente desde el punto de vista de los derechos humanos y sociales y el medio ambiente. Asimismo, se acoge favorablemente el compromiso en favor de las pequeñas empresas, que afrontan más dificultades para acceder a nuevos mercados. Asimismo, el Comité acoge favorablemente el énfasis de la Comunicación en que la política comercial tendrá que «abordar una gama más amplia de cuestiones» para que la UE pueda afianzar su situación en las cadenas de valor mundiales, en particular, el fomento del comercio de servicios, la facilitación del comercio digital y la protección de los consumidores y sus datos personales. Sin embargo, el Comité considera que en la Comunicación se percibe una falta de coordinación con otras direcciones generales.</w:t>
      </w:r>
    </w:p>
    <w:p w:rsidR="005A22B5" w:rsidRPr="00443B8A" w:rsidRDefault="005A22B5" w:rsidP="005A22B5">
      <w:pPr>
        <w:rPr>
          <w:lang w:val="es-ES_tradnl"/>
        </w:rPr>
      </w:pPr>
    </w:p>
    <w:p w:rsidR="005A22B5" w:rsidRPr="00443B8A" w:rsidRDefault="005A22B5" w:rsidP="005A22B5">
      <w:pPr>
        <w:rPr>
          <w:lang w:val="es-ES_tradnl"/>
        </w:rPr>
      </w:pPr>
      <w:r w:rsidRPr="00443B8A">
        <w:rPr>
          <w:lang w:val="es-ES_tradnl"/>
        </w:rPr>
        <w:t>El Comité lamenta que la Comisión no haya adoptado un planteamiento plenamente coordinado para los objetivos de desarrollo sostenible (ODS). El comercio y la inversión desempeñarán un papel central en la consecución de los ODS y los compromisos de la Conferencia de las Partes de la Convención Marco de las Naciones Unidas sobre el Cambio Climático de París (COP21 de la CMNUCC). Asimismo, el Comité la ausencia de referencia a la renovación del Acuerdo de Asociación ACP-UE (Acuerdo de Cotonú), previsto para 2020. La UE también debe fomentar activamente el creciente impulso hacia una cooperación interafricana sobre comercio, esencial para el desarrollo de África.</w:t>
      </w:r>
    </w:p>
    <w:p w:rsidR="005A22B5" w:rsidRPr="00443B8A" w:rsidRDefault="005A22B5" w:rsidP="005A22B5">
      <w:pPr>
        <w:rPr>
          <w:lang w:val="es-ES_tradnl"/>
        </w:rPr>
      </w:pPr>
    </w:p>
    <w:p w:rsidR="005A22B5" w:rsidRPr="00443B8A" w:rsidRDefault="005A22B5" w:rsidP="005A22B5">
      <w:pPr>
        <w:rPr>
          <w:lang w:val="es-ES_tradnl"/>
        </w:rPr>
      </w:pPr>
      <w:r w:rsidRPr="00443B8A">
        <w:rPr>
          <w:lang w:val="es-ES_tradnl"/>
        </w:rPr>
        <w:t>Por último, el Comité insta a dedicar recursos adecuados para poner en práctica la Comunicación «Comercio para todos», si se quiere que esta ambiciosa política de comercio e inversión tenga éxito.</w:t>
      </w:r>
    </w:p>
    <w:p w:rsidR="005A22B5" w:rsidRPr="00443B8A" w:rsidRDefault="005A22B5" w:rsidP="005A22B5">
      <w:pPr>
        <w:rPr>
          <w:lang w:val="es-ES_tradnl"/>
        </w:rPr>
      </w:pPr>
    </w:p>
    <w:p w:rsidR="005A22B5" w:rsidRPr="00443B8A" w:rsidRDefault="005A22B5" w:rsidP="005A22B5">
      <w:pPr>
        <w:rPr>
          <w:i/>
          <w:lang w:val="es-ES_tradnl"/>
        </w:rPr>
      </w:pPr>
      <w:r w:rsidRPr="00443B8A">
        <w:rPr>
          <w:b/>
          <w:i/>
          <w:lang w:val="es-ES_tradnl"/>
        </w:rPr>
        <w:t>Contacto</w:t>
      </w:r>
      <w:r w:rsidRPr="00443B8A">
        <w:rPr>
          <w:lang w:val="es-ES_tradnl"/>
        </w:rPr>
        <w:t>:</w:t>
      </w:r>
      <w:r w:rsidR="00205DB4" w:rsidRPr="00443B8A">
        <w:rPr>
          <w:lang w:val="es-ES_tradnl"/>
        </w:rPr>
        <w:tab/>
      </w:r>
      <w:r w:rsidRPr="00443B8A">
        <w:rPr>
          <w:i/>
          <w:lang w:val="es-ES_tradnl"/>
        </w:rPr>
        <w:t>Tzonka Iotzova</w:t>
      </w:r>
    </w:p>
    <w:p w:rsidR="00D56136" w:rsidRPr="00443B8A" w:rsidRDefault="005A22B5" w:rsidP="005A22B5">
      <w:pPr>
        <w:rPr>
          <w:i/>
          <w:iCs/>
          <w:lang w:val="es-ES_tradnl"/>
        </w:rPr>
      </w:pPr>
      <w:r w:rsidRPr="00443B8A">
        <w:rPr>
          <w:i/>
          <w:lang w:val="es-ES_tradnl"/>
        </w:rPr>
        <w:t xml:space="preserve">(Tel. 00 32 2 546 8978 - correo electrónico: </w:t>
      </w:r>
      <w:hyperlink r:id="rId33">
        <w:r w:rsidRPr="00443B8A">
          <w:rPr>
            <w:rStyle w:val="Hyperlink"/>
            <w:i/>
            <w:lang w:val="es-ES_tradnl"/>
          </w:rPr>
          <w:t>tzonka.iotzova@eesc.europa.eu</w:t>
        </w:r>
      </w:hyperlink>
      <w:r w:rsidRPr="00443B8A">
        <w:rPr>
          <w:i/>
          <w:lang w:val="es-ES_tradnl"/>
        </w:rPr>
        <w:t>)</w:t>
      </w:r>
      <w:r w:rsidRPr="00443B8A">
        <w:rPr>
          <w:lang w:val="es-ES_tradnl"/>
        </w:rPr>
        <w:br w:type="page"/>
      </w:r>
    </w:p>
    <w:p w:rsidR="003D3B49" w:rsidRPr="00443B8A" w:rsidRDefault="003D3B49" w:rsidP="001E74A2">
      <w:pPr>
        <w:keepNext/>
        <w:numPr>
          <w:ilvl w:val="0"/>
          <w:numId w:val="2"/>
        </w:numPr>
        <w:ind w:left="567" w:hanging="578"/>
        <w:outlineLvl w:val="0"/>
        <w:rPr>
          <w:b/>
          <w:lang w:val="es-ES_tradnl"/>
        </w:rPr>
      </w:pPr>
      <w:bookmarkStart w:id="6" w:name="_Toc449349328"/>
      <w:bookmarkStart w:id="7" w:name="_Toc451270271"/>
      <w:r w:rsidRPr="00443B8A">
        <w:rPr>
          <w:b/>
          <w:lang w:val="es-ES_tradnl"/>
        </w:rPr>
        <w:t>ASUNTOS SOCIALES / EMPLEO</w:t>
      </w:r>
      <w:bookmarkEnd w:id="6"/>
      <w:bookmarkEnd w:id="7"/>
    </w:p>
    <w:p w:rsidR="00DC7A11" w:rsidRPr="00443B8A" w:rsidRDefault="00DC7A11" w:rsidP="00023559">
      <w:pPr>
        <w:spacing w:line="240" w:lineRule="auto"/>
        <w:rPr>
          <w:iCs/>
          <w:lang w:val="es-ES_tradnl"/>
        </w:rPr>
      </w:pPr>
    </w:p>
    <w:p w:rsidR="003D3B49" w:rsidRPr="00443B8A" w:rsidRDefault="003D3B49" w:rsidP="00E21B91">
      <w:pPr>
        <w:widowControl w:val="0"/>
        <w:numPr>
          <w:ilvl w:val="0"/>
          <w:numId w:val="5"/>
        </w:numPr>
        <w:overflowPunct w:val="0"/>
        <w:autoSpaceDE w:val="0"/>
        <w:autoSpaceDN w:val="0"/>
        <w:adjustRightInd w:val="0"/>
        <w:ind w:left="284" w:hanging="284"/>
        <w:textAlignment w:val="baseline"/>
        <w:rPr>
          <w:b/>
          <w:bCs/>
          <w:i/>
          <w:iCs/>
          <w:sz w:val="28"/>
          <w:szCs w:val="28"/>
          <w:lang w:val="es-ES_tradnl"/>
        </w:rPr>
      </w:pPr>
      <w:r w:rsidRPr="00443B8A">
        <w:rPr>
          <w:b/>
          <w:i/>
          <w:sz w:val="28"/>
          <w:lang w:val="es-ES_tradnl"/>
        </w:rPr>
        <w:t>Una movilidad laboral más justa en la UE (dictamen exploratorio a petición de la Presidencia neerlandesa)</w:t>
      </w:r>
    </w:p>
    <w:p w:rsidR="003D3B49" w:rsidRPr="00443B8A" w:rsidRDefault="003D3B49" w:rsidP="00023559">
      <w:pPr>
        <w:spacing w:line="240" w:lineRule="auto"/>
        <w:rPr>
          <w:iCs/>
          <w:lang w:val="es-ES_tradnl"/>
        </w:rPr>
      </w:pPr>
    </w:p>
    <w:p w:rsidR="003D3B49" w:rsidRPr="00443B8A" w:rsidRDefault="003D3B49" w:rsidP="003D3B49">
      <w:pPr>
        <w:jc w:val="left"/>
        <w:rPr>
          <w:lang w:val="es-ES_tradnl"/>
        </w:rPr>
      </w:pPr>
      <w:r w:rsidRPr="00443B8A">
        <w:rPr>
          <w:b/>
          <w:lang w:val="es-ES_tradnl"/>
        </w:rPr>
        <w:t xml:space="preserve">Ponente: </w:t>
      </w:r>
      <w:r w:rsidRPr="00443B8A">
        <w:rPr>
          <w:lang w:val="es-ES_tradnl"/>
        </w:rPr>
        <w:tab/>
        <w:t>Laura GONZÁLEZ DE TXABARRI ETXANIZ (Trabajadores - ES)</w:t>
      </w:r>
    </w:p>
    <w:p w:rsidR="003D3B49" w:rsidRPr="00443B8A" w:rsidRDefault="003D3B49" w:rsidP="00023559">
      <w:pPr>
        <w:spacing w:line="240" w:lineRule="auto"/>
        <w:rPr>
          <w:lang w:val="es-ES_tradnl"/>
        </w:rPr>
      </w:pPr>
    </w:p>
    <w:p w:rsidR="003D3B49" w:rsidRPr="00443B8A" w:rsidRDefault="003D3B49" w:rsidP="003D3B49">
      <w:pPr>
        <w:rPr>
          <w:b/>
          <w:lang w:val="es-ES_tradnl"/>
        </w:rPr>
      </w:pPr>
      <w:r w:rsidRPr="00443B8A">
        <w:rPr>
          <w:b/>
          <w:lang w:val="es-ES_tradnl"/>
        </w:rPr>
        <w:t>Coponente:</w:t>
      </w:r>
      <w:r w:rsidRPr="00443B8A">
        <w:rPr>
          <w:lang w:val="es-ES_tradnl"/>
        </w:rPr>
        <w:tab/>
        <w:t>Dorthe ANDERSEN (Empresarios – DK)</w:t>
      </w:r>
    </w:p>
    <w:p w:rsidR="003D3B49" w:rsidRPr="00443B8A" w:rsidRDefault="003D3B49" w:rsidP="00023559">
      <w:pPr>
        <w:spacing w:line="240" w:lineRule="auto"/>
        <w:rPr>
          <w:iCs/>
          <w:lang w:val="es-ES_tradnl"/>
        </w:rPr>
      </w:pPr>
    </w:p>
    <w:p w:rsidR="003D3B49" w:rsidRPr="00443B8A" w:rsidRDefault="003D3B49" w:rsidP="003D3B49">
      <w:pPr>
        <w:rPr>
          <w:lang w:val="es-ES_tradnl"/>
        </w:rPr>
      </w:pPr>
      <w:r w:rsidRPr="00443B8A">
        <w:rPr>
          <w:b/>
          <w:lang w:val="es-ES_tradnl"/>
        </w:rPr>
        <w:t>Referencia</w:t>
      </w:r>
      <w:r w:rsidRPr="00443B8A">
        <w:rPr>
          <w:lang w:val="es-ES_tradnl"/>
        </w:rPr>
        <w:t>:</w:t>
      </w:r>
      <w:r w:rsidR="008F4978" w:rsidRPr="00443B8A">
        <w:rPr>
          <w:lang w:val="es-ES_tradnl"/>
        </w:rPr>
        <w:tab/>
      </w:r>
      <w:r w:rsidR="00543013" w:rsidRPr="00443B8A">
        <w:rPr>
          <w:iCs/>
          <w:lang w:val="es-ES_tradnl"/>
        </w:rPr>
        <w:t>EESC-2016-00258-00-00-AC-TRA</w:t>
      </w:r>
    </w:p>
    <w:p w:rsidR="003D3B49" w:rsidRPr="00443B8A" w:rsidRDefault="003D3B49" w:rsidP="00023559">
      <w:pPr>
        <w:spacing w:line="240" w:lineRule="auto"/>
        <w:rPr>
          <w:lang w:val="es-ES_tradnl"/>
        </w:rPr>
      </w:pPr>
    </w:p>
    <w:p w:rsidR="003D3B49" w:rsidRPr="00443B8A" w:rsidRDefault="003D3B49" w:rsidP="003D3B49">
      <w:pPr>
        <w:rPr>
          <w:b/>
          <w:lang w:val="es-ES_tradnl"/>
        </w:rPr>
      </w:pPr>
      <w:r w:rsidRPr="00443B8A">
        <w:rPr>
          <w:b/>
          <w:lang w:val="es-ES_tradnl"/>
        </w:rPr>
        <w:t>Puntos clave:</w:t>
      </w:r>
    </w:p>
    <w:p w:rsidR="002D1B76" w:rsidRPr="00443B8A" w:rsidRDefault="002D1B76" w:rsidP="00023559">
      <w:pPr>
        <w:spacing w:line="240" w:lineRule="auto"/>
        <w:rPr>
          <w:iCs/>
          <w:lang w:val="es-ES_tradnl"/>
        </w:rPr>
      </w:pPr>
    </w:p>
    <w:p w:rsidR="003D3B49" w:rsidRPr="00443B8A" w:rsidRDefault="003D3B49" w:rsidP="003D3B49">
      <w:pPr>
        <w:rPr>
          <w:lang w:val="es-ES_tradnl"/>
        </w:rPr>
      </w:pPr>
      <w:r w:rsidRPr="00443B8A">
        <w:rPr>
          <w:lang w:val="es-ES_tradnl"/>
        </w:rPr>
        <w:t>El CESE recuerda que la movilidad de los trabajadores dentro de la UE constituye una de las libertades fundamentales consagradas en el TFUE, y uno de los logros más apreciados del proceso de construcción europea.</w:t>
      </w:r>
    </w:p>
    <w:p w:rsidR="003D3B49" w:rsidRPr="00443B8A" w:rsidRDefault="003D3B49" w:rsidP="00023559">
      <w:pPr>
        <w:spacing w:line="240" w:lineRule="auto"/>
        <w:rPr>
          <w:lang w:val="es-ES_tradnl"/>
        </w:rPr>
      </w:pPr>
    </w:p>
    <w:p w:rsidR="003D3B49" w:rsidRPr="00443B8A" w:rsidRDefault="003D3B49" w:rsidP="003D3B49">
      <w:pPr>
        <w:rPr>
          <w:lang w:val="es-ES_tradnl"/>
        </w:rPr>
      </w:pPr>
      <w:r w:rsidRPr="00443B8A">
        <w:rPr>
          <w:lang w:val="es-ES_tradnl"/>
        </w:rPr>
        <w:t>Cuando es ejercida en condiciones justas, la movilidad laboral puede resultar beneficiosa y enriquecedora para trabajadores, empresarios y la sociedad en su conjunto. Puede ayudar a equilibrar los diferentes niveles de empleo en los Estados miembros aportando mano de obra y talento allí donde hace falta, paliando los efectos del envejecimiento de la mano de obra en el país de destino.</w:t>
      </w:r>
    </w:p>
    <w:p w:rsidR="003D3B49" w:rsidRPr="00443B8A" w:rsidRDefault="003D3B49" w:rsidP="00023559">
      <w:pPr>
        <w:spacing w:line="240" w:lineRule="auto"/>
        <w:rPr>
          <w:lang w:val="es-ES_tradnl"/>
        </w:rPr>
      </w:pPr>
    </w:p>
    <w:p w:rsidR="003D3B49" w:rsidRPr="00443B8A" w:rsidRDefault="003D3B49" w:rsidP="003D3B49">
      <w:pPr>
        <w:rPr>
          <w:lang w:val="es-ES_tradnl"/>
        </w:rPr>
      </w:pPr>
      <w:r w:rsidRPr="00443B8A">
        <w:rPr>
          <w:lang w:val="es-ES_tradnl"/>
        </w:rPr>
        <w:t>Sin embargo, en algunos Estados miembros y sectores esta movilidad puede provocar una «fuga de cerebros» cuando un número importante de jóvenes abandona su país en busca de un empleo o de mejores oportunidades. Por consiguiente, el CESE insta a promover el crecimiento y la productividad, mejorando las condiciones de vida y generando empleo de calidad en todos los Estados miembros.</w:t>
      </w:r>
    </w:p>
    <w:p w:rsidR="003D3B49" w:rsidRPr="00443B8A" w:rsidRDefault="003D3B49" w:rsidP="00023559">
      <w:pPr>
        <w:spacing w:line="240" w:lineRule="auto"/>
        <w:rPr>
          <w:lang w:val="es-ES_tradnl"/>
        </w:rPr>
      </w:pPr>
    </w:p>
    <w:p w:rsidR="003D3B49" w:rsidRPr="00443B8A" w:rsidRDefault="003D3B49" w:rsidP="003D3B49">
      <w:pPr>
        <w:rPr>
          <w:lang w:val="es-ES_tradnl"/>
        </w:rPr>
      </w:pPr>
      <w:r w:rsidRPr="00443B8A">
        <w:rPr>
          <w:lang w:val="es-ES_tradnl"/>
        </w:rPr>
        <w:t>El CESE considera que tanto la Comisión como los Estados miembros deben hacer un esfuerzo especial para garantizar y promover la libre circulación de los trabajadores en la UE, eliminando toda discriminación por razón de nacionalidad y evitando restricciones injustificadas tanto para los trabajadores como para las empresas.</w:t>
      </w:r>
    </w:p>
    <w:p w:rsidR="003D3B49" w:rsidRPr="00443B8A" w:rsidRDefault="003D3B49" w:rsidP="00023559">
      <w:pPr>
        <w:spacing w:line="240" w:lineRule="auto"/>
        <w:rPr>
          <w:lang w:val="es-ES_tradnl"/>
        </w:rPr>
      </w:pPr>
    </w:p>
    <w:p w:rsidR="003D3B49" w:rsidRPr="00443B8A" w:rsidRDefault="003D3B49" w:rsidP="003D3B49">
      <w:pPr>
        <w:rPr>
          <w:lang w:val="es-ES_tradnl"/>
        </w:rPr>
      </w:pPr>
      <w:r w:rsidRPr="00443B8A">
        <w:rPr>
          <w:lang w:val="es-ES_tradnl"/>
        </w:rPr>
        <w:t>Una movilidad justa requiere garantizar el cumplimiento de los principios de igualdad de trato y de no discriminación por razón de nacionalidad, de conformidad con el acervo europeo, para los trabajadores móviles europeos que ejercen el derecho a la libre circulación y están sujetos a las condiciones laborales y reglas de fijación de salarios del país de acogida, en pleno respeto de los sistemas nacionales de negociación colectiva y de relaciones laborales.</w:t>
      </w:r>
    </w:p>
    <w:p w:rsidR="003D3B49" w:rsidRPr="00443B8A" w:rsidRDefault="003D3B49" w:rsidP="00023559">
      <w:pPr>
        <w:spacing w:line="240" w:lineRule="auto"/>
        <w:rPr>
          <w:lang w:val="es-ES_tradnl"/>
        </w:rPr>
      </w:pPr>
    </w:p>
    <w:p w:rsidR="003D3B49" w:rsidRPr="00443B8A" w:rsidRDefault="003D3B49" w:rsidP="003D3B49">
      <w:pPr>
        <w:rPr>
          <w:b/>
          <w:i/>
          <w:lang w:val="es-ES_tradnl"/>
        </w:rPr>
      </w:pPr>
      <w:r w:rsidRPr="00443B8A">
        <w:rPr>
          <w:lang w:val="es-ES_tradnl"/>
        </w:rPr>
        <w:t xml:space="preserve">El CESE insta a la Comisión a abordar, en consulta con los interlocutores sociales, todas las cuestiones necesarias en relación a los trabajadores desplazados para hacer frente a prácticas desleales que conducen al </w:t>
      </w:r>
      <w:r w:rsidRPr="00443B8A">
        <w:rPr>
          <w:i/>
          <w:lang w:val="es-ES_tradnl"/>
        </w:rPr>
        <w:t>dumping</w:t>
      </w:r>
      <w:r w:rsidRPr="00443B8A">
        <w:rPr>
          <w:lang w:val="es-ES_tradnl"/>
        </w:rPr>
        <w:t xml:space="preserve"> social. Asimismo, cualquier nueva medida a nivel europeo ha de respetar las competencias nacionales de negociación colectiva y los diferentes sistemas de relaciones laborales.</w:t>
      </w:r>
    </w:p>
    <w:p w:rsidR="00891B74" w:rsidRPr="00443B8A" w:rsidRDefault="00891B74" w:rsidP="00023559">
      <w:pPr>
        <w:spacing w:line="240" w:lineRule="auto"/>
        <w:rPr>
          <w:iCs/>
          <w:lang w:val="es-ES_tradnl"/>
        </w:rPr>
      </w:pPr>
    </w:p>
    <w:p w:rsidR="003D3B49" w:rsidRPr="00443B8A" w:rsidRDefault="003D3B49" w:rsidP="003D3B49">
      <w:pPr>
        <w:rPr>
          <w:i/>
          <w:lang w:val="es-ES_tradnl"/>
        </w:rPr>
      </w:pPr>
      <w:r w:rsidRPr="00443B8A">
        <w:rPr>
          <w:b/>
          <w:i/>
          <w:lang w:val="es-ES_tradnl"/>
        </w:rPr>
        <w:t xml:space="preserve">Contacto: </w:t>
      </w:r>
      <w:r w:rsidRPr="00443B8A">
        <w:rPr>
          <w:lang w:val="es-ES_tradnl"/>
        </w:rPr>
        <w:tab/>
      </w:r>
      <w:r w:rsidRPr="00443B8A">
        <w:rPr>
          <w:i/>
          <w:lang w:val="es-ES_tradnl"/>
        </w:rPr>
        <w:t>Ana Dumitrache</w:t>
      </w:r>
    </w:p>
    <w:p w:rsidR="00891B74" w:rsidRPr="00443B8A" w:rsidRDefault="003D3B49" w:rsidP="00891B74">
      <w:pPr>
        <w:rPr>
          <w:i/>
          <w:lang w:val="es-ES_tradnl"/>
        </w:rPr>
      </w:pPr>
      <w:r w:rsidRPr="00443B8A">
        <w:rPr>
          <w:i/>
          <w:lang w:val="es-ES_tradnl"/>
        </w:rPr>
        <w:t xml:space="preserve">(Tel. 00 32 2 546 8131– correo electrónico: </w:t>
      </w:r>
      <w:hyperlink r:id="rId34">
        <w:r w:rsidRPr="00443B8A">
          <w:rPr>
            <w:rStyle w:val="Hyperlink"/>
            <w:i/>
            <w:lang w:val="es-ES_tradnl"/>
          </w:rPr>
          <w:t>ana.dumitrache@eesc.europa.eu</w:t>
        </w:r>
      </w:hyperlink>
      <w:r w:rsidRPr="00443B8A">
        <w:rPr>
          <w:i/>
          <w:lang w:val="es-ES_tradnl"/>
        </w:rPr>
        <w:t xml:space="preserve">) </w:t>
      </w:r>
      <w:r w:rsidRPr="00443B8A">
        <w:rPr>
          <w:lang w:val="es-ES_tradnl"/>
        </w:rPr>
        <w:br w:type="page"/>
      </w:r>
    </w:p>
    <w:p w:rsidR="002D1B76" w:rsidRPr="00443B8A" w:rsidRDefault="002D1B76" w:rsidP="00DF3929">
      <w:pPr>
        <w:spacing w:line="240" w:lineRule="auto"/>
        <w:rPr>
          <w:sz w:val="16"/>
          <w:szCs w:val="16"/>
          <w:lang w:val="es-ES_tradnl"/>
        </w:rPr>
      </w:pPr>
    </w:p>
    <w:p w:rsidR="003D3B49" w:rsidRPr="00443B8A" w:rsidRDefault="003D3B49" w:rsidP="00E21B91">
      <w:pPr>
        <w:widowControl w:val="0"/>
        <w:numPr>
          <w:ilvl w:val="0"/>
          <w:numId w:val="5"/>
        </w:numPr>
        <w:overflowPunct w:val="0"/>
        <w:autoSpaceDE w:val="0"/>
        <w:autoSpaceDN w:val="0"/>
        <w:adjustRightInd w:val="0"/>
        <w:ind w:left="284" w:hanging="284"/>
        <w:textAlignment w:val="baseline"/>
        <w:rPr>
          <w:b/>
          <w:bCs/>
          <w:i/>
          <w:iCs/>
          <w:sz w:val="28"/>
          <w:szCs w:val="28"/>
          <w:lang w:val="es-ES_tradnl"/>
        </w:rPr>
      </w:pPr>
      <w:r w:rsidRPr="00443B8A">
        <w:rPr>
          <w:b/>
          <w:i/>
          <w:sz w:val="28"/>
          <w:lang w:val="es-ES_tradnl"/>
        </w:rPr>
        <w:t>La integración de los refugiados en la UE (Dictamen exploratorio a petición de la Presidencia neerlandesa)</w:t>
      </w:r>
    </w:p>
    <w:p w:rsidR="003D3B49" w:rsidRPr="00443B8A" w:rsidRDefault="003D3B49" w:rsidP="00DF3929">
      <w:pPr>
        <w:spacing w:line="240" w:lineRule="auto"/>
        <w:rPr>
          <w:b/>
          <w:lang w:val="es-ES_tradnl"/>
        </w:rPr>
      </w:pPr>
    </w:p>
    <w:p w:rsidR="003D3B49" w:rsidRPr="00443B8A" w:rsidRDefault="003D3B49" w:rsidP="003D3B49">
      <w:pPr>
        <w:rPr>
          <w:b/>
          <w:lang w:val="es-ES_tradnl"/>
        </w:rPr>
      </w:pPr>
      <w:r w:rsidRPr="00443B8A">
        <w:rPr>
          <w:b/>
          <w:lang w:val="es-ES_tradnl"/>
        </w:rPr>
        <w:t>Ponente:</w:t>
      </w:r>
      <w:r w:rsidR="00932118" w:rsidRPr="00443B8A">
        <w:rPr>
          <w:lang w:val="es-ES_tradnl"/>
        </w:rPr>
        <w:tab/>
      </w:r>
      <w:r w:rsidRPr="00443B8A">
        <w:rPr>
          <w:lang w:val="es-ES_tradnl"/>
        </w:rPr>
        <w:t>Christa SCHWENG (Empresarios – AT)</w:t>
      </w:r>
    </w:p>
    <w:p w:rsidR="003D3B49" w:rsidRPr="00443B8A" w:rsidRDefault="003D3B49" w:rsidP="00DF3929">
      <w:pPr>
        <w:spacing w:line="240" w:lineRule="auto"/>
        <w:rPr>
          <w:lang w:val="es-ES_tradnl"/>
        </w:rPr>
      </w:pPr>
    </w:p>
    <w:p w:rsidR="003D3B49" w:rsidRPr="00443B8A" w:rsidRDefault="003D3B49" w:rsidP="003D3B49">
      <w:pPr>
        <w:rPr>
          <w:b/>
          <w:lang w:val="es-ES_tradnl"/>
        </w:rPr>
      </w:pPr>
      <w:r w:rsidRPr="00443B8A">
        <w:rPr>
          <w:b/>
          <w:lang w:val="es-ES_tradnl"/>
        </w:rPr>
        <w:t>Coponente:</w:t>
      </w:r>
      <w:r w:rsidRPr="00443B8A">
        <w:rPr>
          <w:lang w:val="es-ES_tradnl"/>
        </w:rPr>
        <w:tab/>
        <w:t>Panagiotis GKOFAS (Actividades Diversas – EL)</w:t>
      </w:r>
    </w:p>
    <w:p w:rsidR="003D3B49" w:rsidRPr="00443B8A" w:rsidRDefault="003D3B49" w:rsidP="00DF3929">
      <w:pPr>
        <w:spacing w:line="240" w:lineRule="auto"/>
        <w:rPr>
          <w:b/>
          <w:lang w:val="es-ES_tradnl"/>
        </w:rPr>
      </w:pPr>
    </w:p>
    <w:p w:rsidR="003D3B49" w:rsidRPr="00443B8A" w:rsidRDefault="003D3B49" w:rsidP="003D3B49">
      <w:pPr>
        <w:rPr>
          <w:lang w:val="es-ES_tradnl"/>
        </w:rPr>
      </w:pPr>
      <w:r w:rsidRPr="00443B8A">
        <w:rPr>
          <w:b/>
          <w:lang w:val="es-ES_tradnl"/>
        </w:rPr>
        <w:t>Referencia</w:t>
      </w:r>
      <w:r w:rsidRPr="00443B8A">
        <w:rPr>
          <w:lang w:val="es-ES_tradnl"/>
        </w:rPr>
        <w:t>:</w:t>
      </w:r>
      <w:r w:rsidR="00066EBC" w:rsidRPr="00443B8A">
        <w:rPr>
          <w:lang w:val="es-ES_tradnl"/>
        </w:rPr>
        <w:tab/>
      </w:r>
      <w:r w:rsidR="00284027" w:rsidRPr="00443B8A">
        <w:rPr>
          <w:iCs/>
          <w:lang w:val="es-ES_tradnl"/>
        </w:rPr>
        <w:t>EESC-2016-00262-00-00-AC-TRA</w:t>
      </w:r>
    </w:p>
    <w:p w:rsidR="003D3B49" w:rsidRPr="00443B8A" w:rsidRDefault="003D3B49" w:rsidP="00DF3929">
      <w:pPr>
        <w:spacing w:line="240" w:lineRule="auto"/>
        <w:rPr>
          <w:lang w:val="es-ES_tradnl"/>
        </w:rPr>
      </w:pPr>
    </w:p>
    <w:p w:rsidR="003D3B49" w:rsidRPr="00443B8A" w:rsidRDefault="003D3B49" w:rsidP="003D3B49">
      <w:pPr>
        <w:rPr>
          <w:b/>
          <w:lang w:val="es-ES_tradnl"/>
        </w:rPr>
      </w:pPr>
      <w:r w:rsidRPr="00443B8A">
        <w:rPr>
          <w:b/>
          <w:lang w:val="es-ES_tradnl"/>
        </w:rPr>
        <w:t>Puntos clave:</w:t>
      </w:r>
    </w:p>
    <w:p w:rsidR="003D3B49" w:rsidRPr="00443B8A" w:rsidRDefault="003D3B49" w:rsidP="00DF3929">
      <w:pPr>
        <w:spacing w:line="240" w:lineRule="auto"/>
        <w:rPr>
          <w:b/>
          <w:i/>
          <w:lang w:val="es-ES_tradnl"/>
        </w:rPr>
      </w:pPr>
    </w:p>
    <w:p w:rsidR="003D3B49" w:rsidRPr="00443B8A" w:rsidRDefault="003D3B49" w:rsidP="00D56136">
      <w:pPr>
        <w:rPr>
          <w:lang w:val="es-ES_tradnl"/>
        </w:rPr>
      </w:pPr>
      <w:r w:rsidRPr="00443B8A">
        <w:rPr>
          <w:lang w:val="es-ES_tradnl"/>
        </w:rPr>
        <w:t>El CESE tiene el convencimiento de que la integración es necesaria si queremos conservar la cohesión social.</w:t>
      </w:r>
    </w:p>
    <w:p w:rsidR="003D3B49" w:rsidRPr="00443B8A" w:rsidRDefault="003D3B49" w:rsidP="00DF3929">
      <w:pPr>
        <w:spacing w:line="240" w:lineRule="auto"/>
        <w:rPr>
          <w:lang w:val="es-ES_tradnl"/>
        </w:rPr>
      </w:pPr>
    </w:p>
    <w:p w:rsidR="003D3B49" w:rsidRPr="00443B8A" w:rsidRDefault="003D3B49" w:rsidP="00D06A85">
      <w:pPr>
        <w:rPr>
          <w:lang w:val="es-ES_tradnl"/>
        </w:rPr>
      </w:pPr>
      <w:r w:rsidRPr="00443B8A">
        <w:rPr>
          <w:lang w:val="es-ES_tradnl"/>
        </w:rPr>
        <w:t>El CESE señala que la integración es un proceso bidireccional. Las mejores prácticas en las políticas de integración no solo se centran en los refugiados sino también a la población local, que es fundamental para la aceptación de las medidas de integración. Los medios de comunicación, los entes locales, los sindicatos, las organizaciones patronales y las ONG desempeñan un papel importante en este proceso.</w:t>
      </w:r>
    </w:p>
    <w:p w:rsidR="003D3B49" w:rsidRPr="00443B8A" w:rsidRDefault="003D3B49" w:rsidP="00DF3929">
      <w:pPr>
        <w:spacing w:line="240" w:lineRule="auto"/>
        <w:rPr>
          <w:lang w:val="es-ES_tradnl"/>
        </w:rPr>
      </w:pPr>
    </w:p>
    <w:p w:rsidR="003D3B49" w:rsidRPr="00443B8A" w:rsidRDefault="003D3B49" w:rsidP="00D06A85">
      <w:pPr>
        <w:rPr>
          <w:lang w:val="es-ES_tradnl"/>
        </w:rPr>
      </w:pPr>
      <w:r w:rsidRPr="00443B8A">
        <w:rPr>
          <w:lang w:val="es-ES_tradnl"/>
        </w:rPr>
        <w:t>Si cabe esperar una decisión positiva sobre el estatuto de asilo, se ha de ofrecer formación lingüística apenas formalizado el registro, y deberá incluir también información básica sobre valores, culturas y procesos.</w:t>
      </w:r>
    </w:p>
    <w:p w:rsidR="003D3B49" w:rsidRPr="00443B8A" w:rsidRDefault="003D3B49" w:rsidP="00DF3929">
      <w:pPr>
        <w:spacing w:line="240" w:lineRule="auto"/>
        <w:rPr>
          <w:lang w:val="es-ES_tradnl"/>
        </w:rPr>
      </w:pPr>
    </w:p>
    <w:p w:rsidR="003D3B49" w:rsidRPr="00443B8A" w:rsidRDefault="003D3B49" w:rsidP="00D06A85">
      <w:pPr>
        <w:rPr>
          <w:lang w:val="es-ES_tradnl"/>
        </w:rPr>
      </w:pPr>
      <w:r w:rsidRPr="00443B8A">
        <w:rPr>
          <w:lang w:val="es-ES_tradnl"/>
        </w:rPr>
        <w:t>El CESE recomienda que se preste especial atención a los menores</w:t>
      </w:r>
      <w:r w:rsidR="001825A7" w:rsidRPr="00443B8A">
        <w:rPr>
          <w:lang w:val="es-ES_tradnl"/>
        </w:rPr>
        <w:t>, en particular a los</w:t>
      </w:r>
      <w:r w:rsidRPr="00443B8A">
        <w:rPr>
          <w:lang w:val="es-ES_tradnl"/>
        </w:rPr>
        <w:t xml:space="preserve"> no acompañados. Deben ser objeto de una rápida integración en el sistema escolar o recibir orientación sobre las oportunidades de formación profesional.</w:t>
      </w:r>
    </w:p>
    <w:p w:rsidR="003D3B49" w:rsidRPr="00443B8A" w:rsidRDefault="003D3B49" w:rsidP="00DF3929">
      <w:pPr>
        <w:spacing w:line="240" w:lineRule="auto"/>
        <w:rPr>
          <w:lang w:val="es-ES_tradnl"/>
        </w:rPr>
      </w:pPr>
    </w:p>
    <w:p w:rsidR="003D3B49" w:rsidRPr="00443B8A" w:rsidRDefault="003D3B49" w:rsidP="00D06A85">
      <w:pPr>
        <w:rPr>
          <w:lang w:val="es-ES_tradnl"/>
        </w:rPr>
      </w:pPr>
      <w:r w:rsidRPr="00443B8A">
        <w:rPr>
          <w:lang w:val="es-ES_tradnl"/>
        </w:rPr>
        <w:t>El CESE hace hincapié en que los refugiados deben disponer de acceso a información sobre los derechos y obligaciones de la sociedad de acogida,. Los refugiados deben recibir el mismo trato que los residentes locales en el mercado de trabajo.</w:t>
      </w:r>
    </w:p>
    <w:p w:rsidR="003D3B49" w:rsidRPr="00443B8A" w:rsidRDefault="003D3B49" w:rsidP="00DF3929">
      <w:pPr>
        <w:spacing w:line="240" w:lineRule="auto"/>
        <w:rPr>
          <w:sz w:val="16"/>
          <w:szCs w:val="16"/>
          <w:lang w:val="es-ES_tradnl"/>
        </w:rPr>
      </w:pPr>
    </w:p>
    <w:p w:rsidR="003D3B49" w:rsidRPr="00443B8A" w:rsidRDefault="003D3B49" w:rsidP="00D06A85">
      <w:pPr>
        <w:rPr>
          <w:lang w:val="es-ES_tradnl"/>
        </w:rPr>
      </w:pPr>
      <w:r w:rsidRPr="00443B8A">
        <w:rPr>
          <w:lang w:val="es-ES_tradnl"/>
        </w:rPr>
        <w:t>El CESE reitera su elogio de la solidaridad mostrada por segmentos de la sociedad civil, sindicatos, patronal, particulares y empresas, que han asistido voluntariamente a los solicitantes de asilo. El CESE recalca la importancia de proteger y apoyar tales compromisos individuales.</w:t>
      </w:r>
    </w:p>
    <w:p w:rsidR="003D3B49" w:rsidRPr="00443B8A" w:rsidRDefault="003D3B49" w:rsidP="00DF3929">
      <w:pPr>
        <w:spacing w:line="240" w:lineRule="auto"/>
        <w:rPr>
          <w:sz w:val="16"/>
          <w:szCs w:val="16"/>
          <w:lang w:val="es-ES_tradnl"/>
        </w:rPr>
      </w:pPr>
    </w:p>
    <w:p w:rsidR="003D3B49" w:rsidRPr="00443B8A" w:rsidRDefault="003D3B49" w:rsidP="003D3B49">
      <w:pPr>
        <w:rPr>
          <w:color w:val="222222"/>
          <w:lang w:val="es-ES_tradnl"/>
        </w:rPr>
      </w:pPr>
      <w:r w:rsidRPr="00443B8A">
        <w:rPr>
          <w:lang w:val="es-ES_tradnl"/>
        </w:rPr>
        <w:t>Invertir en medidas de integración es costoso a corto y medio plazo, pero si se lleva a cabo con éxito, traerá cohesión social, crecimiento económico y creación de empleo. Se deben aumentar los diferentes fondos de la UE a fin de lograr una mejor cofinanciación de las medidas de integración de los refugiados.</w:t>
      </w:r>
      <w:r w:rsidR="001D1385" w:rsidRPr="00443B8A">
        <w:rPr>
          <w:lang w:val="es-ES_tradnl"/>
        </w:rPr>
        <w:t xml:space="preserve"> </w:t>
      </w:r>
      <w:r w:rsidR="001825A7" w:rsidRPr="00443B8A">
        <w:rPr>
          <w:color w:val="222222"/>
          <w:lang w:val="es-ES_tradnl"/>
        </w:rPr>
        <w:t xml:space="preserve">Para integrar con éxito </w:t>
      </w:r>
      <w:r w:rsidR="001D1385" w:rsidRPr="00443B8A">
        <w:rPr>
          <w:color w:val="222222"/>
          <w:lang w:val="es-ES_tradnl"/>
        </w:rPr>
        <w:t xml:space="preserve">a </w:t>
      </w:r>
      <w:r w:rsidR="001825A7" w:rsidRPr="00443B8A">
        <w:rPr>
          <w:color w:val="222222"/>
          <w:lang w:val="es-ES_tradnl"/>
        </w:rPr>
        <w:t xml:space="preserve">los refugiados </w:t>
      </w:r>
      <w:r w:rsidR="001D1385" w:rsidRPr="00443B8A">
        <w:rPr>
          <w:color w:val="222222"/>
          <w:lang w:val="es-ES_tradnl"/>
        </w:rPr>
        <w:t xml:space="preserve">es necesario </w:t>
      </w:r>
      <w:r w:rsidR="001825A7" w:rsidRPr="00443B8A">
        <w:rPr>
          <w:color w:val="222222"/>
          <w:lang w:val="es-ES_tradnl"/>
        </w:rPr>
        <w:t>aument</w:t>
      </w:r>
      <w:r w:rsidR="001D1385" w:rsidRPr="00443B8A">
        <w:rPr>
          <w:color w:val="222222"/>
          <w:lang w:val="es-ES_tradnl"/>
        </w:rPr>
        <w:t>ar</w:t>
      </w:r>
      <w:r w:rsidR="001825A7" w:rsidRPr="00443B8A">
        <w:rPr>
          <w:color w:val="222222"/>
          <w:lang w:val="es-ES_tradnl"/>
        </w:rPr>
        <w:t xml:space="preserve"> la inversión en la promoción del crecimiento económico y el empleo.</w:t>
      </w:r>
    </w:p>
    <w:p w:rsidR="001D1385" w:rsidRPr="00443B8A" w:rsidRDefault="001D1385" w:rsidP="003D3B49">
      <w:pPr>
        <w:rPr>
          <w:sz w:val="16"/>
          <w:szCs w:val="16"/>
          <w:lang w:val="es-ES_tradnl"/>
        </w:rPr>
      </w:pPr>
    </w:p>
    <w:p w:rsidR="003D3B49" w:rsidRPr="00443B8A" w:rsidRDefault="003D3B49" w:rsidP="003D3B49">
      <w:pPr>
        <w:rPr>
          <w:i/>
          <w:lang w:val="es-ES_tradnl"/>
        </w:rPr>
      </w:pPr>
      <w:r w:rsidRPr="00443B8A">
        <w:rPr>
          <w:b/>
          <w:i/>
          <w:lang w:val="es-ES_tradnl"/>
        </w:rPr>
        <w:t>Contacto</w:t>
      </w:r>
      <w:r w:rsidRPr="00443B8A">
        <w:rPr>
          <w:lang w:val="es-ES_tradnl"/>
        </w:rPr>
        <w:t>:</w:t>
      </w:r>
      <w:r w:rsidRPr="00443B8A">
        <w:rPr>
          <w:i/>
          <w:lang w:val="es-ES_tradnl"/>
        </w:rPr>
        <w:t xml:space="preserve"> </w:t>
      </w:r>
      <w:r w:rsidRPr="00443B8A">
        <w:rPr>
          <w:lang w:val="es-ES_tradnl"/>
        </w:rPr>
        <w:tab/>
      </w:r>
      <w:r w:rsidRPr="00443B8A">
        <w:rPr>
          <w:i/>
          <w:lang w:val="es-ES_tradnl"/>
        </w:rPr>
        <w:t>Annemarie Wiersma</w:t>
      </w:r>
    </w:p>
    <w:p w:rsidR="003D3B49" w:rsidRPr="00443B8A" w:rsidRDefault="003D3B49" w:rsidP="003D3B49">
      <w:pPr>
        <w:rPr>
          <w:i/>
          <w:lang w:val="es-ES_tradnl"/>
        </w:rPr>
      </w:pPr>
      <w:r w:rsidRPr="00443B8A">
        <w:rPr>
          <w:i/>
          <w:lang w:val="es-ES_tradnl"/>
        </w:rPr>
        <w:t xml:space="preserve">(Tel. 00 32 2 546 9376– correo electrónico: </w:t>
      </w:r>
      <w:hyperlink r:id="rId35">
        <w:r w:rsidRPr="00443B8A">
          <w:rPr>
            <w:rStyle w:val="Hyperlink"/>
            <w:i/>
            <w:lang w:val="es-ES_tradnl"/>
          </w:rPr>
          <w:t>annemarie.wiersma@eesc.europa.eu</w:t>
        </w:r>
      </w:hyperlink>
      <w:r w:rsidRPr="00443B8A">
        <w:rPr>
          <w:i/>
          <w:lang w:val="es-ES_tradnl"/>
        </w:rPr>
        <w:t xml:space="preserve">) </w:t>
      </w:r>
    </w:p>
    <w:p w:rsidR="003D3B49" w:rsidRPr="00443B8A" w:rsidRDefault="003D3B49">
      <w:pPr>
        <w:spacing w:line="240" w:lineRule="auto"/>
        <w:jc w:val="left"/>
        <w:rPr>
          <w:b/>
          <w:lang w:val="es-ES_tradnl"/>
        </w:rPr>
      </w:pPr>
      <w:r w:rsidRPr="00443B8A">
        <w:rPr>
          <w:lang w:val="es-ES_tradnl"/>
        </w:rPr>
        <w:br w:type="page"/>
      </w:r>
    </w:p>
    <w:p w:rsidR="003D3B49" w:rsidRPr="00443B8A" w:rsidRDefault="003D3B49" w:rsidP="003D3B49">
      <w:pPr>
        <w:ind w:left="-567" w:hanging="284"/>
        <w:rPr>
          <w:b/>
          <w:u w:val="single"/>
          <w:shd w:val="clear" w:color="auto" w:fill="FFFF00"/>
          <w:lang w:val="es-ES_tradnl"/>
        </w:rPr>
      </w:pPr>
    </w:p>
    <w:p w:rsidR="007949E3" w:rsidRPr="00443B8A" w:rsidRDefault="007949E3" w:rsidP="00B52DA2">
      <w:pPr>
        <w:rPr>
          <w:i/>
          <w:iCs/>
          <w:u w:val="single"/>
          <w:lang w:val="es-ES_tradnl"/>
        </w:rPr>
      </w:pPr>
    </w:p>
    <w:p w:rsidR="0035631F" w:rsidRPr="00443B8A" w:rsidRDefault="00413EED" w:rsidP="00BE0CD6">
      <w:pPr>
        <w:widowControl w:val="0"/>
        <w:numPr>
          <w:ilvl w:val="0"/>
          <w:numId w:val="103"/>
        </w:numPr>
        <w:autoSpaceDE w:val="0"/>
        <w:autoSpaceDN w:val="0"/>
        <w:adjustRightInd w:val="0"/>
        <w:rPr>
          <w:b/>
          <w:i/>
          <w:spacing w:val="-2"/>
          <w:sz w:val="28"/>
          <w:szCs w:val="28"/>
          <w:lang w:val="es-ES_tradnl"/>
        </w:rPr>
      </w:pPr>
      <w:r w:rsidRPr="00443B8A">
        <w:rPr>
          <w:b/>
          <w:i/>
          <w:spacing w:val="-2"/>
          <w:sz w:val="28"/>
          <w:lang w:val="es-ES_tradnl"/>
        </w:rPr>
        <w:t>Orientaciones para las políticas de empleo de los Estados miembros (Categoría C)</w:t>
      </w:r>
    </w:p>
    <w:p w:rsidR="0035631F" w:rsidRPr="00443B8A" w:rsidRDefault="0035631F">
      <w:pPr>
        <w:tabs>
          <w:tab w:val="num" w:pos="550"/>
        </w:tabs>
        <w:rPr>
          <w:bCs/>
          <w:lang w:val="es-ES_tradnl"/>
        </w:rPr>
      </w:pPr>
    </w:p>
    <w:p w:rsidR="0035631F" w:rsidRPr="00443B8A" w:rsidRDefault="0035631F">
      <w:pPr>
        <w:widowControl w:val="0"/>
        <w:rPr>
          <w:bCs/>
          <w:lang w:val="es-ES_tradnl"/>
        </w:rPr>
      </w:pPr>
      <w:r w:rsidRPr="00443B8A">
        <w:rPr>
          <w:b/>
          <w:lang w:val="es-ES_tradnl"/>
        </w:rPr>
        <w:t>Referencias</w:t>
      </w:r>
      <w:r w:rsidRPr="00443B8A">
        <w:rPr>
          <w:lang w:val="es-ES_tradnl"/>
        </w:rPr>
        <w:t xml:space="preserve">: </w:t>
      </w:r>
      <w:r w:rsidRPr="00443B8A">
        <w:rPr>
          <w:lang w:val="es-ES_tradnl"/>
        </w:rPr>
        <w:tab/>
        <w:t>COM(2016) 71 final  2016/0043 (NLE)</w:t>
      </w:r>
    </w:p>
    <w:p w:rsidR="0035631F" w:rsidRPr="00443B8A" w:rsidRDefault="0035631F" w:rsidP="00BE0CD6">
      <w:pPr>
        <w:widowControl w:val="0"/>
        <w:ind w:left="1418"/>
        <w:rPr>
          <w:bCs/>
          <w:lang w:val="es-ES_tradnl"/>
        </w:rPr>
      </w:pPr>
      <w:r w:rsidRPr="00443B8A">
        <w:rPr>
          <w:lang w:val="es-ES_tradnl"/>
        </w:rPr>
        <w:t>EESC-2016-01756-00-00-AC-TRA</w:t>
      </w:r>
    </w:p>
    <w:p w:rsidR="0035631F" w:rsidRPr="00443B8A" w:rsidRDefault="0035631F">
      <w:pPr>
        <w:jc w:val="left"/>
        <w:rPr>
          <w:lang w:val="es-ES_tradnl"/>
        </w:rPr>
      </w:pPr>
    </w:p>
    <w:p w:rsidR="0035631F" w:rsidRPr="00443B8A" w:rsidRDefault="0035631F">
      <w:pPr>
        <w:rPr>
          <w:lang w:val="es-ES_tradnl"/>
        </w:rPr>
      </w:pPr>
      <w:r w:rsidRPr="00443B8A">
        <w:rPr>
          <w:b/>
          <w:lang w:val="es-ES_tradnl"/>
        </w:rPr>
        <w:t>Puntos clave:</w:t>
      </w:r>
    </w:p>
    <w:p w:rsidR="0035631F" w:rsidRPr="00443B8A" w:rsidRDefault="0035631F" w:rsidP="0035631F">
      <w:pPr>
        <w:rPr>
          <w:lang w:val="es-ES_tradnl"/>
        </w:rPr>
      </w:pPr>
    </w:p>
    <w:p w:rsidR="0035631F" w:rsidRPr="00443B8A" w:rsidRDefault="0035631F">
      <w:pPr>
        <w:rPr>
          <w:lang w:val="es-ES_tradnl"/>
        </w:rPr>
      </w:pPr>
      <w:r w:rsidRPr="00443B8A">
        <w:rPr>
          <w:lang w:val="es-ES_tradnl"/>
        </w:rPr>
        <w:t>Considerando que el contenido de la propuesta es plenamente satisfactorio y no es objeto de ninguna observación por su parte, el Comité decidió emitir un dictamen favorable sobre el texto propuesto.</w:t>
      </w:r>
    </w:p>
    <w:p w:rsidR="0035631F" w:rsidRPr="00443B8A" w:rsidRDefault="0035631F">
      <w:pPr>
        <w:rPr>
          <w:lang w:val="es-ES_tradnl"/>
        </w:rPr>
      </w:pPr>
    </w:p>
    <w:p w:rsidR="0035631F" w:rsidRPr="00443B8A" w:rsidRDefault="0035631F">
      <w:pPr>
        <w:rPr>
          <w:i/>
          <w:highlight w:val="green"/>
          <w:lang w:val="es-ES_tradnl"/>
        </w:rPr>
      </w:pPr>
      <w:r w:rsidRPr="00443B8A">
        <w:rPr>
          <w:b/>
          <w:i/>
          <w:lang w:val="es-ES_tradnl"/>
        </w:rPr>
        <w:t>Contacto</w:t>
      </w:r>
      <w:r w:rsidRPr="00443B8A">
        <w:rPr>
          <w:lang w:val="es-ES_tradnl"/>
        </w:rPr>
        <w:t>:</w:t>
      </w:r>
      <w:r w:rsidR="001D1385" w:rsidRPr="00443B8A">
        <w:rPr>
          <w:lang w:val="es-ES_tradnl"/>
        </w:rPr>
        <w:tab/>
      </w:r>
      <w:r w:rsidRPr="00443B8A">
        <w:rPr>
          <w:i/>
          <w:lang w:val="es-ES_tradnl"/>
        </w:rPr>
        <w:t>Johannes Kind</w:t>
      </w:r>
    </w:p>
    <w:p w:rsidR="0035631F" w:rsidRPr="00443B8A" w:rsidRDefault="0035631F" w:rsidP="00960E94">
      <w:pPr>
        <w:tabs>
          <w:tab w:val="left" w:pos="990"/>
          <w:tab w:val="left" w:pos="2420"/>
        </w:tabs>
        <w:rPr>
          <w:i/>
          <w:iCs/>
          <w:lang w:val="es-ES_tradnl"/>
        </w:rPr>
      </w:pPr>
      <w:r w:rsidRPr="00443B8A">
        <w:rPr>
          <w:i/>
          <w:lang w:val="es-ES_tradnl"/>
        </w:rPr>
        <w:t xml:space="preserve">(Tel. 00 32 2 546 91 11 - correo electrónico: </w:t>
      </w:r>
      <w:hyperlink r:id="rId36">
        <w:r w:rsidRPr="00443B8A">
          <w:rPr>
            <w:rStyle w:val="Hyperlink"/>
            <w:i/>
            <w:lang w:val="es-ES_tradnl"/>
          </w:rPr>
          <w:t>Johannes.kind@eesc.europa.eu</w:t>
        </w:r>
      </w:hyperlink>
      <w:r w:rsidRPr="00443B8A">
        <w:rPr>
          <w:i/>
          <w:lang w:val="es-ES_tradnl"/>
        </w:rPr>
        <w:t>)</w:t>
      </w:r>
    </w:p>
    <w:p w:rsidR="0035631F" w:rsidRPr="00443B8A" w:rsidRDefault="0035631F">
      <w:pPr>
        <w:spacing w:line="240" w:lineRule="auto"/>
        <w:jc w:val="left"/>
        <w:rPr>
          <w:b/>
          <w:lang w:val="es-ES_tradnl"/>
        </w:rPr>
      </w:pPr>
      <w:r w:rsidRPr="00443B8A">
        <w:rPr>
          <w:lang w:val="es-ES_tradnl"/>
        </w:rPr>
        <w:br w:type="page"/>
      </w:r>
    </w:p>
    <w:p w:rsidR="001E74A2" w:rsidRPr="00443B8A" w:rsidRDefault="00413EED" w:rsidP="001E74A2">
      <w:pPr>
        <w:keepNext/>
        <w:numPr>
          <w:ilvl w:val="0"/>
          <w:numId w:val="2"/>
        </w:numPr>
        <w:ind w:left="567" w:hanging="578"/>
        <w:outlineLvl w:val="0"/>
        <w:rPr>
          <w:b/>
          <w:lang w:val="es-ES_tradnl"/>
        </w:rPr>
      </w:pPr>
      <w:bookmarkStart w:id="8" w:name="_Toc449349329"/>
      <w:bookmarkStart w:id="9" w:name="_Toc451270272"/>
      <w:r w:rsidRPr="00443B8A">
        <w:rPr>
          <w:b/>
          <w:lang w:val="es-ES_tradnl"/>
        </w:rPr>
        <w:t>MEDIO AMBIENTE</w:t>
      </w:r>
      <w:bookmarkEnd w:id="8"/>
      <w:bookmarkEnd w:id="9"/>
    </w:p>
    <w:p w:rsidR="001E74A2" w:rsidRPr="00443B8A" w:rsidRDefault="001E74A2" w:rsidP="001E74A2">
      <w:pPr>
        <w:rPr>
          <w:i/>
          <w:iCs/>
          <w:lang w:val="es-ES_tradnl"/>
        </w:rPr>
      </w:pPr>
    </w:p>
    <w:p w:rsidR="001E74A2" w:rsidRPr="00443B8A" w:rsidRDefault="006F6558" w:rsidP="00413EED">
      <w:pPr>
        <w:widowControl w:val="0"/>
        <w:numPr>
          <w:ilvl w:val="0"/>
          <w:numId w:val="103"/>
        </w:numPr>
        <w:autoSpaceDE w:val="0"/>
        <w:autoSpaceDN w:val="0"/>
        <w:adjustRightInd w:val="0"/>
        <w:rPr>
          <w:b/>
          <w:i/>
          <w:spacing w:val="-2"/>
          <w:sz w:val="28"/>
          <w:szCs w:val="28"/>
          <w:lang w:val="es-ES_tradnl"/>
        </w:rPr>
      </w:pPr>
      <w:r w:rsidRPr="00443B8A">
        <w:rPr>
          <w:b/>
          <w:i/>
          <w:spacing w:val="-2"/>
          <w:sz w:val="28"/>
          <w:lang w:val="es-ES_tradnl"/>
        </w:rPr>
        <w:t>Paquete «Economía circular»</w:t>
      </w:r>
    </w:p>
    <w:p w:rsidR="006F6558" w:rsidRPr="00443B8A" w:rsidRDefault="006F6558" w:rsidP="001E74A2">
      <w:pPr>
        <w:rPr>
          <w:b/>
          <w:lang w:val="es-ES_tradnl"/>
        </w:rPr>
      </w:pPr>
    </w:p>
    <w:p w:rsidR="001E74A2" w:rsidRPr="00443B8A" w:rsidRDefault="001E74A2" w:rsidP="001E74A2">
      <w:pPr>
        <w:rPr>
          <w:i/>
          <w:iCs/>
          <w:lang w:val="es-ES_tradnl"/>
        </w:rPr>
      </w:pPr>
      <w:r w:rsidRPr="00443B8A">
        <w:rPr>
          <w:b/>
          <w:lang w:val="es-ES_tradnl"/>
        </w:rPr>
        <w:t>Ponente:</w:t>
      </w:r>
      <w:r w:rsidRPr="00443B8A">
        <w:rPr>
          <w:lang w:val="es-ES_tradnl"/>
        </w:rPr>
        <w:t xml:space="preserve"> </w:t>
      </w:r>
      <w:r w:rsidRPr="00443B8A">
        <w:rPr>
          <w:lang w:val="es-ES_tradnl"/>
        </w:rPr>
        <w:tab/>
        <w:t>Cillian LOHAN (Actividades Diversas - IE)</w:t>
      </w:r>
    </w:p>
    <w:p w:rsidR="001E74A2" w:rsidRPr="00443B8A" w:rsidRDefault="001E74A2" w:rsidP="001E74A2">
      <w:pPr>
        <w:rPr>
          <w:i/>
          <w:iCs/>
          <w:lang w:val="es-ES_tradnl"/>
        </w:rPr>
      </w:pPr>
    </w:p>
    <w:p w:rsidR="001E74A2" w:rsidRPr="00443B8A" w:rsidRDefault="001E74A2" w:rsidP="001E74A2">
      <w:pPr>
        <w:widowControl w:val="0"/>
        <w:spacing w:line="240" w:lineRule="auto"/>
        <w:rPr>
          <w:bCs/>
          <w:lang w:val="es-ES_tradnl"/>
        </w:rPr>
      </w:pPr>
      <w:r w:rsidRPr="00443B8A">
        <w:rPr>
          <w:b/>
          <w:lang w:val="es-ES_tradnl"/>
        </w:rPr>
        <w:t>Referencia:</w:t>
      </w:r>
      <w:r w:rsidRPr="00443B8A">
        <w:rPr>
          <w:lang w:val="es-ES_tradnl"/>
        </w:rPr>
        <w:t xml:space="preserve"> </w:t>
      </w:r>
      <w:r w:rsidRPr="00443B8A">
        <w:rPr>
          <w:lang w:val="es-ES_tradnl"/>
        </w:rPr>
        <w:tab/>
        <w:t>EESC-2016-00042-00-00-A</w:t>
      </w:r>
      <w:r w:rsidR="001D1385" w:rsidRPr="00443B8A">
        <w:rPr>
          <w:lang w:val="es-ES_tradnl"/>
        </w:rPr>
        <w:t>C</w:t>
      </w:r>
      <w:r w:rsidRPr="00443B8A">
        <w:rPr>
          <w:lang w:val="es-ES_tradnl"/>
        </w:rPr>
        <w:t>-TRA</w:t>
      </w:r>
    </w:p>
    <w:p w:rsidR="001E74A2" w:rsidRPr="00443B8A" w:rsidRDefault="001E74A2" w:rsidP="001E74A2">
      <w:pPr>
        <w:spacing w:line="240" w:lineRule="auto"/>
        <w:jc w:val="left"/>
        <w:rPr>
          <w:lang w:val="es-ES_tradnl"/>
        </w:rPr>
      </w:pPr>
    </w:p>
    <w:p w:rsidR="001E74A2" w:rsidRPr="00443B8A" w:rsidRDefault="001E74A2" w:rsidP="00B52DA2">
      <w:pPr>
        <w:rPr>
          <w:b/>
          <w:lang w:val="es-ES_tradnl"/>
        </w:rPr>
      </w:pPr>
      <w:r w:rsidRPr="00443B8A">
        <w:rPr>
          <w:b/>
          <w:lang w:val="es-ES_tradnl"/>
        </w:rPr>
        <w:t>Puntos clave:</w:t>
      </w:r>
    </w:p>
    <w:p w:rsidR="001E74A2" w:rsidRPr="00443B8A" w:rsidRDefault="001E74A2" w:rsidP="001E74A2">
      <w:pPr>
        <w:rPr>
          <w:lang w:val="es-ES_tradnl"/>
        </w:rPr>
      </w:pPr>
    </w:p>
    <w:p w:rsidR="001E74A2" w:rsidRPr="00443B8A" w:rsidRDefault="001E74A2" w:rsidP="00BE0CD6">
      <w:pPr>
        <w:rPr>
          <w:lang w:val="es-ES_tradnl"/>
        </w:rPr>
      </w:pPr>
      <w:r w:rsidRPr="00443B8A">
        <w:rPr>
          <w:lang w:val="es-ES_tradnl"/>
        </w:rPr>
        <w:t>El CESE espera que la ambición de la Comisión de impulsar la transición hacia una economía circular constituya un primer paso para lograr un cambio de paradigma en el comportamiento y la práctica. Recuerda su oposición a la retirada del anterior paquete sobre economía circular publicado en 2014.</w:t>
      </w:r>
    </w:p>
    <w:p w:rsidR="007949E3" w:rsidRPr="00443B8A" w:rsidRDefault="007949E3" w:rsidP="00BE0CD6">
      <w:pPr>
        <w:rPr>
          <w:lang w:val="es-ES_tradnl"/>
        </w:rPr>
      </w:pPr>
    </w:p>
    <w:p w:rsidR="001E74A2" w:rsidRPr="00443B8A" w:rsidRDefault="001E74A2" w:rsidP="00BE0CD6">
      <w:pPr>
        <w:rPr>
          <w:lang w:val="es-ES_tradnl"/>
        </w:rPr>
      </w:pPr>
      <w:r w:rsidRPr="00443B8A">
        <w:rPr>
          <w:lang w:val="es-ES_tradnl"/>
        </w:rPr>
        <w:t>Hay margen de mejora respecto del grado de ambición del paquete. El CESE recomienda que se restablezcan los objetivos del paquete de 2014 sobre el tratamiento de residuos, asegurando al mismo tiempo que su aplicación es posible de manera rentable. En general, el retraso de dieciocho meses no parece justificado por el alcance ni el contenido ambicioso del nuevo paquete en comparación con el anterior.</w:t>
      </w:r>
    </w:p>
    <w:p w:rsidR="007949E3" w:rsidRPr="00443B8A" w:rsidRDefault="007949E3" w:rsidP="00BE0CD6">
      <w:pPr>
        <w:rPr>
          <w:lang w:val="es-ES_tradnl"/>
        </w:rPr>
      </w:pPr>
    </w:p>
    <w:p w:rsidR="001E74A2" w:rsidRPr="00443B8A" w:rsidRDefault="001E74A2" w:rsidP="00BE0CD6">
      <w:pPr>
        <w:rPr>
          <w:lang w:val="es-ES_tradnl"/>
        </w:rPr>
      </w:pPr>
      <w:r w:rsidRPr="00443B8A">
        <w:rPr>
          <w:lang w:val="es-ES_tradnl"/>
        </w:rPr>
        <w:t>Las propuestas de la Comisión no abordan suficientemente los beneficios y riesgos que, a efectos del trabajo y la sociedad, se derivan de la transición a una economía circular. Deben determinarse los sectores y los trabajadores más vulnerables al objeto de poder establecer un conjunto completo de estructuras de apoyo para ellos.</w:t>
      </w:r>
    </w:p>
    <w:p w:rsidR="007949E3" w:rsidRPr="00443B8A" w:rsidRDefault="007949E3" w:rsidP="00BE0CD6">
      <w:pPr>
        <w:rPr>
          <w:lang w:val="es-ES_tradnl"/>
        </w:rPr>
      </w:pPr>
    </w:p>
    <w:p w:rsidR="001E74A2" w:rsidRPr="00443B8A" w:rsidRDefault="001E74A2" w:rsidP="00BE0CD6">
      <w:pPr>
        <w:rPr>
          <w:lang w:val="es-ES_tradnl"/>
        </w:rPr>
      </w:pPr>
      <w:r w:rsidRPr="00443B8A">
        <w:rPr>
          <w:lang w:val="es-ES_tradnl"/>
        </w:rPr>
        <w:t>La Comisión está dispuesta a explorar la viabilidad de una plataforma abierta europea para la economía circular que, hospedada por el CESE, reúna a las partes interesadas y la sociedad civil del sector público, semipúblico o privado implicadas en el uso eficiente de los recursos.</w:t>
      </w:r>
    </w:p>
    <w:p w:rsidR="007949E3" w:rsidRPr="00443B8A" w:rsidRDefault="007949E3" w:rsidP="00BE0CD6">
      <w:pPr>
        <w:rPr>
          <w:lang w:val="es-ES_tradnl"/>
        </w:rPr>
      </w:pPr>
    </w:p>
    <w:p w:rsidR="001E74A2" w:rsidRPr="00443B8A" w:rsidRDefault="001E74A2" w:rsidP="00BE0CD6">
      <w:pPr>
        <w:rPr>
          <w:lang w:val="es-ES_tradnl"/>
        </w:rPr>
      </w:pPr>
      <w:r w:rsidRPr="00443B8A">
        <w:rPr>
          <w:lang w:val="es-ES_tradnl"/>
        </w:rPr>
        <w:t>La educación, en todas sus formas y niveles, constituirá una parte esencial de la transición hacia una economía circular. Deberá englobar tanto la determinación de las necesidades de formación de los trabajadores que van a participar en un cambio inmediato como una acción a más largo plazo para educar a las generaciones futuras.</w:t>
      </w:r>
    </w:p>
    <w:p w:rsidR="001E74A2" w:rsidRPr="00443B8A" w:rsidRDefault="001E74A2" w:rsidP="00BE0CD6">
      <w:pPr>
        <w:rPr>
          <w:lang w:val="es-ES_tradnl"/>
        </w:rPr>
      </w:pPr>
    </w:p>
    <w:p w:rsidR="001E74A2" w:rsidRPr="00443B8A" w:rsidRDefault="001E74A2" w:rsidP="00BE0CD6">
      <w:pPr>
        <w:rPr>
          <w:lang w:val="es-ES_tradnl"/>
        </w:rPr>
      </w:pPr>
      <w:r w:rsidRPr="00443B8A">
        <w:rPr>
          <w:lang w:val="es-ES_tradnl"/>
        </w:rPr>
        <w:t>La revisión prevista de la Directiva sobre diseño ecológico debe tener en cuenta todo el ciclo de vida de un producto: durabilidad, reparabilidad, disponibilidad y asequibilidad de las piezas de recambio, así como revelación incondicional de información sobre reparación y servicio por parte de los fabricantes.</w:t>
      </w:r>
    </w:p>
    <w:p w:rsidR="007949E3" w:rsidRPr="00443B8A" w:rsidRDefault="007949E3" w:rsidP="00BE0CD6">
      <w:pPr>
        <w:rPr>
          <w:lang w:val="es-ES_tradnl"/>
        </w:rPr>
      </w:pPr>
    </w:p>
    <w:p w:rsidR="001E74A2" w:rsidRPr="00443B8A" w:rsidRDefault="001E74A2" w:rsidP="00BE0CD6">
      <w:pPr>
        <w:rPr>
          <w:lang w:val="es-ES_tradnl"/>
        </w:rPr>
      </w:pPr>
      <w:r w:rsidRPr="00443B8A">
        <w:rPr>
          <w:lang w:val="es-ES_tradnl"/>
        </w:rPr>
        <w:t>Deben establecerse mecanismos de apoyo que permitan a las personas más pobres acceder a bienes y servicios de calidad superior que suelen tener un coste inicial más alto. Ello podría incluir un programa de préstamos garantizados por el Estado, o un plan de financiación respaldado por los fabricantes, que se aplicaría exclusivamente, con tipos reducidos, a los productos con una duración mínima determinada y que estén diseñados para tener en cuenta todos los elementos de la circularidad.</w:t>
      </w:r>
    </w:p>
    <w:p w:rsidR="00066EBC" w:rsidRPr="00443B8A" w:rsidRDefault="00066EBC" w:rsidP="00BE0CD6">
      <w:pPr>
        <w:rPr>
          <w:lang w:val="es-ES_tradnl"/>
        </w:rPr>
      </w:pPr>
    </w:p>
    <w:p w:rsidR="001E74A2" w:rsidRPr="00443B8A" w:rsidRDefault="001E74A2" w:rsidP="00BE0CD6">
      <w:pPr>
        <w:rPr>
          <w:lang w:val="es-ES_tradnl"/>
        </w:rPr>
      </w:pPr>
      <w:r w:rsidRPr="00443B8A">
        <w:rPr>
          <w:lang w:val="es-ES_tradnl"/>
        </w:rPr>
        <w:t>Los tipos reducidos o la exención del IVA para los productos reciclados, así como las actividades de reutilización y reparación, pueden incentivar a los empresarios a participar activamente en este campo y ofrecer a los consumidores un producto a un precio competitivo, lo que ayudará a fomentar un cambio de comportamiento generalizado. Las subvenciones deberían modificarse para apoyar el uso de materias primas secundarias y promover la aplicación de los principios del diseño ecológico en todos los sectores de la industria manufacturera.</w:t>
      </w:r>
    </w:p>
    <w:p w:rsidR="00205DB4" w:rsidRPr="00443B8A" w:rsidRDefault="00205DB4" w:rsidP="00BE0CD6">
      <w:pPr>
        <w:rPr>
          <w:lang w:val="es-ES_tradnl"/>
        </w:rPr>
      </w:pPr>
    </w:p>
    <w:p w:rsidR="001E74A2" w:rsidRPr="00443B8A" w:rsidRDefault="001E74A2" w:rsidP="00BE0CD6">
      <w:pPr>
        <w:rPr>
          <w:lang w:val="es-ES_tradnl"/>
        </w:rPr>
      </w:pPr>
      <w:r w:rsidRPr="00443B8A">
        <w:rPr>
          <w:lang w:val="es-ES_tradnl"/>
        </w:rPr>
        <w:t>El proceso del Semestre Europeo mediante las recomendaciones específicas por país puede utilizarse para garantizar la aplicación a nivel nacional, así como asegurar la prioridad de la transición hacia un modelo de economía circular.</w:t>
      </w:r>
    </w:p>
    <w:p w:rsidR="001E74A2" w:rsidRPr="00443B8A" w:rsidRDefault="001E74A2" w:rsidP="001E74A2">
      <w:pPr>
        <w:spacing w:line="240" w:lineRule="auto"/>
        <w:rPr>
          <w:lang w:val="es-ES_tradnl"/>
        </w:rPr>
      </w:pPr>
    </w:p>
    <w:p w:rsidR="001E74A2" w:rsidRPr="00443B8A" w:rsidRDefault="001E74A2" w:rsidP="001E74A2">
      <w:pPr>
        <w:rPr>
          <w:i/>
          <w:iCs/>
          <w:lang w:val="es-ES_tradnl"/>
        </w:rPr>
      </w:pPr>
      <w:r w:rsidRPr="00443B8A">
        <w:rPr>
          <w:b/>
          <w:i/>
          <w:lang w:val="es-ES_tradnl"/>
        </w:rPr>
        <w:t>Contacto</w:t>
      </w:r>
      <w:r w:rsidRPr="00443B8A">
        <w:rPr>
          <w:lang w:val="es-ES_tradnl"/>
        </w:rPr>
        <w:t>:</w:t>
      </w:r>
      <w:r w:rsidR="001D1385" w:rsidRPr="00443B8A">
        <w:rPr>
          <w:lang w:val="es-ES_tradnl"/>
        </w:rPr>
        <w:tab/>
      </w:r>
      <w:r w:rsidRPr="00443B8A">
        <w:rPr>
          <w:i/>
          <w:lang w:val="es-ES_tradnl"/>
        </w:rPr>
        <w:t>Fabien Porcher</w:t>
      </w:r>
    </w:p>
    <w:p w:rsidR="001E74A2" w:rsidRPr="00443B8A" w:rsidRDefault="001E74A2" w:rsidP="001E74A2">
      <w:pPr>
        <w:tabs>
          <w:tab w:val="left" w:pos="990"/>
          <w:tab w:val="left" w:pos="2420"/>
        </w:tabs>
        <w:autoSpaceDN w:val="0"/>
        <w:adjustRightInd w:val="0"/>
        <w:rPr>
          <w:i/>
          <w:iCs/>
          <w:lang w:val="es-ES_tradnl"/>
        </w:rPr>
      </w:pPr>
      <w:r w:rsidRPr="00443B8A">
        <w:rPr>
          <w:i/>
          <w:lang w:val="es-ES_tradnl"/>
        </w:rPr>
        <w:t xml:space="preserve">(Tel. 00 32 2 546 90 98– correo electrónico: </w:t>
      </w:r>
      <w:hyperlink r:id="rId37">
        <w:r w:rsidRPr="00443B8A">
          <w:rPr>
            <w:rStyle w:val="Hyperlink"/>
            <w:i/>
            <w:lang w:val="es-ES_tradnl"/>
          </w:rPr>
          <w:t>fabien.porcher@eesc.europa.eu</w:t>
        </w:r>
      </w:hyperlink>
      <w:r w:rsidRPr="00443B8A">
        <w:rPr>
          <w:i/>
          <w:lang w:val="es-ES_tradnl"/>
        </w:rPr>
        <w:t>)</w:t>
      </w:r>
    </w:p>
    <w:p w:rsidR="001E74A2" w:rsidRPr="00443B8A" w:rsidRDefault="001E74A2">
      <w:pPr>
        <w:spacing w:line="240" w:lineRule="auto"/>
        <w:jc w:val="left"/>
        <w:rPr>
          <w:i/>
          <w:iCs/>
          <w:lang w:val="es-ES_tradnl"/>
        </w:rPr>
      </w:pPr>
      <w:r w:rsidRPr="00443B8A">
        <w:rPr>
          <w:lang w:val="es-ES_tradnl"/>
        </w:rPr>
        <w:br w:type="page"/>
      </w:r>
    </w:p>
    <w:p w:rsidR="003D3B49" w:rsidRPr="00443B8A" w:rsidRDefault="00413EED" w:rsidP="003D3B49">
      <w:pPr>
        <w:keepNext/>
        <w:numPr>
          <w:ilvl w:val="0"/>
          <w:numId w:val="2"/>
        </w:numPr>
        <w:ind w:left="567" w:hanging="578"/>
        <w:outlineLvl w:val="0"/>
        <w:rPr>
          <w:b/>
          <w:lang w:val="es-ES_tradnl"/>
        </w:rPr>
      </w:pPr>
      <w:bookmarkStart w:id="10" w:name="_Toc449349330"/>
      <w:bookmarkStart w:id="11" w:name="_Toc451270273"/>
      <w:r w:rsidRPr="00443B8A">
        <w:rPr>
          <w:b/>
          <w:lang w:val="es-ES_tradnl"/>
        </w:rPr>
        <w:t>ENERGÍA</w:t>
      </w:r>
      <w:bookmarkEnd w:id="10"/>
      <w:bookmarkEnd w:id="11"/>
    </w:p>
    <w:p w:rsidR="007949E3" w:rsidRPr="00443B8A" w:rsidRDefault="007949E3" w:rsidP="00413EED">
      <w:pPr>
        <w:widowControl w:val="0"/>
        <w:ind w:left="-567"/>
        <w:rPr>
          <w:lang w:val="es-ES_tradnl"/>
        </w:rPr>
      </w:pPr>
    </w:p>
    <w:p w:rsidR="000C37E9" w:rsidRPr="00443B8A" w:rsidRDefault="000C37E9" w:rsidP="00B52DA2">
      <w:pPr>
        <w:widowControl w:val="0"/>
        <w:rPr>
          <w:lang w:val="es-ES_tradnl"/>
        </w:rPr>
      </w:pPr>
    </w:p>
    <w:p w:rsidR="003D3B49" w:rsidRPr="00443B8A" w:rsidRDefault="003D3B49" w:rsidP="00E21B91">
      <w:pPr>
        <w:widowControl w:val="0"/>
        <w:numPr>
          <w:ilvl w:val="0"/>
          <w:numId w:val="5"/>
        </w:numPr>
        <w:overflowPunct w:val="0"/>
        <w:autoSpaceDE w:val="0"/>
        <w:autoSpaceDN w:val="0"/>
        <w:adjustRightInd w:val="0"/>
        <w:ind w:left="284" w:hanging="284"/>
        <w:textAlignment w:val="baseline"/>
        <w:rPr>
          <w:b/>
          <w:i/>
          <w:spacing w:val="-2"/>
          <w:sz w:val="28"/>
          <w:szCs w:val="28"/>
          <w:lang w:val="es-ES_tradnl"/>
        </w:rPr>
      </w:pPr>
      <w:r w:rsidRPr="00443B8A">
        <w:rPr>
          <w:b/>
          <w:i/>
          <w:spacing w:val="-2"/>
          <w:sz w:val="28"/>
          <w:lang w:val="es-ES_tradnl"/>
        </w:rPr>
        <w:t>Estado de la Unión de la Energía 2015</w:t>
      </w:r>
    </w:p>
    <w:p w:rsidR="003D3B49" w:rsidRPr="00443B8A" w:rsidRDefault="003D3B49" w:rsidP="003D3B49">
      <w:pPr>
        <w:widowControl w:val="0"/>
        <w:spacing w:line="240" w:lineRule="auto"/>
        <w:rPr>
          <w:bCs/>
          <w:lang w:val="es-ES_tradnl"/>
        </w:rPr>
      </w:pPr>
    </w:p>
    <w:p w:rsidR="003D3B49" w:rsidRPr="00443B8A" w:rsidRDefault="003D3B49" w:rsidP="003D3B49">
      <w:pPr>
        <w:rPr>
          <w:bCs/>
          <w:lang w:val="es-ES_tradnl"/>
        </w:rPr>
      </w:pPr>
      <w:r w:rsidRPr="00443B8A">
        <w:rPr>
          <w:b/>
          <w:lang w:val="es-ES_tradnl"/>
        </w:rPr>
        <w:t>Ponente:</w:t>
      </w:r>
      <w:r w:rsidRPr="00443B8A">
        <w:rPr>
          <w:lang w:val="es-ES_tradnl"/>
        </w:rPr>
        <w:tab/>
        <w:t>Stéphane BUFFETAUT (Empresarios – FR)</w:t>
      </w:r>
    </w:p>
    <w:p w:rsidR="003D3B49" w:rsidRPr="00443B8A" w:rsidRDefault="003D3B49" w:rsidP="003D3B49">
      <w:pPr>
        <w:tabs>
          <w:tab w:val="num" w:pos="550"/>
        </w:tabs>
        <w:rPr>
          <w:b/>
          <w:lang w:val="es-ES_tradnl"/>
        </w:rPr>
      </w:pPr>
    </w:p>
    <w:p w:rsidR="003D3B49" w:rsidRPr="00443B8A" w:rsidRDefault="003D3B49" w:rsidP="003D3B49">
      <w:pPr>
        <w:tabs>
          <w:tab w:val="num" w:pos="550"/>
        </w:tabs>
        <w:rPr>
          <w:bCs/>
          <w:lang w:val="es-ES_tradnl"/>
        </w:rPr>
      </w:pPr>
      <w:r w:rsidRPr="00443B8A">
        <w:rPr>
          <w:b/>
          <w:lang w:val="es-ES_tradnl"/>
        </w:rPr>
        <w:t>Referencias:</w:t>
      </w:r>
      <w:r w:rsidRPr="00443B8A">
        <w:rPr>
          <w:lang w:val="es-ES_tradnl"/>
        </w:rPr>
        <w:t xml:space="preserve"> </w:t>
      </w:r>
      <w:r w:rsidRPr="00443B8A">
        <w:rPr>
          <w:lang w:val="es-ES_tradnl"/>
        </w:rPr>
        <w:tab/>
        <w:t>COM(2015) 572 final –  EESC-2015-06766-00-00-A</w:t>
      </w:r>
      <w:r w:rsidR="001D1385" w:rsidRPr="00443B8A">
        <w:rPr>
          <w:lang w:val="es-ES_tradnl"/>
        </w:rPr>
        <w:t>C</w:t>
      </w:r>
      <w:r w:rsidRPr="00443B8A">
        <w:rPr>
          <w:lang w:val="es-ES_tradnl"/>
        </w:rPr>
        <w:t>-TRA</w:t>
      </w:r>
    </w:p>
    <w:p w:rsidR="003D3B49" w:rsidRPr="00443B8A" w:rsidRDefault="003D3B49" w:rsidP="003D3B49">
      <w:pPr>
        <w:jc w:val="left"/>
        <w:rPr>
          <w:lang w:val="es-ES_tradnl"/>
        </w:rPr>
      </w:pPr>
    </w:p>
    <w:p w:rsidR="003D3B49" w:rsidRPr="00443B8A" w:rsidRDefault="003D3B49" w:rsidP="003D3B49">
      <w:pPr>
        <w:rPr>
          <w:b/>
          <w:lang w:val="es-ES_tradnl"/>
        </w:rPr>
      </w:pPr>
      <w:r w:rsidRPr="00443B8A">
        <w:rPr>
          <w:b/>
          <w:lang w:val="es-ES_tradnl"/>
        </w:rPr>
        <w:t>Puntos clave:</w:t>
      </w:r>
    </w:p>
    <w:p w:rsidR="003D3B49" w:rsidRPr="00443B8A" w:rsidRDefault="003D3B49" w:rsidP="003D3B49">
      <w:pPr>
        <w:rPr>
          <w:lang w:val="es-ES_tradnl"/>
        </w:rPr>
      </w:pPr>
    </w:p>
    <w:p w:rsidR="006D698D" w:rsidRPr="00443B8A" w:rsidRDefault="003D3B49" w:rsidP="00D06A85">
      <w:pPr>
        <w:rPr>
          <w:lang w:val="es-ES_tradnl"/>
        </w:rPr>
      </w:pPr>
      <w:r w:rsidRPr="00443B8A">
        <w:rPr>
          <w:lang w:val="es-ES_tradnl"/>
        </w:rPr>
        <w:t>El Comité Económico y Social Europeo apoyó desde sus albores la iniciativa de una Unión Europea de la Energía, concretamente desde 2010 en su primera versión como Comunidad Europea de la Energía. El CESE acoge también en general favorablemente el Informe anual sobre el Estado de la Unión de la Energía como herramienta para mantener la energía en primer lugar de la agenda política en toda la Unión Europea y para garantizar avances coordinados en todos los sectores y Estados miembros.</w:t>
      </w:r>
    </w:p>
    <w:p w:rsidR="006D698D" w:rsidRPr="00443B8A" w:rsidRDefault="006D698D" w:rsidP="00D06A85">
      <w:pPr>
        <w:rPr>
          <w:lang w:val="es-ES_tradnl"/>
        </w:rPr>
      </w:pPr>
    </w:p>
    <w:p w:rsidR="006D698D" w:rsidRPr="00443B8A" w:rsidRDefault="003D3B49" w:rsidP="00D06A85">
      <w:pPr>
        <w:rPr>
          <w:lang w:val="es-ES_tradnl"/>
        </w:rPr>
      </w:pPr>
      <w:r w:rsidRPr="00443B8A">
        <w:rPr>
          <w:lang w:val="es-ES_tradnl"/>
        </w:rPr>
        <w:t>La edición 2015 del Informe anual sobre el Estado de la Unión de la Energía es una instantánea tomada solo nueve después del lanzamiento de este programa, restringiéndose la utilidad de este informe a evaluar los avances realizados con vistas a lograr una Unión de la Energía.</w:t>
      </w:r>
    </w:p>
    <w:p w:rsidR="006D698D" w:rsidRPr="00443B8A" w:rsidRDefault="006D698D" w:rsidP="00D06A85">
      <w:pPr>
        <w:rPr>
          <w:lang w:val="es-ES_tradnl"/>
        </w:rPr>
      </w:pPr>
    </w:p>
    <w:p w:rsidR="006D698D" w:rsidRPr="00443B8A" w:rsidRDefault="003D3B49" w:rsidP="00D06A85">
      <w:pPr>
        <w:rPr>
          <w:lang w:val="es-ES_tradnl"/>
        </w:rPr>
      </w:pPr>
      <w:r w:rsidRPr="00443B8A">
        <w:rPr>
          <w:lang w:val="es-ES_tradnl"/>
        </w:rPr>
        <w:t>Sin embargo, como señala el Dictamen, la publicación del informe brinda al CESE la oportunidad de identificar determinados aspectos relativos al avance y la gobernanza de la Unión de la Energía que son especialmente importantes para la sociedad civil. En particular, el Dictamen hace hincapié en la dimensión social y en las implicaciones del proceso de la Unión de la Energía, así como en tener en cuenta adecuadamente los procedimientos de información y de medición estadística.</w:t>
      </w:r>
    </w:p>
    <w:p w:rsidR="006D698D" w:rsidRPr="00443B8A" w:rsidRDefault="006D698D" w:rsidP="00D06A85">
      <w:pPr>
        <w:rPr>
          <w:lang w:val="es-ES_tradnl"/>
        </w:rPr>
      </w:pPr>
    </w:p>
    <w:p w:rsidR="006D698D" w:rsidRPr="00443B8A" w:rsidRDefault="003D3B49" w:rsidP="00D06A85">
      <w:pPr>
        <w:rPr>
          <w:lang w:val="es-ES_tradnl"/>
        </w:rPr>
      </w:pPr>
      <w:r w:rsidRPr="00443B8A">
        <w:rPr>
          <w:lang w:val="es-ES_tradnl"/>
        </w:rPr>
        <w:t>Por otra parte, el CESE expresa su preocupación por el limitado alcance y la falta de claridad de los modos de participación de la sociedad civil en la gobernanza y el proceso de información relativos a la Unión de la Energía.</w:t>
      </w:r>
    </w:p>
    <w:p w:rsidR="006D698D" w:rsidRPr="00443B8A" w:rsidRDefault="006D698D" w:rsidP="00D06A85">
      <w:pPr>
        <w:rPr>
          <w:lang w:val="es-ES_tradnl"/>
        </w:rPr>
      </w:pPr>
    </w:p>
    <w:p w:rsidR="003D3B49" w:rsidRPr="00443B8A" w:rsidRDefault="003D3B49" w:rsidP="00D06A85">
      <w:pPr>
        <w:rPr>
          <w:lang w:val="es-ES_tradnl"/>
        </w:rPr>
      </w:pPr>
      <w:r w:rsidRPr="00443B8A">
        <w:rPr>
          <w:lang w:val="es-ES_tradnl"/>
        </w:rPr>
        <w:t>Por último, el CESE considera que la base estadística del proceso de información necesita  mejorarse urgentemente para evitar evaluar los avances y tomar las decisiones basándose en datos ya sean antiguos, incomprensibles o incluso inexistentes.</w:t>
      </w:r>
    </w:p>
    <w:p w:rsidR="003D3B49" w:rsidRPr="00443B8A" w:rsidRDefault="003D3B49" w:rsidP="003D3B49">
      <w:pPr>
        <w:rPr>
          <w:lang w:val="es-ES_tradnl"/>
        </w:rPr>
      </w:pPr>
    </w:p>
    <w:p w:rsidR="003D3B49" w:rsidRPr="00443B8A" w:rsidRDefault="003D3B49" w:rsidP="003D3B49">
      <w:pPr>
        <w:rPr>
          <w:i/>
          <w:lang w:val="es-ES_tradnl"/>
        </w:rPr>
      </w:pPr>
      <w:r w:rsidRPr="00443B8A">
        <w:rPr>
          <w:b/>
          <w:i/>
          <w:lang w:val="es-ES_tradnl"/>
        </w:rPr>
        <w:t>Contacto</w:t>
      </w:r>
      <w:r w:rsidRPr="00443B8A">
        <w:rPr>
          <w:lang w:val="es-ES_tradnl"/>
        </w:rPr>
        <w:t>:</w:t>
      </w:r>
      <w:r w:rsidR="00E0179A" w:rsidRPr="00443B8A">
        <w:rPr>
          <w:lang w:val="es-ES_tradnl"/>
        </w:rPr>
        <w:tab/>
      </w:r>
      <w:r w:rsidRPr="00443B8A">
        <w:rPr>
          <w:i/>
          <w:lang w:val="es-ES_tradnl"/>
        </w:rPr>
        <w:t>Kristian Krieger</w:t>
      </w:r>
    </w:p>
    <w:p w:rsidR="003D3B49" w:rsidRPr="00443B8A" w:rsidRDefault="003D3B49" w:rsidP="003D3B49">
      <w:pPr>
        <w:widowControl w:val="0"/>
        <w:rPr>
          <w:iCs/>
          <w:lang w:val="es-ES_tradnl"/>
        </w:rPr>
      </w:pPr>
      <w:r w:rsidRPr="00443B8A">
        <w:rPr>
          <w:i/>
          <w:lang w:val="es-ES_tradnl"/>
        </w:rPr>
        <w:t xml:space="preserve">(Tel. 00 32 2 546 8921 - correo electrónico: </w:t>
      </w:r>
      <w:hyperlink r:id="rId38">
        <w:r w:rsidRPr="00443B8A">
          <w:rPr>
            <w:rStyle w:val="Hyperlink"/>
            <w:i/>
            <w:lang w:val="es-ES_tradnl"/>
          </w:rPr>
          <w:t>Kristian.Krieger@eesc.europa.eu</w:t>
        </w:r>
      </w:hyperlink>
      <w:r w:rsidRPr="00443B8A">
        <w:rPr>
          <w:i/>
          <w:lang w:val="es-ES_tradnl"/>
        </w:rPr>
        <w:t>)</w:t>
      </w:r>
    </w:p>
    <w:p w:rsidR="003D3B49" w:rsidRPr="00443B8A" w:rsidRDefault="003D3B49" w:rsidP="003D3B49">
      <w:pPr>
        <w:widowControl w:val="0"/>
        <w:rPr>
          <w:lang w:val="es-ES_tradnl"/>
        </w:rPr>
      </w:pPr>
    </w:p>
    <w:p w:rsidR="00D06A85" w:rsidRPr="00443B8A" w:rsidRDefault="00D06A85">
      <w:pPr>
        <w:spacing w:line="240" w:lineRule="auto"/>
        <w:jc w:val="left"/>
        <w:rPr>
          <w:b/>
          <w:lang w:val="es-ES_tradnl"/>
        </w:rPr>
      </w:pPr>
      <w:r w:rsidRPr="00443B8A">
        <w:rPr>
          <w:lang w:val="es-ES_tradnl"/>
        </w:rPr>
        <w:br w:type="page"/>
      </w:r>
    </w:p>
    <w:p w:rsidR="007949E3" w:rsidRPr="00443B8A" w:rsidRDefault="007949E3" w:rsidP="00B52DA2">
      <w:pPr>
        <w:widowControl w:val="0"/>
        <w:rPr>
          <w:u w:val="single"/>
          <w:lang w:val="es-ES_tradnl"/>
        </w:rPr>
      </w:pPr>
    </w:p>
    <w:p w:rsidR="00D06A85" w:rsidRPr="00443B8A" w:rsidRDefault="00D06A85" w:rsidP="00E21B91">
      <w:pPr>
        <w:widowControl w:val="0"/>
        <w:numPr>
          <w:ilvl w:val="0"/>
          <w:numId w:val="5"/>
        </w:numPr>
        <w:overflowPunct w:val="0"/>
        <w:autoSpaceDE w:val="0"/>
        <w:autoSpaceDN w:val="0"/>
        <w:adjustRightInd w:val="0"/>
        <w:ind w:left="284" w:hanging="284"/>
        <w:textAlignment w:val="baseline"/>
        <w:rPr>
          <w:b/>
          <w:bCs/>
          <w:i/>
          <w:iCs/>
          <w:sz w:val="28"/>
          <w:szCs w:val="28"/>
          <w:lang w:val="es-ES_tradnl"/>
        </w:rPr>
      </w:pPr>
      <w:r w:rsidRPr="00443B8A">
        <w:rPr>
          <w:b/>
          <w:i/>
          <w:spacing w:val="-2"/>
          <w:sz w:val="28"/>
          <w:lang w:val="es-ES_tradnl"/>
        </w:rPr>
        <w:t>La dimensión exterior de la política energética de la UE (Dictamen exploratorio solicitado por la Presidencia neerlandesa)</w:t>
      </w:r>
    </w:p>
    <w:p w:rsidR="00D06A85" w:rsidRPr="00443B8A" w:rsidRDefault="00D06A85" w:rsidP="00D06A85">
      <w:pPr>
        <w:widowControl w:val="0"/>
        <w:rPr>
          <w:lang w:val="es-ES_tradnl"/>
        </w:rPr>
      </w:pPr>
    </w:p>
    <w:p w:rsidR="00D06A85" w:rsidRPr="00443B8A" w:rsidRDefault="00D06A85" w:rsidP="00D06A85">
      <w:pPr>
        <w:rPr>
          <w:b/>
          <w:i/>
          <w:highlight w:val="yellow"/>
          <w:lang w:val="es-ES_tradnl"/>
        </w:rPr>
      </w:pPr>
      <w:r w:rsidRPr="00443B8A">
        <w:rPr>
          <w:b/>
          <w:lang w:val="es-ES_tradnl"/>
        </w:rPr>
        <w:t>Ponente:</w:t>
      </w:r>
      <w:r w:rsidRPr="00443B8A">
        <w:rPr>
          <w:lang w:val="es-ES_tradnl"/>
        </w:rPr>
        <w:tab/>
        <w:t>Vitas MAČIULIS (Actividades Diversas – LT)</w:t>
      </w:r>
    </w:p>
    <w:p w:rsidR="00D06A85" w:rsidRPr="00443B8A" w:rsidRDefault="00D06A85" w:rsidP="00D06A85">
      <w:pPr>
        <w:rPr>
          <w:lang w:val="es-ES_tradnl"/>
        </w:rPr>
      </w:pPr>
    </w:p>
    <w:p w:rsidR="00D06A85" w:rsidRPr="00443B8A" w:rsidRDefault="00D06A85" w:rsidP="00D06A85">
      <w:pPr>
        <w:tabs>
          <w:tab w:val="num" w:pos="550"/>
        </w:tabs>
        <w:rPr>
          <w:bCs/>
          <w:lang w:val="es-ES_tradnl"/>
        </w:rPr>
      </w:pPr>
      <w:r w:rsidRPr="00443B8A">
        <w:rPr>
          <w:b/>
          <w:lang w:val="es-ES_tradnl"/>
        </w:rPr>
        <w:t>Referencia</w:t>
      </w:r>
      <w:r w:rsidRPr="00443B8A">
        <w:rPr>
          <w:lang w:val="es-ES_tradnl"/>
        </w:rPr>
        <w:t>:</w:t>
      </w:r>
      <w:r w:rsidR="00066EBC" w:rsidRPr="00443B8A">
        <w:rPr>
          <w:lang w:val="es-ES_tradnl"/>
        </w:rPr>
        <w:tab/>
      </w:r>
      <w:r w:rsidRPr="00443B8A">
        <w:rPr>
          <w:lang w:val="es-ES_tradnl"/>
        </w:rPr>
        <w:t>EESC-2016-00083-00-0</w:t>
      </w:r>
      <w:r w:rsidR="001D1385" w:rsidRPr="00443B8A">
        <w:rPr>
          <w:lang w:val="es-ES_tradnl"/>
        </w:rPr>
        <w:t>1</w:t>
      </w:r>
      <w:r w:rsidRPr="00443B8A">
        <w:rPr>
          <w:lang w:val="es-ES_tradnl"/>
        </w:rPr>
        <w:t>-A</w:t>
      </w:r>
      <w:r w:rsidR="001D1385" w:rsidRPr="00443B8A">
        <w:rPr>
          <w:lang w:val="es-ES_tradnl"/>
        </w:rPr>
        <w:t>C</w:t>
      </w:r>
      <w:r w:rsidRPr="00443B8A">
        <w:rPr>
          <w:lang w:val="es-ES_tradnl"/>
        </w:rPr>
        <w:t>-TRA</w:t>
      </w:r>
    </w:p>
    <w:p w:rsidR="00D06A85" w:rsidRPr="00443B8A" w:rsidRDefault="00D06A85" w:rsidP="00D06A85">
      <w:pPr>
        <w:jc w:val="left"/>
        <w:rPr>
          <w:lang w:val="es-ES_tradnl"/>
        </w:rPr>
      </w:pPr>
    </w:p>
    <w:p w:rsidR="00D06A85" w:rsidRPr="00443B8A" w:rsidRDefault="00D06A85" w:rsidP="00D06A85">
      <w:pPr>
        <w:rPr>
          <w:lang w:val="es-ES_tradnl"/>
        </w:rPr>
      </w:pPr>
      <w:r w:rsidRPr="00443B8A">
        <w:rPr>
          <w:b/>
          <w:lang w:val="es-ES_tradnl"/>
        </w:rPr>
        <w:t>Puntos clave:</w:t>
      </w:r>
    </w:p>
    <w:p w:rsidR="00D06A85" w:rsidRPr="00443B8A" w:rsidRDefault="00D06A85" w:rsidP="00D06A85">
      <w:pPr>
        <w:ind w:left="426"/>
        <w:rPr>
          <w:lang w:val="es-ES_tradnl"/>
        </w:rPr>
      </w:pPr>
    </w:p>
    <w:p w:rsidR="00D06A85" w:rsidRPr="00443B8A" w:rsidRDefault="00D06A85" w:rsidP="00D06A85">
      <w:pPr>
        <w:rPr>
          <w:lang w:val="es-ES_tradnl"/>
        </w:rPr>
      </w:pPr>
      <w:r w:rsidRPr="00443B8A">
        <w:rPr>
          <w:lang w:val="es-ES_tradnl"/>
        </w:rPr>
        <w:t>Tres factores son esenciales desde el punto de vista de la dimensión exterior de la energía: diversificar, hablar con una sola voz y desarrollar adecuadamente un sistema energético interior.</w:t>
      </w:r>
    </w:p>
    <w:p w:rsidR="00D06A85" w:rsidRPr="00443B8A" w:rsidRDefault="00D06A85" w:rsidP="00D06A85">
      <w:pPr>
        <w:ind w:left="66"/>
        <w:rPr>
          <w:lang w:val="es-ES_tradnl"/>
        </w:rPr>
      </w:pPr>
    </w:p>
    <w:p w:rsidR="00D06A85" w:rsidRPr="00443B8A" w:rsidRDefault="00D06A85" w:rsidP="00D06A85">
      <w:pPr>
        <w:pStyle w:val="ListParagraph"/>
        <w:numPr>
          <w:ilvl w:val="0"/>
          <w:numId w:val="76"/>
        </w:numPr>
        <w:tabs>
          <w:tab w:val="left" w:pos="770"/>
        </w:tabs>
        <w:ind w:left="369" w:hanging="369"/>
        <w:rPr>
          <w:lang w:val="es-ES_tradnl"/>
        </w:rPr>
      </w:pPr>
      <w:r w:rsidRPr="00443B8A">
        <w:rPr>
          <w:lang w:val="es-ES_tradnl"/>
        </w:rPr>
        <w:t>Diversificar las fuentes de energía en la UE</w:t>
      </w:r>
    </w:p>
    <w:p w:rsidR="00D06A85" w:rsidRPr="00443B8A" w:rsidRDefault="00D06A85" w:rsidP="00D06A85">
      <w:pPr>
        <w:pStyle w:val="ListParagraph"/>
        <w:numPr>
          <w:ilvl w:val="0"/>
          <w:numId w:val="102"/>
        </w:numPr>
        <w:rPr>
          <w:lang w:val="es-ES_tradnl"/>
        </w:rPr>
      </w:pPr>
      <w:r w:rsidRPr="00443B8A">
        <w:rPr>
          <w:lang w:val="es-ES_tradnl"/>
        </w:rPr>
        <w:t>Es preciso expandir el círculo de socios en la importación de energía.</w:t>
      </w:r>
    </w:p>
    <w:p w:rsidR="00D06A85" w:rsidRPr="00443B8A" w:rsidRDefault="00D06A85" w:rsidP="00D06A85">
      <w:pPr>
        <w:pStyle w:val="ListParagraph"/>
        <w:numPr>
          <w:ilvl w:val="0"/>
          <w:numId w:val="102"/>
        </w:numPr>
        <w:rPr>
          <w:lang w:val="es-ES_tradnl"/>
        </w:rPr>
      </w:pPr>
      <w:r w:rsidRPr="00443B8A">
        <w:rPr>
          <w:lang w:val="es-ES_tradnl"/>
        </w:rPr>
        <w:t>Los nuevos proyectos de infraestructuras que contribuyen a los objetivos de diversificación deberían ajustarse a los objetivos de la Estrategia para una Unión de la Energía y al acervo de la Unión.</w:t>
      </w:r>
    </w:p>
    <w:p w:rsidR="00D06A85" w:rsidRPr="00443B8A" w:rsidRDefault="00D06A85" w:rsidP="00D06A85">
      <w:pPr>
        <w:rPr>
          <w:lang w:val="es-ES_tradnl"/>
        </w:rPr>
      </w:pPr>
    </w:p>
    <w:p w:rsidR="00D06A85" w:rsidRPr="00443B8A" w:rsidRDefault="00D06A85" w:rsidP="00D06A85">
      <w:pPr>
        <w:pStyle w:val="ListParagraph"/>
        <w:numPr>
          <w:ilvl w:val="0"/>
          <w:numId w:val="76"/>
        </w:numPr>
        <w:tabs>
          <w:tab w:val="left" w:pos="770"/>
        </w:tabs>
        <w:ind w:left="369" w:hanging="369"/>
        <w:rPr>
          <w:b/>
          <w:lang w:val="es-ES_tradnl"/>
        </w:rPr>
      </w:pPr>
      <w:r w:rsidRPr="00443B8A">
        <w:rPr>
          <w:lang w:val="es-ES_tradnl"/>
        </w:rPr>
        <w:t>Deberá proseguirse el objetivo de «</w:t>
      </w:r>
      <w:r w:rsidRPr="00443B8A">
        <w:rPr>
          <w:b/>
          <w:lang w:val="es-ES_tradnl"/>
        </w:rPr>
        <w:t>hablar con una sola voz</w:t>
      </w:r>
      <w:r w:rsidRPr="00443B8A">
        <w:rPr>
          <w:lang w:val="es-ES_tradnl"/>
        </w:rPr>
        <w:t>», a pesar de las diferentes combinaciones energéticas, las variadas estructuras de importación de la energía y los distintos socios tradicionales entre los Estados miembros. Una posición energética interior común en la UE es clave para una fuerte dimensión exterior. El CESE también insta a los Estados miembros a coordinar sus intereses energéticos individuales y mantener constantemente la solidaridad y transparencia entre sí.</w:t>
      </w:r>
    </w:p>
    <w:p w:rsidR="00D06A85" w:rsidRPr="00443B8A" w:rsidRDefault="00D06A85" w:rsidP="00D06A85">
      <w:pPr>
        <w:rPr>
          <w:lang w:val="es-ES_tradnl"/>
        </w:rPr>
      </w:pPr>
    </w:p>
    <w:p w:rsidR="00D06A85" w:rsidRPr="00443B8A" w:rsidRDefault="00D06A85" w:rsidP="00D06A85">
      <w:pPr>
        <w:pStyle w:val="ListParagraph"/>
        <w:numPr>
          <w:ilvl w:val="0"/>
          <w:numId w:val="76"/>
        </w:numPr>
        <w:tabs>
          <w:tab w:val="left" w:pos="770"/>
        </w:tabs>
        <w:ind w:left="369" w:hanging="369"/>
        <w:rPr>
          <w:lang w:val="es-ES_tradnl"/>
        </w:rPr>
      </w:pPr>
      <w:r w:rsidRPr="00443B8A">
        <w:rPr>
          <w:lang w:val="es-ES_tradnl"/>
        </w:rPr>
        <w:t xml:space="preserve">Un </w:t>
      </w:r>
      <w:r w:rsidRPr="00443B8A">
        <w:rPr>
          <w:b/>
          <w:lang w:val="es-ES_tradnl"/>
        </w:rPr>
        <w:t>sistema energético interior fuerte</w:t>
      </w:r>
      <w:r w:rsidRPr="00443B8A">
        <w:rPr>
          <w:lang w:val="es-ES_tradnl"/>
        </w:rPr>
        <w:t xml:space="preserve"> es la piedra angular para reducir el impacto exterior. Uno de los aspectos fundamentales de la Unión de la Energía es la creación de un mercado energético interior en la UE completamente operativo y transparente que</w:t>
      </w:r>
    </w:p>
    <w:p w:rsidR="00D06A85" w:rsidRPr="00443B8A" w:rsidRDefault="00D06A85" w:rsidP="00D06A85">
      <w:pPr>
        <w:pStyle w:val="ListParagraph"/>
        <w:numPr>
          <w:ilvl w:val="0"/>
          <w:numId w:val="102"/>
        </w:numPr>
        <w:rPr>
          <w:lang w:val="es-ES_tradnl"/>
        </w:rPr>
      </w:pPr>
      <w:r w:rsidRPr="00443B8A">
        <w:rPr>
          <w:lang w:val="es-ES_tradnl"/>
        </w:rPr>
        <w:t>integre completamente las redes y los sistemas energéticos de todos los Estados miembros en el mercado interior de la UE y garantice su plena sincronización, y</w:t>
      </w:r>
    </w:p>
    <w:p w:rsidR="00D06A85" w:rsidRPr="00443B8A" w:rsidRDefault="00D06A85" w:rsidP="00D06A85">
      <w:pPr>
        <w:pStyle w:val="ListParagraph"/>
        <w:numPr>
          <w:ilvl w:val="0"/>
          <w:numId w:val="102"/>
        </w:numPr>
        <w:rPr>
          <w:lang w:val="es-ES_tradnl"/>
        </w:rPr>
      </w:pPr>
      <w:r w:rsidRPr="00443B8A">
        <w:rPr>
          <w:lang w:val="es-ES_tradnl"/>
        </w:rPr>
        <w:t>se base en el desarrollo de tres factores clave: unas fuentes de energía renovables, la eficiencia energética y la investigación y el desarrollo.</w:t>
      </w:r>
    </w:p>
    <w:p w:rsidR="00D06A85" w:rsidRPr="00443B8A" w:rsidRDefault="00D06A85" w:rsidP="00D06A85">
      <w:pPr>
        <w:rPr>
          <w:lang w:val="es-ES_tradnl"/>
        </w:rPr>
      </w:pPr>
    </w:p>
    <w:p w:rsidR="00D06A85" w:rsidRPr="00443B8A" w:rsidRDefault="00D06A85" w:rsidP="00D06A85">
      <w:pPr>
        <w:rPr>
          <w:lang w:val="es-ES_tradnl"/>
        </w:rPr>
      </w:pPr>
      <w:r w:rsidRPr="00443B8A">
        <w:rPr>
          <w:lang w:val="es-ES_tradnl"/>
        </w:rPr>
        <w:t>Para que la energía sea asequible para los consumidores y contribuya a la competitividad de la industria, el CESE pide a la Comisión y a los gobiernos nacionales que concedan un papel importante a la sociedad civil, los interlocutores sociales y las organizaciones de consumidores. Esto es fundamental si se quiere desarrollar una política energética exterior de la UE inteligente, eficiente y sostenible.</w:t>
      </w:r>
    </w:p>
    <w:p w:rsidR="00D06A85" w:rsidRPr="00443B8A" w:rsidRDefault="00D06A85" w:rsidP="00D06A85">
      <w:pPr>
        <w:widowControl w:val="0"/>
        <w:rPr>
          <w:lang w:val="es-ES_tradnl"/>
        </w:rPr>
      </w:pPr>
    </w:p>
    <w:p w:rsidR="00D06A85" w:rsidRPr="00443B8A" w:rsidRDefault="00D06A85" w:rsidP="00D06A85">
      <w:pPr>
        <w:rPr>
          <w:i/>
          <w:lang w:val="es-ES_tradnl"/>
        </w:rPr>
      </w:pPr>
      <w:r w:rsidRPr="00443B8A">
        <w:rPr>
          <w:b/>
          <w:i/>
          <w:lang w:val="es-ES_tradnl"/>
        </w:rPr>
        <w:t>Contacto</w:t>
      </w:r>
      <w:r w:rsidRPr="00443B8A">
        <w:rPr>
          <w:lang w:val="es-ES_tradnl"/>
        </w:rPr>
        <w:t>:</w:t>
      </w:r>
      <w:r w:rsidR="001D1385" w:rsidRPr="00443B8A">
        <w:rPr>
          <w:lang w:val="es-ES_tradnl"/>
        </w:rPr>
        <w:tab/>
      </w:r>
      <w:r w:rsidRPr="00443B8A">
        <w:rPr>
          <w:i/>
          <w:lang w:val="es-ES_tradnl"/>
        </w:rPr>
        <w:t>Rafael Bellón Gómez</w:t>
      </w:r>
    </w:p>
    <w:p w:rsidR="00D06A85" w:rsidRPr="00443B8A" w:rsidRDefault="00D06A85" w:rsidP="00D06A85">
      <w:pPr>
        <w:tabs>
          <w:tab w:val="left" w:pos="990"/>
          <w:tab w:val="left" w:pos="2420"/>
        </w:tabs>
        <w:rPr>
          <w:i/>
          <w:iCs/>
          <w:lang w:val="es-ES_tradnl"/>
        </w:rPr>
      </w:pPr>
      <w:r w:rsidRPr="00443B8A">
        <w:rPr>
          <w:i/>
          <w:lang w:val="es-ES_tradnl"/>
        </w:rPr>
        <w:t xml:space="preserve">(Tel. 00 32 2 546 9095 - correo electrónico: </w:t>
      </w:r>
      <w:hyperlink r:id="rId39">
        <w:r w:rsidRPr="00443B8A">
          <w:rPr>
            <w:rStyle w:val="Hyperlink"/>
            <w:i/>
            <w:lang w:val="es-ES_tradnl"/>
          </w:rPr>
          <w:t>Rafael.BellonGomez@eesc.europa.eu</w:t>
        </w:r>
      </w:hyperlink>
      <w:r w:rsidRPr="00443B8A">
        <w:rPr>
          <w:i/>
          <w:lang w:val="es-ES_tradnl"/>
        </w:rPr>
        <w:t>)</w:t>
      </w:r>
    </w:p>
    <w:p w:rsidR="00D06A85" w:rsidRPr="00443B8A" w:rsidRDefault="006140BB" w:rsidP="00413EED">
      <w:pPr>
        <w:keepNext/>
        <w:numPr>
          <w:ilvl w:val="0"/>
          <w:numId w:val="2"/>
        </w:numPr>
        <w:ind w:left="567" w:hanging="578"/>
        <w:outlineLvl w:val="0"/>
        <w:rPr>
          <w:b/>
          <w:lang w:val="es-ES_tradnl"/>
        </w:rPr>
      </w:pPr>
      <w:bookmarkStart w:id="12" w:name="_Toc449349331"/>
      <w:bookmarkStart w:id="13" w:name="_Toc451270274"/>
      <w:r w:rsidRPr="00443B8A">
        <w:rPr>
          <w:b/>
          <w:lang w:val="es-ES_tradnl"/>
        </w:rPr>
        <w:t>SEGURIDAD</w:t>
      </w:r>
      <w:bookmarkEnd w:id="12"/>
      <w:bookmarkEnd w:id="13"/>
    </w:p>
    <w:p w:rsidR="00D06A85" w:rsidRPr="00443B8A" w:rsidRDefault="00D06A85" w:rsidP="00066EBC">
      <w:pPr>
        <w:spacing w:line="240" w:lineRule="auto"/>
        <w:rPr>
          <w:lang w:val="es-ES_tradnl"/>
        </w:rPr>
      </w:pPr>
    </w:p>
    <w:p w:rsidR="00D06A85" w:rsidRPr="00443B8A" w:rsidRDefault="00D06A85" w:rsidP="00E21B91">
      <w:pPr>
        <w:pStyle w:val="ListParagraph"/>
        <w:numPr>
          <w:ilvl w:val="0"/>
          <w:numId w:val="99"/>
        </w:numPr>
        <w:spacing w:line="270" w:lineRule="atLeast"/>
        <w:ind w:left="284" w:hanging="284"/>
        <w:rPr>
          <w:b/>
          <w:i/>
          <w:sz w:val="28"/>
          <w:lang w:val="es-ES_tradnl"/>
        </w:rPr>
      </w:pPr>
      <w:r w:rsidRPr="00443B8A">
        <w:rPr>
          <w:b/>
          <w:i/>
          <w:sz w:val="28"/>
          <w:lang w:val="es-ES_tradnl"/>
        </w:rPr>
        <w:t>La nueva Estrategia de la UE sobre Política Exterior y de Seguridad (Dictamen de iniciativa)</w:t>
      </w:r>
    </w:p>
    <w:p w:rsidR="00D06A85" w:rsidRPr="00443B8A" w:rsidRDefault="00D06A85" w:rsidP="00066EBC">
      <w:pPr>
        <w:spacing w:line="240" w:lineRule="auto"/>
        <w:rPr>
          <w:sz w:val="16"/>
          <w:szCs w:val="16"/>
          <w:lang w:val="es-ES_tradnl"/>
        </w:rPr>
      </w:pPr>
    </w:p>
    <w:p w:rsidR="00D06A85" w:rsidRPr="00443B8A" w:rsidRDefault="00D06A85" w:rsidP="00D06A85">
      <w:pPr>
        <w:rPr>
          <w:lang w:val="es-ES_tradnl"/>
        </w:rPr>
      </w:pPr>
      <w:r w:rsidRPr="00443B8A">
        <w:rPr>
          <w:b/>
          <w:lang w:val="es-ES_tradnl"/>
        </w:rPr>
        <w:t>Ponente:</w:t>
      </w:r>
      <w:r w:rsidRPr="00443B8A">
        <w:rPr>
          <w:lang w:val="es-ES_tradnl"/>
        </w:rPr>
        <w:tab/>
        <w:t>José María ZUFIAUR NARVAIZA (Trabajadores – ES)</w:t>
      </w:r>
    </w:p>
    <w:p w:rsidR="00D06A85" w:rsidRPr="00443B8A" w:rsidRDefault="00D06A85" w:rsidP="00066EBC">
      <w:pPr>
        <w:spacing w:line="240" w:lineRule="auto"/>
        <w:rPr>
          <w:sz w:val="16"/>
          <w:szCs w:val="16"/>
          <w:lang w:val="es-ES_tradnl"/>
        </w:rPr>
      </w:pPr>
    </w:p>
    <w:p w:rsidR="00D06A85" w:rsidRPr="00443B8A" w:rsidRDefault="00D06A85" w:rsidP="00D06A85">
      <w:pPr>
        <w:tabs>
          <w:tab w:val="num" w:pos="550"/>
        </w:tabs>
        <w:rPr>
          <w:bCs/>
          <w:lang w:val="es-ES_tradnl"/>
        </w:rPr>
      </w:pPr>
      <w:r w:rsidRPr="00443B8A">
        <w:rPr>
          <w:b/>
          <w:lang w:val="es-ES_tradnl"/>
        </w:rPr>
        <w:t>Referencia</w:t>
      </w:r>
      <w:r w:rsidRPr="00443B8A">
        <w:rPr>
          <w:lang w:val="es-ES_tradnl"/>
        </w:rPr>
        <w:t>:</w:t>
      </w:r>
      <w:r w:rsidR="00066EBC" w:rsidRPr="00443B8A">
        <w:rPr>
          <w:lang w:val="es-ES_tradnl"/>
        </w:rPr>
        <w:tab/>
      </w:r>
      <w:r w:rsidRPr="00443B8A">
        <w:rPr>
          <w:lang w:val="es-ES_tradnl"/>
        </w:rPr>
        <w:t>EESC-2016-01061-00-01-A</w:t>
      </w:r>
      <w:r w:rsidR="001D1385" w:rsidRPr="00443B8A">
        <w:rPr>
          <w:lang w:val="es-ES_tradnl"/>
        </w:rPr>
        <w:t>C</w:t>
      </w:r>
      <w:r w:rsidRPr="00443B8A">
        <w:rPr>
          <w:lang w:val="es-ES_tradnl"/>
        </w:rPr>
        <w:t>-TRA</w:t>
      </w:r>
    </w:p>
    <w:p w:rsidR="00D06A85" w:rsidRPr="00443B8A" w:rsidRDefault="00D06A85" w:rsidP="00066EBC">
      <w:pPr>
        <w:spacing w:line="240" w:lineRule="auto"/>
        <w:rPr>
          <w:lang w:val="es-ES_tradnl"/>
        </w:rPr>
      </w:pPr>
    </w:p>
    <w:p w:rsidR="00D06A85" w:rsidRPr="00443B8A" w:rsidRDefault="00D06A85" w:rsidP="00D06A85">
      <w:pPr>
        <w:rPr>
          <w:lang w:val="es-ES_tradnl"/>
        </w:rPr>
      </w:pPr>
      <w:r w:rsidRPr="00443B8A">
        <w:rPr>
          <w:b/>
          <w:lang w:val="es-ES_tradnl"/>
        </w:rPr>
        <w:t>Puntos clave:</w:t>
      </w:r>
    </w:p>
    <w:p w:rsidR="00D06A85" w:rsidRPr="00443B8A" w:rsidRDefault="00D06A85" w:rsidP="00066EBC">
      <w:pPr>
        <w:spacing w:line="240" w:lineRule="auto"/>
        <w:rPr>
          <w:lang w:val="es-ES_tradnl"/>
        </w:rPr>
      </w:pPr>
    </w:p>
    <w:p w:rsidR="00D06A85" w:rsidRPr="00443B8A" w:rsidRDefault="00D06A85" w:rsidP="00D06A85">
      <w:pPr>
        <w:rPr>
          <w:lang w:val="es-ES_tradnl"/>
        </w:rPr>
      </w:pPr>
      <w:r w:rsidRPr="00443B8A">
        <w:rPr>
          <w:lang w:val="es-ES_tradnl"/>
        </w:rPr>
        <w:t>El Consejo Europeo de junio de 2015 encomendó a Federica Mogherini, alta representante de la Unión Europea para Asuntos Exteriores y Política de Seguridad y vicepresidenta de la Comisión Europea la elaboración, antes del verano de 2016, de una nueva estrategia global de la UE en materia de política exterior y de seguridad. La actual estrategia de seguridad se remonta a 2003. Habida cuenta de los considerables cambios que han tenido lugar desde entonces en el ámbito de las relaciones exteriores de la UE, cabe resaltar la necesidad de una nueva estrategia actualizada.</w:t>
      </w:r>
    </w:p>
    <w:p w:rsidR="00D06A85" w:rsidRPr="00443B8A" w:rsidRDefault="00D06A85" w:rsidP="00066EBC">
      <w:pPr>
        <w:spacing w:line="240" w:lineRule="auto"/>
        <w:rPr>
          <w:lang w:val="es-ES_tradnl"/>
        </w:rPr>
      </w:pPr>
    </w:p>
    <w:p w:rsidR="00D06A85" w:rsidRPr="00443B8A" w:rsidRDefault="00D06A85" w:rsidP="00D06A85">
      <w:pPr>
        <w:rPr>
          <w:lang w:val="es-ES_tradnl"/>
        </w:rPr>
      </w:pPr>
      <w:r w:rsidRPr="00443B8A">
        <w:rPr>
          <w:lang w:val="es-ES_tradnl"/>
        </w:rPr>
        <w:t>Mediante el dictamen el CESE desea dar a conocer su postura sobre la nueva Estrategia de la UE sobre Política Exterior y de Seguridad, que se espera sea presentada al Consejo. El ponente considera que la política interior y la política exterior están interrelacionadas y requieren una mejor coordinación de las respectivas políticas, los objetivos y los recursos. En la actualidad la exclusión social es un factor clave en situaciones de crisis y la UE debe defender la igualdad y fomentar la libertad, la seguridad y la prosperidad.</w:t>
      </w:r>
    </w:p>
    <w:p w:rsidR="00D06A85" w:rsidRPr="00443B8A" w:rsidRDefault="00D06A85" w:rsidP="00066EBC">
      <w:pPr>
        <w:spacing w:line="240" w:lineRule="auto"/>
        <w:rPr>
          <w:lang w:val="es-ES_tradnl"/>
        </w:rPr>
      </w:pPr>
    </w:p>
    <w:p w:rsidR="00D06A85" w:rsidRPr="00443B8A" w:rsidRDefault="00D06A85" w:rsidP="00D06A85">
      <w:pPr>
        <w:rPr>
          <w:lang w:val="es-ES_tradnl"/>
        </w:rPr>
      </w:pPr>
      <w:r w:rsidRPr="00443B8A">
        <w:rPr>
          <w:lang w:val="es-ES_tradnl"/>
        </w:rPr>
        <w:t>La nueva Estrategia debe ir más allá de la seguridad y cubrir una amplia gama de temas muy pertinentes. El dictamen aborda estos ámbitos y propone que las prioridades de la UE sean</w:t>
      </w:r>
      <w:r w:rsidR="00227DC5" w:rsidRPr="00443B8A">
        <w:rPr>
          <w:lang w:val="es-ES_tradnl"/>
        </w:rPr>
        <w:t xml:space="preserve"> reforzar la vía de adhesión de los países candidatos, estabilizar la vecindad oriental y meridional, aten</w:t>
      </w:r>
      <w:r w:rsidR="00566AA5" w:rsidRPr="00443B8A">
        <w:rPr>
          <w:lang w:val="es-ES_tradnl"/>
        </w:rPr>
        <w:t xml:space="preserve">der a </w:t>
      </w:r>
      <w:r w:rsidR="00227DC5" w:rsidRPr="00443B8A">
        <w:rPr>
          <w:lang w:val="es-ES_tradnl"/>
        </w:rPr>
        <w:t>los flujos migratorios y de refugiados, impulsar una Política Común de Seguridad y Defensa (PCSD) más fuerte y mejor definida,</w:t>
      </w:r>
      <w:r w:rsidR="001D58B3" w:rsidRPr="00443B8A">
        <w:rPr>
          <w:lang w:val="es-ES_tradnl"/>
        </w:rPr>
        <w:t xml:space="preserve"> reforzar un sistema multilateral reformado e impulsar el comercio y las inversiones.</w:t>
      </w:r>
    </w:p>
    <w:p w:rsidR="00D06A85" w:rsidRPr="00443B8A" w:rsidRDefault="00D06A85" w:rsidP="00066EBC">
      <w:pPr>
        <w:spacing w:line="240" w:lineRule="auto"/>
        <w:rPr>
          <w:sz w:val="16"/>
          <w:szCs w:val="16"/>
          <w:lang w:val="es-ES_tradnl"/>
        </w:rPr>
      </w:pPr>
    </w:p>
    <w:p w:rsidR="00D06A85" w:rsidRPr="00443B8A" w:rsidRDefault="00D06A85" w:rsidP="00D06A85">
      <w:pPr>
        <w:rPr>
          <w:lang w:val="es-ES_tradnl"/>
        </w:rPr>
      </w:pPr>
      <w:r w:rsidRPr="00443B8A">
        <w:rPr>
          <w:lang w:val="es-ES_tradnl"/>
        </w:rPr>
        <w:t>Por otro lado, el dictamen aboga por un incremento de la asignación de recursos a la política exterior y de defensa, reitera el papel de la UE como potencia normativa y constructiva, pide establecer una política común en materia de refugiados, asilo e inmigración, reclama un desembolso de la ayuda al desarrollo más flexible y aborda las repercusiones geopolíticas de los principales acuerdos comerciales en proceso de negociación.</w:t>
      </w:r>
    </w:p>
    <w:p w:rsidR="00D06A85" w:rsidRPr="00443B8A" w:rsidRDefault="00D06A85" w:rsidP="00066EBC">
      <w:pPr>
        <w:spacing w:line="240" w:lineRule="auto"/>
        <w:rPr>
          <w:sz w:val="16"/>
          <w:szCs w:val="16"/>
          <w:lang w:val="es-ES_tradnl"/>
        </w:rPr>
      </w:pPr>
    </w:p>
    <w:p w:rsidR="00D06A85" w:rsidRPr="00443B8A" w:rsidRDefault="00D06A85" w:rsidP="00D06A85">
      <w:pPr>
        <w:rPr>
          <w:lang w:val="es-ES_tradnl"/>
        </w:rPr>
      </w:pPr>
      <w:r w:rsidRPr="00443B8A">
        <w:rPr>
          <w:lang w:val="es-ES_tradnl"/>
        </w:rPr>
        <w:t>Por último, el ponente aboga por una mayor participación de la sociedad civil en la política exterior de la UE y propone establecer una cooperación formal entre el CESE y el SEAE, fijar una audiencia anual sobre política exterior y de seguridad con la alta representante y elaborar un informe de evaluación sobre la participación de la sociedad civil en la política exterior de la UE.</w:t>
      </w:r>
    </w:p>
    <w:p w:rsidR="00D06A85" w:rsidRPr="00443B8A" w:rsidRDefault="00D06A85" w:rsidP="00066EBC">
      <w:pPr>
        <w:spacing w:line="240" w:lineRule="auto"/>
        <w:rPr>
          <w:sz w:val="16"/>
          <w:szCs w:val="16"/>
          <w:lang w:val="es-ES_tradnl"/>
        </w:rPr>
      </w:pPr>
    </w:p>
    <w:p w:rsidR="00D06A85" w:rsidRPr="00443B8A" w:rsidRDefault="00D06A85" w:rsidP="00D06A85">
      <w:pPr>
        <w:rPr>
          <w:i/>
          <w:lang w:val="es-ES_tradnl"/>
        </w:rPr>
      </w:pPr>
      <w:r w:rsidRPr="00443B8A">
        <w:rPr>
          <w:b/>
          <w:i/>
          <w:lang w:val="es-ES_tradnl"/>
        </w:rPr>
        <w:t>Contacto</w:t>
      </w:r>
      <w:r w:rsidRPr="00443B8A">
        <w:rPr>
          <w:lang w:val="es-ES_tradnl"/>
        </w:rPr>
        <w:t>:</w:t>
      </w:r>
      <w:r w:rsidR="001D58B3" w:rsidRPr="00443B8A">
        <w:rPr>
          <w:lang w:val="es-ES_tradnl"/>
        </w:rPr>
        <w:tab/>
      </w:r>
      <w:r w:rsidRPr="00443B8A">
        <w:rPr>
          <w:i/>
          <w:lang w:val="es-ES_tradnl"/>
        </w:rPr>
        <w:t>Javier Fernández Admetlla,</w:t>
      </w:r>
    </w:p>
    <w:p w:rsidR="006140BB" w:rsidRPr="00443B8A" w:rsidRDefault="00D06A85" w:rsidP="00D06A85">
      <w:pPr>
        <w:tabs>
          <w:tab w:val="left" w:pos="990"/>
          <w:tab w:val="left" w:pos="2420"/>
        </w:tabs>
        <w:rPr>
          <w:i/>
          <w:iCs/>
          <w:lang w:val="es-ES_tradnl"/>
        </w:rPr>
      </w:pPr>
      <w:r w:rsidRPr="00443B8A">
        <w:rPr>
          <w:i/>
          <w:lang w:val="es-ES_tradnl"/>
        </w:rPr>
        <w:t xml:space="preserve">(Tel. 00 32 2 546 9345 - correo electrónico: </w:t>
      </w:r>
      <w:hyperlink r:id="rId40">
        <w:r w:rsidRPr="00443B8A">
          <w:rPr>
            <w:rStyle w:val="Hyperlink"/>
            <w:i/>
            <w:lang w:val="es-ES_tradnl"/>
          </w:rPr>
          <w:t>Javier.FernandezAdmetlla@eesc.europa.eu</w:t>
        </w:r>
      </w:hyperlink>
      <w:r w:rsidRPr="00443B8A">
        <w:rPr>
          <w:i/>
          <w:lang w:val="es-ES_tradnl"/>
        </w:rPr>
        <w:t>)</w:t>
      </w:r>
    </w:p>
    <w:p w:rsidR="00900EA0" w:rsidRPr="00443B8A" w:rsidRDefault="006F0D9E" w:rsidP="00000CE8">
      <w:pPr>
        <w:jc w:val="center"/>
        <w:rPr>
          <w:lang w:val="es-ES_tradnl"/>
        </w:rPr>
      </w:pPr>
      <w:r w:rsidRPr="00443B8A">
        <w:rPr>
          <w:lang w:val="es-ES_tradnl"/>
        </w:rPr>
        <w:t>_____________</w:t>
      </w:r>
    </w:p>
    <w:sectPr w:rsidR="00900EA0" w:rsidRPr="00443B8A" w:rsidSect="008E328D">
      <w:headerReference w:type="even" r:id="rId41"/>
      <w:headerReference w:type="default" r:id="rId42"/>
      <w:footerReference w:type="even" r:id="rId43"/>
      <w:footerReference w:type="default" r:id="rId44"/>
      <w:headerReference w:type="first" r:id="rId45"/>
      <w:footerReference w:type="first" r:id="rId46"/>
      <w:pgSz w:w="11907" w:h="16839"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DB4" w:rsidRDefault="00205DB4" w:rsidP="003B283B">
      <w:pPr>
        <w:spacing w:line="240" w:lineRule="auto"/>
      </w:pPr>
      <w:r>
        <w:separator/>
      </w:r>
    </w:p>
  </w:endnote>
  <w:endnote w:type="continuationSeparator" w:id="0">
    <w:p w:rsidR="00205DB4" w:rsidRDefault="00205DB4" w:rsidP="003B283B">
      <w:pPr>
        <w:spacing w:line="240" w:lineRule="auto"/>
      </w:pPr>
      <w:r>
        <w:continuationSeparator/>
      </w:r>
    </w:p>
  </w:endnote>
  <w:endnote w:type="continuationNotice" w:id="1">
    <w:p w:rsidR="00205DB4" w:rsidRDefault="00205D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B4" w:rsidRPr="008E328D" w:rsidRDefault="00205DB4" w:rsidP="008E328D">
    <w:pPr>
      <w:pStyle w:val="Footer"/>
    </w:pPr>
    <w:r>
      <w:t xml:space="preserve">EESC-2016-01882-00-00-TCD-TRA (FR/EN) </w:t>
    </w:r>
    <w:r>
      <w:fldChar w:fldCharType="begin"/>
    </w:r>
    <w:r>
      <w:instrText xml:space="preserve"> PAGE  \* Arabic  \* MERGEFORMAT </w:instrText>
    </w:r>
    <w:r>
      <w:fldChar w:fldCharType="separate"/>
    </w:r>
    <w:r w:rsidR="00443B8A">
      <w:rPr>
        <w:noProof/>
      </w:rPr>
      <w:t>1</w:t>
    </w:r>
    <w:r>
      <w:fldChar w:fldCharType="end"/>
    </w:r>
    <w:r>
      <w:t>/</w:t>
    </w:r>
    <w:r>
      <w:fldChar w:fldCharType="begin"/>
    </w:r>
    <w:r>
      <w:instrText xml:space="preserve"> = </w:instrText>
    </w:r>
    <w:r w:rsidR="00443B8A">
      <w:fldChar w:fldCharType="begin"/>
    </w:r>
    <w:r w:rsidR="00443B8A">
      <w:instrText xml:space="preserve"> NUMPAGES </w:instrText>
    </w:r>
    <w:r w:rsidR="00443B8A">
      <w:fldChar w:fldCharType="separate"/>
    </w:r>
    <w:r w:rsidR="00443B8A">
      <w:rPr>
        <w:noProof/>
      </w:rPr>
      <w:instrText>2</w:instrText>
    </w:r>
    <w:r w:rsidR="00443B8A">
      <w:rPr>
        <w:noProof/>
      </w:rPr>
      <w:fldChar w:fldCharType="end"/>
    </w:r>
    <w:r>
      <w:instrText xml:space="preserve"> </w:instrText>
    </w:r>
    <w:r>
      <w:fldChar w:fldCharType="separate"/>
    </w:r>
    <w:r w:rsidR="00443B8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B4" w:rsidRPr="008E328D" w:rsidRDefault="00205DB4" w:rsidP="008E32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B4" w:rsidRPr="008E328D" w:rsidRDefault="00205DB4" w:rsidP="008E328D">
    <w:pPr>
      <w:pStyle w:val="Footer"/>
    </w:pPr>
    <w:r>
      <w:t xml:space="preserve">EESC-2016-01882-00-00-TCD-TRA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rsidR="00443B8A">
      <w:fldChar w:fldCharType="begin"/>
    </w:r>
    <w:r w:rsidR="00443B8A">
      <w:instrText xml:space="preserve"> NUMPAGES </w:instrText>
    </w:r>
    <w:r w:rsidR="00443B8A">
      <w:fldChar w:fldCharType="separate"/>
    </w:r>
    <w:r w:rsidR="00E0179A">
      <w:rPr>
        <w:noProof/>
      </w:rPr>
      <w:instrText>1</w:instrText>
    </w:r>
    <w:r w:rsidR="00443B8A">
      <w:rPr>
        <w:noProof/>
      </w:rPr>
      <w:fldChar w:fldCharType="end"/>
    </w:r>
    <w:r>
      <w:instrText xml:space="preserve"> </w:instrText>
    </w:r>
    <w:r>
      <w:fldChar w:fldCharType="separate"/>
    </w:r>
    <w:r w:rsidR="00E0179A">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B4" w:rsidRPr="008E328D" w:rsidRDefault="00205DB4" w:rsidP="008E328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B4" w:rsidRPr="008E328D" w:rsidRDefault="00205DB4" w:rsidP="008E328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B4" w:rsidRPr="008E328D" w:rsidRDefault="00205DB4" w:rsidP="008E328D">
    <w:pPr>
      <w:pStyle w:val="Footer"/>
    </w:pPr>
    <w:r>
      <w:t xml:space="preserve">EESC-2016-01882-00-00-TCD-TRA (FR/EN) </w:t>
    </w:r>
    <w:r>
      <w:fldChar w:fldCharType="begin"/>
    </w:r>
    <w:r>
      <w:instrText xml:space="preserve"> PAGE  \* Arabic  \* MERGEFORMAT </w:instrText>
    </w:r>
    <w:r>
      <w:fldChar w:fldCharType="separate"/>
    </w:r>
    <w:r w:rsidR="00443B8A">
      <w:rPr>
        <w:noProof/>
      </w:rPr>
      <w:t>2</w:t>
    </w:r>
    <w:r>
      <w:fldChar w:fldCharType="end"/>
    </w:r>
    <w:r>
      <w:t>/</w:t>
    </w:r>
    <w:r>
      <w:fldChar w:fldCharType="begin"/>
    </w:r>
    <w:r>
      <w:instrText xml:space="preserve"> = </w:instrText>
    </w:r>
    <w:r w:rsidR="00443B8A">
      <w:fldChar w:fldCharType="begin"/>
    </w:r>
    <w:r w:rsidR="00443B8A">
      <w:instrText xml:space="preserve"> NUMPAGES </w:instrText>
    </w:r>
    <w:r w:rsidR="00443B8A">
      <w:fldChar w:fldCharType="separate"/>
    </w:r>
    <w:r w:rsidR="00443B8A">
      <w:rPr>
        <w:noProof/>
      </w:rPr>
      <w:instrText>2</w:instrText>
    </w:r>
    <w:r w:rsidR="00443B8A">
      <w:rPr>
        <w:noProof/>
      </w:rPr>
      <w:fldChar w:fldCharType="end"/>
    </w:r>
    <w:r>
      <w:instrText xml:space="preserve"> </w:instrText>
    </w:r>
    <w:r>
      <w:fldChar w:fldCharType="separate"/>
    </w:r>
    <w:r w:rsidR="00443B8A">
      <w:rPr>
        <w:noProof/>
      </w:rPr>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B4" w:rsidRPr="008E328D" w:rsidRDefault="00205DB4" w:rsidP="008E3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DB4" w:rsidRDefault="00205DB4" w:rsidP="003B283B">
      <w:pPr>
        <w:spacing w:line="240" w:lineRule="auto"/>
      </w:pPr>
      <w:r>
        <w:separator/>
      </w:r>
    </w:p>
  </w:footnote>
  <w:footnote w:type="continuationSeparator" w:id="0">
    <w:p w:rsidR="00205DB4" w:rsidRDefault="00205DB4" w:rsidP="003B283B">
      <w:pPr>
        <w:spacing w:line="240" w:lineRule="auto"/>
      </w:pPr>
      <w:r>
        <w:continuationSeparator/>
      </w:r>
    </w:p>
  </w:footnote>
  <w:footnote w:type="continuationNotice" w:id="1">
    <w:p w:rsidR="00205DB4" w:rsidRDefault="00205DB4">
      <w:pPr>
        <w:spacing w:line="240" w:lineRule="auto"/>
      </w:pPr>
    </w:p>
  </w:footnote>
  <w:footnote w:id="2">
    <w:p w:rsidR="00205DB4" w:rsidRPr="003E2E23" w:rsidRDefault="00205DB4" w:rsidP="001E74A2">
      <w:pPr>
        <w:pStyle w:val="FootnoteText"/>
      </w:pPr>
      <w:r>
        <w:rPr>
          <w:rStyle w:val="FootnoteReference"/>
        </w:rPr>
        <w:footnoteRef/>
      </w:r>
      <w:r>
        <w:t xml:space="preserve"> </w:t>
      </w:r>
      <w:r>
        <w:tab/>
        <w:t>COM(2015) 633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B4" w:rsidRPr="008E328D" w:rsidRDefault="00205DB4" w:rsidP="008E32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B4" w:rsidRPr="008E328D" w:rsidRDefault="00205DB4" w:rsidP="008E32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B4" w:rsidRPr="008E328D" w:rsidRDefault="00205DB4" w:rsidP="008E32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B4" w:rsidRPr="008E328D" w:rsidRDefault="00205DB4" w:rsidP="008E328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B4" w:rsidRPr="008E328D" w:rsidRDefault="00205DB4" w:rsidP="008E328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B4" w:rsidRPr="008E328D" w:rsidRDefault="00205DB4" w:rsidP="008E3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000001"/>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5">
    <w:nsid w:val="05530337"/>
    <w:multiLevelType w:val="singleLevel"/>
    <w:tmpl w:val="ACD4CDB0"/>
    <w:lvl w:ilvl="0">
      <w:numFmt w:val="decimal"/>
      <w:lvlText w:val="*"/>
      <w:lvlJc w:val="left"/>
      <w:rPr>
        <w:rFonts w:cs="Times New Roman"/>
      </w:rPr>
    </w:lvl>
  </w:abstractNum>
  <w:abstractNum w:abstractNumId="6">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6E4FB1"/>
    <w:multiLevelType w:val="singleLevel"/>
    <w:tmpl w:val="ACD4CDB0"/>
    <w:lvl w:ilvl="0">
      <w:numFmt w:val="decimal"/>
      <w:lvlText w:val="*"/>
      <w:lvlJc w:val="left"/>
      <w:rPr>
        <w:rFonts w:cs="Times New Roman"/>
      </w:rPr>
    </w:lvl>
  </w:abstractNum>
  <w:abstractNum w:abstractNumId="8">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12">
    <w:nsid w:val="093A3692"/>
    <w:multiLevelType w:val="hybridMultilevel"/>
    <w:tmpl w:val="6C9C1DAC"/>
    <w:lvl w:ilvl="0" w:tplc="CA302D1C">
      <w:start w:val="1"/>
      <w:numFmt w:val="bullet"/>
      <w:lvlRestart w:val="0"/>
      <w:lvlText w:val=""/>
      <w:lvlJc w:val="left"/>
      <w:pPr>
        <w:tabs>
          <w:tab w:val="num" w:pos="-1440"/>
        </w:tabs>
        <w:ind w:left="-1071" w:hanging="369"/>
      </w:pPr>
      <w:rPr>
        <w:rFonts w:ascii="Symbol" w:hAnsi="Symbol" w:hint="default"/>
        <w:b w:val="0"/>
        <w:i w:val="0"/>
        <w:sz w:val="22"/>
      </w:rPr>
    </w:lvl>
    <w:lvl w:ilvl="1" w:tplc="080C0003" w:tentative="1">
      <w:start w:val="1"/>
      <w:numFmt w:val="bullet"/>
      <w:lvlText w:val="o"/>
      <w:lvlJc w:val="left"/>
      <w:pPr>
        <w:ind w:left="0" w:hanging="360"/>
      </w:pPr>
      <w:rPr>
        <w:rFonts w:ascii="Courier New" w:hAnsi="Courier New" w:cs="Courier New" w:hint="default"/>
      </w:rPr>
    </w:lvl>
    <w:lvl w:ilvl="2" w:tplc="080C0005" w:tentative="1">
      <w:start w:val="1"/>
      <w:numFmt w:val="bullet"/>
      <w:lvlText w:val=""/>
      <w:lvlJc w:val="left"/>
      <w:pPr>
        <w:ind w:left="720" w:hanging="360"/>
      </w:pPr>
      <w:rPr>
        <w:rFonts w:ascii="Wingdings" w:hAnsi="Wingdings" w:hint="default"/>
      </w:rPr>
    </w:lvl>
    <w:lvl w:ilvl="3" w:tplc="080C0001" w:tentative="1">
      <w:start w:val="1"/>
      <w:numFmt w:val="bullet"/>
      <w:lvlText w:val=""/>
      <w:lvlJc w:val="left"/>
      <w:pPr>
        <w:ind w:left="1440" w:hanging="360"/>
      </w:pPr>
      <w:rPr>
        <w:rFonts w:ascii="Symbol" w:hAnsi="Symbol" w:hint="default"/>
      </w:rPr>
    </w:lvl>
    <w:lvl w:ilvl="4" w:tplc="080C0003" w:tentative="1">
      <w:start w:val="1"/>
      <w:numFmt w:val="bullet"/>
      <w:lvlText w:val="o"/>
      <w:lvlJc w:val="left"/>
      <w:pPr>
        <w:ind w:left="2160" w:hanging="360"/>
      </w:pPr>
      <w:rPr>
        <w:rFonts w:ascii="Courier New" w:hAnsi="Courier New" w:cs="Courier New" w:hint="default"/>
      </w:rPr>
    </w:lvl>
    <w:lvl w:ilvl="5" w:tplc="080C0005" w:tentative="1">
      <w:start w:val="1"/>
      <w:numFmt w:val="bullet"/>
      <w:lvlText w:val=""/>
      <w:lvlJc w:val="left"/>
      <w:pPr>
        <w:ind w:left="2880" w:hanging="360"/>
      </w:pPr>
      <w:rPr>
        <w:rFonts w:ascii="Wingdings" w:hAnsi="Wingdings" w:hint="default"/>
      </w:rPr>
    </w:lvl>
    <w:lvl w:ilvl="6" w:tplc="080C0001" w:tentative="1">
      <w:start w:val="1"/>
      <w:numFmt w:val="bullet"/>
      <w:lvlText w:val=""/>
      <w:lvlJc w:val="left"/>
      <w:pPr>
        <w:ind w:left="3600" w:hanging="360"/>
      </w:pPr>
      <w:rPr>
        <w:rFonts w:ascii="Symbol" w:hAnsi="Symbol" w:hint="default"/>
      </w:rPr>
    </w:lvl>
    <w:lvl w:ilvl="7" w:tplc="080C0003" w:tentative="1">
      <w:start w:val="1"/>
      <w:numFmt w:val="bullet"/>
      <w:lvlText w:val="o"/>
      <w:lvlJc w:val="left"/>
      <w:pPr>
        <w:ind w:left="4320" w:hanging="360"/>
      </w:pPr>
      <w:rPr>
        <w:rFonts w:ascii="Courier New" w:hAnsi="Courier New" w:cs="Courier New" w:hint="default"/>
      </w:rPr>
    </w:lvl>
    <w:lvl w:ilvl="8" w:tplc="080C0005" w:tentative="1">
      <w:start w:val="1"/>
      <w:numFmt w:val="bullet"/>
      <w:lvlText w:val=""/>
      <w:lvlJc w:val="left"/>
      <w:pPr>
        <w:ind w:left="5040" w:hanging="360"/>
      </w:pPr>
      <w:rPr>
        <w:rFonts w:ascii="Wingdings" w:hAnsi="Wingdings" w:hint="default"/>
      </w:rPr>
    </w:lvl>
  </w:abstractNum>
  <w:abstractNum w:abstractNumId="13">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15">
    <w:nsid w:val="0D6A4332"/>
    <w:multiLevelType w:val="hybridMultilevel"/>
    <w:tmpl w:val="2486AA6E"/>
    <w:lvl w:ilvl="0" w:tplc="080C0003">
      <w:start w:val="1"/>
      <w:numFmt w:val="bullet"/>
      <w:lvlText w:val="o"/>
      <w:lvlJc w:val="left"/>
      <w:pPr>
        <w:ind w:left="1080" w:hanging="360"/>
      </w:pPr>
      <w:rPr>
        <w:rFonts w:ascii="Courier New" w:hAnsi="Courier New" w:cs="Courier New"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0943F2E"/>
    <w:multiLevelType w:val="hybridMultilevel"/>
    <w:tmpl w:val="12964E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9">
    <w:nsid w:val="15FE7426"/>
    <w:multiLevelType w:val="singleLevel"/>
    <w:tmpl w:val="ACD4CDB0"/>
    <w:lvl w:ilvl="0">
      <w:numFmt w:val="decimal"/>
      <w:lvlText w:val="*"/>
      <w:lvlJc w:val="left"/>
      <w:rPr>
        <w:rFonts w:cs="Times New Roman"/>
      </w:rPr>
    </w:lvl>
  </w:abstractNum>
  <w:abstractNum w:abstractNumId="20">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nsid w:val="1BB939A6"/>
    <w:multiLevelType w:val="hybridMultilevel"/>
    <w:tmpl w:val="BCEC2D3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E777D42"/>
    <w:multiLevelType w:val="hybridMultilevel"/>
    <w:tmpl w:val="3632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27">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8E05013"/>
    <w:multiLevelType w:val="singleLevel"/>
    <w:tmpl w:val="ACD4CDB0"/>
    <w:lvl w:ilvl="0">
      <w:numFmt w:val="decimal"/>
      <w:lvlText w:val="*"/>
      <w:lvlJc w:val="left"/>
      <w:rPr>
        <w:rFonts w:cs="Times New Roman"/>
      </w:rPr>
    </w:lvl>
  </w:abstractNum>
  <w:abstractNum w:abstractNumId="33">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4">
    <w:nsid w:val="2C270C1B"/>
    <w:multiLevelType w:val="multilevel"/>
    <w:tmpl w:val="422625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2DA72654"/>
    <w:multiLevelType w:val="hybridMultilevel"/>
    <w:tmpl w:val="5F1E6D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40">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3">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4">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5">
    <w:nsid w:val="3C303267"/>
    <w:multiLevelType w:val="hybridMultilevel"/>
    <w:tmpl w:val="79F4092C"/>
    <w:lvl w:ilvl="0" w:tplc="3DF6974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47">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50">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52">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53">
    <w:nsid w:val="4A2C4AF2"/>
    <w:multiLevelType w:val="hybridMultilevel"/>
    <w:tmpl w:val="C2C23148"/>
    <w:lvl w:ilvl="0" w:tplc="454E446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7">
    <w:nsid w:val="4D89484D"/>
    <w:multiLevelType w:val="hybridMultilevel"/>
    <w:tmpl w:val="6CDE006E"/>
    <w:lvl w:ilvl="0" w:tplc="A4E2F68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8">
    <w:nsid w:val="53B8141E"/>
    <w:multiLevelType w:val="singleLevel"/>
    <w:tmpl w:val="ACD4CDB0"/>
    <w:lvl w:ilvl="0">
      <w:numFmt w:val="decimal"/>
      <w:lvlText w:val="*"/>
      <w:lvlJc w:val="left"/>
      <w:rPr>
        <w:rFonts w:cs="Times New Roman"/>
      </w:rPr>
    </w:lvl>
  </w:abstractNum>
  <w:abstractNum w:abstractNumId="5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60">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2">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3">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64">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5C3A5AFC"/>
    <w:multiLevelType w:val="hybridMultilevel"/>
    <w:tmpl w:val="88582700"/>
    <w:lvl w:ilvl="0" w:tplc="080C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67">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68">
    <w:nsid w:val="5E1B7EEB"/>
    <w:multiLevelType w:val="hybridMultilevel"/>
    <w:tmpl w:val="8CF04F30"/>
    <w:lvl w:ilvl="0" w:tplc="080C000D">
      <w:start w:val="1"/>
      <w:numFmt w:val="bullet"/>
      <w:lvlText w:val=""/>
      <w:lvlJc w:val="left"/>
      <w:pPr>
        <w:ind w:left="1080" w:hanging="360"/>
      </w:pPr>
      <w:rPr>
        <w:rFonts w:ascii="Wingdings" w:hAnsi="Wingdings"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73">
    <w:nsid w:val="60BA7C7D"/>
    <w:multiLevelType w:val="singleLevel"/>
    <w:tmpl w:val="ACD4CDB0"/>
    <w:lvl w:ilvl="0">
      <w:numFmt w:val="decimal"/>
      <w:lvlText w:val="*"/>
      <w:lvlJc w:val="left"/>
      <w:rPr>
        <w:rFonts w:cs="Times New Roman"/>
      </w:rPr>
    </w:lvl>
  </w:abstractNum>
  <w:abstractNum w:abstractNumId="74">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5">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nsid w:val="62837A54"/>
    <w:multiLevelType w:val="singleLevel"/>
    <w:tmpl w:val="ACD4CDB0"/>
    <w:lvl w:ilvl="0">
      <w:numFmt w:val="decimal"/>
      <w:lvlText w:val="*"/>
      <w:lvlJc w:val="left"/>
      <w:rPr>
        <w:rFonts w:cs="Times New Roman"/>
      </w:rPr>
    </w:lvl>
  </w:abstractNum>
  <w:abstractNum w:abstractNumId="77">
    <w:nsid w:val="62952CB6"/>
    <w:multiLevelType w:val="hybridMultilevel"/>
    <w:tmpl w:val="DB84EA1A"/>
    <w:lvl w:ilvl="0" w:tplc="7246791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2">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85">
    <w:nsid w:val="6B5327B5"/>
    <w:multiLevelType w:val="singleLevel"/>
    <w:tmpl w:val="ACD4CDB0"/>
    <w:lvl w:ilvl="0">
      <w:numFmt w:val="decimal"/>
      <w:lvlText w:val="*"/>
      <w:lvlJc w:val="left"/>
      <w:rPr>
        <w:rFonts w:cs="Times New Roman"/>
      </w:rPr>
    </w:lvl>
  </w:abstractNum>
  <w:abstractNum w:abstractNumId="86">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7">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9">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nsid w:val="736959BC"/>
    <w:multiLevelType w:val="hybridMultilevel"/>
    <w:tmpl w:val="97BA5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2">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93">
    <w:nsid w:val="78715CA7"/>
    <w:multiLevelType w:val="hybridMultilevel"/>
    <w:tmpl w:val="3EE06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nsid w:val="78A7769C"/>
    <w:multiLevelType w:val="hybridMultilevel"/>
    <w:tmpl w:val="0A62AB8A"/>
    <w:lvl w:ilvl="0" w:tplc="EDE2A6A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6">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26"/>
  </w:num>
  <w:num w:numId="3">
    <w:abstractNumId w:val="8"/>
  </w:num>
  <w:num w:numId="4">
    <w:abstractNumId w:val="28"/>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37"/>
  </w:num>
  <w:num w:numId="7">
    <w:abstractNumId w:val="46"/>
  </w:num>
  <w:num w:numId="8">
    <w:abstractNumId w:val="7"/>
  </w:num>
  <w:num w:numId="9">
    <w:abstractNumId w:val="89"/>
  </w:num>
  <w:num w:numId="10">
    <w:abstractNumId w:val="18"/>
  </w:num>
  <w:num w:numId="11">
    <w:abstractNumId w:val="55"/>
  </w:num>
  <w:num w:numId="12">
    <w:abstractNumId w:val="95"/>
  </w:num>
  <w:num w:numId="13">
    <w:abstractNumId w:val="19"/>
  </w:num>
  <w:num w:numId="14">
    <w:abstractNumId w:val="85"/>
  </w:num>
  <w:num w:numId="15">
    <w:abstractNumId w:val="73"/>
  </w:num>
  <w:num w:numId="16">
    <w:abstractNumId w:val="5"/>
  </w:num>
  <w:num w:numId="17">
    <w:abstractNumId w:val="58"/>
  </w:num>
  <w:num w:numId="18">
    <w:abstractNumId w:val="72"/>
  </w:num>
  <w:num w:numId="19">
    <w:abstractNumId w:val="56"/>
  </w:num>
  <w:num w:numId="20">
    <w:abstractNumId w:val="88"/>
  </w:num>
  <w:num w:numId="21">
    <w:abstractNumId w:val="59"/>
  </w:num>
  <w:num w:numId="22">
    <w:abstractNumId w:val="54"/>
  </w:num>
  <w:num w:numId="23">
    <w:abstractNumId w:val="29"/>
  </w:num>
  <w:num w:numId="24">
    <w:abstractNumId w:val="87"/>
  </w:num>
  <w:num w:numId="25">
    <w:abstractNumId w:val="43"/>
  </w:num>
  <w:num w:numId="26">
    <w:abstractNumId w:val="40"/>
  </w:num>
  <w:num w:numId="27">
    <w:abstractNumId w:val="71"/>
  </w:num>
  <w:num w:numId="28">
    <w:abstractNumId w:val="63"/>
  </w:num>
  <w:num w:numId="29">
    <w:abstractNumId w:val="44"/>
  </w:num>
  <w:num w:numId="30">
    <w:abstractNumId w:val="96"/>
  </w:num>
  <w:num w:numId="31">
    <w:abstractNumId w:val="66"/>
  </w:num>
  <w:num w:numId="32">
    <w:abstractNumId w:val="52"/>
  </w:num>
  <w:num w:numId="33">
    <w:abstractNumId w:val="70"/>
  </w:num>
  <w:num w:numId="34">
    <w:abstractNumId w:val="16"/>
  </w:num>
  <w:num w:numId="35">
    <w:abstractNumId w:val="74"/>
  </w:num>
  <w:num w:numId="36">
    <w:abstractNumId w:val="38"/>
  </w:num>
  <w:num w:numId="37">
    <w:abstractNumId w:val="25"/>
  </w:num>
  <w:num w:numId="38">
    <w:abstractNumId w:val="31"/>
  </w:num>
  <w:num w:numId="39">
    <w:abstractNumId w:val="67"/>
  </w:num>
  <w:num w:numId="40">
    <w:abstractNumId w:val="78"/>
  </w:num>
  <w:num w:numId="41">
    <w:abstractNumId w:val="79"/>
  </w:num>
  <w:num w:numId="42">
    <w:abstractNumId w:val="14"/>
  </w:num>
  <w:num w:numId="43">
    <w:abstractNumId w:val="48"/>
  </w:num>
  <w:num w:numId="44">
    <w:abstractNumId w:val="61"/>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11"/>
  </w:num>
  <w:num w:numId="47">
    <w:abstractNumId w:val="51"/>
  </w:num>
  <w:num w:numId="48">
    <w:abstractNumId w:val="8"/>
  </w:num>
  <w:num w:numId="49">
    <w:abstractNumId w:val="4"/>
  </w:num>
  <w:num w:numId="50">
    <w:abstractNumId w:val="84"/>
  </w:num>
  <w:num w:numId="51">
    <w:abstractNumId w:val="22"/>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60"/>
  </w:num>
  <w:num w:numId="54">
    <w:abstractNumId w:val="6"/>
  </w:num>
  <w:num w:numId="55">
    <w:abstractNumId w:val="49"/>
  </w:num>
  <w:num w:numId="56">
    <w:abstractNumId w:val="62"/>
  </w:num>
  <w:num w:numId="57">
    <w:abstractNumId w:val="72"/>
  </w:num>
  <w:num w:numId="58">
    <w:abstractNumId w:val="13"/>
  </w:num>
  <w:num w:numId="59">
    <w:abstractNumId w:val="33"/>
  </w:num>
  <w:num w:numId="60">
    <w:abstractNumId w:val="20"/>
  </w:num>
  <w:num w:numId="61">
    <w:abstractNumId w:val="86"/>
  </w:num>
  <w:num w:numId="62">
    <w:abstractNumId w:val="36"/>
  </w:num>
  <w:num w:numId="63">
    <w:abstractNumId w:val="64"/>
  </w:num>
  <w:num w:numId="64">
    <w:abstractNumId w:val="81"/>
  </w:num>
  <w:num w:numId="65">
    <w:abstractNumId w:val="10"/>
  </w:num>
  <w:num w:numId="66">
    <w:abstractNumId w:val="69"/>
  </w:num>
  <w:num w:numId="67">
    <w:abstractNumId w:val="72"/>
  </w:num>
  <w:num w:numId="68">
    <w:abstractNumId w:val="27"/>
  </w:num>
  <w:num w:numId="69">
    <w:abstractNumId w:val="72"/>
  </w:num>
  <w:num w:numId="70">
    <w:abstractNumId w:val="50"/>
  </w:num>
  <w:num w:numId="71">
    <w:abstractNumId w:val="82"/>
  </w:num>
  <w:num w:numId="72">
    <w:abstractNumId w:val="3"/>
  </w:num>
  <w:num w:numId="73">
    <w:abstractNumId w:val="83"/>
  </w:num>
  <w:num w:numId="74">
    <w:abstractNumId w:val="41"/>
  </w:num>
  <w:num w:numId="75">
    <w:abstractNumId w:val="80"/>
  </w:num>
  <w:num w:numId="76">
    <w:abstractNumId w:val="90"/>
  </w:num>
  <w:num w:numId="77">
    <w:abstractNumId w:val="30"/>
  </w:num>
  <w:num w:numId="78">
    <w:abstractNumId w:val="42"/>
  </w:num>
  <w:num w:numId="79">
    <w:abstractNumId w:val="47"/>
  </w:num>
  <w:num w:numId="80">
    <w:abstractNumId w:val="92"/>
  </w:num>
  <w:num w:numId="81">
    <w:abstractNumId w:val="76"/>
  </w:num>
  <w:num w:numId="82">
    <w:abstractNumId w:val="34"/>
  </w:num>
  <w:num w:numId="83">
    <w:abstractNumId w:val="9"/>
  </w:num>
  <w:num w:numId="84">
    <w:abstractNumId w:val="75"/>
  </w:num>
  <w:num w:numId="85">
    <w:abstractNumId w:val="12"/>
  </w:num>
  <w:num w:numId="86">
    <w:abstractNumId w:val="24"/>
  </w:num>
  <w:num w:numId="87">
    <w:abstractNumId w:val="94"/>
  </w:num>
  <w:num w:numId="88">
    <w:abstractNumId w:val="53"/>
  </w:num>
  <w:num w:numId="89">
    <w:abstractNumId w:val="77"/>
  </w:num>
  <w:num w:numId="90">
    <w:abstractNumId w:val="57"/>
  </w:num>
  <w:num w:numId="91">
    <w:abstractNumId w:val="93"/>
  </w:num>
  <w:num w:numId="92">
    <w:abstractNumId w:val="91"/>
  </w:num>
  <w:num w:numId="93">
    <w:abstractNumId w:val="2"/>
  </w:num>
  <w:num w:numId="94">
    <w:abstractNumId w:val="35"/>
  </w:num>
  <w:num w:numId="95">
    <w:abstractNumId w:val="23"/>
  </w:num>
  <w:num w:numId="96">
    <w:abstractNumId w:val="45"/>
  </w:num>
  <w:num w:numId="97">
    <w:abstractNumId w:val="68"/>
  </w:num>
  <w:num w:numId="98">
    <w:abstractNumId w:val="65"/>
  </w:num>
  <w:num w:numId="99">
    <w:abstractNumId w:val="17"/>
  </w:num>
  <w:num w:numId="100">
    <w:abstractNumId w:val="15"/>
  </w:num>
  <w:num w:numId="101">
    <w:abstractNumId w:val="0"/>
  </w:num>
  <w:num w:numId="102">
    <w:abstractNumId w:val="21"/>
  </w:num>
  <w:num w:numId="103">
    <w:abstractNumId w:val="39"/>
  </w:num>
  <w:num w:numId="104">
    <w:abstractNumId w:val="3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115A9"/>
    <w:rsid w:val="000138A1"/>
    <w:rsid w:val="0001686B"/>
    <w:rsid w:val="00017703"/>
    <w:rsid w:val="00020A28"/>
    <w:rsid w:val="000215A9"/>
    <w:rsid w:val="00023559"/>
    <w:rsid w:val="000244F9"/>
    <w:rsid w:val="00030B04"/>
    <w:rsid w:val="000316FF"/>
    <w:rsid w:val="000338E8"/>
    <w:rsid w:val="00033DA8"/>
    <w:rsid w:val="000349EE"/>
    <w:rsid w:val="00034A75"/>
    <w:rsid w:val="00035EF4"/>
    <w:rsid w:val="000378CC"/>
    <w:rsid w:val="0004006B"/>
    <w:rsid w:val="00041EB7"/>
    <w:rsid w:val="00051C81"/>
    <w:rsid w:val="0005250A"/>
    <w:rsid w:val="00054E26"/>
    <w:rsid w:val="00055735"/>
    <w:rsid w:val="000562AF"/>
    <w:rsid w:val="00066EBC"/>
    <w:rsid w:val="00071E53"/>
    <w:rsid w:val="00073A46"/>
    <w:rsid w:val="000814F6"/>
    <w:rsid w:val="00081813"/>
    <w:rsid w:val="000818D4"/>
    <w:rsid w:val="00086D04"/>
    <w:rsid w:val="00087AE9"/>
    <w:rsid w:val="00094645"/>
    <w:rsid w:val="000967CA"/>
    <w:rsid w:val="00096999"/>
    <w:rsid w:val="000A62E2"/>
    <w:rsid w:val="000C2679"/>
    <w:rsid w:val="000C37E9"/>
    <w:rsid w:val="000C3DF6"/>
    <w:rsid w:val="000D28F0"/>
    <w:rsid w:val="000D50A8"/>
    <w:rsid w:val="000D7F5A"/>
    <w:rsid w:val="000E4C16"/>
    <w:rsid w:val="000F16CE"/>
    <w:rsid w:val="000F42C4"/>
    <w:rsid w:val="000F77C3"/>
    <w:rsid w:val="0010339F"/>
    <w:rsid w:val="0010391E"/>
    <w:rsid w:val="00103CC0"/>
    <w:rsid w:val="00104975"/>
    <w:rsid w:val="00110344"/>
    <w:rsid w:val="001138B0"/>
    <w:rsid w:val="001158DF"/>
    <w:rsid w:val="00116CFB"/>
    <w:rsid w:val="00127660"/>
    <w:rsid w:val="0013146D"/>
    <w:rsid w:val="00136F53"/>
    <w:rsid w:val="00136FA8"/>
    <w:rsid w:val="00142A4E"/>
    <w:rsid w:val="00146F91"/>
    <w:rsid w:val="00160DCC"/>
    <w:rsid w:val="001657F4"/>
    <w:rsid w:val="001737B7"/>
    <w:rsid w:val="001764F7"/>
    <w:rsid w:val="001768E2"/>
    <w:rsid w:val="0018061D"/>
    <w:rsid w:val="001825A7"/>
    <w:rsid w:val="00182D03"/>
    <w:rsid w:val="00184C46"/>
    <w:rsid w:val="00186D96"/>
    <w:rsid w:val="00191C0B"/>
    <w:rsid w:val="00194447"/>
    <w:rsid w:val="0019516A"/>
    <w:rsid w:val="00195479"/>
    <w:rsid w:val="001A1064"/>
    <w:rsid w:val="001B0D26"/>
    <w:rsid w:val="001B18C2"/>
    <w:rsid w:val="001B232C"/>
    <w:rsid w:val="001B4CC9"/>
    <w:rsid w:val="001C0535"/>
    <w:rsid w:val="001C05B2"/>
    <w:rsid w:val="001C17BE"/>
    <w:rsid w:val="001C4264"/>
    <w:rsid w:val="001C6C93"/>
    <w:rsid w:val="001D1385"/>
    <w:rsid w:val="001D52CB"/>
    <w:rsid w:val="001D58B3"/>
    <w:rsid w:val="001D6C48"/>
    <w:rsid w:val="001E2338"/>
    <w:rsid w:val="001E74A2"/>
    <w:rsid w:val="001E76FC"/>
    <w:rsid w:val="001F0BC4"/>
    <w:rsid w:val="001F4D66"/>
    <w:rsid w:val="00200F03"/>
    <w:rsid w:val="00204864"/>
    <w:rsid w:val="002052D8"/>
    <w:rsid w:val="00205DB4"/>
    <w:rsid w:val="00205EFC"/>
    <w:rsid w:val="00211FAE"/>
    <w:rsid w:val="00212787"/>
    <w:rsid w:val="00214451"/>
    <w:rsid w:val="00221123"/>
    <w:rsid w:val="00224E75"/>
    <w:rsid w:val="00226823"/>
    <w:rsid w:val="00227DC5"/>
    <w:rsid w:val="0023002B"/>
    <w:rsid w:val="00242408"/>
    <w:rsid w:val="00242890"/>
    <w:rsid w:val="00243514"/>
    <w:rsid w:val="002469F7"/>
    <w:rsid w:val="002563ED"/>
    <w:rsid w:val="0026049D"/>
    <w:rsid w:val="00263B55"/>
    <w:rsid w:val="002653BB"/>
    <w:rsid w:val="00267AB2"/>
    <w:rsid w:val="0027137C"/>
    <w:rsid w:val="00281365"/>
    <w:rsid w:val="00284027"/>
    <w:rsid w:val="002903CB"/>
    <w:rsid w:val="00291252"/>
    <w:rsid w:val="002915A8"/>
    <w:rsid w:val="00291981"/>
    <w:rsid w:val="00291F64"/>
    <w:rsid w:val="002A0707"/>
    <w:rsid w:val="002A17C4"/>
    <w:rsid w:val="002A349B"/>
    <w:rsid w:val="002A3665"/>
    <w:rsid w:val="002A4A76"/>
    <w:rsid w:val="002A5F58"/>
    <w:rsid w:val="002B4372"/>
    <w:rsid w:val="002C1999"/>
    <w:rsid w:val="002C3DCC"/>
    <w:rsid w:val="002D0F32"/>
    <w:rsid w:val="002D1B76"/>
    <w:rsid w:val="002D41B7"/>
    <w:rsid w:val="002D750B"/>
    <w:rsid w:val="003002D3"/>
    <w:rsid w:val="003079A2"/>
    <w:rsid w:val="00307A61"/>
    <w:rsid w:val="003111F0"/>
    <w:rsid w:val="00314E67"/>
    <w:rsid w:val="003160F4"/>
    <w:rsid w:val="00322BCE"/>
    <w:rsid w:val="00326F48"/>
    <w:rsid w:val="00336DB2"/>
    <w:rsid w:val="00342715"/>
    <w:rsid w:val="003555A1"/>
    <w:rsid w:val="0035631F"/>
    <w:rsid w:val="00361CF3"/>
    <w:rsid w:val="00362B7F"/>
    <w:rsid w:val="00364D74"/>
    <w:rsid w:val="00372D96"/>
    <w:rsid w:val="003759AE"/>
    <w:rsid w:val="00380A9A"/>
    <w:rsid w:val="00387CFB"/>
    <w:rsid w:val="003939EE"/>
    <w:rsid w:val="00394196"/>
    <w:rsid w:val="0039485C"/>
    <w:rsid w:val="00397835"/>
    <w:rsid w:val="00397C0A"/>
    <w:rsid w:val="003A63B9"/>
    <w:rsid w:val="003A7683"/>
    <w:rsid w:val="003B20F1"/>
    <w:rsid w:val="003B283B"/>
    <w:rsid w:val="003B2BA2"/>
    <w:rsid w:val="003B38AA"/>
    <w:rsid w:val="003B5456"/>
    <w:rsid w:val="003C4AF5"/>
    <w:rsid w:val="003C4EF8"/>
    <w:rsid w:val="003D05FE"/>
    <w:rsid w:val="003D35EF"/>
    <w:rsid w:val="003D3B49"/>
    <w:rsid w:val="003D3D9E"/>
    <w:rsid w:val="003D7FAF"/>
    <w:rsid w:val="003E0B8C"/>
    <w:rsid w:val="003E387D"/>
    <w:rsid w:val="003E6010"/>
    <w:rsid w:val="003E693F"/>
    <w:rsid w:val="003F1D4E"/>
    <w:rsid w:val="003F2CD5"/>
    <w:rsid w:val="003F2F97"/>
    <w:rsid w:val="003F4FF6"/>
    <w:rsid w:val="003F59AD"/>
    <w:rsid w:val="003F65E2"/>
    <w:rsid w:val="00402CA2"/>
    <w:rsid w:val="00411755"/>
    <w:rsid w:val="00413EED"/>
    <w:rsid w:val="00414A4C"/>
    <w:rsid w:val="004221CC"/>
    <w:rsid w:val="00422293"/>
    <w:rsid w:val="00425526"/>
    <w:rsid w:val="00426306"/>
    <w:rsid w:val="00427C97"/>
    <w:rsid w:val="00434AB9"/>
    <w:rsid w:val="00434C77"/>
    <w:rsid w:val="00440808"/>
    <w:rsid w:val="00443B8A"/>
    <w:rsid w:val="00444C4C"/>
    <w:rsid w:val="00444D44"/>
    <w:rsid w:val="004452E3"/>
    <w:rsid w:val="00461E3E"/>
    <w:rsid w:val="00464C86"/>
    <w:rsid w:val="00470409"/>
    <w:rsid w:val="0047417A"/>
    <w:rsid w:val="00477C1C"/>
    <w:rsid w:val="0048090F"/>
    <w:rsid w:val="00480C50"/>
    <w:rsid w:val="00486144"/>
    <w:rsid w:val="004929C8"/>
    <w:rsid w:val="00492EDB"/>
    <w:rsid w:val="00496EBA"/>
    <w:rsid w:val="004A7356"/>
    <w:rsid w:val="004A737C"/>
    <w:rsid w:val="004A7AEE"/>
    <w:rsid w:val="004A7C3A"/>
    <w:rsid w:val="004B7790"/>
    <w:rsid w:val="004C0FE5"/>
    <w:rsid w:val="004C4138"/>
    <w:rsid w:val="004C4D7B"/>
    <w:rsid w:val="004C6E55"/>
    <w:rsid w:val="004D1F3E"/>
    <w:rsid w:val="004E0268"/>
    <w:rsid w:val="004E16EC"/>
    <w:rsid w:val="004E21A8"/>
    <w:rsid w:val="004E2B3E"/>
    <w:rsid w:val="004E3528"/>
    <w:rsid w:val="004E3A5B"/>
    <w:rsid w:val="004E46A8"/>
    <w:rsid w:val="004F3783"/>
    <w:rsid w:val="004F7A13"/>
    <w:rsid w:val="005021B6"/>
    <w:rsid w:val="005024F6"/>
    <w:rsid w:val="00504096"/>
    <w:rsid w:val="00504A01"/>
    <w:rsid w:val="00505516"/>
    <w:rsid w:val="00507B8C"/>
    <w:rsid w:val="0051243D"/>
    <w:rsid w:val="00515BC0"/>
    <w:rsid w:val="00523686"/>
    <w:rsid w:val="00523996"/>
    <w:rsid w:val="00531900"/>
    <w:rsid w:val="00534CC2"/>
    <w:rsid w:val="00534E1F"/>
    <w:rsid w:val="00535FFB"/>
    <w:rsid w:val="0054017F"/>
    <w:rsid w:val="0054168C"/>
    <w:rsid w:val="00543013"/>
    <w:rsid w:val="005434EE"/>
    <w:rsid w:val="0054508A"/>
    <w:rsid w:val="005508F5"/>
    <w:rsid w:val="00560AD6"/>
    <w:rsid w:val="00561C94"/>
    <w:rsid w:val="005632D7"/>
    <w:rsid w:val="0056359E"/>
    <w:rsid w:val="00566858"/>
    <w:rsid w:val="00566AA5"/>
    <w:rsid w:val="00567A1B"/>
    <w:rsid w:val="0057117C"/>
    <w:rsid w:val="0057239E"/>
    <w:rsid w:val="005724ED"/>
    <w:rsid w:val="00575EED"/>
    <w:rsid w:val="00577829"/>
    <w:rsid w:val="005805C8"/>
    <w:rsid w:val="00581104"/>
    <w:rsid w:val="00584D4C"/>
    <w:rsid w:val="005876F8"/>
    <w:rsid w:val="00592C99"/>
    <w:rsid w:val="00593D2E"/>
    <w:rsid w:val="0059550E"/>
    <w:rsid w:val="00597449"/>
    <w:rsid w:val="005A07EF"/>
    <w:rsid w:val="005A196D"/>
    <w:rsid w:val="005A22B5"/>
    <w:rsid w:val="005A2AD2"/>
    <w:rsid w:val="005A68CF"/>
    <w:rsid w:val="005B04CB"/>
    <w:rsid w:val="005B0D29"/>
    <w:rsid w:val="005B4236"/>
    <w:rsid w:val="005B46EE"/>
    <w:rsid w:val="005B5D2D"/>
    <w:rsid w:val="005B7EAD"/>
    <w:rsid w:val="005C0D2A"/>
    <w:rsid w:val="005C119A"/>
    <w:rsid w:val="005C2810"/>
    <w:rsid w:val="005C6CC7"/>
    <w:rsid w:val="005C6FD3"/>
    <w:rsid w:val="005D060D"/>
    <w:rsid w:val="005D460E"/>
    <w:rsid w:val="005D4846"/>
    <w:rsid w:val="005D6008"/>
    <w:rsid w:val="005D652A"/>
    <w:rsid w:val="005E32A3"/>
    <w:rsid w:val="005E531B"/>
    <w:rsid w:val="005F54A5"/>
    <w:rsid w:val="005F7FD3"/>
    <w:rsid w:val="006139AA"/>
    <w:rsid w:val="006140BB"/>
    <w:rsid w:val="00616E48"/>
    <w:rsid w:val="00622A2D"/>
    <w:rsid w:val="00623940"/>
    <w:rsid w:val="00630FCB"/>
    <w:rsid w:val="0063400F"/>
    <w:rsid w:val="00637052"/>
    <w:rsid w:val="00637DD7"/>
    <w:rsid w:val="00643E56"/>
    <w:rsid w:val="00646EEC"/>
    <w:rsid w:val="00647030"/>
    <w:rsid w:val="00647038"/>
    <w:rsid w:val="006501DC"/>
    <w:rsid w:val="0065504C"/>
    <w:rsid w:val="006552FD"/>
    <w:rsid w:val="0065609C"/>
    <w:rsid w:val="006579F9"/>
    <w:rsid w:val="00657F8D"/>
    <w:rsid w:val="006600DC"/>
    <w:rsid w:val="00666847"/>
    <w:rsid w:val="00671031"/>
    <w:rsid w:val="006763EC"/>
    <w:rsid w:val="0067717C"/>
    <w:rsid w:val="006808D7"/>
    <w:rsid w:val="0068174F"/>
    <w:rsid w:val="00681787"/>
    <w:rsid w:val="00690AFD"/>
    <w:rsid w:val="00696261"/>
    <w:rsid w:val="0069782A"/>
    <w:rsid w:val="006A4EAA"/>
    <w:rsid w:val="006A6090"/>
    <w:rsid w:val="006B02D0"/>
    <w:rsid w:val="006B1950"/>
    <w:rsid w:val="006B1EE7"/>
    <w:rsid w:val="006B4FD1"/>
    <w:rsid w:val="006B7240"/>
    <w:rsid w:val="006B7B1B"/>
    <w:rsid w:val="006C29F2"/>
    <w:rsid w:val="006D698D"/>
    <w:rsid w:val="006E07C3"/>
    <w:rsid w:val="006E28A4"/>
    <w:rsid w:val="006E4A32"/>
    <w:rsid w:val="006F0D9E"/>
    <w:rsid w:val="006F289E"/>
    <w:rsid w:val="006F2CA5"/>
    <w:rsid w:val="006F396D"/>
    <w:rsid w:val="006F5B7B"/>
    <w:rsid w:val="006F6558"/>
    <w:rsid w:val="007008B5"/>
    <w:rsid w:val="00701383"/>
    <w:rsid w:val="00701551"/>
    <w:rsid w:val="007056EF"/>
    <w:rsid w:val="007074EA"/>
    <w:rsid w:val="007112FB"/>
    <w:rsid w:val="007200A7"/>
    <w:rsid w:val="007274A7"/>
    <w:rsid w:val="00732A09"/>
    <w:rsid w:val="007402B1"/>
    <w:rsid w:val="00742995"/>
    <w:rsid w:val="0074514B"/>
    <w:rsid w:val="007460DB"/>
    <w:rsid w:val="00746BC1"/>
    <w:rsid w:val="00750AF6"/>
    <w:rsid w:val="0075179F"/>
    <w:rsid w:val="00754C10"/>
    <w:rsid w:val="007551F4"/>
    <w:rsid w:val="00757CF0"/>
    <w:rsid w:val="007605C0"/>
    <w:rsid w:val="00761F77"/>
    <w:rsid w:val="007647C3"/>
    <w:rsid w:val="00765C42"/>
    <w:rsid w:val="00771B7B"/>
    <w:rsid w:val="00772D4D"/>
    <w:rsid w:val="007738AC"/>
    <w:rsid w:val="00774ED8"/>
    <w:rsid w:val="00782FDA"/>
    <w:rsid w:val="00785399"/>
    <w:rsid w:val="00793CC7"/>
    <w:rsid w:val="0079472F"/>
    <w:rsid w:val="007949E3"/>
    <w:rsid w:val="00794E1C"/>
    <w:rsid w:val="00795DA3"/>
    <w:rsid w:val="00796D74"/>
    <w:rsid w:val="007B31B6"/>
    <w:rsid w:val="007C07C5"/>
    <w:rsid w:val="007C2D6B"/>
    <w:rsid w:val="007D0DD1"/>
    <w:rsid w:val="007D135C"/>
    <w:rsid w:val="007D2AA2"/>
    <w:rsid w:val="007D31F4"/>
    <w:rsid w:val="007D4275"/>
    <w:rsid w:val="007E0816"/>
    <w:rsid w:val="007E3E7F"/>
    <w:rsid w:val="007E6BCE"/>
    <w:rsid w:val="007E6DF2"/>
    <w:rsid w:val="007F00D3"/>
    <w:rsid w:val="007F0D28"/>
    <w:rsid w:val="007F0D84"/>
    <w:rsid w:val="007F15F7"/>
    <w:rsid w:val="007F2174"/>
    <w:rsid w:val="007F556F"/>
    <w:rsid w:val="00802AF7"/>
    <w:rsid w:val="008031D6"/>
    <w:rsid w:val="00805F7C"/>
    <w:rsid w:val="00810910"/>
    <w:rsid w:val="0081158D"/>
    <w:rsid w:val="00811B34"/>
    <w:rsid w:val="00811CDA"/>
    <w:rsid w:val="00814D3F"/>
    <w:rsid w:val="00821A37"/>
    <w:rsid w:val="00822E71"/>
    <w:rsid w:val="008314D7"/>
    <w:rsid w:val="00831C5E"/>
    <w:rsid w:val="0083618B"/>
    <w:rsid w:val="008367AC"/>
    <w:rsid w:val="008405A0"/>
    <w:rsid w:val="00843DF6"/>
    <w:rsid w:val="00845BBE"/>
    <w:rsid w:val="008524D0"/>
    <w:rsid w:val="008549CE"/>
    <w:rsid w:val="00860B63"/>
    <w:rsid w:val="008634DC"/>
    <w:rsid w:val="00863940"/>
    <w:rsid w:val="00867B02"/>
    <w:rsid w:val="008741DB"/>
    <w:rsid w:val="00875E52"/>
    <w:rsid w:val="00881E5F"/>
    <w:rsid w:val="008829A4"/>
    <w:rsid w:val="00883FCB"/>
    <w:rsid w:val="008874F5"/>
    <w:rsid w:val="00891B74"/>
    <w:rsid w:val="0089503E"/>
    <w:rsid w:val="008A0BF5"/>
    <w:rsid w:val="008A2046"/>
    <w:rsid w:val="008A2A2F"/>
    <w:rsid w:val="008A6D95"/>
    <w:rsid w:val="008B1171"/>
    <w:rsid w:val="008B5152"/>
    <w:rsid w:val="008B5EA0"/>
    <w:rsid w:val="008B6EE1"/>
    <w:rsid w:val="008C0CA5"/>
    <w:rsid w:val="008C12A2"/>
    <w:rsid w:val="008C3CE8"/>
    <w:rsid w:val="008C6470"/>
    <w:rsid w:val="008D00A6"/>
    <w:rsid w:val="008D10DE"/>
    <w:rsid w:val="008D3DE9"/>
    <w:rsid w:val="008D54FE"/>
    <w:rsid w:val="008D639A"/>
    <w:rsid w:val="008E212A"/>
    <w:rsid w:val="008E23C2"/>
    <w:rsid w:val="008E328D"/>
    <w:rsid w:val="008E4FE2"/>
    <w:rsid w:val="008E5F8B"/>
    <w:rsid w:val="008E79DB"/>
    <w:rsid w:val="008F199D"/>
    <w:rsid w:val="008F1D0A"/>
    <w:rsid w:val="008F3933"/>
    <w:rsid w:val="008F4978"/>
    <w:rsid w:val="00900EA0"/>
    <w:rsid w:val="009031A2"/>
    <w:rsid w:val="0090367E"/>
    <w:rsid w:val="0090578F"/>
    <w:rsid w:val="00906027"/>
    <w:rsid w:val="00906194"/>
    <w:rsid w:val="009110F8"/>
    <w:rsid w:val="00915EB8"/>
    <w:rsid w:val="00921C9B"/>
    <w:rsid w:val="00921E9F"/>
    <w:rsid w:val="00923DCD"/>
    <w:rsid w:val="00927AA9"/>
    <w:rsid w:val="00930D55"/>
    <w:rsid w:val="00932118"/>
    <w:rsid w:val="00933610"/>
    <w:rsid w:val="00944F28"/>
    <w:rsid w:val="009523E9"/>
    <w:rsid w:val="00953DE1"/>
    <w:rsid w:val="00960E94"/>
    <w:rsid w:val="0096362C"/>
    <w:rsid w:val="00963FE9"/>
    <w:rsid w:val="009650BD"/>
    <w:rsid w:val="00966E9D"/>
    <w:rsid w:val="00967E69"/>
    <w:rsid w:val="00974757"/>
    <w:rsid w:val="00977579"/>
    <w:rsid w:val="00977961"/>
    <w:rsid w:val="009814EC"/>
    <w:rsid w:val="00983C32"/>
    <w:rsid w:val="009867C1"/>
    <w:rsid w:val="00992591"/>
    <w:rsid w:val="0099424C"/>
    <w:rsid w:val="009967CB"/>
    <w:rsid w:val="009A0DEA"/>
    <w:rsid w:val="009A1F1D"/>
    <w:rsid w:val="009A24AD"/>
    <w:rsid w:val="009A51F0"/>
    <w:rsid w:val="009B0BC4"/>
    <w:rsid w:val="009B3504"/>
    <w:rsid w:val="009B4402"/>
    <w:rsid w:val="009B5536"/>
    <w:rsid w:val="009C4B4E"/>
    <w:rsid w:val="009D3AE0"/>
    <w:rsid w:val="009D6AF9"/>
    <w:rsid w:val="009F02EC"/>
    <w:rsid w:val="009F05CF"/>
    <w:rsid w:val="009F09F1"/>
    <w:rsid w:val="009F40D9"/>
    <w:rsid w:val="009F475D"/>
    <w:rsid w:val="009F58A3"/>
    <w:rsid w:val="00A02258"/>
    <w:rsid w:val="00A0670F"/>
    <w:rsid w:val="00A07E52"/>
    <w:rsid w:val="00A108CC"/>
    <w:rsid w:val="00A134D8"/>
    <w:rsid w:val="00A15DFC"/>
    <w:rsid w:val="00A1766C"/>
    <w:rsid w:val="00A17F1A"/>
    <w:rsid w:val="00A22001"/>
    <w:rsid w:val="00A222A7"/>
    <w:rsid w:val="00A26386"/>
    <w:rsid w:val="00A31921"/>
    <w:rsid w:val="00A34ED8"/>
    <w:rsid w:val="00A36A65"/>
    <w:rsid w:val="00A372EE"/>
    <w:rsid w:val="00A45CD8"/>
    <w:rsid w:val="00A55ABB"/>
    <w:rsid w:val="00A56055"/>
    <w:rsid w:val="00A56B6D"/>
    <w:rsid w:val="00A65DD2"/>
    <w:rsid w:val="00A71A8D"/>
    <w:rsid w:val="00A71EF4"/>
    <w:rsid w:val="00A74327"/>
    <w:rsid w:val="00A76812"/>
    <w:rsid w:val="00A76B23"/>
    <w:rsid w:val="00A81584"/>
    <w:rsid w:val="00A86D47"/>
    <w:rsid w:val="00A944F3"/>
    <w:rsid w:val="00A97E15"/>
    <w:rsid w:val="00AA179C"/>
    <w:rsid w:val="00AA18AE"/>
    <w:rsid w:val="00AA2776"/>
    <w:rsid w:val="00AB4252"/>
    <w:rsid w:val="00AB508B"/>
    <w:rsid w:val="00AD2465"/>
    <w:rsid w:val="00AD6554"/>
    <w:rsid w:val="00AE22F2"/>
    <w:rsid w:val="00AE2392"/>
    <w:rsid w:val="00AE24DF"/>
    <w:rsid w:val="00AF328F"/>
    <w:rsid w:val="00B04ACF"/>
    <w:rsid w:val="00B104E7"/>
    <w:rsid w:val="00B33A06"/>
    <w:rsid w:val="00B34AF2"/>
    <w:rsid w:val="00B419F8"/>
    <w:rsid w:val="00B43B74"/>
    <w:rsid w:val="00B44DE2"/>
    <w:rsid w:val="00B50DEE"/>
    <w:rsid w:val="00B52DA2"/>
    <w:rsid w:val="00B52FBD"/>
    <w:rsid w:val="00B54D58"/>
    <w:rsid w:val="00B55D48"/>
    <w:rsid w:val="00B60D9B"/>
    <w:rsid w:val="00B61251"/>
    <w:rsid w:val="00B614E6"/>
    <w:rsid w:val="00B6214E"/>
    <w:rsid w:val="00B65AF4"/>
    <w:rsid w:val="00B65F77"/>
    <w:rsid w:val="00B72929"/>
    <w:rsid w:val="00B7451B"/>
    <w:rsid w:val="00B75A56"/>
    <w:rsid w:val="00B82F3D"/>
    <w:rsid w:val="00B92979"/>
    <w:rsid w:val="00B929A5"/>
    <w:rsid w:val="00B939A6"/>
    <w:rsid w:val="00B94955"/>
    <w:rsid w:val="00B97C33"/>
    <w:rsid w:val="00B97F73"/>
    <w:rsid w:val="00BA020D"/>
    <w:rsid w:val="00BA0C8A"/>
    <w:rsid w:val="00BA4901"/>
    <w:rsid w:val="00BA5F2A"/>
    <w:rsid w:val="00BB026F"/>
    <w:rsid w:val="00BB5370"/>
    <w:rsid w:val="00BB65C4"/>
    <w:rsid w:val="00BC4431"/>
    <w:rsid w:val="00BC6E2E"/>
    <w:rsid w:val="00BD2639"/>
    <w:rsid w:val="00BD4CC9"/>
    <w:rsid w:val="00BD4EB5"/>
    <w:rsid w:val="00BD5B6F"/>
    <w:rsid w:val="00BD620F"/>
    <w:rsid w:val="00BE0CD6"/>
    <w:rsid w:val="00BE364C"/>
    <w:rsid w:val="00BF2010"/>
    <w:rsid w:val="00BF4BCD"/>
    <w:rsid w:val="00BF688B"/>
    <w:rsid w:val="00C01120"/>
    <w:rsid w:val="00C04273"/>
    <w:rsid w:val="00C044F5"/>
    <w:rsid w:val="00C065B0"/>
    <w:rsid w:val="00C07936"/>
    <w:rsid w:val="00C1160A"/>
    <w:rsid w:val="00C11D42"/>
    <w:rsid w:val="00C12328"/>
    <w:rsid w:val="00C12A12"/>
    <w:rsid w:val="00C152A6"/>
    <w:rsid w:val="00C23DF7"/>
    <w:rsid w:val="00C25B4D"/>
    <w:rsid w:val="00C27BFD"/>
    <w:rsid w:val="00C3053E"/>
    <w:rsid w:val="00C4067A"/>
    <w:rsid w:val="00C41BC5"/>
    <w:rsid w:val="00C46454"/>
    <w:rsid w:val="00C57A19"/>
    <w:rsid w:val="00C62955"/>
    <w:rsid w:val="00C64A18"/>
    <w:rsid w:val="00C70A83"/>
    <w:rsid w:val="00C72F05"/>
    <w:rsid w:val="00C74BBA"/>
    <w:rsid w:val="00C835B2"/>
    <w:rsid w:val="00C85AC8"/>
    <w:rsid w:val="00C87EFC"/>
    <w:rsid w:val="00C90C12"/>
    <w:rsid w:val="00C937E3"/>
    <w:rsid w:val="00CA1941"/>
    <w:rsid w:val="00CB10E5"/>
    <w:rsid w:val="00CB5CC4"/>
    <w:rsid w:val="00CC0E6A"/>
    <w:rsid w:val="00CC4171"/>
    <w:rsid w:val="00CC4385"/>
    <w:rsid w:val="00CD4639"/>
    <w:rsid w:val="00CD5F76"/>
    <w:rsid w:val="00CD6411"/>
    <w:rsid w:val="00CE27BF"/>
    <w:rsid w:val="00CE653A"/>
    <w:rsid w:val="00CF35FC"/>
    <w:rsid w:val="00CF53C8"/>
    <w:rsid w:val="00CF5F66"/>
    <w:rsid w:val="00D00275"/>
    <w:rsid w:val="00D033AB"/>
    <w:rsid w:val="00D0410B"/>
    <w:rsid w:val="00D0422F"/>
    <w:rsid w:val="00D06776"/>
    <w:rsid w:val="00D06A85"/>
    <w:rsid w:val="00D14053"/>
    <w:rsid w:val="00D15664"/>
    <w:rsid w:val="00D160F1"/>
    <w:rsid w:val="00D215F3"/>
    <w:rsid w:val="00D23740"/>
    <w:rsid w:val="00D32E3B"/>
    <w:rsid w:val="00D33B62"/>
    <w:rsid w:val="00D345E7"/>
    <w:rsid w:val="00D350C8"/>
    <w:rsid w:val="00D40A15"/>
    <w:rsid w:val="00D40BA4"/>
    <w:rsid w:val="00D4227C"/>
    <w:rsid w:val="00D502B8"/>
    <w:rsid w:val="00D56136"/>
    <w:rsid w:val="00D6014F"/>
    <w:rsid w:val="00D606E2"/>
    <w:rsid w:val="00D62387"/>
    <w:rsid w:val="00D62A5F"/>
    <w:rsid w:val="00D67C7B"/>
    <w:rsid w:val="00D71342"/>
    <w:rsid w:val="00D7251F"/>
    <w:rsid w:val="00D7472A"/>
    <w:rsid w:val="00D83969"/>
    <w:rsid w:val="00D84D1C"/>
    <w:rsid w:val="00D92D5B"/>
    <w:rsid w:val="00D93206"/>
    <w:rsid w:val="00D95007"/>
    <w:rsid w:val="00D97EA9"/>
    <w:rsid w:val="00DA0BA0"/>
    <w:rsid w:val="00DA21B4"/>
    <w:rsid w:val="00DA6571"/>
    <w:rsid w:val="00DB4472"/>
    <w:rsid w:val="00DB4A7C"/>
    <w:rsid w:val="00DB564E"/>
    <w:rsid w:val="00DB69D2"/>
    <w:rsid w:val="00DC543D"/>
    <w:rsid w:val="00DC7A11"/>
    <w:rsid w:val="00DC7FAC"/>
    <w:rsid w:val="00DD3CE5"/>
    <w:rsid w:val="00DD64AF"/>
    <w:rsid w:val="00DD7D2B"/>
    <w:rsid w:val="00DE1B14"/>
    <w:rsid w:val="00DE25EF"/>
    <w:rsid w:val="00DE4878"/>
    <w:rsid w:val="00DE4C44"/>
    <w:rsid w:val="00DE4F63"/>
    <w:rsid w:val="00DE59B3"/>
    <w:rsid w:val="00DF2441"/>
    <w:rsid w:val="00DF29AB"/>
    <w:rsid w:val="00DF3929"/>
    <w:rsid w:val="00DF4971"/>
    <w:rsid w:val="00DF76D7"/>
    <w:rsid w:val="00E0179A"/>
    <w:rsid w:val="00E01B2D"/>
    <w:rsid w:val="00E06D7D"/>
    <w:rsid w:val="00E07AE2"/>
    <w:rsid w:val="00E1002C"/>
    <w:rsid w:val="00E12B0C"/>
    <w:rsid w:val="00E17B8F"/>
    <w:rsid w:val="00E2126D"/>
    <w:rsid w:val="00E21B91"/>
    <w:rsid w:val="00E2261E"/>
    <w:rsid w:val="00E30A3C"/>
    <w:rsid w:val="00E32722"/>
    <w:rsid w:val="00E3526B"/>
    <w:rsid w:val="00E37047"/>
    <w:rsid w:val="00E435F2"/>
    <w:rsid w:val="00E44B09"/>
    <w:rsid w:val="00E45BEF"/>
    <w:rsid w:val="00E46012"/>
    <w:rsid w:val="00E53230"/>
    <w:rsid w:val="00E53AE5"/>
    <w:rsid w:val="00E54FA7"/>
    <w:rsid w:val="00E568E7"/>
    <w:rsid w:val="00E602DF"/>
    <w:rsid w:val="00E62608"/>
    <w:rsid w:val="00E65473"/>
    <w:rsid w:val="00E66299"/>
    <w:rsid w:val="00E70827"/>
    <w:rsid w:val="00E70DF7"/>
    <w:rsid w:val="00E71C7E"/>
    <w:rsid w:val="00E752BD"/>
    <w:rsid w:val="00E80D97"/>
    <w:rsid w:val="00E81A13"/>
    <w:rsid w:val="00E82F78"/>
    <w:rsid w:val="00E83F3B"/>
    <w:rsid w:val="00E855C2"/>
    <w:rsid w:val="00E918FA"/>
    <w:rsid w:val="00E94287"/>
    <w:rsid w:val="00E97693"/>
    <w:rsid w:val="00EA3B47"/>
    <w:rsid w:val="00EA7B88"/>
    <w:rsid w:val="00EB6E7A"/>
    <w:rsid w:val="00EC1BD8"/>
    <w:rsid w:val="00EC2AB1"/>
    <w:rsid w:val="00EC423F"/>
    <w:rsid w:val="00EC63E2"/>
    <w:rsid w:val="00EC69E1"/>
    <w:rsid w:val="00EC6D2D"/>
    <w:rsid w:val="00ED2941"/>
    <w:rsid w:val="00ED65ED"/>
    <w:rsid w:val="00EE25F5"/>
    <w:rsid w:val="00EE278E"/>
    <w:rsid w:val="00EE3AEB"/>
    <w:rsid w:val="00EE4363"/>
    <w:rsid w:val="00EF0FE0"/>
    <w:rsid w:val="00EF2BED"/>
    <w:rsid w:val="00EF64A8"/>
    <w:rsid w:val="00F01EBA"/>
    <w:rsid w:val="00F024B3"/>
    <w:rsid w:val="00F051B3"/>
    <w:rsid w:val="00F06136"/>
    <w:rsid w:val="00F21A6E"/>
    <w:rsid w:val="00F226CE"/>
    <w:rsid w:val="00F24CCC"/>
    <w:rsid w:val="00F3080D"/>
    <w:rsid w:val="00F31ACB"/>
    <w:rsid w:val="00F33BFD"/>
    <w:rsid w:val="00F44F7C"/>
    <w:rsid w:val="00F4567B"/>
    <w:rsid w:val="00F47577"/>
    <w:rsid w:val="00F5294A"/>
    <w:rsid w:val="00F533AD"/>
    <w:rsid w:val="00F534B9"/>
    <w:rsid w:val="00F61E0A"/>
    <w:rsid w:val="00F671B2"/>
    <w:rsid w:val="00F673C4"/>
    <w:rsid w:val="00F7022D"/>
    <w:rsid w:val="00F70FF1"/>
    <w:rsid w:val="00F73B1E"/>
    <w:rsid w:val="00F74BB3"/>
    <w:rsid w:val="00F81B41"/>
    <w:rsid w:val="00F82F52"/>
    <w:rsid w:val="00F83F52"/>
    <w:rsid w:val="00F84C0F"/>
    <w:rsid w:val="00F87901"/>
    <w:rsid w:val="00F91945"/>
    <w:rsid w:val="00F955CF"/>
    <w:rsid w:val="00F9673A"/>
    <w:rsid w:val="00FA0AD4"/>
    <w:rsid w:val="00FA27F5"/>
    <w:rsid w:val="00FA7B89"/>
    <w:rsid w:val="00FB19F4"/>
    <w:rsid w:val="00FB1F36"/>
    <w:rsid w:val="00FB4732"/>
    <w:rsid w:val="00FB72FC"/>
    <w:rsid w:val="00FC2BAB"/>
    <w:rsid w:val="00FC3325"/>
    <w:rsid w:val="00FD1A59"/>
    <w:rsid w:val="00FD1EF9"/>
    <w:rsid w:val="00FD7E01"/>
    <w:rsid w:val="00FF1B46"/>
    <w:rsid w:val="00FF2067"/>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es-ES"/>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aliases w:val=" Char"/>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es-ES" w:eastAsia="es-ES" w:bidi="es-ES"/>
    </w:rPr>
  </w:style>
  <w:style w:type="character" w:customStyle="1" w:styleId="Heading2Char">
    <w:name w:val="Heading 2 Char"/>
    <w:aliases w:val=" Char Char"/>
    <w:link w:val="Heading2"/>
    <w:locked/>
    <w:rsid w:val="003B283B"/>
    <w:rPr>
      <w:rFonts w:ascii="Times New Roman" w:eastAsia="Times New Roman" w:hAnsi="Times New Roman"/>
      <w:sz w:val="22"/>
      <w:szCs w:val="22"/>
      <w:lang w:val="es-ES" w:eastAsia="es-ES" w:bidi="es-ES"/>
    </w:rPr>
  </w:style>
  <w:style w:type="character" w:customStyle="1" w:styleId="Heading3Char">
    <w:name w:val="Heading 3 Char"/>
    <w:link w:val="Heading3"/>
    <w:locked/>
    <w:rsid w:val="003B283B"/>
    <w:rPr>
      <w:rFonts w:ascii="Times New Roman" w:eastAsia="Times New Roman" w:hAnsi="Times New Roman"/>
      <w:sz w:val="22"/>
      <w:szCs w:val="22"/>
      <w:lang w:eastAsia="es-ES" w:bidi="es-ES"/>
    </w:rPr>
  </w:style>
  <w:style w:type="character" w:customStyle="1" w:styleId="Heading4Char">
    <w:name w:val="Heading 4 Char"/>
    <w:link w:val="Heading4"/>
    <w:locked/>
    <w:rsid w:val="003B283B"/>
    <w:rPr>
      <w:rFonts w:ascii="Times New Roman" w:eastAsia="Times New Roman" w:hAnsi="Times New Roman"/>
      <w:sz w:val="22"/>
      <w:szCs w:val="22"/>
      <w:lang w:val="es-ES" w:eastAsia="es-ES" w:bidi="es-ES"/>
    </w:rPr>
  </w:style>
  <w:style w:type="character" w:customStyle="1" w:styleId="Heading5Char">
    <w:name w:val="Heading 5 Char"/>
    <w:link w:val="Heading5"/>
    <w:locked/>
    <w:rsid w:val="003B283B"/>
    <w:rPr>
      <w:rFonts w:ascii="Times New Roman" w:eastAsia="Times New Roman" w:hAnsi="Times New Roman"/>
      <w:sz w:val="22"/>
      <w:szCs w:val="22"/>
      <w:lang w:val="es-ES" w:eastAsia="es-ES" w:bidi="es-ES"/>
    </w:rPr>
  </w:style>
  <w:style w:type="character" w:customStyle="1" w:styleId="Heading6Char">
    <w:name w:val="Heading 6 Char"/>
    <w:link w:val="Heading6"/>
    <w:locked/>
    <w:rsid w:val="003B283B"/>
    <w:rPr>
      <w:rFonts w:ascii="Times New Roman" w:eastAsia="Times New Roman" w:hAnsi="Times New Roman"/>
      <w:sz w:val="22"/>
      <w:szCs w:val="22"/>
      <w:lang w:val="es-ES" w:eastAsia="es-ES" w:bidi="es-ES"/>
    </w:rPr>
  </w:style>
  <w:style w:type="character" w:customStyle="1" w:styleId="Heading7Char">
    <w:name w:val="Heading 7 Char"/>
    <w:link w:val="Heading7"/>
    <w:locked/>
    <w:rsid w:val="003B283B"/>
    <w:rPr>
      <w:rFonts w:ascii="Times New Roman" w:eastAsia="Times New Roman" w:hAnsi="Times New Roman"/>
      <w:sz w:val="22"/>
      <w:szCs w:val="22"/>
      <w:lang w:val="es-ES" w:eastAsia="es-ES" w:bidi="es-ES"/>
    </w:rPr>
  </w:style>
  <w:style w:type="character" w:customStyle="1" w:styleId="Heading8Char">
    <w:name w:val="Heading 8 Char"/>
    <w:link w:val="Heading8"/>
    <w:locked/>
    <w:rsid w:val="003B283B"/>
    <w:rPr>
      <w:rFonts w:ascii="Times New Roman" w:eastAsia="Times New Roman" w:hAnsi="Times New Roman"/>
      <w:sz w:val="22"/>
      <w:szCs w:val="22"/>
      <w:lang w:val="es-ES" w:eastAsia="es-ES" w:bidi="es-ES"/>
    </w:rPr>
  </w:style>
  <w:style w:type="character" w:customStyle="1" w:styleId="Heading9Char">
    <w:name w:val="Heading 9 Char"/>
    <w:link w:val="Heading9"/>
    <w:locked/>
    <w:rsid w:val="003B283B"/>
    <w:rPr>
      <w:rFonts w:ascii="Times New Roman" w:eastAsia="Times New Roman" w:hAnsi="Times New Roman"/>
      <w:sz w:val="22"/>
      <w:szCs w:val="22"/>
      <w:lang w:val="es-ES" w:eastAsia="es-ES" w:bidi="es-ES"/>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lang w:eastAsia="es-ES" w:bidi="es-ES"/>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es-ES" w:eastAsia="es-ES" w:bidi="es-ES"/>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es-ES" w:bidi="es-ES"/>
    </w:rPr>
  </w:style>
  <w:style w:type="character" w:styleId="FootnoteReference">
    <w:name w:val="footnote reference"/>
    <w:aliases w:val="Footnote Reference Superscript,Footnote symbol,SUPERS,Times 10 Point,Exposant 3 Point"/>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ta">
    <w:name w:val="List Data"/>
    <w:uiPriority w:val="99"/>
    <w:rsid w:val="001E74A2"/>
    <w:pPr>
      <w:widowControl w:val="0"/>
      <w:suppressAutoHyphens/>
      <w:autoSpaceDE w:val="0"/>
    </w:pPr>
    <w:rPr>
      <w:rFonts w:ascii="Arial" w:eastAsia="SimSun" w:hAnsi="Arial" w:cs="Arial"/>
      <w:b/>
      <w:bCs/>
      <w:color w:val="000000"/>
      <w:sz w:val="18"/>
      <w:szCs w:val="18"/>
    </w:rPr>
  </w:style>
  <w:style w:type="paragraph" w:styleId="BalloonText">
    <w:name w:val="Balloon Text"/>
    <w:basedOn w:val="Normal"/>
    <w:link w:val="BalloonTextChar"/>
    <w:rsid w:val="00BE0C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E0CD6"/>
    <w:rPr>
      <w:rFonts w:ascii="Tahoma" w:eastAsia="Times New Roman" w:hAnsi="Tahoma" w:cs="Tahoma"/>
      <w:sz w:val="16"/>
      <w:szCs w:val="16"/>
      <w:lang w:eastAsia="es-ES" w:bidi="es-ES"/>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es-ES"/>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aliases w:val=" Char"/>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es-ES" w:eastAsia="es-ES" w:bidi="es-ES"/>
    </w:rPr>
  </w:style>
  <w:style w:type="character" w:customStyle="1" w:styleId="Heading2Char">
    <w:name w:val="Heading 2 Char"/>
    <w:aliases w:val=" Char Char"/>
    <w:link w:val="Heading2"/>
    <w:locked/>
    <w:rsid w:val="003B283B"/>
    <w:rPr>
      <w:rFonts w:ascii="Times New Roman" w:eastAsia="Times New Roman" w:hAnsi="Times New Roman"/>
      <w:sz w:val="22"/>
      <w:szCs w:val="22"/>
      <w:lang w:val="es-ES" w:eastAsia="es-ES" w:bidi="es-ES"/>
    </w:rPr>
  </w:style>
  <w:style w:type="character" w:customStyle="1" w:styleId="Heading3Char">
    <w:name w:val="Heading 3 Char"/>
    <w:link w:val="Heading3"/>
    <w:locked/>
    <w:rsid w:val="003B283B"/>
    <w:rPr>
      <w:rFonts w:ascii="Times New Roman" w:eastAsia="Times New Roman" w:hAnsi="Times New Roman"/>
      <w:sz w:val="22"/>
      <w:szCs w:val="22"/>
      <w:lang w:eastAsia="es-ES" w:bidi="es-ES"/>
    </w:rPr>
  </w:style>
  <w:style w:type="character" w:customStyle="1" w:styleId="Heading4Char">
    <w:name w:val="Heading 4 Char"/>
    <w:link w:val="Heading4"/>
    <w:locked/>
    <w:rsid w:val="003B283B"/>
    <w:rPr>
      <w:rFonts w:ascii="Times New Roman" w:eastAsia="Times New Roman" w:hAnsi="Times New Roman"/>
      <w:sz w:val="22"/>
      <w:szCs w:val="22"/>
      <w:lang w:val="es-ES" w:eastAsia="es-ES" w:bidi="es-ES"/>
    </w:rPr>
  </w:style>
  <w:style w:type="character" w:customStyle="1" w:styleId="Heading5Char">
    <w:name w:val="Heading 5 Char"/>
    <w:link w:val="Heading5"/>
    <w:locked/>
    <w:rsid w:val="003B283B"/>
    <w:rPr>
      <w:rFonts w:ascii="Times New Roman" w:eastAsia="Times New Roman" w:hAnsi="Times New Roman"/>
      <w:sz w:val="22"/>
      <w:szCs w:val="22"/>
      <w:lang w:val="es-ES" w:eastAsia="es-ES" w:bidi="es-ES"/>
    </w:rPr>
  </w:style>
  <w:style w:type="character" w:customStyle="1" w:styleId="Heading6Char">
    <w:name w:val="Heading 6 Char"/>
    <w:link w:val="Heading6"/>
    <w:locked/>
    <w:rsid w:val="003B283B"/>
    <w:rPr>
      <w:rFonts w:ascii="Times New Roman" w:eastAsia="Times New Roman" w:hAnsi="Times New Roman"/>
      <w:sz w:val="22"/>
      <w:szCs w:val="22"/>
      <w:lang w:val="es-ES" w:eastAsia="es-ES" w:bidi="es-ES"/>
    </w:rPr>
  </w:style>
  <w:style w:type="character" w:customStyle="1" w:styleId="Heading7Char">
    <w:name w:val="Heading 7 Char"/>
    <w:link w:val="Heading7"/>
    <w:locked/>
    <w:rsid w:val="003B283B"/>
    <w:rPr>
      <w:rFonts w:ascii="Times New Roman" w:eastAsia="Times New Roman" w:hAnsi="Times New Roman"/>
      <w:sz w:val="22"/>
      <w:szCs w:val="22"/>
      <w:lang w:val="es-ES" w:eastAsia="es-ES" w:bidi="es-ES"/>
    </w:rPr>
  </w:style>
  <w:style w:type="character" w:customStyle="1" w:styleId="Heading8Char">
    <w:name w:val="Heading 8 Char"/>
    <w:link w:val="Heading8"/>
    <w:locked/>
    <w:rsid w:val="003B283B"/>
    <w:rPr>
      <w:rFonts w:ascii="Times New Roman" w:eastAsia="Times New Roman" w:hAnsi="Times New Roman"/>
      <w:sz w:val="22"/>
      <w:szCs w:val="22"/>
      <w:lang w:val="es-ES" w:eastAsia="es-ES" w:bidi="es-ES"/>
    </w:rPr>
  </w:style>
  <w:style w:type="character" w:customStyle="1" w:styleId="Heading9Char">
    <w:name w:val="Heading 9 Char"/>
    <w:link w:val="Heading9"/>
    <w:locked/>
    <w:rsid w:val="003B283B"/>
    <w:rPr>
      <w:rFonts w:ascii="Times New Roman" w:eastAsia="Times New Roman" w:hAnsi="Times New Roman"/>
      <w:sz w:val="22"/>
      <w:szCs w:val="22"/>
      <w:lang w:val="es-ES" w:eastAsia="es-ES" w:bidi="es-ES"/>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lang w:eastAsia="es-ES" w:bidi="es-ES"/>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es-ES" w:eastAsia="es-ES" w:bidi="es-ES"/>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es-ES" w:bidi="es-ES"/>
    </w:rPr>
  </w:style>
  <w:style w:type="character" w:styleId="FootnoteReference">
    <w:name w:val="footnote reference"/>
    <w:aliases w:val="Footnote Reference Superscript,Footnote symbol,SUPERS,Times 10 Point,Exposant 3 Point"/>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ta">
    <w:name w:val="List Data"/>
    <w:uiPriority w:val="99"/>
    <w:rsid w:val="001E74A2"/>
    <w:pPr>
      <w:widowControl w:val="0"/>
      <w:suppressAutoHyphens/>
      <w:autoSpaceDE w:val="0"/>
    </w:pPr>
    <w:rPr>
      <w:rFonts w:ascii="Arial" w:eastAsia="SimSun" w:hAnsi="Arial" w:cs="Arial"/>
      <w:b/>
      <w:bCs/>
      <w:color w:val="000000"/>
      <w:sz w:val="18"/>
      <w:szCs w:val="18"/>
    </w:rPr>
  </w:style>
  <w:style w:type="paragraph" w:styleId="BalloonText">
    <w:name w:val="Balloon Text"/>
    <w:basedOn w:val="Normal"/>
    <w:link w:val="BalloonTextChar"/>
    <w:rsid w:val="00BE0C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E0CD6"/>
    <w:rPr>
      <w:rFonts w:ascii="Tahoma" w:eastAsia="Times New Roman" w:hAnsi="Tahoma" w:cs="Tahoma"/>
      <w:sz w:val="16"/>
      <w:szCs w:val="16"/>
      <w:lang w:eastAsia="es-ES" w:bidi="es-ES"/>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5396564">
      <w:bodyDiv w:val="1"/>
      <w:marLeft w:val="0"/>
      <w:marRight w:val="0"/>
      <w:marTop w:val="0"/>
      <w:marBottom w:val="0"/>
      <w:divBdr>
        <w:top w:val="none" w:sz="0" w:space="0" w:color="auto"/>
        <w:left w:val="none" w:sz="0" w:space="0" w:color="auto"/>
        <w:bottom w:val="none" w:sz="0" w:space="0" w:color="auto"/>
        <w:right w:val="none" w:sz="0" w:space="0" w:color="auto"/>
      </w:divBdr>
    </w:div>
    <w:div w:id="318072176">
      <w:bodyDiv w:val="1"/>
      <w:marLeft w:val="0"/>
      <w:marRight w:val="0"/>
      <w:marTop w:val="0"/>
      <w:marBottom w:val="0"/>
      <w:divBdr>
        <w:top w:val="none" w:sz="0" w:space="0" w:color="auto"/>
        <w:left w:val="none" w:sz="0" w:space="0" w:color="auto"/>
        <w:bottom w:val="none" w:sz="0" w:space="0" w:color="auto"/>
        <w:right w:val="none" w:sz="0" w:space="0" w:color="auto"/>
      </w:divBdr>
    </w:div>
    <w:div w:id="434639345">
      <w:bodyDiv w:val="1"/>
      <w:marLeft w:val="0"/>
      <w:marRight w:val="0"/>
      <w:marTop w:val="0"/>
      <w:marBottom w:val="0"/>
      <w:divBdr>
        <w:top w:val="none" w:sz="0" w:space="0" w:color="auto"/>
        <w:left w:val="none" w:sz="0" w:space="0" w:color="auto"/>
        <w:bottom w:val="none" w:sz="0" w:space="0" w:color="auto"/>
        <w:right w:val="none" w:sz="0" w:space="0" w:color="auto"/>
      </w:divBdr>
    </w:div>
    <w:div w:id="570434624">
      <w:bodyDiv w:val="1"/>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775488180">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861822677">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file:///C:\Users\aleo\AppData\Local\Temp\janine.borg@eesc.europa.eu" TargetMode="External"/><Relationship Id="rId39" Type="http://schemas.openxmlformats.org/officeDocument/2006/relationships/hyperlink" Target="mailto:Rafael.BellonGomez@eesc.europa.eu"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mailto:ana.dumitrache@eesc.europa.eu"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claudia.drewes-wran@eesc.europa.eu" TargetMode="External"/><Relationship Id="rId33" Type="http://schemas.openxmlformats.org/officeDocument/2006/relationships/hyperlink" Target="mailto:tzonka.iotzova@eesc.europa.eu" TargetMode="External"/><Relationship Id="rId38" Type="http://schemas.openxmlformats.org/officeDocument/2006/relationships/hyperlink" Target="mailto:Kristian.Krieger@eesc.europa.eu" TargetMode="External"/><Relationship Id="rId46"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eesc.europa.eu/?i=portal.fr.opinions-search" TargetMode="External"/><Relationship Id="rId20" Type="http://schemas.openxmlformats.org/officeDocument/2006/relationships/footer" Target="footer3.xml"/><Relationship Id="rId29" Type="http://schemas.openxmlformats.org/officeDocument/2006/relationships/hyperlink" Target="mailto:alina.girbea@eesc.europa.eu"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laudia.drewes-wran@eesc.europa.eu" TargetMode="External"/><Relationship Id="rId32" Type="http://schemas.openxmlformats.org/officeDocument/2006/relationships/hyperlink" Target="mailto:Tzonka.Iotzova@eesc.europa.eu" TargetMode="External"/><Relationship Id="rId37" Type="http://schemas.openxmlformats.org/officeDocument/2006/relationships/hyperlink" Target="mailto:fabien.porcher@eesc.europa.eu" TargetMode="External"/><Relationship Id="rId40" Type="http://schemas.openxmlformats.org/officeDocument/2006/relationships/hyperlink" Target="mailto:Javier.FernandezAdmetlla@eesc.europa.eu" TargetMode="External"/><Relationship Id="rId45"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eesc.europa.eu/?i=portal.fr.documents" TargetMode="External"/><Relationship Id="rId23" Type="http://schemas.openxmlformats.org/officeDocument/2006/relationships/hyperlink" Target="mailto:siegfried.jantscher@eesc.europa.eu" TargetMode="External"/><Relationship Id="rId28" Type="http://schemas.openxmlformats.org/officeDocument/2006/relationships/hyperlink" Target="mailto:luis.lobo@eesc.europa.eu" TargetMode="External"/><Relationship Id="rId36" Type="http://schemas.openxmlformats.org/officeDocument/2006/relationships/hyperlink" Target="mailto:Johannes.kind@eesc.europa.eu"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lice.tetu@eesc.europa.eu"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file:///C:\Users\aleo\AppData\Local\Temp\janine.borg@eesc.europa.eu" TargetMode="External"/><Relationship Id="rId30" Type="http://schemas.openxmlformats.org/officeDocument/2006/relationships/hyperlink" Target="mailto:claudia.dreweswran@eesc.europa.eu" TargetMode="External"/><Relationship Id="rId35" Type="http://schemas.openxmlformats.org/officeDocument/2006/relationships/hyperlink" Target="mailto:annemarie.wiersma@eesc.europa.eu" TargetMode="External"/><Relationship Id="rId43" Type="http://schemas.openxmlformats.org/officeDocument/2006/relationships/footer" Target="footer5.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3XPXQ63Y2AW3-4-8500</_dlc_DocId>
    <_dlc_DocIdUrl xmlns="8835a8a4-5a07-4207-ac1e-223f88a8f7af">
      <Url>http://dm/EESC/2016/_layouts/DocIdRedir.aspx?ID=3XPXQ63Y2AW3-4-8500</Url>
      <Description>3XPXQ63Y2AW3-4-8500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e4cff7e-4e20-4eb3-a3d2-f9b81ff3cdf6">516</MeetingNumber>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2016-05-18T12:00:00+00:00</ProductionDate>
    <FicheYear xmlns="8835a8a4-5a07-4207-ac1e-223f88a8f7af">2016</FicheYear>
    <DocumentNumber xmlns="de4cff7e-4e20-4eb3-a3d2-f9b81ff3cdf6">1882</DocumentNumbe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TaxCatchAll xmlns="8835a8a4-5a07-4207-ac1e-223f88a8f7af">
      <Value>40</Value>
      <Value>39</Value>
      <Value>38</Value>
      <Value>37</Value>
      <Value>36</Value>
      <Value>35</Value>
      <Value>34</Value>
      <Value>33</Value>
      <Value>28</Value>
      <Value>71</Value>
      <Value>26</Value>
      <Value>25</Value>
      <Value>24</Value>
      <Value>23</Value>
      <Value>22</Value>
      <Value>21</Value>
      <Value>20</Value>
      <Value>19</Value>
      <Value>18</Value>
      <Value>17</Value>
      <Value>16</Value>
      <Value>15</Value>
      <Value>10</Value>
      <Value>6</Value>
      <Value>5</Value>
      <Value>4</Value>
      <Value>2</Value>
      <Value>1</Value>
    </TaxCatchAll>
    <MeetingDate xmlns="8835a8a4-5a07-4207-ac1e-223f88a8f7af">2016-04-27T12:00:00+00:00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DocumentYear xmlns="8835a8a4-5a07-4207-ac1e-223f88a8f7af">2016</DocumentYear>
    <FicheNumber xmlns="8835a8a4-5a07-4207-ac1e-223f88a8f7af">4757</FicheNumber>
    <DocumentPart xmlns="8835a8a4-5a07-4207-ac1e-223f88a8f7af">0</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125E4F99FF85F041A9387D78E8B8EE2D" ma:contentTypeVersion="4" ma:contentTypeDescription="Defines the documents for Document Manager V2" ma:contentTypeScope="" ma:versionID="e160df8343e79264e1beb3e8ab67aed6">
  <xsd:schema xmlns:xsd="http://www.w3.org/2001/XMLSchema" xmlns:xs="http://www.w3.org/2001/XMLSchema" xmlns:p="http://schemas.microsoft.com/office/2006/metadata/properties" xmlns:ns2="8835a8a4-5a07-4207-ac1e-223f88a8f7af" xmlns:ns3="http://schemas.microsoft.com/sharepoint/v3/fields" xmlns:ns4="de4cff7e-4e20-4eb3-a3d2-f9b81ff3cdf6" targetNamespace="http://schemas.microsoft.com/office/2006/metadata/properties" ma:root="true" ma:fieldsID="faef69ccf12077eadfc45ec2785a4fb4" ns2:_="" ns3:_="" ns4:_="">
    <xsd:import namespace="8835a8a4-5a07-4207-ac1e-223f88a8f7af"/>
    <xsd:import namespace="http://schemas.microsoft.com/sharepoint/v3/fields"/>
    <xsd:import namespace="de4cff7e-4e20-4eb3-a3d2-f9b81ff3cdf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ff7e-4e20-4eb3-a3d2-f9b81ff3cdf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file>

<file path=customXml/itemProps2.xml><?xml version="1.0" encoding="utf-8"?>
<ds:datastoreItem xmlns:ds="http://schemas.openxmlformats.org/officeDocument/2006/customXml" ds:itemID="{27172C6D-F210-4BCC-96B9-D59A42C1E6F5}"/>
</file>

<file path=customXml/itemProps3.xml><?xml version="1.0" encoding="utf-8"?>
<ds:datastoreItem xmlns:ds="http://schemas.openxmlformats.org/officeDocument/2006/customXml" ds:itemID="{37077B2E-4B45-4B06-A3D2-1E854F197FCC}"/>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C4E2BF9C-535D-406A-9734-E704C5055FEC}"/>
</file>

<file path=docProps/app.xml><?xml version="1.0" encoding="utf-8"?>
<Properties xmlns="http://schemas.openxmlformats.org/officeDocument/2006/extended-properties" xmlns:vt="http://schemas.openxmlformats.org/officeDocument/2006/docPropsVTypes">
  <Template>Styles</Template>
  <TotalTime>1</TotalTime>
  <Pages>2</Pages>
  <Words>5437</Words>
  <Characters>30188</Characters>
  <Application>Microsoft Office Word</Application>
  <DocSecurity>0</DocSecurity>
  <Lines>761</Lines>
  <Paragraphs>256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Note de synthèse - 510e Session plénière des 16 &amp; 17 septembre 2015</vt:lpstr>
      <vt:lpstr> </vt:lpstr>
    </vt:vector>
  </TitlesOfParts>
  <Company>CESE-CdR</Company>
  <LinksUpToDate>false</LinksUpToDate>
  <CharactersWithSpaces>35512</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síntesis - 516º Pleno - 27 y 28 de abril de 2016</dc:title>
  <dc:subject>Trabajos consultivos/varios</dc:subject>
  <dc:creator/>
  <cp:keywords>EESC-2016-01882-00-01-TCD-TRA-ES</cp:keywords>
  <dc:description>Ponente: -_x000d_
Lengua original: FR, EN_x000d_
Fecha del documento: 18/05/2016_x000d_
Fecha de la reunión: 27/04/2016_x000d_
Documentos externos: -_x000d_
Funcionario responsable: Cosmai Domenico, teléfono: +32 (0)2 546 9041_x000d_
_x000d_
Resumen:</dc:description>
  <cp:lastModifiedBy>Maria Fernandez De Retana</cp:lastModifiedBy>
  <cp:revision>3</cp:revision>
  <cp:lastPrinted>2016-04-05T07:11:00Z</cp:lastPrinted>
  <dcterms:created xsi:type="dcterms:W3CDTF">2016-05-18T13:15:00Z</dcterms:created>
  <dcterms:modified xsi:type="dcterms:W3CDTF">2016-05-18T13:15:00Z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25/04/2016, 25/04/2016, 14/03/2016, 11/03/2016, 11/03/2016, 15/02/2016, 15/02/2016, 15/02/2016, 03/02/2016, 03/02/2016, 14/01/2016, 14/01/2016, 17/12/2015, 17/12/2015, 17/09/2015, 17/09/2015, 02/07/2015, 02/07/2015, 26/05/2015, 26/05/2015, 26/05/2015, 28/</vt:lpwstr>
  </property>
  <property fmtid="{D5CDD505-2E9C-101B-9397-08002B2CF9AE}" pid="4" name="Pref_Time">
    <vt:lpwstr>11:28:20, 09:54:52, 08/31/22, 17:08:54, 15:59:23, 12/27/50, 12:09:16, 09:49:23, 17:26:57, 16:09:02, 17:58:07, 17:32:44, 15:05:42, 11:13:53, 16:35:31, 16:17:21, 11:06:52, 09:02:14, 11:36:17, 10:24:48, 10:08:29, 10:48:07, 08:46:16, 16:41:11, 09:47:16, 17:45</vt:lpwstr>
  </property>
  <property fmtid="{D5CDD505-2E9C-101B-9397-08002B2CF9AE}" pid="5" name="Pref_User">
    <vt:lpwstr>amett, nmcg, amett, enied, nmcg, amett, enied, ymur, tvoc, nmcg, vvos, ssex, vvos, vvos, mkop, nmcg, amett, htoo, tvoc, dtai, nmcg, amett, ymur, amett, YMUR, jhvi, gharr</vt:lpwstr>
  </property>
  <property fmtid="{D5CDD505-2E9C-101B-9397-08002B2CF9AE}" pid="6" name="Pref_FileName">
    <vt:lpwstr>EESC-2016-01882-00-00-TCD-TRA-EN-CRR.docx, EESC-2016-01882-00-00-TCD-CRR-FR_FR and EN.docx, EESC-2016-01263-00-00-TCD-ORI.docx, EESC-2016-01263-00-00-TCD-TRA-EN-CRR.docx, EESC-2016-01263-00-00-TCD-CRR-EN.docx, EESC-2016-00599-00-00-TCD-ORI.docx, EESC-2016</vt:lpwstr>
  </property>
  <property fmtid="{D5CDD505-2E9C-101B-9397-08002B2CF9AE}" pid="7" name="ContentTypeId">
    <vt:lpwstr>0x010100EA97B91038054C99906057A708A1480A00125E4F99FF85F041A9387D78E8B8EE2D</vt:lpwstr>
  </property>
  <property fmtid="{D5CDD505-2E9C-101B-9397-08002B2CF9AE}" pid="8" name="_dlc_DocIdItemGuid">
    <vt:lpwstr>3b342244-9e5c-4257-aa5d-d3ea38f5e5bb</vt:lpwstr>
  </property>
  <property fmtid="{D5CDD505-2E9C-101B-9397-08002B2CF9AE}" pid="9" name="AvailableTranslations">
    <vt:lpwstr>24;#PL|1e03da61-4678-4e07-b136-b5024ca9197b;#25;#RO|feb747a2-64cd-4299-af12-4833ddc30497;#26;#ET|ff6c3f4c-b02c-4c3c-ab07-2c37995a7a0a;#39;#CS|72f9705b-0217-4fd3-bea2-cbc7ed80e26e;#22;#DE|f6b31e5a-26fa-4935-b661-318e46daf27e;#23;#EL|6d4f4d51-af9b-4650-94b4-4276bee85c91;#33;#SK|46d9fce0-ef79-4f71-b89b-cd6aa82426b8;#36;#LV|46f7e311-5d9f-4663-b433-18aeccb7ace7;#17;#NL|55c6556c-b4f4-441d-9acf-c498d4f838bd;#21;#SL|98a412ae-eb01-49e9-ae3d-585a81724cfc;#34;#BG|1a1b3951-7821-4e6a-85f5-5673fc08bd2c;#19;#PT|50ccc04a-eadd-42ae-a0cb-acaf45f812ba;#18;#SV|c2ed69e7-a339-43d7-8f22-d93680a92aa0;#38;#HR|2f555653-ed1a-4fe6-8362-9082d95989e5;#16;#DA|5d49c027-8956-412b-aa16-e85a0f96ad0e;#15;#IT|0774613c-01ed-4e5d-a25d-11d2388de825;#37;#LT|a7ff5ce7-6123-4f68-865a-a57c31810414;#35;#HU|6b229040-c589-4408-b4c1-4285663d20a8;#10;#EN|f2175f21-25d7-44a3-96da-d6a61b075e1b;#28;#ES|e7a6b05b-ae16-40c8-add9-68b64b03aeba;#4;#FR|d2afafd3-4c81-4f60-8f52-ee33f2f54ff3;#40;#FI|87606a43-d45f-42d6-b8c9-e1a3457db5b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28;#ES|e7a6b05b-ae16-40c8-add9-68b64b03aeba</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DocumentStatus_0">
    <vt:lpwstr>TRA|150d2a88-1431-44e6-a8ca-0bb753ab8672</vt:lpwstr>
  </property>
  <property fmtid="{D5CDD505-2E9C-101B-9397-08002B2CF9AE}" pid="25" name="OriginalLanguage_0">
    <vt:lpwstr>FR|d2afafd3-4c81-4f60-8f52-ee33f2f54ff3;EN|f2175f21-25d7-44a3-96da-d6a61b075e1b</vt:lpwstr>
  </property>
  <property fmtid="{D5CDD505-2E9C-101B-9397-08002B2CF9AE}" pid="26" name="DocumentLanguage_0">
    <vt:lpwstr>FR|d2afafd3-4c81-4f60-8f52-ee33f2f54ff3</vt:lpwstr>
  </property>
  <property fmtid="{D5CDD505-2E9C-101B-9397-08002B2CF9AE}" pid="27" name="TaxCatchAll">
    <vt:lpwstr>21;#SL|98a412ae-eb01-49e9-ae3d-585a81724cfc;#20;#TCD|cd9d6eb6-3f4f-424a-b2d1-57c9d450eaaf;#40;#FI|87606a43-d45f-42d6-b8c9-e1a3457db5b7;#35;#HU|6b229040-c589-4408-b4c1-4285663d20a8;#37;#LT|a7ff5ce7-6123-4f68-865a-a57c31810414;#25;#RO|feb747a2-64cd-4299-af12-4833ddc30497;#34;#BG|1a1b3951-7821-4e6a-85f5-5673fc08bd2c;#10;#EN|f2175f21-25d7-44a3-96da-d6a61b075e1b;#6;#Final|ea5e6674-7b27-4bac-b091-73adbb394efe;#71;#SPL-CES|32d8cb1f-c9ec-4365-95c7-8385a18618ac;#5;#Unrestricted|826e22d7-d029-4ec0-a450-0c28ff673572;#4;#FR|d2afafd3-4c81-4f60-8f52-ee33f2f54ff3;#2;#TRA|150d2a88-1431-44e6-a8ca-0bb753ab8672;#1;#EESC|422833ec-8d7e-4e65-8e4e-8bed07ffb729;#23;#EL|6d4f4d51-af9b-4650-94b4-4276bee85c91</vt:lpwstr>
  </property>
  <property fmtid="{D5CDD505-2E9C-101B-9397-08002B2CF9AE}" pid="28" name="AvailableTranslations_0">
    <vt:lpwstr>RO|feb747a2-64cd-4299-af12-4833ddc30497;EL|6d4f4d51-af9b-4650-94b4-4276bee85c91;SL|98a412ae-eb01-49e9-ae3d-585a81724cfc;BG|1a1b3951-7821-4e6a-85f5-5673fc08bd2c;LT|a7ff5ce7-6123-4f68-865a-a57c31810414;HU|6b229040-c589-4408-b4c1-4285663d20a8;FI|87606a43-d45f-42d6-b8c9-e1a3457db5b7</vt:lpwstr>
  </property>
  <property fmtid="{D5CDD505-2E9C-101B-9397-08002B2CF9AE}" pid="29" name="VersionStatus_0">
    <vt:lpwstr>Final|ea5e6674-7b27-4bac-b091-73adbb394efe</vt:lpwstr>
  </property>
  <property fmtid="{D5CDD505-2E9C-101B-9397-08002B2CF9AE}" pid="30" name="ProductionDate">
    <vt:filetime>2015-10-01T12:00:00Z</vt:filetime>
  </property>
  <property fmtid="{D5CDD505-2E9C-101B-9397-08002B2CF9AE}" pid="31" name="FicheYear">
    <vt:i4>2016</vt:i4>
  </property>
  <property fmtid="{D5CDD505-2E9C-101B-9397-08002B2CF9AE}" pid="32" name="DocumentNumber">
    <vt:i4>1882</vt:i4>
  </property>
  <property fmtid="{D5CDD505-2E9C-101B-9397-08002B2CF9AE}" pid="33" name="DocumentVersion">
    <vt:i4>1</vt:i4>
  </property>
  <property fmtid="{D5CDD505-2E9C-101B-9397-08002B2CF9AE}" pid="34" name="DocumentYear">
    <vt:i4>2016</vt:i4>
  </property>
  <property fmtid="{D5CDD505-2E9C-101B-9397-08002B2CF9AE}" pid="35" name="FicheNumber">
    <vt:i4>4757</vt:i4>
  </property>
  <property fmtid="{D5CDD505-2E9C-101B-9397-08002B2CF9AE}" pid="36" name="DocumentPart">
    <vt:i4>0</vt:i4>
  </property>
  <property fmtid="{D5CDD505-2E9C-101B-9397-08002B2CF9AE}" pid="37" name="RequestingService">
    <vt:lpwstr>Greffe</vt:lpwstr>
  </property>
  <property fmtid="{D5CDD505-2E9C-101B-9397-08002B2CF9AE}" pid="38" name="StyleCheckSum">
    <vt:lpwstr>45163_C33020_P410_L59</vt:lpwstr>
  </property>
  <property fmtid="{D5CDD505-2E9C-101B-9397-08002B2CF9AE}" pid="39" name="MeetingNumber">
    <vt:i4>516</vt:i4>
  </property>
  <property fmtid="{D5CDD505-2E9C-101B-9397-08002B2CF9AE}" pid="40" name="MeetingDate">
    <vt:filetime>2016-04-27T12:00:00Z</vt:filetime>
  </property>
</Properties>
</file>