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5A0" w:rsidRPr="00674670" w:rsidRDefault="008405A0" w:rsidP="00000CE8">
      <w:pPr>
        <w:snapToGrid w:val="0"/>
        <w:jc w:val="center"/>
      </w:pPr>
      <w:r w:rsidRPr="00674670">
        <w:rPr>
          <w:lang w:eastAsia="en-GB" w:bidi="ar-SA"/>
        </w:rPr>
        <w:drawing>
          <wp:inline distT="0" distB="0" distL="0" distR="0" wp14:anchorId="796BCAA5" wp14:editId="374A0CA2">
            <wp:extent cx="874395" cy="564515"/>
            <wp:effectExtent l="0" t="0" r="190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4395" cy="564515"/>
                    </a:xfrm>
                    <a:prstGeom prst="rect">
                      <a:avLst/>
                    </a:prstGeom>
                    <a:noFill/>
                    <a:ln>
                      <a:noFill/>
                    </a:ln>
                  </pic:spPr>
                </pic:pic>
              </a:graphicData>
            </a:graphic>
          </wp:inline>
        </w:drawing>
      </w:r>
      <w:r w:rsidRPr="00674670">
        <w:rPr>
          <w:lang w:eastAsia="en-GB" w:bidi="ar-SA"/>
        </w:rPr>
        <mc:AlternateContent>
          <mc:Choice Requires="wps">
            <w:drawing>
              <wp:anchor distT="0" distB="0" distL="114300" distR="114300" simplePos="0" relativeHeight="251659264" behindDoc="1" locked="0" layoutInCell="0" allowOverlap="1" wp14:anchorId="2ED383E3" wp14:editId="03775790">
                <wp:simplePos x="0" y="0"/>
                <wp:positionH relativeFrom="page">
                  <wp:posOffset>6767830</wp:posOffset>
                </wp:positionH>
                <wp:positionV relativeFrom="page">
                  <wp:posOffset>10079990</wp:posOffset>
                </wp:positionV>
                <wp:extent cx="647700" cy="396240"/>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40BB" w:rsidRPr="0079472F" w:rsidRDefault="006140BB" w:rsidP="00000CE8">
                            <w:pPr>
                              <w:snapToGrid w:val="0"/>
                              <w:jc w:val="center"/>
                              <w:rPr>
                                <w:rFonts w:ascii="Arial" w:hAnsi="Arial" w:cs="Arial"/>
                                <w:b/>
                                <w:sz w:val="48"/>
                              </w:rPr>
                            </w:pPr>
                            <w:r>
                              <w:rPr>
                                <w:rFonts w:ascii="Arial" w:hAnsi="Arial"/>
                                <w:b/>
                                <w:noProof/>
                                <w:sz w:val="48"/>
                              </w:rPr>
                              <w:t>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32.9pt;margin-top:793.7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HcntQIAALg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" o:allowincell="f" filled="f" stroked="f">
                <v:textbox>
                  <w:txbxContent>
                    <w:p w:rsidR="006140BB" w:rsidRPr="0079472F" w:rsidRDefault="006140BB" w:rsidP="00000CE8">
                      <w:pPr>
                        <w:snapToGrid w:val="0"/>
                        <w:jc w:val="center"/>
                        <w:rPr>
                          <w:rFonts w:ascii="Arial" w:hAnsi="Arial" w:cs="Arial"/>
                          <w:b/>
                          <w:sz w:val="48"/>
                        </w:rPr>
                      </w:pPr>
                      <w:r>
                        <w:rPr>
                          <w:rFonts w:ascii="Arial" w:hAnsi="Arial"/>
                          <w:b/>
                          <w:noProof/>
                          <w:sz w:val="48"/>
                        </w:rPr>
                        <w:t>ET</w:t>
                      </w:r>
                    </w:p>
                  </w:txbxContent>
                </v:textbox>
                <w10:wrap anchorx="page" anchory="page"/>
              </v:shape>
            </w:pict>
          </mc:Fallback>
        </mc:AlternateContent>
      </w:r>
    </w:p>
    <w:p w:rsidR="008405A0" w:rsidRPr="00674670" w:rsidRDefault="008405A0" w:rsidP="00000CE8">
      <w:pPr>
        <w:snapToGrid w:val="0"/>
        <w:spacing w:line="280" w:lineRule="auto"/>
        <w:jc w:val="center"/>
        <w:rPr>
          <w:rFonts w:ascii="Arial" w:eastAsia="MS Mincho" w:hAnsi="Arial" w:cs="Arial"/>
          <w:b/>
          <w:i/>
          <w:sz w:val="20"/>
        </w:rPr>
      </w:pPr>
      <w:r w:rsidRPr="00674670">
        <w:rPr>
          <w:rFonts w:ascii="Arial" w:hAnsi="Arial"/>
          <w:b/>
          <w:i/>
          <w:sz w:val="20"/>
        </w:rPr>
        <w:t>Euroopa Majandus- ja Sotsiaalkomitee</w:t>
      </w:r>
    </w:p>
    <w:p w:rsidR="008405A0" w:rsidRPr="00674670" w:rsidRDefault="008405A0" w:rsidP="0079472F">
      <w:pPr>
        <w:rPr>
          <w:rFonts w:ascii="Arial" w:eastAsia="SimSun" w:hAnsi="Arial" w:cs="Arial"/>
          <w:b/>
          <w:i/>
          <w:sz w:val="20"/>
        </w:rPr>
        <w:sectPr w:rsidR="008405A0" w:rsidRPr="00674670" w:rsidSect="00A0297D">
          <w:headerReference w:type="even" r:id="rId14"/>
          <w:headerReference w:type="default" r:id="rId15"/>
          <w:footerReference w:type="even" r:id="rId16"/>
          <w:footerReference w:type="default" r:id="rId17"/>
          <w:headerReference w:type="first" r:id="rId18"/>
          <w:footerReference w:type="first" r:id="rId19"/>
          <w:pgSz w:w="11907" w:h="16839" w:code="9"/>
          <w:pgMar w:top="567" w:right="1440" w:bottom="1928" w:left="1440" w:header="283" w:footer="1134" w:gutter="0"/>
          <w:pgNumType w:start="1"/>
          <w:cols w:space="708"/>
          <w:docGrid w:linePitch="360"/>
        </w:sectPr>
      </w:pPr>
    </w:p>
    <w:p w:rsidR="008405A0" w:rsidRPr="00674670" w:rsidRDefault="008405A0" w:rsidP="00000CE8">
      <w:pPr>
        <w:snapToGrid w:val="0"/>
        <w:jc w:val="center"/>
      </w:pPr>
    </w:p>
    <w:p w:rsidR="008405A0" w:rsidRPr="00674670" w:rsidRDefault="008405A0" w:rsidP="00000CE8">
      <w:pPr>
        <w:snapToGrid w:val="0"/>
      </w:pPr>
    </w:p>
    <w:p w:rsidR="008405A0" w:rsidRPr="00674670" w:rsidRDefault="008405A0" w:rsidP="00000CE8">
      <w:pPr>
        <w:snapToGrid w:val="0"/>
      </w:pPr>
    </w:p>
    <w:p w:rsidR="008405A0" w:rsidRPr="00674670" w:rsidRDefault="008405A0" w:rsidP="00000CE8">
      <w:pPr>
        <w:snapToGrid w:val="0"/>
        <w:spacing w:line="280" w:lineRule="auto"/>
        <w:jc w:val="right"/>
        <w:rPr>
          <w:rFonts w:eastAsia="MS Mincho"/>
        </w:rPr>
      </w:pPr>
      <w:r w:rsidRPr="00674670">
        <w:t>Brüssel, 13. aprill 2016</w:t>
      </w:r>
    </w:p>
    <w:p w:rsidR="008405A0" w:rsidRPr="00674670" w:rsidRDefault="008405A0" w:rsidP="00000CE8">
      <w:pPr>
        <w:snapToGrid w:val="0"/>
      </w:pPr>
    </w:p>
    <w:p w:rsidR="008405A0" w:rsidRPr="00674670" w:rsidRDefault="008405A0" w:rsidP="00000CE8">
      <w:pPr>
        <w:snapToGrid w:val="0"/>
      </w:pPr>
    </w:p>
    <w:p w:rsidR="008405A0" w:rsidRPr="00674670" w:rsidRDefault="008405A0" w:rsidP="00000CE8">
      <w:pPr>
        <w:snapToGrid w:val="0"/>
      </w:pPr>
    </w:p>
    <w:p w:rsidR="008405A0" w:rsidRPr="00674670" w:rsidRDefault="008405A0" w:rsidP="00000CE8">
      <w:pPr>
        <w:snapToGrid w:val="0"/>
      </w:pPr>
    </w:p>
    <w:p w:rsidR="008405A0" w:rsidRPr="00674670" w:rsidRDefault="008405A0" w:rsidP="00000CE8">
      <w:pPr>
        <w:snapToGrid w:val="0"/>
      </w:pPr>
    </w:p>
    <w:tbl>
      <w:tblPr>
        <w:tblW w:w="0" w:type="auto"/>
        <w:tblLayout w:type="fixed"/>
        <w:tblLook w:val="0000" w:firstRow="0" w:lastRow="0" w:firstColumn="0" w:lastColumn="0" w:noHBand="0" w:noVBand="0"/>
      </w:tblPr>
      <w:tblGrid>
        <w:gridCol w:w="9243"/>
      </w:tblGrid>
      <w:tr w:rsidR="008405A0" w:rsidRPr="00674670" w:rsidTr="008405A0">
        <w:tc>
          <w:tcPr>
            <w:tcW w:w="9243" w:type="dxa"/>
            <w:tcBorders>
              <w:top w:val="nil"/>
              <w:left w:val="nil"/>
              <w:bottom w:val="double" w:sz="4" w:space="0" w:color="auto"/>
              <w:right w:val="nil"/>
            </w:tcBorders>
          </w:tcPr>
          <w:p w:rsidR="008405A0" w:rsidRPr="00674670" w:rsidRDefault="008405A0" w:rsidP="00000CE8">
            <w:pPr>
              <w:snapToGrid w:val="0"/>
              <w:spacing w:line="280" w:lineRule="auto"/>
              <w:jc w:val="center"/>
              <w:rPr>
                <w:rFonts w:eastAsia="MS Mincho"/>
                <w:b/>
                <w:sz w:val="32"/>
              </w:rPr>
            </w:pPr>
            <w:r w:rsidRPr="00674670">
              <w:rPr>
                <w:b/>
                <w:sz w:val="32"/>
              </w:rPr>
              <w:t xml:space="preserve">16.–17. MÄRTSI 2016. AASTA </w:t>
            </w:r>
            <w:r w:rsidRPr="00674670">
              <w:rPr>
                <w:b/>
                <w:sz w:val="32"/>
              </w:rPr>
              <w:br/>
              <w:t xml:space="preserve"> </w:t>
            </w:r>
            <w:r w:rsidRPr="00674670">
              <w:rPr>
                <w:b/>
                <w:sz w:val="32"/>
              </w:rPr>
              <w:br/>
              <w:t xml:space="preserve">TÄISKOGU ISTUNGJÄRK </w:t>
            </w:r>
            <w:r w:rsidRPr="00674670">
              <w:rPr>
                <w:b/>
                <w:sz w:val="32"/>
              </w:rPr>
              <w:br/>
              <w:t xml:space="preserve"> </w:t>
            </w:r>
            <w:r w:rsidRPr="00674670">
              <w:rPr>
                <w:b/>
                <w:sz w:val="32"/>
              </w:rPr>
              <w:br/>
              <w:t>KOKKUVÕTE VASTUVÕETUD ARVAMUSTEST</w:t>
            </w:r>
          </w:p>
          <w:p w:rsidR="008405A0" w:rsidRPr="00674670" w:rsidRDefault="008405A0" w:rsidP="00000CE8">
            <w:pPr>
              <w:snapToGrid w:val="0"/>
              <w:jc w:val="center"/>
              <w:rPr>
                <w:b/>
                <w:sz w:val="32"/>
              </w:rPr>
            </w:pPr>
          </w:p>
          <w:p w:rsidR="008405A0" w:rsidRPr="00674670" w:rsidRDefault="008405A0" w:rsidP="00000CE8">
            <w:pPr>
              <w:snapToGrid w:val="0"/>
              <w:jc w:val="center"/>
              <w:rPr>
                <w:rFonts w:eastAsia="Calibri"/>
                <w:b/>
                <w:bCs/>
              </w:rPr>
            </w:pPr>
          </w:p>
        </w:tc>
      </w:tr>
      <w:tr w:rsidR="008405A0" w:rsidRPr="00674670" w:rsidTr="008405A0">
        <w:tc>
          <w:tcPr>
            <w:tcW w:w="9243" w:type="dxa"/>
            <w:tcBorders>
              <w:top w:val="double" w:sz="4" w:space="0" w:color="auto"/>
              <w:left w:val="double" w:sz="4" w:space="0" w:color="auto"/>
              <w:bottom w:val="double" w:sz="4" w:space="0" w:color="auto"/>
              <w:right w:val="double" w:sz="4" w:space="0" w:color="auto"/>
            </w:tcBorders>
          </w:tcPr>
          <w:p w:rsidR="008405A0" w:rsidRPr="00674670" w:rsidRDefault="00A31921" w:rsidP="00000CE8">
            <w:pPr>
              <w:snapToGrid w:val="0"/>
              <w:spacing w:line="280" w:lineRule="auto"/>
              <w:jc w:val="center"/>
              <w:rPr>
                <w:rFonts w:eastAsia="MS Mincho"/>
                <w:b/>
              </w:rPr>
            </w:pPr>
            <w:r w:rsidRPr="00674670">
              <w:rPr>
                <w:b/>
              </w:rPr>
              <w:t>Käesolev dokument on kättesaadav ELi ametlikes keeltes komitee kodulehel:</w:t>
            </w:r>
          </w:p>
          <w:p w:rsidR="008405A0" w:rsidRPr="00674670" w:rsidRDefault="008405A0" w:rsidP="00000CE8">
            <w:pPr>
              <w:snapToGrid w:val="0"/>
              <w:jc w:val="center"/>
              <w:rPr>
                <w:b/>
              </w:rPr>
            </w:pPr>
          </w:p>
          <w:p w:rsidR="008405A0" w:rsidRPr="00674670" w:rsidRDefault="00674670" w:rsidP="00000CE8">
            <w:pPr>
              <w:spacing w:line="280" w:lineRule="auto"/>
              <w:jc w:val="center"/>
              <w:rPr>
                <w:rFonts w:eastAsia="MS Mincho"/>
                <w:u w:val="single"/>
              </w:rPr>
            </w:pPr>
            <w:hyperlink r:id="rId20" w:anchor="/boxTab1-2">
              <w:r w:rsidR="00053D8B" w:rsidRPr="00674670">
                <w:rPr>
                  <w:rStyle w:val="Hyperlink"/>
                  <w:b/>
                  <w:color w:val="auto"/>
                </w:rPr>
                <w:t>http://www.eesc.europa.eu/?i=portal.fr.documents#/boxTab1-2</w:t>
              </w:r>
            </w:hyperlink>
          </w:p>
          <w:p w:rsidR="008405A0" w:rsidRPr="00674670" w:rsidRDefault="008405A0" w:rsidP="00000CE8">
            <w:pPr>
              <w:snapToGrid w:val="0"/>
              <w:jc w:val="center"/>
            </w:pPr>
          </w:p>
          <w:p w:rsidR="008405A0" w:rsidRPr="00674670" w:rsidRDefault="008405A0" w:rsidP="00000CE8">
            <w:pPr>
              <w:snapToGrid w:val="0"/>
              <w:jc w:val="center"/>
              <w:rPr>
                <w:rFonts w:eastAsia="SimSun"/>
                <w:b/>
              </w:rPr>
            </w:pPr>
          </w:p>
          <w:p w:rsidR="008405A0" w:rsidRPr="00674670" w:rsidRDefault="008405A0" w:rsidP="00000CE8">
            <w:pPr>
              <w:snapToGrid w:val="0"/>
              <w:spacing w:line="280" w:lineRule="auto"/>
              <w:jc w:val="center"/>
              <w:rPr>
                <w:rFonts w:eastAsia="MS Mincho"/>
                <w:b/>
              </w:rPr>
            </w:pPr>
            <w:r w:rsidRPr="00674670">
              <w:rPr>
                <w:b/>
              </w:rPr>
              <w:t>Dokumendis nimetatud arvamustega saab tutvuda internetis, kasutades komitee otsingumootorit:</w:t>
            </w:r>
          </w:p>
          <w:p w:rsidR="008405A0" w:rsidRPr="00674670" w:rsidRDefault="008405A0" w:rsidP="00000CE8">
            <w:pPr>
              <w:snapToGrid w:val="0"/>
              <w:jc w:val="center"/>
              <w:rPr>
                <w:b/>
              </w:rPr>
            </w:pPr>
          </w:p>
          <w:p w:rsidR="008405A0" w:rsidRPr="00674670" w:rsidRDefault="00674670" w:rsidP="00000CE8">
            <w:pPr>
              <w:snapToGrid w:val="0"/>
              <w:spacing w:line="280" w:lineRule="auto"/>
              <w:jc w:val="center"/>
              <w:rPr>
                <w:rFonts w:eastAsia="MS Mincho"/>
                <w:b/>
              </w:rPr>
            </w:pPr>
            <w:hyperlink r:id="rId21">
              <w:r w:rsidR="00053D8B" w:rsidRPr="00674670">
                <w:rPr>
                  <w:rStyle w:val="Hyperlink"/>
                  <w:b/>
                  <w:color w:val="auto"/>
                </w:rPr>
                <w:t>http://www.eesc.europa.eu/?i=portal.fr.opinions-search</w:t>
              </w:r>
            </w:hyperlink>
          </w:p>
          <w:p w:rsidR="008405A0" w:rsidRPr="00674670" w:rsidRDefault="008405A0" w:rsidP="00000CE8">
            <w:pPr>
              <w:snapToGrid w:val="0"/>
              <w:jc w:val="center"/>
              <w:rPr>
                <w:rFonts w:eastAsia="Calibri"/>
                <w:b/>
                <w:bCs/>
              </w:rPr>
            </w:pPr>
          </w:p>
        </w:tc>
      </w:tr>
    </w:tbl>
    <w:p w:rsidR="008405A0" w:rsidRPr="00674670" w:rsidRDefault="008405A0" w:rsidP="00000CE8"/>
    <w:p w:rsidR="008405A0" w:rsidRPr="00674670" w:rsidRDefault="008405A0" w:rsidP="00000CE8">
      <w:pPr>
        <w:snapToGrid w:val="0"/>
      </w:pPr>
    </w:p>
    <w:p w:rsidR="008405A0" w:rsidRPr="00674670" w:rsidRDefault="008405A0" w:rsidP="0079472F">
      <w:pPr>
        <w:rPr>
          <w:rFonts w:eastAsia="SimSun"/>
          <w:b/>
          <w:sz w:val="28"/>
          <w:u w:val="single"/>
        </w:rPr>
        <w:sectPr w:rsidR="008405A0" w:rsidRPr="00674670" w:rsidSect="00A0297D">
          <w:headerReference w:type="even" r:id="rId22"/>
          <w:headerReference w:type="default" r:id="rId23"/>
          <w:footerReference w:type="even" r:id="rId24"/>
          <w:footerReference w:type="default" r:id="rId25"/>
          <w:headerReference w:type="first" r:id="rId26"/>
          <w:footerReference w:type="first" r:id="rId27"/>
          <w:type w:val="continuous"/>
          <w:pgSz w:w="11907" w:h="16839"/>
          <w:pgMar w:top="1701" w:right="1440" w:bottom="1928" w:left="1440" w:header="1020" w:footer="1247" w:gutter="0"/>
          <w:cols w:space="720"/>
          <w:docGrid w:linePitch="299"/>
        </w:sectPr>
      </w:pPr>
    </w:p>
    <w:p w:rsidR="008405A0" w:rsidRPr="00674670" w:rsidRDefault="008405A0" w:rsidP="00000CE8">
      <w:pPr>
        <w:snapToGrid w:val="0"/>
        <w:rPr>
          <w:b/>
          <w:sz w:val="28"/>
          <w:u w:val="single"/>
        </w:rPr>
      </w:pPr>
      <w:bookmarkStart w:id="0" w:name="_GoBack"/>
      <w:bookmarkEnd w:id="0"/>
    </w:p>
    <w:p w:rsidR="008405A0" w:rsidRPr="00674670" w:rsidRDefault="008405A0" w:rsidP="00000CE8">
      <w:pPr>
        <w:snapToGrid w:val="0"/>
        <w:spacing w:line="280" w:lineRule="auto"/>
        <w:rPr>
          <w:rFonts w:eastAsia="MS Mincho"/>
          <w:b/>
          <w:sz w:val="28"/>
          <w:u w:val="single"/>
        </w:rPr>
      </w:pPr>
      <w:r w:rsidRPr="00674670">
        <w:rPr>
          <w:b/>
        </w:rPr>
        <w:t>Sisukord:</w:t>
      </w:r>
    </w:p>
    <w:p w:rsidR="00B939A6" w:rsidRPr="00674670" w:rsidRDefault="00B939A6" w:rsidP="00000CE8">
      <w:pPr>
        <w:snapToGrid w:val="0"/>
        <w:rPr>
          <w:b/>
          <w:sz w:val="28"/>
          <w:u w:val="single"/>
        </w:rPr>
      </w:pPr>
    </w:p>
    <w:p w:rsidR="00853AF3" w:rsidRPr="00674670" w:rsidRDefault="00B97C33">
      <w:pPr>
        <w:pStyle w:val="TOC1"/>
        <w:tabs>
          <w:tab w:val="left" w:pos="440"/>
          <w:tab w:val="right" w:leader="dot" w:pos="9017"/>
        </w:tabs>
        <w:rPr>
          <w:rFonts w:asciiTheme="minorHAnsi" w:eastAsiaTheme="minorEastAsia" w:hAnsiTheme="minorHAnsi" w:cstheme="minorBidi"/>
          <w:lang w:eastAsia="en-GB" w:bidi="ar-SA"/>
        </w:rPr>
      </w:pPr>
      <w:r w:rsidRPr="00674670">
        <w:fldChar w:fldCharType="begin"/>
      </w:r>
      <w:r w:rsidRPr="00674670">
        <w:instrText xml:space="preserve"> TOC \o "1-3" \h \z \u </w:instrText>
      </w:r>
      <w:r w:rsidRPr="00674670">
        <w:fldChar w:fldCharType="separate"/>
      </w:r>
      <w:hyperlink w:anchor="_Toc448325759" w:history="1">
        <w:r w:rsidR="00853AF3" w:rsidRPr="00674670">
          <w:rPr>
            <w:rStyle w:val="Hyperlink"/>
          </w:rPr>
          <w:t>1.</w:t>
        </w:r>
        <w:r w:rsidR="00853AF3" w:rsidRPr="00674670">
          <w:rPr>
            <w:rFonts w:asciiTheme="minorHAnsi" w:eastAsiaTheme="minorEastAsia" w:hAnsiTheme="minorHAnsi" w:cstheme="minorBidi"/>
            <w:lang w:eastAsia="en-GB" w:bidi="ar-SA"/>
          </w:rPr>
          <w:tab/>
        </w:r>
        <w:r w:rsidR="00853AF3" w:rsidRPr="00674670">
          <w:rPr>
            <w:rStyle w:val="Hyperlink"/>
            <w:b/>
          </w:rPr>
          <w:t>MAJANDUSJUHTIMINE / FINANTSVAHENDID / MAKSUSTAMINE</w:t>
        </w:r>
        <w:r w:rsidR="00853AF3" w:rsidRPr="00674670">
          <w:rPr>
            <w:webHidden/>
          </w:rPr>
          <w:tab/>
        </w:r>
        <w:r w:rsidR="00853AF3" w:rsidRPr="00674670">
          <w:rPr>
            <w:webHidden/>
          </w:rPr>
          <w:fldChar w:fldCharType="begin"/>
        </w:r>
        <w:r w:rsidR="00853AF3" w:rsidRPr="00674670">
          <w:rPr>
            <w:webHidden/>
          </w:rPr>
          <w:instrText xml:space="preserve"> PAGEREF _Toc448325759 \h </w:instrText>
        </w:r>
        <w:r w:rsidR="00853AF3" w:rsidRPr="00674670">
          <w:rPr>
            <w:webHidden/>
          </w:rPr>
        </w:r>
        <w:r w:rsidR="00853AF3" w:rsidRPr="00674670">
          <w:rPr>
            <w:webHidden/>
          </w:rPr>
          <w:fldChar w:fldCharType="separate"/>
        </w:r>
        <w:r w:rsidR="00853AF3" w:rsidRPr="00674670">
          <w:rPr>
            <w:webHidden/>
          </w:rPr>
          <w:t>3</w:t>
        </w:r>
        <w:r w:rsidR="00853AF3" w:rsidRPr="00674670">
          <w:rPr>
            <w:webHidden/>
          </w:rPr>
          <w:fldChar w:fldCharType="end"/>
        </w:r>
      </w:hyperlink>
    </w:p>
    <w:p w:rsidR="00853AF3" w:rsidRPr="00674670" w:rsidRDefault="00674670">
      <w:pPr>
        <w:pStyle w:val="TOC1"/>
        <w:tabs>
          <w:tab w:val="left" w:pos="440"/>
          <w:tab w:val="right" w:leader="dot" w:pos="9017"/>
        </w:tabs>
        <w:rPr>
          <w:rFonts w:asciiTheme="minorHAnsi" w:eastAsiaTheme="minorEastAsia" w:hAnsiTheme="minorHAnsi" w:cstheme="minorBidi"/>
          <w:lang w:eastAsia="en-GB" w:bidi="ar-SA"/>
        </w:rPr>
      </w:pPr>
      <w:hyperlink w:anchor="_Toc448325760" w:history="1">
        <w:r w:rsidR="00853AF3" w:rsidRPr="00674670">
          <w:rPr>
            <w:rStyle w:val="Hyperlink"/>
          </w:rPr>
          <w:t>2.</w:t>
        </w:r>
        <w:r w:rsidR="00853AF3" w:rsidRPr="00674670">
          <w:rPr>
            <w:rFonts w:asciiTheme="minorHAnsi" w:eastAsiaTheme="minorEastAsia" w:hAnsiTheme="minorHAnsi" w:cstheme="minorBidi"/>
            <w:lang w:eastAsia="en-GB" w:bidi="ar-SA"/>
          </w:rPr>
          <w:tab/>
        </w:r>
        <w:r w:rsidR="00853AF3" w:rsidRPr="00674670">
          <w:rPr>
            <w:rStyle w:val="Hyperlink"/>
            <w:b/>
          </w:rPr>
          <w:t>SISETURG</w:t>
        </w:r>
        <w:r w:rsidR="00853AF3" w:rsidRPr="00674670">
          <w:rPr>
            <w:webHidden/>
          </w:rPr>
          <w:tab/>
        </w:r>
        <w:r w:rsidR="00853AF3" w:rsidRPr="00674670">
          <w:rPr>
            <w:webHidden/>
          </w:rPr>
          <w:fldChar w:fldCharType="begin"/>
        </w:r>
        <w:r w:rsidR="00853AF3" w:rsidRPr="00674670">
          <w:rPr>
            <w:webHidden/>
          </w:rPr>
          <w:instrText xml:space="preserve"> PAGEREF _Toc448325760 \h </w:instrText>
        </w:r>
        <w:r w:rsidR="00853AF3" w:rsidRPr="00674670">
          <w:rPr>
            <w:webHidden/>
          </w:rPr>
        </w:r>
        <w:r w:rsidR="00853AF3" w:rsidRPr="00674670">
          <w:rPr>
            <w:webHidden/>
          </w:rPr>
          <w:fldChar w:fldCharType="separate"/>
        </w:r>
        <w:r w:rsidR="00853AF3" w:rsidRPr="00674670">
          <w:rPr>
            <w:webHidden/>
          </w:rPr>
          <w:t>11</w:t>
        </w:r>
        <w:r w:rsidR="00853AF3" w:rsidRPr="00674670">
          <w:rPr>
            <w:webHidden/>
          </w:rPr>
          <w:fldChar w:fldCharType="end"/>
        </w:r>
      </w:hyperlink>
    </w:p>
    <w:p w:rsidR="00853AF3" w:rsidRPr="00674670" w:rsidRDefault="00674670">
      <w:pPr>
        <w:pStyle w:val="TOC1"/>
        <w:tabs>
          <w:tab w:val="left" w:pos="440"/>
          <w:tab w:val="right" w:leader="dot" w:pos="9017"/>
        </w:tabs>
        <w:rPr>
          <w:rFonts w:asciiTheme="minorHAnsi" w:eastAsiaTheme="minorEastAsia" w:hAnsiTheme="minorHAnsi" w:cstheme="minorBidi"/>
          <w:lang w:eastAsia="en-GB" w:bidi="ar-SA"/>
        </w:rPr>
      </w:pPr>
      <w:hyperlink w:anchor="_Toc448325761" w:history="1">
        <w:r w:rsidR="00853AF3" w:rsidRPr="00674670">
          <w:rPr>
            <w:rStyle w:val="Hyperlink"/>
          </w:rPr>
          <w:t>3.</w:t>
        </w:r>
        <w:r w:rsidR="00853AF3" w:rsidRPr="00674670">
          <w:rPr>
            <w:rFonts w:asciiTheme="minorHAnsi" w:eastAsiaTheme="minorEastAsia" w:hAnsiTheme="minorHAnsi" w:cstheme="minorBidi"/>
            <w:lang w:eastAsia="en-GB" w:bidi="ar-SA"/>
          </w:rPr>
          <w:tab/>
        </w:r>
        <w:r w:rsidR="00853AF3" w:rsidRPr="00674670">
          <w:rPr>
            <w:rStyle w:val="Hyperlink"/>
            <w:b/>
          </w:rPr>
          <w:t>MERESÕIDUOHUTUS</w:t>
        </w:r>
        <w:r w:rsidR="00853AF3" w:rsidRPr="00674670">
          <w:rPr>
            <w:webHidden/>
          </w:rPr>
          <w:tab/>
        </w:r>
        <w:r w:rsidR="00853AF3" w:rsidRPr="00674670">
          <w:rPr>
            <w:webHidden/>
          </w:rPr>
          <w:fldChar w:fldCharType="begin"/>
        </w:r>
        <w:r w:rsidR="00853AF3" w:rsidRPr="00674670">
          <w:rPr>
            <w:webHidden/>
          </w:rPr>
          <w:instrText xml:space="preserve"> PAGEREF _Toc448325761 \h </w:instrText>
        </w:r>
        <w:r w:rsidR="00853AF3" w:rsidRPr="00674670">
          <w:rPr>
            <w:webHidden/>
          </w:rPr>
        </w:r>
        <w:r w:rsidR="00853AF3" w:rsidRPr="00674670">
          <w:rPr>
            <w:webHidden/>
          </w:rPr>
          <w:fldChar w:fldCharType="separate"/>
        </w:r>
        <w:r w:rsidR="00853AF3" w:rsidRPr="00674670">
          <w:rPr>
            <w:webHidden/>
          </w:rPr>
          <w:t>12</w:t>
        </w:r>
        <w:r w:rsidR="00853AF3" w:rsidRPr="00674670">
          <w:rPr>
            <w:webHidden/>
          </w:rPr>
          <w:fldChar w:fldCharType="end"/>
        </w:r>
      </w:hyperlink>
    </w:p>
    <w:p w:rsidR="00853AF3" w:rsidRPr="00674670" w:rsidRDefault="00674670">
      <w:pPr>
        <w:pStyle w:val="TOC1"/>
        <w:tabs>
          <w:tab w:val="left" w:pos="440"/>
          <w:tab w:val="right" w:leader="dot" w:pos="9017"/>
        </w:tabs>
        <w:rPr>
          <w:rFonts w:asciiTheme="minorHAnsi" w:eastAsiaTheme="minorEastAsia" w:hAnsiTheme="minorHAnsi" w:cstheme="minorBidi"/>
          <w:lang w:eastAsia="en-GB" w:bidi="ar-SA"/>
        </w:rPr>
      </w:pPr>
      <w:hyperlink w:anchor="_Toc448325762" w:history="1">
        <w:r w:rsidR="00853AF3" w:rsidRPr="00674670">
          <w:rPr>
            <w:rStyle w:val="Hyperlink"/>
          </w:rPr>
          <w:t>4.</w:t>
        </w:r>
        <w:r w:rsidR="00853AF3" w:rsidRPr="00674670">
          <w:rPr>
            <w:rFonts w:asciiTheme="minorHAnsi" w:eastAsiaTheme="minorEastAsia" w:hAnsiTheme="minorHAnsi" w:cstheme="minorBidi"/>
            <w:lang w:eastAsia="en-GB" w:bidi="ar-SA"/>
          </w:rPr>
          <w:tab/>
        </w:r>
        <w:r w:rsidR="00853AF3" w:rsidRPr="00674670">
          <w:rPr>
            <w:rStyle w:val="Hyperlink"/>
            <w:b/>
          </w:rPr>
          <w:t>OHUTUS</w:t>
        </w:r>
        <w:r w:rsidR="00853AF3" w:rsidRPr="00674670">
          <w:rPr>
            <w:webHidden/>
          </w:rPr>
          <w:tab/>
        </w:r>
        <w:r w:rsidR="00853AF3" w:rsidRPr="00674670">
          <w:rPr>
            <w:webHidden/>
          </w:rPr>
          <w:fldChar w:fldCharType="begin"/>
        </w:r>
        <w:r w:rsidR="00853AF3" w:rsidRPr="00674670">
          <w:rPr>
            <w:webHidden/>
          </w:rPr>
          <w:instrText xml:space="preserve"> PAGEREF _Toc448325762 \h </w:instrText>
        </w:r>
        <w:r w:rsidR="00853AF3" w:rsidRPr="00674670">
          <w:rPr>
            <w:webHidden/>
          </w:rPr>
        </w:r>
        <w:r w:rsidR="00853AF3" w:rsidRPr="00674670">
          <w:rPr>
            <w:webHidden/>
          </w:rPr>
          <w:fldChar w:fldCharType="separate"/>
        </w:r>
        <w:r w:rsidR="00853AF3" w:rsidRPr="00674670">
          <w:rPr>
            <w:webHidden/>
          </w:rPr>
          <w:t>13</w:t>
        </w:r>
        <w:r w:rsidR="00853AF3" w:rsidRPr="00674670">
          <w:rPr>
            <w:webHidden/>
          </w:rPr>
          <w:fldChar w:fldCharType="end"/>
        </w:r>
      </w:hyperlink>
    </w:p>
    <w:p w:rsidR="000B67E4" w:rsidRPr="00674670" w:rsidRDefault="00B97C33">
      <w:pPr>
        <w:pStyle w:val="TOC1"/>
        <w:tabs>
          <w:tab w:val="left" w:pos="440"/>
          <w:tab w:val="right" w:leader="dot" w:pos="9017"/>
        </w:tabs>
        <w:rPr>
          <w:rFonts w:asciiTheme="minorHAnsi" w:eastAsiaTheme="minorEastAsia" w:hAnsiTheme="minorHAnsi" w:cstheme="minorBidi"/>
        </w:rPr>
      </w:pPr>
      <w:r w:rsidRPr="00674670">
        <w:fldChar w:fldCharType="end"/>
      </w:r>
    </w:p>
    <w:p w:rsidR="008405A0" w:rsidRPr="00674670" w:rsidRDefault="008405A0" w:rsidP="0079472F">
      <w:r w:rsidRPr="00674670">
        <w:br w:type="page"/>
      </w:r>
    </w:p>
    <w:p w:rsidR="006B1EE7" w:rsidRPr="00674670" w:rsidRDefault="008405A0" w:rsidP="0048090F">
      <w:r w:rsidRPr="00674670">
        <w:lastRenderedPageBreak/>
        <w:t>16.–17. märtsi täiskogu istungjärgul osalesid Euroopa Liidu välisasjade ja julgeolekupoliitika kõrge esindaja ja komisjoni asepresident Federica MOGHERINI ja Euroopa Komisjoni rände, siseasjade ja kodakondsuse volinik Dimitris AVRAMOPOULOS.</w:t>
      </w:r>
    </w:p>
    <w:p w:rsidR="004929C8" w:rsidRPr="00674670" w:rsidRDefault="004929C8" w:rsidP="0048090F"/>
    <w:p w:rsidR="0048090F" w:rsidRPr="00674670" w:rsidRDefault="008405A0" w:rsidP="0048090F">
      <w:r w:rsidRPr="00674670">
        <w:t>Istungjärgul võeti vastu järgmised arvamused.</w:t>
      </w:r>
      <w:bookmarkStart w:id="1" w:name="_Toc442171220"/>
    </w:p>
    <w:p w:rsidR="004929C8" w:rsidRPr="00674670" w:rsidRDefault="004929C8" w:rsidP="0048090F"/>
    <w:p w:rsidR="009F58A3" w:rsidRPr="00674670" w:rsidRDefault="001E76FC" w:rsidP="0048090F">
      <w:pPr>
        <w:keepNext/>
        <w:numPr>
          <w:ilvl w:val="0"/>
          <w:numId w:val="2"/>
        </w:numPr>
        <w:ind w:left="567" w:hanging="578"/>
        <w:outlineLvl w:val="0"/>
        <w:rPr>
          <w:b/>
        </w:rPr>
      </w:pPr>
      <w:bookmarkStart w:id="2" w:name="_Toc448145874"/>
      <w:bookmarkStart w:id="3" w:name="_Toc448325759"/>
      <w:r w:rsidRPr="00674670">
        <w:rPr>
          <w:b/>
        </w:rPr>
        <w:t>MAJANDUSJUHTIMINE / FINANTSVAHENDID / MAKSUSTAMINE</w:t>
      </w:r>
      <w:bookmarkEnd w:id="1"/>
      <w:bookmarkEnd w:id="2"/>
      <w:bookmarkEnd w:id="3"/>
    </w:p>
    <w:p w:rsidR="00761F77" w:rsidRPr="00674670" w:rsidRDefault="00761F77" w:rsidP="0047417A">
      <w:pPr>
        <w:rPr>
          <w:b/>
          <w:iCs/>
          <w:highlight w:val="yellow"/>
          <w:u w:val="single"/>
        </w:rPr>
      </w:pPr>
    </w:p>
    <w:p w:rsidR="006140BB" w:rsidRPr="00674670" w:rsidRDefault="006140BB" w:rsidP="006140BB">
      <w:pPr>
        <w:widowControl w:val="0"/>
        <w:numPr>
          <w:ilvl w:val="0"/>
          <w:numId w:val="5"/>
        </w:numPr>
        <w:overflowPunct w:val="0"/>
        <w:autoSpaceDE w:val="0"/>
        <w:autoSpaceDN w:val="0"/>
        <w:adjustRightInd w:val="0"/>
        <w:textAlignment w:val="baseline"/>
        <w:rPr>
          <w:b/>
          <w:bCs/>
          <w:i/>
          <w:iCs/>
          <w:sz w:val="28"/>
          <w:szCs w:val="28"/>
        </w:rPr>
      </w:pPr>
      <w:r w:rsidRPr="00674670">
        <w:rPr>
          <w:b/>
          <w:i/>
          <w:sz w:val="28"/>
        </w:rPr>
        <w:t>Prospektidirektiiv</w:t>
      </w:r>
    </w:p>
    <w:p w:rsidR="006140BB" w:rsidRPr="00674670" w:rsidRDefault="006140BB" w:rsidP="006140BB">
      <w:pPr>
        <w:ind w:firstLine="17"/>
      </w:pPr>
    </w:p>
    <w:p w:rsidR="006140BB" w:rsidRPr="00674670" w:rsidRDefault="006140BB" w:rsidP="006140BB">
      <w:r w:rsidRPr="00674670">
        <w:rPr>
          <w:b/>
        </w:rPr>
        <w:t>Raportöör:</w:t>
      </w:r>
      <w:r w:rsidR="00853AF3" w:rsidRPr="00674670">
        <w:tab/>
      </w:r>
      <w:r w:rsidRPr="00674670">
        <w:t>Milena Angelova (tööandjate rühm – BG)</w:t>
      </w:r>
    </w:p>
    <w:p w:rsidR="006140BB" w:rsidRPr="00674670" w:rsidRDefault="006140BB" w:rsidP="006140BB"/>
    <w:p w:rsidR="006140BB" w:rsidRPr="00674670" w:rsidRDefault="006140BB" w:rsidP="006140BB">
      <w:pPr>
        <w:ind w:left="-5"/>
      </w:pPr>
      <w:r w:rsidRPr="00674670">
        <w:rPr>
          <w:b/>
        </w:rPr>
        <w:t>Viide:</w:t>
      </w:r>
      <w:r w:rsidRPr="00674670">
        <w:tab/>
      </w:r>
      <w:r w:rsidRPr="00674670">
        <w:tab/>
        <w:t>EESC-2015-05834-00-00-AC-TRA</w:t>
      </w:r>
    </w:p>
    <w:p w:rsidR="006140BB" w:rsidRPr="00674670" w:rsidRDefault="006140BB" w:rsidP="006140BB">
      <w:pPr>
        <w:tabs>
          <w:tab w:val="left" w:pos="0"/>
        </w:tabs>
        <w:ind w:left="364" w:hanging="369"/>
      </w:pPr>
    </w:p>
    <w:p w:rsidR="006140BB" w:rsidRPr="00674670" w:rsidRDefault="006140BB" w:rsidP="006140BB">
      <w:pPr>
        <w:ind w:left="-5"/>
        <w:rPr>
          <w:b/>
        </w:rPr>
      </w:pPr>
      <w:r w:rsidRPr="00674670">
        <w:rPr>
          <w:b/>
        </w:rPr>
        <w:t>Põhipunktid</w:t>
      </w:r>
    </w:p>
    <w:p w:rsidR="006140BB" w:rsidRPr="00674670" w:rsidRDefault="006140BB" w:rsidP="006140BB">
      <w:pPr>
        <w:tabs>
          <w:tab w:val="left" w:pos="770"/>
        </w:tabs>
        <w:ind w:left="1430" w:hanging="1430"/>
        <w:rPr>
          <w:b/>
          <w:bCs/>
          <w:i/>
          <w:iCs/>
        </w:rPr>
      </w:pPr>
    </w:p>
    <w:p w:rsidR="006140BB" w:rsidRPr="00674670" w:rsidRDefault="006140BB" w:rsidP="006140BB">
      <w:r w:rsidRPr="00674670">
        <w:t>Komitee toetab kindlalt kõnealust määruse ettepanekut. Ta tunnustab seda, et määruse vorm annab võrreldes direktiivi vormiga parema õigusliku selguse.</w:t>
      </w:r>
      <w:r w:rsidRPr="00674670">
        <w:rPr>
          <w:strike/>
        </w:rPr>
        <w:t xml:space="preserve"> </w:t>
      </w:r>
    </w:p>
    <w:p w:rsidR="006140BB" w:rsidRPr="00674670" w:rsidRDefault="006140BB" w:rsidP="006140BB"/>
    <w:p w:rsidR="006140BB" w:rsidRPr="00674670" w:rsidRDefault="006140BB" w:rsidP="006140BB">
      <w:r w:rsidRPr="00674670">
        <w:t>Põhimõttel muuta prospekt lugejasõbralikumaks ja keskenduda emitendi eriolukorrale on kaks eelist: see vähendab kulusid ning suurendab prospekti asjakohasust.</w:t>
      </w:r>
    </w:p>
    <w:p w:rsidR="006140BB" w:rsidRPr="00674670" w:rsidRDefault="006140BB" w:rsidP="006140BB"/>
    <w:p w:rsidR="006140BB" w:rsidRPr="00674670" w:rsidRDefault="006140BB" w:rsidP="006140BB">
      <w:r w:rsidRPr="00674670">
        <w:t>Komitee näeb ka võimalust, et kõik ELi prospektid on kättesaadavad ühtses kasutajasõbralikus ja ligipääsetavas andmebaasis.</w:t>
      </w:r>
    </w:p>
    <w:p w:rsidR="006140BB" w:rsidRPr="00674670" w:rsidRDefault="006140BB" w:rsidP="006140BB"/>
    <w:p w:rsidR="006140BB" w:rsidRPr="00674670" w:rsidRDefault="006140BB" w:rsidP="006140BB">
      <w:pPr>
        <w:rPr>
          <w:strike/>
        </w:rPr>
      </w:pPr>
      <w:r w:rsidRPr="00674670">
        <w:t>Halduskulude vähendamine, kui koostatakse prospekte kõigile emitentidele, eelkõige VKEde, sagedaste väärpaberite emitentide ja teiseste emissioonide jaoks, väärib komitee toetust.</w:t>
      </w:r>
    </w:p>
    <w:p w:rsidR="006140BB" w:rsidRPr="00674670" w:rsidRDefault="006140BB" w:rsidP="006140BB"/>
    <w:p w:rsidR="006140BB" w:rsidRPr="00674670" w:rsidRDefault="006140BB" w:rsidP="006140BB">
      <w:r w:rsidRPr="00674670">
        <w:t>Kõik sidusrühmad tuleb tihedalt kaasata teise tasandi õigusakti loomise protsessi ning põhjalikku kvaliteedihindamisse, mida tehakse kaks aastat pärast määruse rakendamise algust. Komitee on väga huvitatud aktiivsest osalemisest nendes konsultatsioonides.</w:t>
      </w:r>
    </w:p>
    <w:p w:rsidR="006140BB" w:rsidRPr="00674670" w:rsidRDefault="006140BB" w:rsidP="006140BB"/>
    <w:p w:rsidR="006140BB" w:rsidRPr="00674670" w:rsidRDefault="006140BB" w:rsidP="006140BB">
      <w:pPr>
        <w:rPr>
          <w:strike/>
        </w:rPr>
      </w:pPr>
      <w:r w:rsidRPr="00674670">
        <w:t>Komitee kutsub komisjoni üles selgitama mõnesid ebaselgeid küsimusi, eeskätt seoses liikmesriikidele jäetud otsustamisvabadusega.</w:t>
      </w:r>
    </w:p>
    <w:p w:rsidR="006140BB" w:rsidRPr="00674670" w:rsidRDefault="006140BB" w:rsidP="006140BB">
      <w:pPr>
        <w:tabs>
          <w:tab w:val="left" w:pos="770"/>
        </w:tabs>
        <w:ind w:left="1430" w:hanging="1430"/>
        <w:rPr>
          <w:b/>
          <w:bCs/>
          <w:i/>
          <w:iCs/>
        </w:rPr>
      </w:pPr>
    </w:p>
    <w:p w:rsidR="006140BB" w:rsidRPr="00674670" w:rsidRDefault="006140BB" w:rsidP="006140BB">
      <w:pPr>
        <w:tabs>
          <w:tab w:val="left" w:pos="770"/>
        </w:tabs>
        <w:ind w:left="1430" w:hanging="1430"/>
        <w:rPr>
          <w:i/>
          <w:iCs/>
        </w:rPr>
      </w:pPr>
      <w:r w:rsidRPr="00674670">
        <w:rPr>
          <w:b/>
          <w:i/>
        </w:rPr>
        <w:t>Kontaktisik:</w:t>
      </w:r>
      <w:r w:rsidRPr="00674670">
        <w:tab/>
      </w:r>
      <w:r w:rsidRPr="00674670">
        <w:rPr>
          <w:b/>
          <w:i/>
        </w:rPr>
        <w:t>Siegfried Jantscher</w:t>
      </w:r>
    </w:p>
    <w:p w:rsidR="006140BB" w:rsidRPr="00674670" w:rsidRDefault="006140BB" w:rsidP="00A134D8">
      <w:pPr>
        <w:ind w:left="1418"/>
        <w:rPr>
          <w:i/>
          <w:iCs/>
        </w:rPr>
      </w:pPr>
      <w:r w:rsidRPr="00674670">
        <w:rPr>
          <w:i/>
        </w:rPr>
        <w:t xml:space="preserve">(Tel 00 32 2 546 82 87 – e-post: </w:t>
      </w:r>
      <w:hyperlink r:id="rId28">
        <w:r w:rsidRPr="00674670">
          <w:rPr>
            <w:rStyle w:val="Hyperlink"/>
            <w:i/>
          </w:rPr>
          <w:t>siegfried.jantscher@eesc.europa.eu</w:t>
        </w:r>
      </w:hyperlink>
      <w:r w:rsidRPr="00674670">
        <w:rPr>
          <w:i/>
        </w:rPr>
        <w:t>)</w:t>
      </w:r>
    </w:p>
    <w:p w:rsidR="00A26386" w:rsidRPr="00674670" w:rsidRDefault="00A26386" w:rsidP="00A0297D">
      <w:pPr>
        <w:spacing w:line="240" w:lineRule="auto"/>
        <w:jc w:val="left"/>
        <w:rPr>
          <w:b/>
          <w:iCs/>
          <w:highlight w:val="yellow"/>
          <w:u w:val="single"/>
        </w:rPr>
      </w:pPr>
    </w:p>
    <w:p w:rsidR="003A63B9" w:rsidRPr="00674670" w:rsidRDefault="003A63B9" w:rsidP="00853AF3">
      <w:pPr>
        <w:keepNext/>
        <w:keepLines/>
        <w:widowControl w:val="0"/>
        <w:numPr>
          <w:ilvl w:val="0"/>
          <w:numId w:val="52"/>
        </w:numPr>
        <w:overflowPunct w:val="0"/>
        <w:autoSpaceDE w:val="0"/>
        <w:autoSpaceDN w:val="0"/>
        <w:adjustRightInd w:val="0"/>
        <w:ind w:left="360"/>
        <w:textAlignment w:val="baseline"/>
        <w:rPr>
          <w:b/>
          <w:i/>
          <w:sz w:val="28"/>
          <w:szCs w:val="28"/>
        </w:rPr>
      </w:pPr>
      <w:r w:rsidRPr="00674670">
        <w:rPr>
          <w:b/>
          <w:i/>
          <w:sz w:val="28"/>
        </w:rPr>
        <w:lastRenderedPageBreak/>
        <w:t>Euroala välisesindatus</w:t>
      </w:r>
    </w:p>
    <w:p w:rsidR="003A63B9" w:rsidRPr="00674670" w:rsidRDefault="003A63B9" w:rsidP="00853AF3">
      <w:pPr>
        <w:keepNext/>
        <w:keepLines/>
        <w:tabs>
          <w:tab w:val="center" w:pos="284"/>
        </w:tabs>
        <w:ind w:left="266" w:hanging="266"/>
        <w:rPr>
          <w:b/>
        </w:rPr>
      </w:pPr>
    </w:p>
    <w:p w:rsidR="003A63B9" w:rsidRPr="00674670" w:rsidRDefault="003A63B9" w:rsidP="00853AF3">
      <w:pPr>
        <w:keepNext/>
        <w:keepLines/>
        <w:tabs>
          <w:tab w:val="center" w:pos="284"/>
        </w:tabs>
        <w:ind w:left="266" w:hanging="266"/>
      </w:pPr>
      <w:r w:rsidRPr="00674670">
        <w:rPr>
          <w:b/>
        </w:rPr>
        <w:t>Raportöör:</w:t>
      </w:r>
      <w:r w:rsidRPr="00674670">
        <w:tab/>
        <w:t>Petr Zahradník (tööandjate rühm – CZ)</w:t>
      </w:r>
    </w:p>
    <w:p w:rsidR="003A63B9" w:rsidRPr="00674670" w:rsidRDefault="003A63B9" w:rsidP="00853AF3">
      <w:pPr>
        <w:keepNext/>
        <w:keepLines/>
        <w:tabs>
          <w:tab w:val="center" w:pos="284"/>
        </w:tabs>
        <w:ind w:left="266" w:hanging="266"/>
      </w:pPr>
    </w:p>
    <w:p w:rsidR="003A63B9" w:rsidRPr="00674670" w:rsidRDefault="003A63B9" w:rsidP="00853AF3">
      <w:pPr>
        <w:keepNext/>
        <w:keepLines/>
        <w:tabs>
          <w:tab w:val="center" w:pos="284"/>
        </w:tabs>
        <w:ind w:left="266" w:hanging="266"/>
      </w:pPr>
      <w:r w:rsidRPr="00674670">
        <w:rPr>
          <w:b/>
        </w:rPr>
        <w:t>Viide:</w:t>
      </w:r>
      <w:r w:rsidRPr="00674670">
        <w:tab/>
      </w:r>
      <w:r w:rsidR="00853AF3" w:rsidRPr="00674670">
        <w:tab/>
      </w:r>
      <w:r w:rsidRPr="00674670">
        <w:t>COM(2015) 602 final ja COM(2015) 603 final – 2015/0250 (NLE)</w:t>
      </w:r>
    </w:p>
    <w:p w:rsidR="003A63B9" w:rsidRPr="00674670" w:rsidRDefault="003939EE" w:rsidP="00853AF3">
      <w:pPr>
        <w:keepNext/>
        <w:keepLines/>
        <w:ind w:left="1418" w:firstLine="18"/>
      </w:pPr>
      <w:r w:rsidRPr="00674670">
        <w:t>EESC-2015-05877-00-00-AC-TRA</w:t>
      </w:r>
    </w:p>
    <w:p w:rsidR="003A63B9" w:rsidRPr="00674670" w:rsidRDefault="003A63B9" w:rsidP="003A63B9">
      <w:pPr>
        <w:tabs>
          <w:tab w:val="center" w:pos="284"/>
        </w:tabs>
        <w:ind w:left="266" w:hanging="266"/>
      </w:pPr>
    </w:p>
    <w:p w:rsidR="003A63B9" w:rsidRPr="00674670" w:rsidRDefault="003A63B9" w:rsidP="003A63B9">
      <w:pPr>
        <w:keepNext/>
        <w:keepLines/>
        <w:tabs>
          <w:tab w:val="center" w:pos="284"/>
        </w:tabs>
        <w:ind w:left="266" w:hanging="266"/>
        <w:rPr>
          <w:b/>
        </w:rPr>
      </w:pPr>
      <w:r w:rsidRPr="00674670">
        <w:rPr>
          <w:b/>
        </w:rPr>
        <w:t>Põhipunktid</w:t>
      </w:r>
    </w:p>
    <w:p w:rsidR="003A63B9" w:rsidRPr="00674670" w:rsidRDefault="003A63B9" w:rsidP="003A63B9"/>
    <w:p w:rsidR="003A63B9" w:rsidRPr="00674670" w:rsidRDefault="003A63B9" w:rsidP="00A134D8">
      <w:r w:rsidRPr="00674670">
        <w:t>Euroala peab suurendama oma välisesindatust. See suurendaks euroala kaalukust rahvusvaheliste finantsasutuste silmis ja annaks kesksema koha rahvusvahelistel finantsturgudel.</w:t>
      </w:r>
    </w:p>
    <w:p w:rsidR="003A63B9" w:rsidRPr="00674670" w:rsidRDefault="003A63B9" w:rsidP="003A63B9"/>
    <w:p w:rsidR="003A63B9" w:rsidRPr="00674670" w:rsidRDefault="003A63B9" w:rsidP="00A134D8">
      <w:r w:rsidRPr="00674670">
        <w:t>Komitee toetab mõlema arutluse all oleva komisjoni dokumendi põhiideed ning nõustub ka sellega, et esikohale seatakse euroala välisesindatuse tugevdamine Rahvusvahelises Valuutafondis (IMF).</w:t>
      </w:r>
    </w:p>
    <w:p w:rsidR="003A63B9" w:rsidRPr="00674670" w:rsidRDefault="003A63B9" w:rsidP="003A63B9"/>
    <w:p w:rsidR="003A63B9" w:rsidRPr="00674670" w:rsidRDefault="003A63B9" w:rsidP="00A134D8">
      <w:r w:rsidRPr="00674670">
        <w:t>Kuid samal ajal teeb komitee siiski ettepaneku, et Euroopa Komisjon töötaks välja stsenaariume, kuidas tugevdada ja tõhustada sidemeid ka muude asjakohaste rahvusvaheliste organisatsioonidega, võttes eelkõige arvesse nende pädevusvaldkondi.</w:t>
      </w:r>
    </w:p>
    <w:p w:rsidR="003A63B9" w:rsidRPr="00674670" w:rsidRDefault="003A63B9" w:rsidP="003A63B9"/>
    <w:p w:rsidR="003A63B9" w:rsidRPr="00674670" w:rsidRDefault="003A63B9" w:rsidP="00A134D8">
      <w:r w:rsidRPr="00674670">
        <w:t>Komitee nõustub üldjoontes lõppeesmärgiga kehtestada ühisesindaja koht IMFis hiljemalt 2025. aastaks. Sellega seoses kutsub komitee üles ka selgelt ja üheselt määratlema euroala välisesindatuse ülesanded ning siduma selle kooskõlastatult ELi rolliga tervikuna (ühtse turu ühtsuse säilitamise eesmärgil).</w:t>
      </w:r>
    </w:p>
    <w:p w:rsidR="003A63B9" w:rsidRPr="00674670" w:rsidRDefault="003A63B9" w:rsidP="003A63B9"/>
    <w:p w:rsidR="003A63B9" w:rsidRPr="00674670" w:rsidRDefault="003A63B9" w:rsidP="00A134D8">
      <w:r w:rsidRPr="00674670">
        <w:t>Komitee nõustub kolmeetapilise stsenaariumi põhiosadega, mille eesmärk on saavutada 2025. aastaks ühisesindaja koht IMFis. Tuleb aga avaldada vastavat poliitilist survet tagamaks, et liikmesriigid täidaksid sellest tulenevad kohustused õigeaegselt.</w:t>
      </w:r>
    </w:p>
    <w:p w:rsidR="003A63B9" w:rsidRPr="00674670" w:rsidRDefault="003A63B9"/>
    <w:p w:rsidR="003A63B9" w:rsidRPr="00674670" w:rsidRDefault="003A63B9" w:rsidP="00A134D8">
      <w:r w:rsidRPr="00674670">
        <w:t>Komitee eeldab, et kavandatav kord toob kaasa parema ja põhjalikuma koordineerimise liikmesriikide vahel majanduspoliitika ja selle välismõõtme vallas, ning eeldab selle vastavat koordineerimist asjakohaste ELi institutsioonide ja asutuste vahel, tagades samuti maksimaalse läbipaistvuse.</w:t>
      </w:r>
    </w:p>
    <w:p w:rsidR="003A63B9" w:rsidRPr="00674670" w:rsidRDefault="003A63B9" w:rsidP="003A63B9"/>
    <w:p w:rsidR="003A63B9" w:rsidRPr="00674670" w:rsidRDefault="003A63B9" w:rsidP="00A134D8">
      <w:r w:rsidRPr="00674670">
        <w:t>Komitee soovitab lisada majandusanalüüsi ning lühikese avalduse oodatava kasu ja mõju kohta pärast selle rakendamist.</w:t>
      </w:r>
    </w:p>
    <w:p w:rsidR="003A63B9" w:rsidRPr="00674670" w:rsidRDefault="003A63B9" w:rsidP="003A63B9"/>
    <w:p w:rsidR="003A63B9" w:rsidRPr="00674670" w:rsidRDefault="003A63B9" w:rsidP="003A63B9">
      <w:pPr>
        <w:rPr>
          <w:i/>
        </w:rPr>
      </w:pPr>
      <w:r w:rsidRPr="00674670">
        <w:rPr>
          <w:b/>
          <w:i/>
        </w:rPr>
        <w:t>Kontaktisik:</w:t>
      </w:r>
      <w:r w:rsidRPr="00674670">
        <w:rPr>
          <w:i/>
        </w:rPr>
        <w:t xml:space="preserve"> </w:t>
      </w:r>
      <w:r w:rsidRPr="00674670">
        <w:tab/>
      </w:r>
      <w:r w:rsidRPr="00674670">
        <w:rPr>
          <w:i/>
        </w:rPr>
        <w:t>Alexander Alexandrov</w:t>
      </w:r>
    </w:p>
    <w:p w:rsidR="003A63B9" w:rsidRPr="00674670" w:rsidRDefault="003A63B9" w:rsidP="00A134D8">
      <w:pPr>
        <w:ind w:left="1418"/>
        <w:rPr>
          <w:i/>
        </w:rPr>
      </w:pPr>
      <w:r w:rsidRPr="00674670">
        <w:rPr>
          <w:i/>
        </w:rPr>
        <w:t xml:space="preserve">(Tel 00 32 2 546 9805 - e-post: </w:t>
      </w:r>
      <w:hyperlink r:id="rId29">
        <w:r w:rsidRPr="00674670">
          <w:rPr>
            <w:rStyle w:val="Hyperlink"/>
            <w:i/>
          </w:rPr>
          <w:t>Alexander.Alexandrov@eesc.europa.eu</w:t>
        </w:r>
      </w:hyperlink>
      <w:r w:rsidRPr="00674670">
        <w:rPr>
          <w:i/>
        </w:rPr>
        <w:t>)</w:t>
      </w:r>
    </w:p>
    <w:p w:rsidR="003A63B9" w:rsidRPr="00674670" w:rsidRDefault="003A63B9" w:rsidP="003A63B9">
      <w:pPr>
        <w:spacing w:after="200" w:line="276" w:lineRule="auto"/>
        <w:jc w:val="left"/>
        <w:rPr>
          <w:i/>
        </w:rPr>
      </w:pPr>
      <w:r w:rsidRPr="00674670">
        <w:br w:type="page"/>
      </w:r>
    </w:p>
    <w:p w:rsidR="003A63B9" w:rsidRPr="00674670" w:rsidRDefault="003A63B9" w:rsidP="003A63B9">
      <w:pPr>
        <w:widowControl w:val="0"/>
        <w:numPr>
          <w:ilvl w:val="0"/>
          <w:numId w:val="5"/>
        </w:numPr>
        <w:overflowPunct w:val="0"/>
        <w:autoSpaceDE w:val="0"/>
        <w:autoSpaceDN w:val="0"/>
        <w:adjustRightInd w:val="0"/>
        <w:ind w:left="284"/>
        <w:textAlignment w:val="baseline"/>
        <w:rPr>
          <w:b/>
          <w:bCs/>
          <w:i/>
          <w:iCs/>
          <w:sz w:val="28"/>
          <w:szCs w:val="28"/>
        </w:rPr>
      </w:pPr>
      <w:r w:rsidRPr="00674670">
        <w:rPr>
          <w:b/>
          <w:i/>
          <w:sz w:val="28"/>
        </w:rPr>
        <w:t>Euroopa hoiuste tagamise skeem</w:t>
      </w:r>
    </w:p>
    <w:p w:rsidR="003A63B9" w:rsidRPr="00674670" w:rsidRDefault="003A63B9" w:rsidP="003A63B9">
      <w:pPr>
        <w:ind w:firstLine="17"/>
      </w:pPr>
    </w:p>
    <w:p w:rsidR="003A63B9" w:rsidRPr="00674670" w:rsidRDefault="003A63B9" w:rsidP="003A63B9">
      <w:r w:rsidRPr="00674670">
        <w:rPr>
          <w:b/>
        </w:rPr>
        <w:t>Raportöör:</w:t>
      </w:r>
      <w:r w:rsidRPr="00674670">
        <w:tab/>
        <w:t>Daniel Mareels (tööandjate rühm – BE)</w:t>
      </w:r>
    </w:p>
    <w:p w:rsidR="003A63B9" w:rsidRPr="00674670" w:rsidRDefault="003A63B9" w:rsidP="003A63B9"/>
    <w:p w:rsidR="003A63B9" w:rsidRPr="00674670" w:rsidRDefault="003A63B9" w:rsidP="00D22324">
      <w:pPr>
        <w:ind w:left="-5"/>
        <w:jc w:val="left"/>
      </w:pPr>
      <w:r w:rsidRPr="00674670">
        <w:rPr>
          <w:b/>
        </w:rPr>
        <w:t>Viide:</w:t>
      </w:r>
      <w:r w:rsidRPr="00674670">
        <w:tab/>
      </w:r>
      <w:r w:rsidR="00853AF3" w:rsidRPr="00674670">
        <w:tab/>
      </w:r>
      <w:r w:rsidRPr="00674670">
        <w:t xml:space="preserve">COM(2015) 586 final – 2015/0270 (COD)  </w:t>
      </w:r>
      <w:r w:rsidRPr="00674670">
        <w:br/>
      </w:r>
      <w:r w:rsidRPr="00674670">
        <w:tab/>
      </w:r>
      <w:r w:rsidRPr="00674670">
        <w:tab/>
      </w:r>
      <w:r w:rsidRPr="00674670">
        <w:tab/>
        <w:t>EESC-2015-06357-00-00-AC-TRA</w:t>
      </w:r>
    </w:p>
    <w:p w:rsidR="003A63B9" w:rsidRPr="00674670" w:rsidRDefault="003A63B9" w:rsidP="003A63B9">
      <w:pPr>
        <w:tabs>
          <w:tab w:val="left" w:pos="0"/>
        </w:tabs>
        <w:ind w:left="364" w:hanging="369"/>
      </w:pPr>
    </w:p>
    <w:p w:rsidR="003A63B9" w:rsidRPr="00674670" w:rsidRDefault="003A63B9" w:rsidP="003A63B9">
      <w:pPr>
        <w:ind w:left="-5"/>
        <w:rPr>
          <w:b/>
        </w:rPr>
      </w:pPr>
      <w:r w:rsidRPr="00674670">
        <w:rPr>
          <w:b/>
        </w:rPr>
        <w:t>Põhipunktid</w:t>
      </w:r>
    </w:p>
    <w:p w:rsidR="00A26386" w:rsidRPr="00674670" w:rsidRDefault="00A26386" w:rsidP="003A63B9">
      <w:pPr>
        <w:ind w:left="-5"/>
        <w:rPr>
          <w:b/>
        </w:rPr>
      </w:pPr>
    </w:p>
    <w:p w:rsidR="003A63B9" w:rsidRPr="00674670" w:rsidRDefault="003A63B9" w:rsidP="003A63B9">
      <w:pPr>
        <w:rPr>
          <w:bCs/>
          <w:iCs/>
        </w:rPr>
      </w:pPr>
      <w:r w:rsidRPr="00674670">
        <w:t>Hoiuste stabiilsus, kindlus ja turvalisus on meie kõigi, ning eelkõige säästjate ja hoiustajate huvides.</w:t>
      </w:r>
    </w:p>
    <w:p w:rsidR="003A63B9" w:rsidRPr="00674670" w:rsidRDefault="003A63B9" w:rsidP="003A63B9">
      <w:pPr>
        <w:rPr>
          <w:bCs/>
          <w:iCs/>
        </w:rPr>
      </w:pPr>
    </w:p>
    <w:p w:rsidR="003A63B9" w:rsidRPr="00674670" w:rsidRDefault="003A63B9" w:rsidP="003A63B9">
      <w:pPr>
        <w:tabs>
          <w:tab w:val="left" w:pos="770"/>
        </w:tabs>
        <w:ind w:left="1430" w:hanging="1430"/>
        <w:rPr>
          <w:bCs/>
          <w:iCs/>
        </w:rPr>
      </w:pPr>
      <w:r w:rsidRPr="00674670">
        <w:t>Komitee jaoks</w:t>
      </w:r>
    </w:p>
    <w:p w:rsidR="003A63B9" w:rsidRPr="00674670" w:rsidRDefault="003A63B9" w:rsidP="003A63B9">
      <w:pPr>
        <w:tabs>
          <w:tab w:val="left" w:pos="770"/>
        </w:tabs>
        <w:ind w:left="1430" w:hanging="1430"/>
        <w:rPr>
          <w:bCs/>
          <w:iCs/>
        </w:rPr>
      </w:pPr>
    </w:p>
    <w:p w:rsidR="003A63B9" w:rsidRPr="00674670" w:rsidRDefault="003A63B9" w:rsidP="001C393F">
      <w:pPr>
        <w:pStyle w:val="ListParagraph"/>
        <w:numPr>
          <w:ilvl w:val="0"/>
          <w:numId w:val="76"/>
        </w:numPr>
        <w:tabs>
          <w:tab w:val="left" w:pos="770"/>
        </w:tabs>
        <w:ind w:left="369" w:hanging="369"/>
        <w:rPr>
          <w:bCs/>
          <w:iCs/>
        </w:rPr>
      </w:pPr>
      <w:r w:rsidRPr="00674670">
        <w:t>on ilmne, täiendava riskide jagamise sisseviimine (vt EDISi ettepanek) peab käima käsikäes edasise riskide vähendamisega pangandusliidus. Kuna mõlemal meetmel on mitmeid ühiseid pangandusliidu lõpuleviimise ja tugevdamise jaoks põhimõttelisi ja olulisi eesmärke ja mõlemad on vajalikud tasakaalustatud lahenduse pakkumiseks, tuleb nendega tegeleda viivitamatult ja paralleelselt ning need ka tegelikkuses ellu viia;</w:t>
      </w:r>
    </w:p>
    <w:p w:rsidR="003A63B9" w:rsidRPr="00674670" w:rsidRDefault="003A63B9" w:rsidP="003A63B9">
      <w:pPr>
        <w:pStyle w:val="ListParagraph"/>
        <w:tabs>
          <w:tab w:val="left" w:pos="770"/>
        </w:tabs>
        <w:rPr>
          <w:bCs/>
          <w:iCs/>
        </w:rPr>
      </w:pPr>
    </w:p>
    <w:p w:rsidR="003A63B9" w:rsidRPr="00674670" w:rsidRDefault="003A63B9" w:rsidP="001C393F">
      <w:pPr>
        <w:pStyle w:val="ListParagraph"/>
        <w:numPr>
          <w:ilvl w:val="0"/>
          <w:numId w:val="76"/>
        </w:numPr>
        <w:tabs>
          <w:tab w:val="left" w:pos="770"/>
        </w:tabs>
        <w:ind w:left="369" w:hanging="369"/>
        <w:rPr>
          <w:bCs/>
          <w:iCs/>
        </w:rPr>
      </w:pPr>
      <w:r w:rsidRPr="00674670">
        <w:t>on peamine pangandusliidu edasine tugevdamine EDISi abil (mis moodustab pangandusliidu kolmanda samba), pangandusliidu vastupanuvõime suurendamine võimalike finantskriiside suhtes ning majandusliku ja finantsstabiilsuse tõstmine;</w:t>
      </w:r>
    </w:p>
    <w:p w:rsidR="003A63B9" w:rsidRPr="00674670" w:rsidRDefault="003A63B9" w:rsidP="003A63B9">
      <w:pPr>
        <w:pStyle w:val="ListParagraph"/>
        <w:tabs>
          <w:tab w:val="left" w:pos="770"/>
        </w:tabs>
        <w:rPr>
          <w:bCs/>
          <w:iCs/>
        </w:rPr>
      </w:pPr>
    </w:p>
    <w:p w:rsidR="003A63B9" w:rsidRPr="00674670" w:rsidRDefault="003A63B9" w:rsidP="001C393F">
      <w:pPr>
        <w:pStyle w:val="ListParagraph"/>
        <w:numPr>
          <w:ilvl w:val="0"/>
          <w:numId w:val="76"/>
        </w:numPr>
        <w:tabs>
          <w:tab w:val="left" w:pos="770"/>
        </w:tabs>
        <w:ind w:left="369" w:hanging="369"/>
        <w:rPr>
          <w:bCs/>
          <w:iCs/>
        </w:rPr>
      </w:pPr>
      <w:r w:rsidRPr="00674670">
        <w:t>avaldab Euroopa hoiuste tagamise skeem positiivset mõju eri liikmesriikidele ja pankadele, kuna saab paremini aidata leevendada suuri kohalikke šokke. See võib vähendada spekuleerimist teatud riikide või pankade vastu ning seega väheneb hoiuste väljavoolu oht. Samal ajal nõrgendab see jätkuvalt sidet pankade ja nende asukohariikide vahel;</w:t>
      </w:r>
    </w:p>
    <w:p w:rsidR="003A63B9" w:rsidRPr="00674670" w:rsidRDefault="003A63B9" w:rsidP="003A63B9">
      <w:pPr>
        <w:pStyle w:val="ListParagraph"/>
        <w:tabs>
          <w:tab w:val="left" w:pos="770"/>
        </w:tabs>
        <w:rPr>
          <w:bCs/>
          <w:iCs/>
        </w:rPr>
      </w:pPr>
    </w:p>
    <w:p w:rsidR="003A63B9" w:rsidRPr="00674670" w:rsidRDefault="003A63B9" w:rsidP="001C393F">
      <w:pPr>
        <w:pStyle w:val="ListParagraph"/>
        <w:numPr>
          <w:ilvl w:val="0"/>
          <w:numId w:val="76"/>
        </w:numPr>
        <w:tabs>
          <w:tab w:val="left" w:pos="770"/>
        </w:tabs>
        <w:ind w:left="369" w:hanging="369"/>
        <w:rPr>
          <w:bCs/>
          <w:iCs/>
        </w:rPr>
      </w:pPr>
      <w:r w:rsidRPr="00674670">
        <w:t>pangandusliidus riskide vähendamiseks kavandatud meetmed on vältimatud. Need aitavad kaasa pangandusliidu tugevdamisele, hoolitsedes pankadevaheliste võrdsemate konkurentsitingimuste eest ning nõrgendades sidet pankade ja vastavate riikide vahel;</w:t>
      </w:r>
    </w:p>
    <w:p w:rsidR="003A63B9" w:rsidRPr="00674670" w:rsidRDefault="003A63B9" w:rsidP="003A63B9">
      <w:pPr>
        <w:pStyle w:val="ListParagraph"/>
        <w:tabs>
          <w:tab w:val="left" w:pos="770"/>
        </w:tabs>
        <w:rPr>
          <w:bCs/>
          <w:iCs/>
        </w:rPr>
      </w:pPr>
    </w:p>
    <w:p w:rsidR="003A63B9" w:rsidRPr="00674670" w:rsidRDefault="003A63B9" w:rsidP="001C393F">
      <w:pPr>
        <w:pStyle w:val="ListParagraph"/>
        <w:numPr>
          <w:ilvl w:val="0"/>
          <w:numId w:val="76"/>
        </w:numPr>
        <w:tabs>
          <w:tab w:val="left" w:pos="770"/>
        </w:tabs>
        <w:ind w:left="369" w:hanging="369"/>
        <w:rPr>
          <w:bCs/>
          <w:iCs/>
        </w:rPr>
      </w:pPr>
      <w:r w:rsidRPr="00674670">
        <w:t>on oluline, et kõik liikmesriigid võtaksid üle ja rakendaksid täiel määral olemasolevat pangandusliidu õigusraamistikku (pankade finantsseisundi taastamise ja kriisilahenduse direktiiv ning hoiuste tagamise direktiiv). Ka pangandusliidu kõnealuse samba edasisel elluviimisel tuleb maksimaalselt vältida võimalikke moraaliriske, seda nii pankade, valitsuste kui ka hoiustajate suhtes;</w:t>
      </w:r>
    </w:p>
    <w:p w:rsidR="003A63B9" w:rsidRPr="00674670" w:rsidRDefault="003A63B9" w:rsidP="003A63B9">
      <w:pPr>
        <w:pStyle w:val="ListParagraph"/>
        <w:tabs>
          <w:tab w:val="left" w:pos="770"/>
        </w:tabs>
        <w:rPr>
          <w:bCs/>
          <w:iCs/>
        </w:rPr>
      </w:pPr>
    </w:p>
    <w:p w:rsidR="003A63B9" w:rsidRPr="00674670" w:rsidRDefault="003A63B9" w:rsidP="001C393F">
      <w:pPr>
        <w:pStyle w:val="ListParagraph"/>
        <w:numPr>
          <w:ilvl w:val="0"/>
          <w:numId w:val="76"/>
        </w:numPr>
        <w:tabs>
          <w:tab w:val="left" w:pos="770"/>
        </w:tabs>
        <w:ind w:left="369" w:hanging="369"/>
        <w:rPr>
          <w:bCs/>
          <w:iCs/>
        </w:rPr>
      </w:pPr>
      <w:r w:rsidRPr="00674670">
        <w:t>on asjakohane nõue, et liikmesriik saab kasutada EDISi vahendeid alles siis, kui ta on täitnud kõik eeltingimused;</w:t>
      </w:r>
    </w:p>
    <w:p w:rsidR="003A63B9" w:rsidRPr="00674670" w:rsidRDefault="003A63B9" w:rsidP="003A63B9">
      <w:pPr>
        <w:pStyle w:val="ListParagraph"/>
        <w:tabs>
          <w:tab w:val="left" w:pos="770"/>
        </w:tabs>
        <w:rPr>
          <w:bCs/>
          <w:iCs/>
        </w:rPr>
      </w:pPr>
    </w:p>
    <w:p w:rsidR="003A63B9" w:rsidRPr="00674670" w:rsidRDefault="003A63B9" w:rsidP="001C393F">
      <w:pPr>
        <w:pStyle w:val="ListParagraph"/>
        <w:numPr>
          <w:ilvl w:val="0"/>
          <w:numId w:val="76"/>
        </w:numPr>
        <w:tabs>
          <w:tab w:val="left" w:pos="770"/>
        </w:tabs>
        <w:ind w:left="369" w:hanging="369"/>
        <w:rPr>
          <w:bCs/>
          <w:iCs/>
        </w:rPr>
      </w:pPr>
      <w:r w:rsidRPr="00674670">
        <w:t>on oluline, et komisjon viiks läbi kõikehõlmava mõjuhinnangu, et tugevdada veelgi ettepaneku legitiimsust;</w:t>
      </w:r>
    </w:p>
    <w:p w:rsidR="003A63B9" w:rsidRPr="00674670" w:rsidRDefault="003A63B9" w:rsidP="003A63B9">
      <w:pPr>
        <w:tabs>
          <w:tab w:val="left" w:pos="770"/>
        </w:tabs>
        <w:ind w:left="720"/>
        <w:rPr>
          <w:bCs/>
          <w:iCs/>
        </w:rPr>
      </w:pPr>
    </w:p>
    <w:p w:rsidR="003A63B9" w:rsidRPr="00674670" w:rsidRDefault="003A63B9" w:rsidP="001C393F">
      <w:pPr>
        <w:pStyle w:val="ListParagraph"/>
        <w:numPr>
          <w:ilvl w:val="0"/>
          <w:numId w:val="76"/>
        </w:numPr>
        <w:tabs>
          <w:tab w:val="left" w:pos="770"/>
        </w:tabs>
        <w:ind w:left="369" w:hanging="369"/>
        <w:rPr>
          <w:bCs/>
          <w:iCs/>
        </w:rPr>
      </w:pPr>
      <w:r w:rsidRPr="00674670">
        <w:t>on oluline, et piisavat tähelepanu pöörataks mõjule, mida meede avaldab laenude andmisele, eelkõige laenude andmisele VKEdele, tööstussektori VKEdele, idufirmadele ja teistele noortele ettevõtetele.</w:t>
      </w:r>
    </w:p>
    <w:p w:rsidR="003A63B9" w:rsidRPr="00674670" w:rsidRDefault="003A63B9" w:rsidP="003A63B9">
      <w:pPr>
        <w:tabs>
          <w:tab w:val="left" w:pos="770"/>
        </w:tabs>
        <w:ind w:left="720"/>
        <w:rPr>
          <w:bCs/>
          <w:iCs/>
        </w:rPr>
      </w:pPr>
    </w:p>
    <w:p w:rsidR="003A63B9" w:rsidRPr="00674670" w:rsidRDefault="003A63B9" w:rsidP="001C393F">
      <w:pPr>
        <w:pStyle w:val="ListParagraph"/>
        <w:numPr>
          <w:ilvl w:val="0"/>
          <w:numId w:val="76"/>
        </w:numPr>
        <w:tabs>
          <w:tab w:val="left" w:pos="770"/>
        </w:tabs>
        <w:ind w:left="369" w:hanging="369"/>
        <w:rPr>
          <w:bCs/>
          <w:iCs/>
        </w:rPr>
      </w:pPr>
      <w:r w:rsidRPr="00674670">
        <w:t>Komitee tervitab uudist, et uus hoiuste tagamise skeem ei tohi suurendada pangandussektori kulusid ning on samas arvamusel, et eelistada tuleks kavandatud riskipõhise osamaksete arvutamise meetodi kaasamist otse EDISi ettepanekusse, mitte sätestada seda delegeeritud õigusaktides.</w:t>
      </w:r>
    </w:p>
    <w:p w:rsidR="003A63B9" w:rsidRPr="00674670" w:rsidRDefault="003A63B9" w:rsidP="003A63B9">
      <w:pPr>
        <w:tabs>
          <w:tab w:val="left" w:pos="770"/>
        </w:tabs>
        <w:ind w:left="1430" w:hanging="1430"/>
        <w:rPr>
          <w:bCs/>
          <w:iCs/>
        </w:rPr>
      </w:pPr>
    </w:p>
    <w:p w:rsidR="003A63B9" w:rsidRPr="00674670" w:rsidRDefault="003A63B9" w:rsidP="003A63B9">
      <w:r w:rsidRPr="00674670">
        <w:rPr>
          <w:rStyle w:val="normal--char"/>
          <w:b/>
          <w:i/>
        </w:rPr>
        <w:t>Kontaktisik:</w:t>
      </w:r>
      <w:r w:rsidRPr="00674670">
        <w:tab/>
      </w:r>
      <w:r w:rsidRPr="00674670">
        <w:rPr>
          <w:i/>
        </w:rPr>
        <w:t>Gerald Klec</w:t>
      </w:r>
    </w:p>
    <w:p w:rsidR="003A63B9" w:rsidRPr="00674670" w:rsidRDefault="003A63B9" w:rsidP="00A134D8">
      <w:pPr>
        <w:ind w:left="1418"/>
        <w:rPr>
          <w:i/>
        </w:rPr>
      </w:pPr>
      <w:r w:rsidRPr="00674670">
        <w:rPr>
          <w:i/>
        </w:rPr>
        <w:t xml:space="preserve">(Tel 00 32 2 546 9909 - e-post: </w:t>
      </w:r>
      <w:hyperlink r:id="rId30">
        <w:r w:rsidRPr="00674670">
          <w:rPr>
            <w:rStyle w:val="Hyperlink"/>
            <w:i/>
          </w:rPr>
          <w:t>gerald.klec@eesc.europa.eu</w:t>
        </w:r>
      </w:hyperlink>
      <w:r w:rsidRPr="00674670">
        <w:rPr>
          <w:i/>
        </w:rPr>
        <w:t>)</w:t>
      </w:r>
    </w:p>
    <w:p w:rsidR="003A63B9" w:rsidRPr="00674670" w:rsidRDefault="003A63B9" w:rsidP="003A63B9">
      <w:pPr>
        <w:rPr>
          <w:i/>
        </w:rPr>
      </w:pPr>
    </w:p>
    <w:p w:rsidR="003A63B9" w:rsidRPr="00674670" w:rsidRDefault="003A63B9" w:rsidP="003A63B9">
      <w:pPr>
        <w:widowControl w:val="0"/>
        <w:numPr>
          <w:ilvl w:val="0"/>
          <w:numId w:val="52"/>
        </w:numPr>
        <w:overflowPunct w:val="0"/>
        <w:autoSpaceDE w:val="0"/>
        <w:autoSpaceDN w:val="0"/>
        <w:adjustRightInd w:val="0"/>
        <w:ind w:left="360"/>
        <w:textAlignment w:val="baseline"/>
        <w:rPr>
          <w:b/>
          <w:i/>
          <w:sz w:val="28"/>
          <w:szCs w:val="28"/>
        </w:rPr>
      </w:pPr>
      <w:r w:rsidRPr="00674670">
        <w:rPr>
          <w:b/>
          <w:i/>
          <w:sz w:val="28"/>
        </w:rPr>
        <w:t>Majandus- ja rahaliidu lõpuleviimiseks võetavad meetmed</w:t>
      </w:r>
    </w:p>
    <w:p w:rsidR="003A63B9" w:rsidRPr="00674670" w:rsidRDefault="003A63B9" w:rsidP="003A63B9">
      <w:pPr>
        <w:tabs>
          <w:tab w:val="center" w:pos="284"/>
        </w:tabs>
        <w:ind w:left="266" w:hanging="266"/>
        <w:rPr>
          <w:b/>
        </w:rPr>
      </w:pPr>
    </w:p>
    <w:p w:rsidR="003A63B9" w:rsidRPr="00674670" w:rsidRDefault="003A63B9" w:rsidP="003A63B9">
      <w:pPr>
        <w:tabs>
          <w:tab w:val="center" w:pos="284"/>
        </w:tabs>
        <w:ind w:left="266" w:hanging="266"/>
      </w:pPr>
      <w:r w:rsidRPr="00674670">
        <w:rPr>
          <w:b/>
        </w:rPr>
        <w:t>Raportöör:</w:t>
      </w:r>
      <w:r w:rsidRPr="00674670">
        <w:tab/>
        <w:t>Carmelo Cedrone (töötajate rühm – IT)</w:t>
      </w:r>
    </w:p>
    <w:p w:rsidR="003A63B9" w:rsidRPr="00674670" w:rsidRDefault="003A63B9" w:rsidP="003A63B9">
      <w:pPr>
        <w:tabs>
          <w:tab w:val="center" w:pos="284"/>
        </w:tabs>
        <w:ind w:left="266" w:hanging="266"/>
      </w:pPr>
    </w:p>
    <w:p w:rsidR="003A63B9" w:rsidRPr="00674670" w:rsidRDefault="003A63B9" w:rsidP="003A63B9">
      <w:pPr>
        <w:tabs>
          <w:tab w:val="center" w:pos="284"/>
        </w:tabs>
        <w:ind w:left="266" w:hanging="266"/>
      </w:pPr>
      <w:r w:rsidRPr="00674670">
        <w:rPr>
          <w:b/>
        </w:rPr>
        <w:t>Viide:</w:t>
      </w:r>
      <w:r w:rsidRPr="00674670">
        <w:tab/>
      </w:r>
      <w:r w:rsidR="00853AF3" w:rsidRPr="00674670">
        <w:tab/>
      </w:r>
      <w:r w:rsidRPr="00674670">
        <w:t>COM(2015) 600 final and – C(2015) 8000 final - EESC-2015-06709-00-00-AC-TRA</w:t>
      </w:r>
    </w:p>
    <w:p w:rsidR="003A63B9" w:rsidRPr="00674670" w:rsidRDefault="003A63B9" w:rsidP="003A63B9">
      <w:pPr>
        <w:tabs>
          <w:tab w:val="center" w:pos="284"/>
        </w:tabs>
        <w:ind w:left="266" w:hanging="266"/>
      </w:pPr>
    </w:p>
    <w:p w:rsidR="003A63B9" w:rsidRPr="00674670" w:rsidRDefault="003A63B9" w:rsidP="003A63B9">
      <w:pPr>
        <w:keepNext/>
        <w:keepLines/>
        <w:tabs>
          <w:tab w:val="center" w:pos="284"/>
        </w:tabs>
        <w:ind w:left="266" w:hanging="266"/>
        <w:rPr>
          <w:b/>
        </w:rPr>
      </w:pPr>
      <w:r w:rsidRPr="00674670">
        <w:rPr>
          <w:b/>
        </w:rPr>
        <w:t>Põhipunktid</w:t>
      </w:r>
    </w:p>
    <w:p w:rsidR="00A26386" w:rsidRPr="00674670" w:rsidRDefault="00A26386" w:rsidP="003A63B9">
      <w:pPr>
        <w:keepNext/>
        <w:keepLines/>
        <w:tabs>
          <w:tab w:val="center" w:pos="284"/>
        </w:tabs>
        <w:ind w:left="266" w:hanging="266"/>
        <w:rPr>
          <w:b/>
        </w:rPr>
      </w:pPr>
    </w:p>
    <w:p w:rsidR="003A63B9" w:rsidRPr="00674670" w:rsidRDefault="003A63B9" w:rsidP="00A134D8">
      <w:r w:rsidRPr="00674670">
        <w:t>Komisjoni teatis majandus- ja rahaliidu lõpuleviimiseks võetavate meetmete kohta võib pakkuda suurepärase võimaluse käivitada arutelu nii poliitilisel kui ka kodanikuühiskonna tasandil, et leida lõplikud lahendused, mis ulatuksid kaugemale kui senised ettepanekud.</w:t>
      </w:r>
    </w:p>
    <w:p w:rsidR="003A63B9" w:rsidRPr="00674670" w:rsidRDefault="003A63B9" w:rsidP="003A63B9">
      <w:pPr>
        <w:overflowPunct w:val="0"/>
        <w:autoSpaceDE w:val="0"/>
        <w:autoSpaceDN w:val="0"/>
        <w:adjustRightInd w:val="0"/>
        <w:textAlignment w:val="baseline"/>
      </w:pPr>
    </w:p>
    <w:p w:rsidR="003A63B9" w:rsidRPr="00674670" w:rsidRDefault="003A63B9" w:rsidP="001C393F">
      <w:pPr>
        <w:pStyle w:val="ListParagraph"/>
        <w:numPr>
          <w:ilvl w:val="0"/>
          <w:numId w:val="70"/>
        </w:numPr>
        <w:overflowPunct w:val="0"/>
        <w:autoSpaceDE w:val="0"/>
        <w:autoSpaceDN w:val="0"/>
        <w:adjustRightInd w:val="0"/>
        <w:ind w:left="369" w:hanging="369"/>
        <w:textAlignment w:val="baseline"/>
      </w:pPr>
      <w:r w:rsidRPr="00674670">
        <w:rPr>
          <w:b/>
        </w:rPr>
        <w:t xml:space="preserve">Euroopa poolaasta: </w:t>
      </w:r>
      <w:r w:rsidRPr="00674670">
        <w:t>kasulikum oleks teha ettepanek Euroopa poolaasta jaoks üldise majandusjuhtimise kokkuleppe raames, mis läheb senistest meetmetest kaugemale, muutes makromajanduslikke tingimusi ja tugevdades parlamentidevahelise konverentsi rolli.</w:t>
      </w:r>
    </w:p>
    <w:p w:rsidR="003A63B9" w:rsidRPr="00674670" w:rsidRDefault="003A63B9" w:rsidP="003A63B9"/>
    <w:p w:rsidR="003A63B9" w:rsidRPr="00674670" w:rsidRDefault="003A63B9" w:rsidP="001C393F">
      <w:pPr>
        <w:pStyle w:val="ListParagraph"/>
        <w:numPr>
          <w:ilvl w:val="0"/>
          <w:numId w:val="70"/>
        </w:numPr>
        <w:overflowPunct w:val="0"/>
        <w:autoSpaceDE w:val="0"/>
        <w:autoSpaceDN w:val="0"/>
        <w:adjustRightInd w:val="0"/>
        <w:ind w:left="369" w:hanging="369"/>
        <w:textAlignment w:val="baseline"/>
      </w:pPr>
      <w:r w:rsidRPr="00674670">
        <w:rPr>
          <w:b/>
        </w:rPr>
        <w:t>Majandusjuhtimine:</w:t>
      </w:r>
      <w:r w:rsidRPr="00674670">
        <w:t xml:space="preserve"> euroala üldine majandusjuhtimine peab ulatuma komisjoni ettepanekust palju kaugemale. Eelkõige peaksid komisjon ja riiklikud konkurentsivõime komiteed võtma arvesse ka uusi tegureid ja parameetreid, mis toetavad konkurentsivõimet. Nõuandev Euroopa Eelarvenõukogu peaks järgima läbipaistvamaid ja demokraatlikumaid menetlusi nii oma liikmete määramisel kui ka oma soovituste kasutamisel.</w:t>
      </w:r>
    </w:p>
    <w:p w:rsidR="003A63B9" w:rsidRPr="00674670" w:rsidRDefault="003A63B9" w:rsidP="003A63B9"/>
    <w:p w:rsidR="003A63B9" w:rsidRPr="00674670" w:rsidRDefault="003A63B9" w:rsidP="001C393F">
      <w:pPr>
        <w:pStyle w:val="ListParagraph"/>
        <w:numPr>
          <w:ilvl w:val="0"/>
          <w:numId w:val="70"/>
        </w:numPr>
        <w:overflowPunct w:val="0"/>
        <w:autoSpaceDE w:val="0"/>
        <w:autoSpaceDN w:val="0"/>
        <w:adjustRightInd w:val="0"/>
        <w:ind w:left="369" w:hanging="369"/>
        <w:textAlignment w:val="baseline"/>
      </w:pPr>
      <w:r w:rsidRPr="00674670">
        <w:rPr>
          <w:b/>
        </w:rPr>
        <w:t>Euroala välisesindatus:</w:t>
      </w:r>
      <w:r w:rsidRPr="00674670">
        <w:t xml:space="preserve"> see on ühtaegu tarvilik ja õigustatud ettepank, kuid lisaks pikkadele tähtaegadele tekitab see demokraatliku kontrolli probleemi.</w:t>
      </w:r>
    </w:p>
    <w:p w:rsidR="003A63B9" w:rsidRPr="00674670" w:rsidRDefault="003A63B9" w:rsidP="003A63B9"/>
    <w:p w:rsidR="003A63B9" w:rsidRPr="00674670" w:rsidRDefault="003A63B9" w:rsidP="001C393F">
      <w:pPr>
        <w:pStyle w:val="ListParagraph"/>
        <w:numPr>
          <w:ilvl w:val="0"/>
          <w:numId w:val="70"/>
        </w:numPr>
        <w:overflowPunct w:val="0"/>
        <w:autoSpaceDE w:val="0"/>
        <w:autoSpaceDN w:val="0"/>
        <w:adjustRightInd w:val="0"/>
        <w:ind w:left="369" w:hanging="369"/>
        <w:textAlignment w:val="baseline"/>
      </w:pPr>
      <w:r w:rsidRPr="00674670">
        <w:rPr>
          <w:b/>
        </w:rPr>
        <w:t>Rahandusliit:</w:t>
      </w:r>
      <w:r w:rsidRPr="00674670">
        <w:t xml:space="preserve"> see on kõige tähtsam otsus, mis tuleb teha selleks, et võtta Euroopa ühiste eeskirjade süsteem kasutusele kiiresti ja täies ulatuses. Siinkohal oleks suur abi Euroopa Komisjon ettepanekust avaliku ja erasektori võla küsimuses, et vähendada ohte ja spekulatsioone.</w:t>
      </w:r>
    </w:p>
    <w:p w:rsidR="003A63B9" w:rsidRPr="00674670" w:rsidRDefault="003A63B9" w:rsidP="003A63B9"/>
    <w:p w:rsidR="003A63B9" w:rsidRPr="00674670" w:rsidRDefault="003A63B9" w:rsidP="001C393F">
      <w:pPr>
        <w:pStyle w:val="ListParagraph"/>
        <w:numPr>
          <w:ilvl w:val="0"/>
          <w:numId w:val="70"/>
        </w:numPr>
        <w:overflowPunct w:val="0"/>
        <w:autoSpaceDE w:val="0"/>
        <w:autoSpaceDN w:val="0"/>
        <w:adjustRightInd w:val="0"/>
        <w:ind w:left="369" w:hanging="369"/>
        <w:textAlignment w:val="baseline"/>
      </w:pPr>
      <w:r w:rsidRPr="00674670">
        <w:rPr>
          <w:b/>
        </w:rPr>
        <w:t>Demokraatlik legitiimsus:</w:t>
      </w:r>
      <w:r w:rsidRPr="00674670">
        <w:t xml:space="preserve"> seda küsimust ei käsitleta põhjalikult üheski komisjoni esitatud tegevusettepanekus. Kõnealuses küsimuses võib olla abiks kolmepoolne sotsiaaldialoog, tingimusel, et see viiakse läbi struktureeritult, ning et partneritevaheliste kokkulepete rakendamine muutub kohustuslikuks.</w:t>
      </w:r>
    </w:p>
    <w:p w:rsidR="003A63B9" w:rsidRPr="00674670" w:rsidRDefault="003A63B9" w:rsidP="003A63B9"/>
    <w:p w:rsidR="003A63B9" w:rsidRPr="00674670" w:rsidRDefault="003A63B9" w:rsidP="001C393F">
      <w:pPr>
        <w:pStyle w:val="ListParagraph"/>
        <w:numPr>
          <w:ilvl w:val="0"/>
          <w:numId w:val="70"/>
        </w:numPr>
        <w:overflowPunct w:val="0"/>
        <w:autoSpaceDE w:val="0"/>
        <w:autoSpaceDN w:val="0"/>
        <w:adjustRightInd w:val="0"/>
        <w:ind w:left="369" w:hanging="369"/>
        <w:textAlignment w:val="baseline"/>
      </w:pPr>
      <w:r w:rsidRPr="00674670">
        <w:rPr>
          <w:b/>
        </w:rPr>
        <w:t>Teine etapp – majandus- ja rahaliidu lõpuleviimine:</w:t>
      </w:r>
      <w:r w:rsidRPr="00674670">
        <w:t xml:space="preserve"> oma tegevuskava alusel koostab komitee kava teise etapi kohta, võimalusel koos komisjoniga, et arutada neid küsimusi liikmesriikides, alustades euroala riikidega.</w:t>
      </w:r>
    </w:p>
    <w:p w:rsidR="003A63B9" w:rsidRPr="00674670" w:rsidRDefault="003A63B9" w:rsidP="003A63B9"/>
    <w:p w:rsidR="003A63B9" w:rsidRPr="00674670" w:rsidRDefault="003A63B9" w:rsidP="001C393F">
      <w:pPr>
        <w:pStyle w:val="ListParagraph"/>
        <w:numPr>
          <w:ilvl w:val="0"/>
          <w:numId w:val="70"/>
        </w:numPr>
        <w:overflowPunct w:val="0"/>
        <w:autoSpaceDE w:val="0"/>
        <w:autoSpaceDN w:val="0"/>
        <w:adjustRightInd w:val="0"/>
        <w:ind w:left="369" w:hanging="369"/>
        <w:textAlignment w:val="baseline"/>
      </w:pPr>
      <w:r w:rsidRPr="00674670">
        <w:rPr>
          <w:b/>
        </w:rPr>
        <w:t>Ettepanekud:</w:t>
      </w:r>
      <w:r w:rsidRPr="00674670">
        <w:t xml:space="preserve"> komitee on mõnedes arvamustes, mis on koostatud pärast kriisi puhkemist, teinud konkreetseid ettepanekuid sellistel teemadel nagu EMU poliitiline, majandus-, finants- ja rahandusalane juhtimine. Seepärast juhib komitee lugeja tähelepanu varasematele ja koostamisel olevatele arvamustele komisjoni konkreetsete ettepanekute kohta.</w:t>
      </w:r>
    </w:p>
    <w:p w:rsidR="003A63B9" w:rsidRPr="00674670" w:rsidRDefault="003A63B9" w:rsidP="003A63B9"/>
    <w:p w:rsidR="003A63B9" w:rsidRPr="00674670" w:rsidRDefault="003A63B9" w:rsidP="003A63B9">
      <w:pPr>
        <w:rPr>
          <w:i/>
        </w:rPr>
      </w:pPr>
      <w:r w:rsidRPr="00674670">
        <w:rPr>
          <w:b/>
          <w:i/>
        </w:rPr>
        <w:t>Kontaktisik:</w:t>
      </w:r>
      <w:r w:rsidRPr="00674670">
        <w:rPr>
          <w:i/>
        </w:rPr>
        <w:t xml:space="preserve"> </w:t>
      </w:r>
      <w:r w:rsidRPr="00674670">
        <w:tab/>
      </w:r>
      <w:r w:rsidRPr="00674670">
        <w:rPr>
          <w:i/>
        </w:rPr>
        <w:t>Alexander Alexandrov</w:t>
      </w:r>
    </w:p>
    <w:p w:rsidR="003A63B9" w:rsidRPr="00674670" w:rsidRDefault="003A63B9" w:rsidP="00A134D8">
      <w:pPr>
        <w:ind w:left="1418"/>
        <w:rPr>
          <w:i/>
          <w:color w:val="0000FF"/>
          <w:u w:val="single"/>
        </w:rPr>
      </w:pPr>
      <w:r w:rsidRPr="00674670">
        <w:rPr>
          <w:i/>
        </w:rPr>
        <w:t xml:space="preserve">(Tel 00 32 2 546 9805 - e-post: </w:t>
      </w:r>
      <w:hyperlink r:id="rId31">
        <w:r w:rsidRPr="00674670">
          <w:rPr>
            <w:rStyle w:val="Hyperlink"/>
            <w:i/>
          </w:rPr>
          <w:t>Alexander.Alexandrov@eesc.europa.eu</w:t>
        </w:r>
      </w:hyperlink>
      <w:r w:rsidRPr="00674670">
        <w:t>)</w:t>
      </w:r>
    </w:p>
    <w:p w:rsidR="00A26386" w:rsidRPr="00674670" w:rsidRDefault="00A26386" w:rsidP="003A63B9">
      <w:pPr>
        <w:ind w:left="-567"/>
        <w:rPr>
          <w:b/>
          <w:iCs/>
          <w:highlight w:val="yellow"/>
          <w:u w:val="single"/>
        </w:rPr>
      </w:pPr>
    </w:p>
    <w:p w:rsidR="003A63B9" w:rsidRPr="00674670" w:rsidRDefault="003A63B9" w:rsidP="003A63B9">
      <w:pPr>
        <w:widowControl w:val="0"/>
        <w:numPr>
          <w:ilvl w:val="0"/>
          <w:numId w:val="5"/>
        </w:numPr>
        <w:overflowPunct w:val="0"/>
        <w:autoSpaceDE w:val="0"/>
        <w:autoSpaceDN w:val="0"/>
        <w:adjustRightInd w:val="0"/>
        <w:ind w:hanging="567"/>
        <w:textAlignment w:val="baseline"/>
        <w:rPr>
          <w:b/>
          <w:bCs/>
          <w:i/>
          <w:iCs/>
          <w:sz w:val="28"/>
          <w:szCs w:val="28"/>
        </w:rPr>
      </w:pPr>
      <w:r w:rsidRPr="00674670">
        <w:rPr>
          <w:b/>
          <w:i/>
          <w:sz w:val="28"/>
        </w:rPr>
        <w:t>Riiklikud konkurentsivõime komiteed</w:t>
      </w:r>
    </w:p>
    <w:p w:rsidR="003A63B9" w:rsidRPr="00674670" w:rsidRDefault="003A63B9" w:rsidP="003A63B9">
      <w:pPr>
        <w:ind w:firstLine="17"/>
      </w:pPr>
    </w:p>
    <w:p w:rsidR="003A63B9" w:rsidRPr="00674670" w:rsidRDefault="003A63B9" w:rsidP="003A63B9">
      <w:r w:rsidRPr="00674670">
        <w:rPr>
          <w:b/>
        </w:rPr>
        <w:t>Raportöör:</w:t>
      </w:r>
      <w:r w:rsidRPr="00674670">
        <w:tab/>
      </w:r>
      <w:r w:rsidRPr="00674670">
        <w:tab/>
        <w:t>Thomas Delapina (töötajate rühm – AT)</w:t>
      </w:r>
    </w:p>
    <w:p w:rsidR="003A63B9" w:rsidRPr="00674670" w:rsidRDefault="003A63B9" w:rsidP="003A63B9">
      <w:r w:rsidRPr="00674670">
        <w:rPr>
          <w:b/>
        </w:rPr>
        <w:t xml:space="preserve">Kaasraportöör: </w:t>
      </w:r>
      <w:r w:rsidRPr="00674670">
        <w:tab/>
        <w:t>David Croughan (tööandjate rühm – IE)</w:t>
      </w:r>
    </w:p>
    <w:p w:rsidR="003A63B9" w:rsidRPr="00674670" w:rsidRDefault="003A63B9" w:rsidP="003A63B9"/>
    <w:p w:rsidR="003A63B9" w:rsidRPr="00674670" w:rsidRDefault="003A63B9" w:rsidP="003A63B9">
      <w:pPr>
        <w:ind w:left="-5"/>
      </w:pPr>
      <w:r w:rsidRPr="00674670">
        <w:rPr>
          <w:b/>
        </w:rPr>
        <w:t>Viide:</w:t>
      </w:r>
      <w:r w:rsidRPr="00674670">
        <w:tab/>
      </w:r>
      <w:r w:rsidRPr="00674670">
        <w:tab/>
      </w:r>
      <w:r w:rsidR="00853AF3" w:rsidRPr="00674670">
        <w:tab/>
      </w:r>
      <w:r w:rsidRPr="00674670">
        <w:t>COM(2015) 601 final – EESC-2015-06711-00-00-AC-TRA</w:t>
      </w:r>
    </w:p>
    <w:p w:rsidR="003A63B9" w:rsidRPr="00674670" w:rsidRDefault="003A63B9" w:rsidP="003A63B9">
      <w:pPr>
        <w:tabs>
          <w:tab w:val="left" w:pos="0"/>
        </w:tabs>
        <w:ind w:left="364" w:hanging="369"/>
      </w:pPr>
    </w:p>
    <w:p w:rsidR="003A63B9" w:rsidRPr="00674670" w:rsidRDefault="003A63B9" w:rsidP="003A63B9">
      <w:pPr>
        <w:ind w:left="-5"/>
        <w:rPr>
          <w:b/>
        </w:rPr>
      </w:pPr>
      <w:r w:rsidRPr="00674670">
        <w:rPr>
          <w:b/>
        </w:rPr>
        <w:t>Põhipunktid</w:t>
      </w:r>
    </w:p>
    <w:p w:rsidR="00750AF6" w:rsidRPr="00674670" w:rsidRDefault="00750AF6" w:rsidP="003A63B9">
      <w:pPr>
        <w:ind w:left="-5"/>
      </w:pPr>
    </w:p>
    <w:p w:rsidR="003A63B9" w:rsidRPr="00674670" w:rsidRDefault="003A63B9" w:rsidP="00A134D8">
      <w:pPr>
        <w:rPr>
          <w:bCs/>
          <w:iCs/>
        </w:rPr>
      </w:pPr>
      <w:r w:rsidRPr="00674670">
        <w:t>Konkurentsivõime ei ole eesmärk omaette. See on mõistlik eesmärk vaid juhul, kui see parandab reaalselt inimeste heaolu.</w:t>
      </w:r>
    </w:p>
    <w:p w:rsidR="003A63B9" w:rsidRPr="00674670" w:rsidRDefault="003A63B9" w:rsidP="003A63B9">
      <w:pPr>
        <w:rPr>
          <w:bCs/>
          <w:iCs/>
        </w:rPr>
      </w:pPr>
    </w:p>
    <w:p w:rsidR="003A63B9" w:rsidRPr="00674670" w:rsidRDefault="003A63B9" w:rsidP="00A134D8">
      <w:pPr>
        <w:rPr>
          <w:bCs/>
          <w:iCs/>
        </w:rPr>
      </w:pPr>
      <w:r w:rsidRPr="00674670">
        <w:t>Seetõttu soovitab komitee edaspidi kasutada konkurentsivõime ajakohastatud määratlust („konkurentsivõime 2.0“), võttes arvesse riigi (piirkonna, asukoha) võimet saavutada oma kodanike jaoks SKPd täiendavaid eesmärke.</w:t>
      </w:r>
    </w:p>
    <w:p w:rsidR="003A63B9" w:rsidRPr="00674670" w:rsidRDefault="003A63B9" w:rsidP="00A134D8">
      <w:pPr>
        <w:rPr>
          <w:bCs/>
          <w:iCs/>
        </w:rPr>
      </w:pPr>
    </w:p>
    <w:p w:rsidR="003A63B9" w:rsidRPr="00674670" w:rsidRDefault="003A63B9" w:rsidP="00A134D8">
      <w:pPr>
        <w:rPr>
          <w:bCs/>
          <w:iCs/>
        </w:rPr>
      </w:pPr>
      <w:r w:rsidRPr="00674670">
        <w:t>Komitee rõhutab, et tulevastes aruteludes ei tuleks viidata mitte „konkurentsivõime komiteedele“, vaid „konkurentsivõime, sotsiaalse ühtekuuluvuse ja jätkusuutlikkuse komiteedele“.</w:t>
      </w:r>
    </w:p>
    <w:p w:rsidR="003A63B9" w:rsidRPr="00674670" w:rsidRDefault="003A63B9">
      <w:pPr>
        <w:rPr>
          <w:bCs/>
          <w:iCs/>
        </w:rPr>
      </w:pPr>
    </w:p>
    <w:p w:rsidR="003A63B9" w:rsidRPr="00674670" w:rsidRDefault="003A63B9" w:rsidP="00A134D8">
      <w:pPr>
        <w:rPr>
          <w:bCs/>
          <w:iCs/>
        </w:rPr>
      </w:pPr>
      <w:r w:rsidRPr="00674670">
        <w:t>Komitee nõustub komisjoni lähenemisviisiga, mis võimaldab liikmesriikidel kujundada oma riiklikud komiteed, kas luues uued institutsioonid või kohandades olemasolevate organite pädevusi eeldusel, et need on sõltumatud ja nende eesmärk ei ole sekkuda palgakujundusprotsessi.</w:t>
      </w:r>
    </w:p>
    <w:p w:rsidR="003A63B9" w:rsidRPr="00674670" w:rsidRDefault="003A63B9" w:rsidP="00A134D8">
      <w:pPr>
        <w:rPr>
          <w:bCs/>
          <w:iCs/>
        </w:rPr>
      </w:pPr>
    </w:p>
    <w:p w:rsidR="003A63B9" w:rsidRPr="00674670" w:rsidRDefault="003A63B9" w:rsidP="00A134D8">
      <w:pPr>
        <w:rPr>
          <w:bCs/>
          <w:iCs/>
        </w:rPr>
      </w:pPr>
      <w:r w:rsidRPr="00674670">
        <w:t>Kuna oluline on vältida tehtava töö ja olemasolevate organite dubleerimist, palub komitee komisjonil läbi viia täielik kaardistamine.</w:t>
      </w:r>
    </w:p>
    <w:p w:rsidR="003A63B9" w:rsidRPr="00674670" w:rsidRDefault="003A63B9" w:rsidP="003A63B9">
      <w:pPr>
        <w:rPr>
          <w:bCs/>
          <w:iCs/>
        </w:rPr>
      </w:pPr>
    </w:p>
    <w:p w:rsidR="003A63B9" w:rsidRPr="00674670" w:rsidRDefault="003A63B9" w:rsidP="00A134D8">
      <w:pPr>
        <w:rPr>
          <w:bCs/>
          <w:iCs/>
        </w:rPr>
      </w:pPr>
      <w:r w:rsidRPr="00674670">
        <w:t>Komitee palub esitada komisjonil konkreetseid ettepanekuid selle kohta, kuidas on võimalik tagada järgmised vajalikud nõuded, kui need komiteed on loodud:</w:t>
      </w:r>
    </w:p>
    <w:p w:rsidR="003A63B9" w:rsidRPr="00674670" w:rsidRDefault="003A63B9" w:rsidP="003A63B9">
      <w:pPr>
        <w:rPr>
          <w:bCs/>
          <w:iCs/>
        </w:rPr>
      </w:pPr>
    </w:p>
    <w:p w:rsidR="003A63B9" w:rsidRPr="00674670" w:rsidRDefault="003A63B9" w:rsidP="001C393F">
      <w:pPr>
        <w:pStyle w:val="ListParagraph"/>
        <w:numPr>
          <w:ilvl w:val="0"/>
          <w:numId w:val="72"/>
        </w:numPr>
        <w:ind w:left="369" w:hanging="369"/>
      </w:pPr>
      <w:r w:rsidRPr="00674670">
        <w:t>vastutus, legitiimsus ja läbipaistvus;</w:t>
      </w:r>
    </w:p>
    <w:p w:rsidR="003A63B9" w:rsidRPr="00674670" w:rsidRDefault="003A63B9" w:rsidP="001C393F">
      <w:pPr>
        <w:pStyle w:val="ListParagraph"/>
        <w:numPr>
          <w:ilvl w:val="0"/>
          <w:numId w:val="72"/>
        </w:numPr>
        <w:ind w:left="369" w:hanging="369"/>
      </w:pPr>
      <w:r w:rsidRPr="00674670">
        <w:t>tasakaalustatud ja erapooletute eksperditeadmiste esindatus;</w:t>
      </w:r>
    </w:p>
    <w:p w:rsidR="003A63B9" w:rsidRPr="00674670" w:rsidRDefault="003A63B9" w:rsidP="001C393F">
      <w:pPr>
        <w:pStyle w:val="ListParagraph"/>
        <w:numPr>
          <w:ilvl w:val="0"/>
          <w:numId w:val="72"/>
        </w:numPr>
        <w:ind w:left="369" w:hanging="369"/>
      </w:pPr>
      <w:r w:rsidRPr="00674670">
        <w:t>komiteede ettepanekute mittesiduv olemus;</w:t>
      </w:r>
    </w:p>
    <w:p w:rsidR="003A63B9" w:rsidRPr="00674670" w:rsidRDefault="003A63B9" w:rsidP="001C393F">
      <w:pPr>
        <w:pStyle w:val="ListParagraph"/>
        <w:numPr>
          <w:ilvl w:val="0"/>
          <w:numId w:val="72"/>
        </w:numPr>
        <w:ind w:left="369" w:hanging="369"/>
      </w:pPr>
      <w:r w:rsidRPr="00674670">
        <w:t>palkade kahese loomuse arvesse võtmine nii ettevõtete kuluteguri kui ka sisenõudluse määrajana.</w:t>
      </w:r>
    </w:p>
    <w:p w:rsidR="003A63B9" w:rsidRPr="00674670" w:rsidRDefault="003A63B9" w:rsidP="003A63B9">
      <w:pPr>
        <w:rPr>
          <w:bCs/>
          <w:iCs/>
        </w:rPr>
      </w:pPr>
    </w:p>
    <w:p w:rsidR="003A63B9" w:rsidRPr="00674670" w:rsidRDefault="003A63B9" w:rsidP="00A134D8">
      <w:pPr>
        <w:rPr>
          <w:bCs/>
          <w:iCs/>
        </w:rPr>
      </w:pPr>
      <w:r w:rsidRPr="00674670">
        <w:t>Komitee on juba enne viimast komisjoni paketti esitanud konkreetseid ettepanekuid majandus- ja rahaliidu süvendamiseks ja need tuleks ellu viia. Komitee jagab ka komisjoni seisukohta, et liikmesriikide majanduspoliitika tihedam koordineerimine on oluline, et kõrvaldada praegune tasakaalustamatus ja vähendada nende tekkimise tõenäosust tulevikus.</w:t>
      </w:r>
    </w:p>
    <w:p w:rsidR="003A63B9" w:rsidRPr="00674670" w:rsidRDefault="003A63B9" w:rsidP="003A63B9">
      <w:pPr>
        <w:rPr>
          <w:bCs/>
          <w:iCs/>
        </w:rPr>
      </w:pPr>
    </w:p>
    <w:p w:rsidR="003A63B9" w:rsidRPr="00674670" w:rsidRDefault="003A63B9" w:rsidP="00A134D8">
      <w:pPr>
        <w:rPr>
          <w:bCs/>
          <w:iCs/>
        </w:rPr>
      </w:pPr>
      <w:r w:rsidRPr="00674670">
        <w:t>Vaja ei ole konkureerivad riiklikke strateegiaid, vaid pigem ühtset Euroopa strateegiat. Määrava tähtsusega on makromajandusliku dialoogi laiendamine ja selle sisseviimine euroalal.</w:t>
      </w:r>
    </w:p>
    <w:p w:rsidR="003A63B9" w:rsidRPr="00674670" w:rsidRDefault="003A63B9" w:rsidP="00A134D8">
      <w:pPr>
        <w:rPr>
          <w:bCs/>
          <w:iCs/>
        </w:rPr>
      </w:pPr>
    </w:p>
    <w:p w:rsidR="003A63B9" w:rsidRPr="00674670" w:rsidRDefault="003A63B9" w:rsidP="00A134D8">
      <w:pPr>
        <w:rPr>
          <w:bCs/>
          <w:iCs/>
        </w:rPr>
      </w:pPr>
      <w:r w:rsidRPr="00674670">
        <w:t>Riigi tasandil tuleb tugevdada sotsiaalpartnerite rolli ning arendada ja süvendada makromajandusliku dialoogi süsteeme.</w:t>
      </w:r>
    </w:p>
    <w:p w:rsidR="003A63B9" w:rsidRPr="00674670" w:rsidRDefault="003A63B9" w:rsidP="003A63B9">
      <w:pPr>
        <w:rPr>
          <w:bCs/>
          <w:iCs/>
        </w:rPr>
      </w:pPr>
    </w:p>
    <w:p w:rsidR="003A63B9" w:rsidRPr="00674670" w:rsidRDefault="003A63B9" w:rsidP="003A63B9">
      <w:pPr>
        <w:overflowPunct w:val="0"/>
        <w:autoSpaceDE w:val="0"/>
        <w:autoSpaceDN w:val="0"/>
        <w:adjustRightInd w:val="0"/>
        <w:ind w:left="1418" w:hanging="1418"/>
        <w:textAlignment w:val="baseline"/>
      </w:pPr>
      <w:r w:rsidRPr="00674670">
        <w:rPr>
          <w:b/>
          <w:i/>
        </w:rPr>
        <w:t>Kontaktisik:</w:t>
      </w:r>
      <w:r w:rsidRPr="00674670">
        <w:tab/>
      </w:r>
      <w:r w:rsidRPr="00674670">
        <w:rPr>
          <w:i/>
        </w:rPr>
        <w:t>Alexander Alexandrov</w:t>
      </w:r>
    </w:p>
    <w:p w:rsidR="003A63B9" w:rsidRPr="00674670" w:rsidRDefault="003A63B9" w:rsidP="00A134D8">
      <w:pPr>
        <w:overflowPunct w:val="0"/>
        <w:autoSpaceDE w:val="0"/>
        <w:autoSpaceDN w:val="0"/>
        <w:adjustRightInd w:val="0"/>
        <w:ind w:left="1418"/>
        <w:textAlignment w:val="baseline"/>
      </w:pPr>
      <w:r w:rsidRPr="00674670">
        <w:rPr>
          <w:i/>
        </w:rPr>
        <w:t xml:space="preserve">(Tel 00 32 2 546 9805 – e-post: </w:t>
      </w:r>
      <w:hyperlink r:id="rId32">
        <w:r w:rsidRPr="00674670">
          <w:rPr>
            <w:rStyle w:val="Hyperlink"/>
            <w:i/>
          </w:rPr>
          <w:t>alexander.alexandrov@eesc.europa.eu</w:t>
        </w:r>
      </w:hyperlink>
      <w:r w:rsidRPr="00674670">
        <w:t>)</w:t>
      </w:r>
    </w:p>
    <w:p w:rsidR="003A63B9" w:rsidRPr="00674670" w:rsidRDefault="003A63B9" w:rsidP="003A63B9">
      <w:pPr>
        <w:rPr>
          <w:b/>
          <w:iCs/>
          <w:highlight w:val="yellow"/>
          <w:u w:val="single"/>
        </w:rPr>
      </w:pPr>
    </w:p>
    <w:p w:rsidR="003A63B9" w:rsidRPr="00674670" w:rsidRDefault="003A63B9" w:rsidP="003A63B9">
      <w:pPr>
        <w:widowControl w:val="0"/>
        <w:numPr>
          <w:ilvl w:val="0"/>
          <w:numId w:val="80"/>
        </w:numPr>
        <w:overflowPunct w:val="0"/>
        <w:autoSpaceDE w:val="0"/>
        <w:autoSpaceDN w:val="0"/>
        <w:adjustRightInd w:val="0"/>
        <w:ind w:left="360"/>
        <w:textAlignment w:val="baseline"/>
        <w:rPr>
          <w:b/>
          <w:bCs/>
          <w:i/>
          <w:iCs/>
          <w:sz w:val="28"/>
          <w:szCs w:val="28"/>
        </w:rPr>
      </w:pPr>
      <w:r w:rsidRPr="00674670">
        <w:rPr>
          <w:b/>
          <w:i/>
          <w:sz w:val="28"/>
        </w:rPr>
        <w:t>Euroala majanduspoliitika (2016)</w:t>
      </w:r>
    </w:p>
    <w:p w:rsidR="003A63B9" w:rsidRPr="00674670" w:rsidRDefault="003A63B9" w:rsidP="003A63B9">
      <w:pPr>
        <w:ind w:firstLine="17"/>
      </w:pPr>
    </w:p>
    <w:p w:rsidR="003A63B9" w:rsidRPr="00674670" w:rsidRDefault="003A63B9" w:rsidP="003A63B9">
      <w:r w:rsidRPr="00674670">
        <w:rPr>
          <w:b/>
        </w:rPr>
        <w:t>Raportöör:</w:t>
      </w:r>
      <w:r w:rsidRPr="00674670">
        <w:tab/>
      </w:r>
      <w:r w:rsidRPr="00674670">
        <w:tab/>
        <w:t>Michael Ikrath (tööandjate rühm – AT)</w:t>
      </w:r>
    </w:p>
    <w:p w:rsidR="003A63B9" w:rsidRPr="00674670" w:rsidRDefault="003A63B9" w:rsidP="003A63B9">
      <w:r w:rsidRPr="00674670">
        <w:rPr>
          <w:b/>
        </w:rPr>
        <w:t xml:space="preserve">Kaasraportöör: </w:t>
      </w:r>
      <w:r w:rsidRPr="00674670">
        <w:tab/>
        <w:t>Anne Demelenne (töötajate rühm – BE)</w:t>
      </w:r>
    </w:p>
    <w:p w:rsidR="003A63B9" w:rsidRPr="00674670" w:rsidRDefault="003A63B9" w:rsidP="003A63B9"/>
    <w:p w:rsidR="003A63B9" w:rsidRPr="00674670" w:rsidRDefault="003A63B9" w:rsidP="003A63B9">
      <w:pPr>
        <w:ind w:left="-5"/>
      </w:pPr>
      <w:r w:rsidRPr="00674670">
        <w:rPr>
          <w:b/>
        </w:rPr>
        <w:t>Viide:</w:t>
      </w:r>
      <w:r w:rsidRPr="00674670">
        <w:tab/>
      </w:r>
      <w:r w:rsidRPr="00674670">
        <w:tab/>
      </w:r>
      <w:r w:rsidR="00853AF3" w:rsidRPr="00674670">
        <w:tab/>
      </w:r>
      <w:r w:rsidRPr="00674670">
        <w:t xml:space="preserve">COM(2015) 692 final </w:t>
      </w:r>
      <w:r w:rsidRPr="00674670">
        <w:rPr>
          <w:b/>
        </w:rPr>
        <w:t xml:space="preserve">- </w:t>
      </w:r>
      <w:r w:rsidRPr="00674670">
        <w:t>EESC-2015-06712-00-00-AC-TRA</w:t>
      </w:r>
    </w:p>
    <w:p w:rsidR="003A63B9" w:rsidRPr="00674670" w:rsidRDefault="003A63B9" w:rsidP="0039485C"/>
    <w:p w:rsidR="003A63B9" w:rsidRPr="00674670" w:rsidRDefault="003A63B9" w:rsidP="003A63B9">
      <w:pPr>
        <w:ind w:left="-5"/>
        <w:rPr>
          <w:b/>
        </w:rPr>
      </w:pPr>
      <w:r w:rsidRPr="00674670">
        <w:rPr>
          <w:b/>
        </w:rPr>
        <w:t>Põhipunktid</w:t>
      </w:r>
    </w:p>
    <w:p w:rsidR="003A63B9" w:rsidRPr="00674670" w:rsidRDefault="003A63B9" w:rsidP="0039485C"/>
    <w:p w:rsidR="003A63B9" w:rsidRPr="00674670" w:rsidRDefault="003A63B9" w:rsidP="00A134D8">
      <w:pPr>
        <w:rPr>
          <w:bCs/>
          <w:iCs/>
        </w:rPr>
      </w:pPr>
      <w:r w:rsidRPr="00674670">
        <w:t>Komitee toetab majandusprioriteetide programmide loomist Euroopa poolaasta alguses eesmärgiga stimuleerida euroala riikides majanduskasvu. Samas väljendab komitee kahetsust, et kodanikuühiskonna ja sotsiaalpartneritega ei konsulteeritud seoses Euroopa poolaasta kavandamise ja sellega seonduvate siseriiklike menetlustega.</w:t>
      </w:r>
    </w:p>
    <w:p w:rsidR="003A63B9" w:rsidRPr="00674670" w:rsidRDefault="003A63B9" w:rsidP="00E568E7">
      <w:pPr>
        <w:rPr>
          <w:bCs/>
          <w:iCs/>
        </w:rPr>
      </w:pPr>
    </w:p>
    <w:p w:rsidR="003A63B9" w:rsidRPr="00674670" w:rsidRDefault="003A63B9" w:rsidP="00E568E7">
      <w:pPr>
        <w:rPr>
          <w:bCs/>
          <w:iCs/>
        </w:rPr>
      </w:pPr>
      <w:r w:rsidRPr="00674670">
        <w:t>Euroala liikmesriigid peaksid võtma kõik vajalikud meetmed, et kindlustada suurem lähenemine ja integratsioon majandusvaldkonnas, sh kindel poliitiline ja institutsionaalne alus. See peaks toimuma paralleelselt edusammudega liikumisel euroala fiskaalliidu ja sotsiaalse liidu loomise ning ühtse välisesindatuse poole rahvusvahelistes finantsasutustes.</w:t>
      </w:r>
    </w:p>
    <w:p w:rsidR="003A63B9" w:rsidRPr="00674670" w:rsidRDefault="003A63B9" w:rsidP="00E568E7">
      <w:pPr>
        <w:rPr>
          <w:bCs/>
          <w:iCs/>
        </w:rPr>
      </w:pPr>
    </w:p>
    <w:p w:rsidR="003A63B9" w:rsidRPr="00674670" w:rsidRDefault="003A63B9" w:rsidP="00A134D8">
      <w:pPr>
        <w:rPr>
          <w:bCs/>
          <w:iCs/>
        </w:rPr>
      </w:pPr>
      <w:r w:rsidRPr="00674670">
        <w:t>Erinevalt komisjoni soovitusest tuleks eelarvepoliitika fookus kavandada pigem ekspansiivse kui neutraalsena. Seepärast soovitab komitee eelarvepoliitilist stiimulit riiklikele investeeringutele: see suurendaks lühiajaliselt nõudlust, kuid suurendaks ka pikaajaliselt majanduskasvu potentsiaali.</w:t>
      </w:r>
    </w:p>
    <w:p w:rsidR="003A63B9" w:rsidRPr="00674670" w:rsidRDefault="003A63B9" w:rsidP="00E568E7">
      <w:pPr>
        <w:rPr>
          <w:bCs/>
          <w:iCs/>
        </w:rPr>
      </w:pPr>
    </w:p>
    <w:p w:rsidR="003A63B9" w:rsidRPr="00674670" w:rsidRDefault="003A63B9" w:rsidP="003A63B9">
      <w:pPr>
        <w:rPr>
          <w:bCs/>
          <w:iCs/>
        </w:rPr>
      </w:pPr>
      <w:r w:rsidRPr="00674670">
        <w:t>Komitee toetab töö madalamat maksustamist, kui see ei ohusta sotsiaalkaitsesüsteemide rahastamise jätkusuutlikkust. Eelarve tasandil tuleks arvesse võtta robootika ja digiteerimise mõju. Ühiskonna teenistusse tuleks rakendada uusi töövorme, nagu nt jagamismajandus, seadmata ohtu töötajate õigusi ja sotsiaalkaitsesüsteeme.</w:t>
      </w:r>
    </w:p>
    <w:p w:rsidR="003A63B9" w:rsidRPr="00674670" w:rsidRDefault="003A63B9" w:rsidP="00E568E7">
      <w:pPr>
        <w:rPr>
          <w:bCs/>
          <w:iCs/>
        </w:rPr>
      </w:pPr>
    </w:p>
    <w:p w:rsidR="003A63B9" w:rsidRPr="00674670" w:rsidRDefault="003A63B9" w:rsidP="00A134D8">
      <w:pPr>
        <w:rPr>
          <w:bCs/>
          <w:iCs/>
        </w:rPr>
      </w:pPr>
      <w:r w:rsidRPr="00674670">
        <w:t>Vastuseks kehvale taastumisele ei piisa üksnes struktuurireformidest, mille eesmärk on parandada majanduse pakkumise poolt. Esikohale tuleks seada sellised struktuurireformid, millel võib lühikeses perspektiivis olla positiivne mõju nõudlusele.</w:t>
      </w:r>
    </w:p>
    <w:p w:rsidR="003A63B9" w:rsidRPr="00674670" w:rsidRDefault="003A63B9" w:rsidP="003A63B9">
      <w:pPr>
        <w:rPr>
          <w:bCs/>
          <w:iCs/>
        </w:rPr>
      </w:pPr>
    </w:p>
    <w:p w:rsidR="003A63B9" w:rsidRPr="00674670" w:rsidRDefault="003A63B9" w:rsidP="00A134D8">
      <w:pPr>
        <w:rPr>
          <w:bCs/>
          <w:iCs/>
        </w:rPr>
      </w:pPr>
      <w:r w:rsidRPr="00674670">
        <w:t>Komitee nõuab kooskõlastatud jõupingutusi ettevõtjasõbralikuma keskkonna loomiseks väikestele ja keskmise suurusega ettevõtjatele, parandades õigusloomet ja vähendades järjekindlalt bürokraatiat ning tagades piisava ja asjakohase rahastamise ning hõlbustades süstemaatiliselt eksporti väljaspool ELi asuvatele turgudele.</w:t>
      </w:r>
    </w:p>
    <w:p w:rsidR="003A63B9" w:rsidRPr="00674670" w:rsidRDefault="003A63B9" w:rsidP="00E568E7">
      <w:pPr>
        <w:rPr>
          <w:bCs/>
          <w:iCs/>
        </w:rPr>
      </w:pPr>
    </w:p>
    <w:p w:rsidR="003A63B9" w:rsidRPr="00674670" w:rsidRDefault="003A63B9" w:rsidP="00A134D8">
      <w:r w:rsidRPr="00674670">
        <w:t>Eriti vajalik on luua Euroopa maksejõuetuse õigus ja avada uusi rahastamisvõimalusi mikroettevõtete ja idufirmade jaoks. Kiiresti on vaja läbi viia hindamine, et tuvastada, milliseid võimalusi ELi ettevõtete rahastamiseks võivad pakkuda uued pangandusmudelid, nt islami pangandus. Sellega seoses rõhutab komitee vajadust kavandatava ELi riskikapitalifondi loomise järele.</w:t>
      </w:r>
    </w:p>
    <w:p w:rsidR="00017703" w:rsidRPr="00674670" w:rsidRDefault="00017703" w:rsidP="00A134D8"/>
    <w:p w:rsidR="00017703" w:rsidRPr="00674670" w:rsidRDefault="00017703" w:rsidP="00A134D8">
      <w:r w:rsidRPr="00674670">
        <w:t>Euroopa konkurentsivõime ja kestlikkuse probleemi lahendamiseks soovitab komitee luua väga eduka ettevõtja Airbus Group eeskujul digitaalse valdusettevõtte. Sellesse riikidevahelisse koostöösse on hõlmatud mitmeid tütarettevõtjaid ELi eri liikmesriikidest ja tegemist on Euroopa majanduse ja tööstuse keskse osalejaga.</w:t>
      </w:r>
    </w:p>
    <w:p w:rsidR="003A63B9" w:rsidRPr="00674670" w:rsidRDefault="003A63B9" w:rsidP="0039485C"/>
    <w:p w:rsidR="003A63B9" w:rsidRPr="00674670" w:rsidRDefault="003A63B9" w:rsidP="003A63B9">
      <w:pPr>
        <w:overflowPunct w:val="0"/>
        <w:autoSpaceDE w:val="0"/>
        <w:autoSpaceDN w:val="0"/>
        <w:adjustRightInd w:val="0"/>
        <w:ind w:left="1418" w:hanging="1418"/>
        <w:textAlignment w:val="baseline"/>
      </w:pPr>
      <w:r w:rsidRPr="00674670">
        <w:rPr>
          <w:b/>
          <w:i/>
        </w:rPr>
        <w:t>Kontaktisik:</w:t>
      </w:r>
      <w:r w:rsidRPr="00674670">
        <w:tab/>
      </w:r>
      <w:r w:rsidRPr="00674670">
        <w:rPr>
          <w:i/>
        </w:rPr>
        <w:t>Alexander Alexandrov</w:t>
      </w:r>
    </w:p>
    <w:p w:rsidR="003A63B9" w:rsidRPr="00674670" w:rsidRDefault="003A63B9" w:rsidP="00A134D8">
      <w:pPr>
        <w:overflowPunct w:val="0"/>
        <w:autoSpaceDE w:val="0"/>
        <w:autoSpaceDN w:val="0"/>
        <w:adjustRightInd w:val="0"/>
        <w:ind w:left="1418"/>
        <w:textAlignment w:val="baseline"/>
      </w:pPr>
      <w:r w:rsidRPr="00674670">
        <w:rPr>
          <w:i/>
        </w:rPr>
        <w:t xml:space="preserve">(Tel 00 32 2 546 9805 – e-post: </w:t>
      </w:r>
      <w:hyperlink r:id="rId33">
        <w:r w:rsidRPr="00674670">
          <w:rPr>
            <w:rStyle w:val="Hyperlink"/>
            <w:i/>
          </w:rPr>
          <w:t>alexander.alexandrov@eesc.europa.eu</w:t>
        </w:r>
      </w:hyperlink>
      <w:r w:rsidRPr="00674670">
        <w:rPr>
          <w:i/>
        </w:rPr>
        <w:t>)</w:t>
      </w:r>
    </w:p>
    <w:p w:rsidR="003A63B9" w:rsidRPr="00674670" w:rsidRDefault="003A63B9" w:rsidP="003A63B9"/>
    <w:p w:rsidR="00853AF3" w:rsidRPr="00674670" w:rsidRDefault="00853AF3">
      <w:pPr>
        <w:spacing w:line="240" w:lineRule="auto"/>
        <w:jc w:val="left"/>
        <w:rPr>
          <w:b/>
          <w:i/>
          <w:sz w:val="28"/>
        </w:rPr>
      </w:pPr>
      <w:r w:rsidRPr="00674670">
        <w:rPr>
          <w:b/>
          <w:i/>
          <w:sz w:val="28"/>
        </w:rPr>
        <w:br w:type="page"/>
      </w:r>
    </w:p>
    <w:p w:rsidR="003A63B9" w:rsidRPr="00674670" w:rsidRDefault="003A63B9" w:rsidP="003A63B9">
      <w:pPr>
        <w:widowControl w:val="0"/>
        <w:numPr>
          <w:ilvl w:val="0"/>
          <w:numId w:val="5"/>
        </w:numPr>
        <w:overflowPunct w:val="0"/>
        <w:autoSpaceDE w:val="0"/>
        <w:autoSpaceDN w:val="0"/>
        <w:adjustRightInd w:val="0"/>
        <w:ind w:hanging="567"/>
        <w:textAlignment w:val="baseline"/>
        <w:rPr>
          <w:b/>
          <w:bCs/>
          <w:i/>
          <w:iCs/>
          <w:sz w:val="28"/>
          <w:szCs w:val="28"/>
        </w:rPr>
      </w:pPr>
      <w:r w:rsidRPr="00674670">
        <w:rPr>
          <w:b/>
          <w:i/>
          <w:sz w:val="28"/>
        </w:rPr>
        <w:t>Struktuurireformi tugiprogramm</w:t>
      </w:r>
    </w:p>
    <w:p w:rsidR="003A63B9" w:rsidRPr="00674670" w:rsidRDefault="003A63B9" w:rsidP="003A63B9">
      <w:pPr>
        <w:ind w:firstLine="17"/>
      </w:pPr>
    </w:p>
    <w:p w:rsidR="003A63B9" w:rsidRPr="00674670" w:rsidRDefault="003A63B9" w:rsidP="003A63B9">
      <w:r w:rsidRPr="00674670">
        <w:rPr>
          <w:b/>
        </w:rPr>
        <w:t>Raportöör:</w:t>
      </w:r>
      <w:r w:rsidRPr="00674670">
        <w:tab/>
        <w:t>Ioannis Vardakastanis (eri elualade rühm – EL)</w:t>
      </w:r>
    </w:p>
    <w:p w:rsidR="003A63B9" w:rsidRPr="00674670" w:rsidRDefault="003A63B9" w:rsidP="003A63B9"/>
    <w:p w:rsidR="003A63B9" w:rsidRPr="00674670" w:rsidRDefault="003A63B9" w:rsidP="003A63B9">
      <w:pPr>
        <w:ind w:left="-5"/>
      </w:pPr>
      <w:r w:rsidRPr="00674670">
        <w:rPr>
          <w:b/>
        </w:rPr>
        <w:t>Viide:</w:t>
      </w:r>
      <w:r w:rsidRPr="00674670">
        <w:tab/>
      </w:r>
      <w:r w:rsidR="00853AF3" w:rsidRPr="00674670">
        <w:tab/>
      </w:r>
      <w:r w:rsidRPr="00674670">
        <w:t>COM(2015) 701 final – 2015/0263 (COD) - EESC-2016-00122-00-00-AC-TRA</w:t>
      </w:r>
    </w:p>
    <w:p w:rsidR="003A63B9" w:rsidRPr="00674670" w:rsidRDefault="003A63B9" w:rsidP="003A63B9">
      <w:pPr>
        <w:tabs>
          <w:tab w:val="left" w:pos="0"/>
        </w:tabs>
        <w:ind w:left="364" w:hanging="369"/>
      </w:pPr>
    </w:p>
    <w:p w:rsidR="003A63B9" w:rsidRPr="00674670" w:rsidRDefault="003A63B9" w:rsidP="003A63B9">
      <w:pPr>
        <w:ind w:left="-5"/>
        <w:rPr>
          <w:b/>
        </w:rPr>
      </w:pPr>
      <w:r w:rsidRPr="00674670">
        <w:rPr>
          <w:b/>
        </w:rPr>
        <w:t>Põhipunktid</w:t>
      </w:r>
    </w:p>
    <w:p w:rsidR="003A63B9" w:rsidRPr="00674670" w:rsidRDefault="003A63B9" w:rsidP="0039485C">
      <w:pPr>
        <w:tabs>
          <w:tab w:val="left" w:pos="0"/>
        </w:tabs>
        <w:ind w:left="364" w:hanging="369"/>
      </w:pPr>
    </w:p>
    <w:p w:rsidR="003A63B9" w:rsidRPr="00674670" w:rsidRDefault="003A63B9" w:rsidP="003A63B9">
      <w:r w:rsidRPr="00674670">
        <w:t>Euroopa Majandus- ja Sotsiaalkomitee</w:t>
      </w:r>
    </w:p>
    <w:p w:rsidR="003A63B9" w:rsidRPr="00674670" w:rsidRDefault="003A63B9" w:rsidP="003A63B9"/>
    <w:p w:rsidR="003A63B9" w:rsidRPr="00674670" w:rsidRDefault="003A63B9" w:rsidP="001C393F">
      <w:pPr>
        <w:pStyle w:val="ListParagraph"/>
        <w:numPr>
          <w:ilvl w:val="0"/>
          <w:numId w:val="72"/>
        </w:numPr>
        <w:ind w:left="369" w:hanging="369"/>
      </w:pPr>
      <w:r w:rsidRPr="00674670">
        <w:t>kiidab heaks algatuse, mille eesmärk on suurendada Euroopa Liidu suutlikkust toetada struktuurireformi riiklikul tasandil sellise konkreetse rahastamismehhanismi abil nagu struktuurireformi tugiprogramm;</w:t>
      </w:r>
    </w:p>
    <w:p w:rsidR="003A63B9" w:rsidRPr="00674670" w:rsidRDefault="003A63B9" w:rsidP="001C393F">
      <w:pPr>
        <w:pStyle w:val="ListParagraph"/>
        <w:numPr>
          <w:ilvl w:val="0"/>
          <w:numId w:val="72"/>
        </w:numPr>
        <w:ind w:left="369" w:hanging="369"/>
      </w:pPr>
      <w:r w:rsidRPr="00674670">
        <w:t>avaldab kahetsust, et sellele fondile eraldatud kogueelarve on väiksem ELis makromajanduse poliitika reformimiseks vajalikust eelarvest;</w:t>
      </w:r>
    </w:p>
    <w:p w:rsidR="003A63B9" w:rsidRPr="00674670" w:rsidRDefault="003A63B9" w:rsidP="001C393F">
      <w:pPr>
        <w:pStyle w:val="ListParagraph"/>
        <w:numPr>
          <w:ilvl w:val="0"/>
          <w:numId w:val="72"/>
        </w:numPr>
        <w:ind w:left="369" w:hanging="369"/>
      </w:pPr>
      <w:r w:rsidRPr="00674670">
        <w:t>avaldab kahetsust ka selle üle, et struktuurireformi tugiprogrammi rahastamine toimub olemasolevatest Euroopa struktuuri- ja investeerimisfondide vahenditest, ning kutsub edaspidi reformima ELi mitmeaastast finantsraamistikku, et luua iseseisev struktuurireformi tugiprogramm;</w:t>
      </w:r>
    </w:p>
    <w:p w:rsidR="003A63B9" w:rsidRPr="00674670" w:rsidRDefault="003A63B9" w:rsidP="001C393F">
      <w:pPr>
        <w:pStyle w:val="ListParagraph"/>
        <w:numPr>
          <w:ilvl w:val="0"/>
          <w:numId w:val="72"/>
        </w:numPr>
        <w:ind w:left="369" w:hanging="369"/>
      </w:pPr>
      <w:r w:rsidRPr="00674670">
        <w:t>kutsub tungivalt üles kaasama struktuurireformi tugiprogrammi sotsiaalpartnerid ja kodanikuühiskonna (toetuse määratlemine ja algatamine, selle kujundamine ja järelevalve riiklikul, piirkondlikul ja kohalikul tasandil);</w:t>
      </w:r>
    </w:p>
    <w:p w:rsidR="003A63B9" w:rsidRPr="00674670" w:rsidRDefault="0018061D" w:rsidP="001C393F">
      <w:pPr>
        <w:pStyle w:val="ListParagraph"/>
        <w:numPr>
          <w:ilvl w:val="0"/>
          <w:numId w:val="72"/>
        </w:numPr>
        <w:ind w:left="369" w:hanging="369"/>
      </w:pPr>
      <w:r w:rsidRPr="00674670">
        <w:t>soovitab, et abikõlblikud meetmed hõlmaksid poliitikareformi programmides osalevate sotsiaalvaldkonna ja kodanikuühiskonna osalejate suutlikkuse suurendamist;</w:t>
      </w:r>
    </w:p>
    <w:p w:rsidR="003A63B9" w:rsidRPr="00674670" w:rsidRDefault="003A63B9" w:rsidP="001C393F">
      <w:pPr>
        <w:pStyle w:val="ListParagraph"/>
        <w:numPr>
          <w:ilvl w:val="0"/>
          <w:numId w:val="72"/>
        </w:numPr>
        <w:ind w:left="369" w:hanging="369"/>
      </w:pPr>
      <w:r w:rsidRPr="00674670">
        <w:t>rõhutab samuti, et programm peaks olema juurdepääsetav kohalikele ja piirkondlikele omavalitsustele ning nad peavad olema otseselt kaasatud mis tahes neid puudutava struktuurireformi eelnõu koostamisse.</w:t>
      </w:r>
    </w:p>
    <w:p w:rsidR="003A63B9" w:rsidRPr="00674670" w:rsidRDefault="003A63B9" w:rsidP="003A63B9">
      <w:pPr>
        <w:pStyle w:val="ListParagraph"/>
        <w:rPr>
          <w:b/>
          <w:bCs/>
          <w:i/>
          <w:iCs/>
        </w:rPr>
      </w:pPr>
    </w:p>
    <w:p w:rsidR="003A63B9" w:rsidRPr="00674670" w:rsidRDefault="003A63B9" w:rsidP="003A63B9">
      <w:pPr>
        <w:overflowPunct w:val="0"/>
        <w:autoSpaceDE w:val="0"/>
        <w:autoSpaceDN w:val="0"/>
        <w:adjustRightInd w:val="0"/>
        <w:ind w:left="1418" w:hanging="1418"/>
        <w:textAlignment w:val="baseline"/>
      </w:pPr>
      <w:r w:rsidRPr="00674670">
        <w:rPr>
          <w:b/>
          <w:i/>
        </w:rPr>
        <w:t>Kontaktisik:</w:t>
      </w:r>
      <w:r w:rsidRPr="00674670">
        <w:tab/>
      </w:r>
      <w:r w:rsidRPr="00674670">
        <w:rPr>
          <w:i/>
        </w:rPr>
        <w:t>Gerald Klec</w:t>
      </w:r>
    </w:p>
    <w:p w:rsidR="003A63B9" w:rsidRPr="00674670" w:rsidRDefault="003A63B9" w:rsidP="003A63B9">
      <w:pPr>
        <w:overflowPunct w:val="0"/>
        <w:autoSpaceDE w:val="0"/>
        <w:autoSpaceDN w:val="0"/>
        <w:adjustRightInd w:val="0"/>
        <w:ind w:left="1418" w:hanging="1418"/>
        <w:textAlignment w:val="baseline"/>
      </w:pPr>
      <w:r w:rsidRPr="00674670">
        <w:tab/>
      </w:r>
      <w:r w:rsidRPr="00674670">
        <w:rPr>
          <w:i/>
        </w:rPr>
        <w:t xml:space="preserve">(Tel 00 32 2 546 9909 - e-post: </w:t>
      </w:r>
      <w:hyperlink r:id="rId34">
        <w:r w:rsidRPr="00674670">
          <w:rPr>
            <w:rStyle w:val="Hyperlink"/>
            <w:i/>
          </w:rPr>
          <w:t>gerald.klec@eesc.europa.eu</w:t>
        </w:r>
      </w:hyperlink>
      <w:r w:rsidRPr="00674670">
        <w:rPr>
          <w:i/>
        </w:rPr>
        <w:t>)</w:t>
      </w:r>
    </w:p>
    <w:p w:rsidR="003A63B9" w:rsidRPr="00674670" w:rsidRDefault="003A63B9" w:rsidP="0039485C">
      <w:pPr>
        <w:spacing w:line="240" w:lineRule="auto"/>
        <w:jc w:val="left"/>
      </w:pPr>
    </w:p>
    <w:p w:rsidR="00853AF3" w:rsidRPr="00674670" w:rsidRDefault="00853AF3">
      <w:pPr>
        <w:spacing w:line="240" w:lineRule="auto"/>
        <w:jc w:val="left"/>
        <w:rPr>
          <w:b/>
        </w:rPr>
      </w:pPr>
      <w:bookmarkStart w:id="4" w:name="_Toc448145875"/>
      <w:bookmarkStart w:id="5" w:name="_Toc448325760"/>
      <w:r w:rsidRPr="00674670">
        <w:rPr>
          <w:b/>
        </w:rPr>
        <w:br w:type="page"/>
      </w:r>
    </w:p>
    <w:p w:rsidR="006140BB" w:rsidRPr="00674670" w:rsidRDefault="006140BB" w:rsidP="006140BB">
      <w:pPr>
        <w:keepNext/>
        <w:numPr>
          <w:ilvl w:val="0"/>
          <w:numId w:val="2"/>
        </w:numPr>
        <w:ind w:left="567" w:hanging="578"/>
        <w:outlineLvl w:val="0"/>
        <w:rPr>
          <w:b/>
        </w:rPr>
      </w:pPr>
      <w:r w:rsidRPr="00674670">
        <w:rPr>
          <w:b/>
        </w:rPr>
        <w:t>SISETURG</w:t>
      </w:r>
      <w:bookmarkEnd w:id="4"/>
      <w:bookmarkEnd w:id="5"/>
    </w:p>
    <w:p w:rsidR="00853AF3" w:rsidRPr="00674670" w:rsidRDefault="00853AF3" w:rsidP="00853AF3">
      <w:pPr>
        <w:keepNext/>
        <w:outlineLvl w:val="0"/>
        <w:rPr>
          <w:b/>
        </w:rPr>
      </w:pPr>
    </w:p>
    <w:p w:rsidR="006140BB" w:rsidRPr="00674670" w:rsidRDefault="006140BB" w:rsidP="006140BB">
      <w:pPr>
        <w:widowControl w:val="0"/>
        <w:numPr>
          <w:ilvl w:val="0"/>
          <w:numId w:val="69"/>
        </w:numPr>
        <w:overflowPunct w:val="0"/>
        <w:autoSpaceDE w:val="0"/>
        <w:autoSpaceDN w:val="0"/>
        <w:adjustRightInd w:val="0"/>
        <w:spacing w:line="240" w:lineRule="auto"/>
        <w:rPr>
          <w:b/>
          <w:i/>
          <w:sz w:val="28"/>
          <w:szCs w:val="28"/>
        </w:rPr>
      </w:pPr>
      <w:r w:rsidRPr="00674670">
        <w:rPr>
          <w:b/>
          <w:i/>
          <w:sz w:val="28"/>
        </w:rPr>
        <w:t>Ühtse turu täiustamine</w:t>
      </w:r>
    </w:p>
    <w:p w:rsidR="006140BB" w:rsidRPr="00674670" w:rsidRDefault="006140BB" w:rsidP="006140BB">
      <w:pPr>
        <w:tabs>
          <w:tab w:val="center" w:pos="284"/>
        </w:tabs>
        <w:ind w:left="266" w:hanging="266"/>
        <w:rPr>
          <w:b/>
        </w:rPr>
      </w:pPr>
    </w:p>
    <w:p w:rsidR="006140BB" w:rsidRPr="00674670" w:rsidRDefault="006140BB" w:rsidP="006140BB">
      <w:pPr>
        <w:tabs>
          <w:tab w:val="center" w:pos="284"/>
        </w:tabs>
        <w:ind w:left="266" w:hanging="266"/>
      </w:pPr>
      <w:r w:rsidRPr="00674670">
        <w:rPr>
          <w:b/>
        </w:rPr>
        <w:t>Raportöör:</w:t>
      </w:r>
      <w:r w:rsidRPr="00674670">
        <w:tab/>
        <w:t>Antonello Pezzini (tööandjate rühm – IT)</w:t>
      </w:r>
    </w:p>
    <w:p w:rsidR="006140BB" w:rsidRPr="00674670" w:rsidRDefault="006140BB" w:rsidP="006140BB">
      <w:pPr>
        <w:tabs>
          <w:tab w:val="center" w:pos="284"/>
        </w:tabs>
        <w:ind w:left="266" w:hanging="266"/>
        <w:rPr>
          <w:b/>
        </w:rPr>
      </w:pPr>
    </w:p>
    <w:p w:rsidR="006140BB" w:rsidRPr="00674670" w:rsidRDefault="006140BB" w:rsidP="006140BB">
      <w:pPr>
        <w:tabs>
          <w:tab w:val="center" w:pos="284"/>
        </w:tabs>
        <w:ind w:left="266" w:hanging="266"/>
      </w:pPr>
      <w:r w:rsidRPr="00674670">
        <w:rPr>
          <w:b/>
        </w:rPr>
        <w:t>Viide:</w:t>
      </w:r>
      <w:r w:rsidRPr="00674670">
        <w:tab/>
      </w:r>
      <w:r w:rsidR="00853AF3" w:rsidRPr="00674670">
        <w:tab/>
      </w:r>
      <w:r w:rsidRPr="00674670">
        <w:t>COM(2015) 550 final - EESC-2015-05324-00-01-AC-TRA</w:t>
      </w:r>
    </w:p>
    <w:p w:rsidR="006140BB" w:rsidRPr="00674670" w:rsidRDefault="006140BB" w:rsidP="006140BB">
      <w:pPr>
        <w:tabs>
          <w:tab w:val="center" w:pos="284"/>
        </w:tabs>
        <w:ind w:left="266" w:hanging="266"/>
      </w:pPr>
    </w:p>
    <w:p w:rsidR="006140BB" w:rsidRPr="00674670" w:rsidRDefault="006140BB" w:rsidP="006140BB">
      <w:pPr>
        <w:keepNext/>
        <w:keepLines/>
        <w:tabs>
          <w:tab w:val="center" w:pos="284"/>
        </w:tabs>
        <w:ind w:left="266" w:hanging="266"/>
        <w:rPr>
          <w:b/>
        </w:rPr>
      </w:pPr>
      <w:r w:rsidRPr="00674670">
        <w:rPr>
          <w:b/>
        </w:rPr>
        <w:t>Põhipunktid</w:t>
      </w:r>
    </w:p>
    <w:p w:rsidR="00A26386" w:rsidRPr="00674670" w:rsidRDefault="00A26386" w:rsidP="006140BB">
      <w:pPr>
        <w:keepNext/>
        <w:keepLines/>
        <w:tabs>
          <w:tab w:val="center" w:pos="284"/>
        </w:tabs>
        <w:ind w:left="266" w:hanging="266"/>
        <w:rPr>
          <w:b/>
        </w:rPr>
      </w:pPr>
    </w:p>
    <w:p w:rsidR="006140BB" w:rsidRPr="00674670" w:rsidRDefault="006140BB" w:rsidP="006140BB">
      <w:r w:rsidRPr="00674670">
        <w:t>Euroopa Majandus- ja Sotsiaalkomitee</w:t>
      </w:r>
    </w:p>
    <w:p w:rsidR="003B20F1" w:rsidRPr="00674670" w:rsidRDefault="003B20F1" w:rsidP="006140BB"/>
    <w:p w:rsidR="006140BB" w:rsidRPr="00674670" w:rsidRDefault="006140BB" w:rsidP="001C393F">
      <w:pPr>
        <w:pStyle w:val="ListParagraph"/>
        <w:numPr>
          <w:ilvl w:val="0"/>
          <w:numId w:val="72"/>
        </w:numPr>
        <w:ind w:left="369" w:hanging="369"/>
      </w:pPr>
      <w:r w:rsidRPr="00674670">
        <w:t>kutsub üles omistama ühtse turu väljakujundamisel tähtsust rohelise majanduse sektoritele, arendades edasi säästva tootmise ja tarbimise turumudeleid, jätkates ringmajanduse ja kliimamuutuste vastase võitluse põhimõtete rakendamist uute näitajate uurimise kaudu;</w:t>
      </w:r>
    </w:p>
    <w:p w:rsidR="006140BB" w:rsidRPr="00674670" w:rsidRDefault="006140BB" w:rsidP="001C393F">
      <w:pPr>
        <w:pStyle w:val="ListParagraph"/>
        <w:numPr>
          <w:ilvl w:val="0"/>
          <w:numId w:val="72"/>
        </w:numPr>
        <w:ind w:left="369" w:hanging="369"/>
      </w:pPr>
      <w:r w:rsidRPr="00674670">
        <w:t>on seisukohal, et vaja on suurendada jõupingutusi ja investeeringuid gaasi- ja elektrivõrkude sektorisse ning võtta eri liikmesriikide vahel energia salvestamise osas kasutusele subsidiaarsuse põhimõte;</w:t>
      </w:r>
    </w:p>
    <w:p w:rsidR="006140BB" w:rsidRPr="00674670" w:rsidRDefault="006140BB" w:rsidP="001C393F">
      <w:pPr>
        <w:pStyle w:val="ListParagraph"/>
        <w:numPr>
          <w:ilvl w:val="0"/>
          <w:numId w:val="72"/>
        </w:numPr>
        <w:ind w:left="369" w:hanging="369"/>
      </w:pPr>
      <w:r w:rsidRPr="00674670">
        <w:t>teeb ettepaneku seada töötajate liikuvuse paketi eesmärgiks kaotada kõik tõkked, mis takistavad töötajate vaba liikumist, säilitades samal ajal sotsiaalkaitse kõrge taseme;</w:t>
      </w:r>
    </w:p>
    <w:p w:rsidR="006140BB" w:rsidRPr="00674670" w:rsidRDefault="006140BB" w:rsidP="001C393F">
      <w:pPr>
        <w:pStyle w:val="ListParagraph"/>
        <w:numPr>
          <w:ilvl w:val="0"/>
          <w:numId w:val="72"/>
        </w:numPr>
        <w:ind w:left="369" w:hanging="369"/>
      </w:pPr>
      <w:r w:rsidRPr="00674670">
        <w:t>taotleb paremat koordineerimist sotsiaalkindlustussüsteemide vahel niisuguste kindlustusasutuste kasutusele võtmisega, mille ülesandeid tunnustatakse Euroopa tasandil;</w:t>
      </w:r>
    </w:p>
    <w:p w:rsidR="006140BB" w:rsidRPr="00674670" w:rsidRDefault="006140BB" w:rsidP="001C393F">
      <w:pPr>
        <w:pStyle w:val="ListParagraph"/>
        <w:numPr>
          <w:ilvl w:val="0"/>
          <w:numId w:val="72"/>
        </w:numPr>
        <w:ind w:left="369" w:hanging="369"/>
      </w:pPr>
      <w:r w:rsidRPr="00674670">
        <w:t>on seisukohal, et esmatähtis on rakendada täielikult lepingut töötajate õiguste kohta olla teavitatud ja ära kuulatud ning ta soovitab töötajate suuremat osalemist ettevõtte juhtimises;</w:t>
      </w:r>
    </w:p>
    <w:p w:rsidR="006140BB" w:rsidRPr="00674670" w:rsidRDefault="006140BB" w:rsidP="001C393F">
      <w:pPr>
        <w:pStyle w:val="ListParagraph"/>
        <w:numPr>
          <w:ilvl w:val="0"/>
          <w:numId w:val="72"/>
        </w:numPr>
        <w:ind w:left="369" w:hanging="369"/>
      </w:pPr>
      <w:r w:rsidRPr="00674670">
        <w:t>on veendunud, et tuleb teha suuremaid jõupingutusi, et parandada tooteohutust ja turujärelevalvet, pöörates erilist tähelepanu pettustele digitaalsel turul. Selleks ootab komitee ratsionaalse kollektiivse õiguskaitse mehhanismi väljatöötamist, mis oleks kehtiv ka riikidevaheliselt;</w:t>
      </w:r>
    </w:p>
    <w:p w:rsidR="006140BB" w:rsidRPr="00674670" w:rsidRDefault="006140BB" w:rsidP="001C393F">
      <w:pPr>
        <w:pStyle w:val="ListParagraph"/>
        <w:numPr>
          <w:ilvl w:val="0"/>
          <w:numId w:val="72"/>
        </w:numPr>
        <w:ind w:left="369" w:hanging="369"/>
      </w:pPr>
      <w:r w:rsidRPr="00674670">
        <w:t>on seisukohal, et sotsiaalse ühtekuuluvuse jaoks on põhitähtis sotsiaalne ja koostööl põhinev ettevõtlus, et tagada Euroopa tõhusam ja jätkusuutlikum majanduskasv. Seepärast teeb komitee ettepaneku luua alaline struktuur, milles võib süvendada asjaomaste aspektide käsitlemist;</w:t>
      </w:r>
    </w:p>
    <w:p w:rsidR="006140BB" w:rsidRPr="00674670" w:rsidRDefault="006140BB" w:rsidP="001C393F">
      <w:pPr>
        <w:pStyle w:val="ListParagraph"/>
        <w:numPr>
          <w:ilvl w:val="0"/>
          <w:numId w:val="72"/>
        </w:numPr>
        <w:ind w:left="369" w:hanging="369"/>
      </w:pPr>
      <w:r w:rsidRPr="00674670">
        <w:t>rõhutab vajadust parandada teenuste direktiivi tõhusust ning direktiivis sätestatud teatamise korda, vältides protektsionismi ilminguid ja uusi takistusi teenuste vabale liikumisele, järgides sektoripõhist lähenemisviisi, et tuvastada ebakõlasid ja takistusi;</w:t>
      </w:r>
    </w:p>
    <w:p w:rsidR="006140BB" w:rsidRPr="00674670" w:rsidRDefault="006140BB" w:rsidP="001C393F">
      <w:pPr>
        <w:pStyle w:val="ListParagraph"/>
        <w:numPr>
          <w:ilvl w:val="0"/>
          <w:numId w:val="72"/>
        </w:numPr>
        <w:ind w:left="369" w:hanging="369"/>
      </w:pPr>
      <w:r w:rsidRPr="00674670">
        <w:t>kutsub üles algatama kampaania kodanike, eelkõige noorte otseseks kaasamiseks osana Euroopa kodakondsuse tähendusest igaühe jaoks;</w:t>
      </w:r>
    </w:p>
    <w:p w:rsidR="006140BB" w:rsidRPr="00674670" w:rsidRDefault="006140BB" w:rsidP="001C393F">
      <w:pPr>
        <w:pStyle w:val="ListParagraph"/>
        <w:numPr>
          <w:ilvl w:val="0"/>
          <w:numId w:val="72"/>
        </w:numPr>
        <w:ind w:left="369" w:hanging="369"/>
      </w:pPr>
      <w:r w:rsidRPr="00674670">
        <w:t>kutsub üles looma ühtsel turul käsitöönduse ja õpipoisiõppe Erasmuse programmi, võimaldades noortel oskustöölistel ja kutseõpilastel kogeda Euroopa siseturu ühtsust ning vahetada kogemusi ja oskusi.</w:t>
      </w:r>
    </w:p>
    <w:p w:rsidR="006140BB" w:rsidRPr="00674670" w:rsidRDefault="006140BB" w:rsidP="006140BB"/>
    <w:p w:rsidR="006140BB" w:rsidRPr="00674670" w:rsidRDefault="006140BB" w:rsidP="006140BB">
      <w:pPr>
        <w:rPr>
          <w:i/>
        </w:rPr>
      </w:pPr>
      <w:r w:rsidRPr="00674670">
        <w:rPr>
          <w:b/>
          <w:i/>
        </w:rPr>
        <w:t>Kontaktisik:</w:t>
      </w:r>
      <w:r w:rsidR="00853AF3" w:rsidRPr="00674670">
        <w:tab/>
      </w:r>
      <w:r w:rsidRPr="00674670">
        <w:rPr>
          <w:i/>
        </w:rPr>
        <w:t>Jean-Pierre Faure</w:t>
      </w:r>
    </w:p>
    <w:p w:rsidR="006140BB" w:rsidRPr="00674670" w:rsidRDefault="006140BB" w:rsidP="00A134D8">
      <w:pPr>
        <w:ind w:left="1418"/>
      </w:pPr>
      <w:r w:rsidRPr="00674670">
        <w:rPr>
          <w:i/>
        </w:rPr>
        <w:t xml:space="preserve">(Tel 00 32 2 546 96 15 – e-post: </w:t>
      </w:r>
      <w:hyperlink r:id="rId35">
        <w:r w:rsidRPr="00674670">
          <w:rPr>
            <w:rStyle w:val="Hyperlink"/>
            <w:i/>
          </w:rPr>
          <w:t>jean-pierre.faure@eesc.europa.eu</w:t>
        </w:r>
      </w:hyperlink>
    </w:p>
    <w:p w:rsidR="003A63B9" w:rsidRPr="00674670" w:rsidRDefault="003A63B9">
      <w:pPr>
        <w:spacing w:line="240" w:lineRule="auto"/>
        <w:jc w:val="left"/>
      </w:pPr>
      <w:r w:rsidRPr="00674670">
        <w:br w:type="page"/>
      </w:r>
    </w:p>
    <w:p w:rsidR="006140BB" w:rsidRPr="00674670" w:rsidRDefault="006140BB" w:rsidP="006140BB">
      <w:pPr>
        <w:keepNext/>
        <w:numPr>
          <w:ilvl w:val="0"/>
          <w:numId w:val="2"/>
        </w:numPr>
        <w:ind w:left="567" w:hanging="578"/>
        <w:outlineLvl w:val="0"/>
        <w:rPr>
          <w:b/>
        </w:rPr>
      </w:pPr>
      <w:bookmarkStart w:id="6" w:name="_Toc448145876"/>
      <w:bookmarkStart w:id="7" w:name="_Toc448325761"/>
      <w:r w:rsidRPr="00674670">
        <w:rPr>
          <w:b/>
        </w:rPr>
        <w:t>MERESÕIDUOHUTUS</w:t>
      </w:r>
      <w:bookmarkEnd w:id="6"/>
      <w:bookmarkEnd w:id="7"/>
    </w:p>
    <w:p w:rsidR="00A26386" w:rsidRPr="00674670" w:rsidRDefault="00A26386" w:rsidP="006140BB">
      <w:pPr>
        <w:widowControl w:val="0"/>
        <w:ind w:left="-567"/>
        <w:rPr>
          <w:b/>
          <w:highlight w:val="yellow"/>
          <w:u w:val="single"/>
        </w:rPr>
      </w:pPr>
    </w:p>
    <w:p w:rsidR="006140BB" w:rsidRPr="00674670" w:rsidRDefault="006140BB" w:rsidP="006140BB">
      <w:pPr>
        <w:widowControl w:val="0"/>
        <w:numPr>
          <w:ilvl w:val="0"/>
          <w:numId w:val="69"/>
        </w:numPr>
        <w:overflowPunct w:val="0"/>
        <w:autoSpaceDE w:val="0"/>
        <w:autoSpaceDN w:val="0"/>
        <w:adjustRightInd w:val="0"/>
        <w:spacing w:line="240" w:lineRule="auto"/>
        <w:rPr>
          <w:bCs/>
          <w:i/>
          <w:sz w:val="28"/>
          <w:szCs w:val="28"/>
        </w:rPr>
      </w:pPr>
      <w:r w:rsidRPr="00674670">
        <w:rPr>
          <w:b/>
          <w:i/>
          <w:sz w:val="28"/>
        </w:rPr>
        <w:t>Euroopa Meresõiduohutuse Amet</w:t>
      </w:r>
    </w:p>
    <w:p w:rsidR="006140BB" w:rsidRPr="00674670" w:rsidRDefault="006140BB" w:rsidP="006140BB">
      <w:pPr>
        <w:widowControl w:val="0"/>
        <w:spacing w:line="240" w:lineRule="auto"/>
        <w:rPr>
          <w:bCs/>
          <w:szCs w:val="20"/>
        </w:rPr>
      </w:pPr>
    </w:p>
    <w:p w:rsidR="006140BB" w:rsidRPr="00674670" w:rsidRDefault="006140BB" w:rsidP="006140BB">
      <w:pPr>
        <w:rPr>
          <w:bCs/>
        </w:rPr>
      </w:pPr>
      <w:r w:rsidRPr="00674670">
        <w:rPr>
          <w:b/>
        </w:rPr>
        <w:t>Raportöör:</w:t>
      </w:r>
      <w:r w:rsidRPr="00674670">
        <w:t xml:space="preserve"> </w:t>
      </w:r>
      <w:r w:rsidR="00853AF3" w:rsidRPr="00674670">
        <w:tab/>
      </w:r>
      <w:r w:rsidRPr="00674670">
        <w:t>Jan Simons (tööandjate rühm – NL)</w:t>
      </w:r>
    </w:p>
    <w:p w:rsidR="0039485C" w:rsidRPr="00674670" w:rsidRDefault="0039485C" w:rsidP="006140BB">
      <w:pPr>
        <w:tabs>
          <w:tab w:val="num" w:pos="550"/>
        </w:tabs>
        <w:rPr>
          <w:b/>
        </w:rPr>
      </w:pPr>
    </w:p>
    <w:p w:rsidR="006140BB" w:rsidRPr="00674670" w:rsidRDefault="006140BB" w:rsidP="006140BB">
      <w:pPr>
        <w:tabs>
          <w:tab w:val="num" w:pos="550"/>
        </w:tabs>
        <w:rPr>
          <w:bCs/>
        </w:rPr>
      </w:pPr>
      <w:r w:rsidRPr="00674670">
        <w:rPr>
          <w:b/>
        </w:rPr>
        <w:t>Viide:</w:t>
      </w:r>
      <w:r w:rsidRPr="00674670">
        <w:t xml:space="preserve"> </w:t>
      </w:r>
      <w:r w:rsidR="00853AF3" w:rsidRPr="00674670">
        <w:tab/>
      </w:r>
      <w:r w:rsidR="00853AF3" w:rsidRPr="00674670">
        <w:tab/>
      </w:r>
      <w:r w:rsidRPr="00674670">
        <w:t>COM(2015) 667 final – 2015/0313 (COD) –  EESC-2016-00622-00-00-AC-TRA</w:t>
      </w:r>
    </w:p>
    <w:p w:rsidR="006140BB" w:rsidRPr="00674670" w:rsidRDefault="006140BB" w:rsidP="006140BB">
      <w:pPr>
        <w:jc w:val="left"/>
        <w:rPr>
          <w:szCs w:val="20"/>
        </w:rPr>
      </w:pPr>
    </w:p>
    <w:p w:rsidR="006140BB" w:rsidRPr="00674670" w:rsidRDefault="006140BB" w:rsidP="006140BB">
      <w:pPr>
        <w:rPr>
          <w:b/>
        </w:rPr>
      </w:pPr>
      <w:r w:rsidRPr="00674670">
        <w:rPr>
          <w:b/>
        </w:rPr>
        <w:t>Põhipunktid</w:t>
      </w:r>
    </w:p>
    <w:p w:rsidR="006140BB" w:rsidRPr="00674670" w:rsidRDefault="006140BB" w:rsidP="006140BB">
      <w:pPr>
        <w:rPr>
          <w:szCs w:val="20"/>
        </w:rPr>
      </w:pPr>
    </w:p>
    <w:p w:rsidR="006140BB" w:rsidRPr="00674670" w:rsidRDefault="006140BB" w:rsidP="006140BB">
      <w:r w:rsidRPr="00674670">
        <w:t>Euroopa Majandus- ja Sotsiaalkomitee tervitab komisjoni ettepanekut muuta määrust (EÜ) nr 1406/2002, millega luuakse Euroopa Meresõiduohutuse Amet, kuna see on kooskõlas laiema lähenemisviisiga korraldada ELi välismerepiiride järelevalvet senisest tõhusamalt. Siiski soovib komitee veel kord rõhutada, et kavandatavate meetmete rakendamisel on oluline kiire tegutsemine.</w:t>
      </w:r>
    </w:p>
    <w:p w:rsidR="006140BB" w:rsidRPr="00674670" w:rsidRDefault="006140BB" w:rsidP="006140BB"/>
    <w:p w:rsidR="006140BB" w:rsidRPr="00674670" w:rsidRDefault="006140BB" w:rsidP="006140BB">
      <w:r w:rsidRPr="00674670">
        <w:t>Komitee tervitab ettepanekut laiendada Euroopa Meresõiduohutuse Ameti (EMSA) tegevust. Siiski on komiteel tõsiseid kahtlusi, kas ametil on inim- ja rahalisi ressursse, et nende täiendavate ülesannetega nõuetekohaselt toime tulla.</w:t>
      </w:r>
    </w:p>
    <w:p w:rsidR="006140BB" w:rsidRPr="00674670" w:rsidRDefault="006140BB" w:rsidP="006140BB"/>
    <w:p w:rsidR="006140BB" w:rsidRPr="00674670" w:rsidRDefault="006140BB" w:rsidP="006140BB">
      <w:r w:rsidRPr="00674670">
        <w:t>Komitee on seisukohal, et aktiivsem koostöö ja teabevahetus kolme asjaomase ELi ameti vahel ning rannikuvalvet teostavate riiklike asutustega peaks viima tõhusa ja tulemusliku rannikuvalve süsteemi loomiseni. Tema arvates võimaldaks kulutõhus ja -tasuv rannikuvalve süsteem liikmesriikidel loobuda alalistest kontrollidest ja taaskehtestada Schengeni süsteemi selle senises hiilguses. Komitee toetab kaugjuhitavate õhusõidukite süsteemide (</w:t>
      </w:r>
      <w:r w:rsidRPr="00674670">
        <w:rPr>
          <w:i/>
        </w:rPr>
        <w:t>Remotely Piloted Aircraft System</w:t>
      </w:r>
      <w:r w:rsidRPr="00674670">
        <w:t>) ehk droonide kasutamist, kuna need võimaldavad täielikku jälgimist, aidates muu hulgas vältida inimohvreid.</w:t>
      </w:r>
    </w:p>
    <w:p w:rsidR="006140BB" w:rsidRPr="00674670" w:rsidRDefault="006140BB" w:rsidP="006140BB"/>
    <w:p w:rsidR="006140BB" w:rsidRPr="00674670" w:rsidRDefault="006140BB" w:rsidP="006140BB">
      <w:r w:rsidRPr="00674670">
        <w:t>Komitee soovitab tungivalt muuta määruse ettepanekutes Euroopa Piiri- ja Rannikuvalve Ameti nime, mille tulemusel kannaks amet nime „Euroopa Piirivalve Amet“.</w:t>
      </w:r>
    </w:p>
    <w:p w:rsidR="006140BB" w:rsidRPr="00674670" w:rsidRDefault="006140BB" w:rsidP="006140BB"/>
    <w:p w:rsidR="006140BB" w:rsidRPr="00674670" w:rsidRDefault="006140BB" w:rsidP="006140BB">
      <w:pPr>
        <w:rPr>
          <w:i/>
          <w:szCs w:val="20"/>
        </w:rPr>
      </w:pPr>
      <w:r w:rsidRPr="00674670">
        <w:rPr>
          <w:b/>
          <w:i/>
        </w:rPr>
        <w:t>Kontaktisik:</w:t>
      </w:r>
      <w:r w:rsidRPr="00674670">
        <w:tab/>
      </w:r>
      <w:r w:rsidRPr="00674670">
        <w:rPr>
          <w:i/>
        </w:rPr>
        <w:t>Erika Paulinova</w:t>
      </w:r>
    </w:p>
    <w:p w:rsidR="006140BB" w:rsidRPr="00674670" w:rsidRDefault="006140BB" w:rsidP="00A134D8">
      <w:pPr>
        <w:widowControl w:val="0"/>
        <w:ind w:left="1418"/>
        <w:rPr>
          <w:iCs/>
        </w:rPr>
      </w:pPr>
      <w:r w:rsidRPr="00674670">
        <w:rPr>
          <w:i/>
        </w:rPr>
        <w:t xml:space="preserve">(Tel 00 32 2 546 8457 - e-post: </w:t>
      </w:r>
      <w:hyperlink r:id="rId36">
        <w:r w:rsidRPr="00674670">
          <w:rPr>
            <w:rStyle w:val="Hyperlink"/>
            <w:i/>
          </w:rPr>
          <w:t>Erika.Paulinova@eesc.europa.eu</w:t>
        </w:r>
      </w:hyperlink>
      <w:r w:rsidRPr="00674670">
        <w:rPr>
          <w:i/>
        </w:rPr>
        <w:t>)</w:t>
      </w:r>
    </w:p>
    <w:p w:rsidR="006140BB" w:rsidRPr="00674670" w:rsidRDefault="006140BB" w:rsidP="006140BB">
      <w:pPr>
        <w:widowControl w:val="0"/>
        <w:rPr>
          <w:szCs w:val="20"/>
        </w:rPr>
      </w:pPr>
    </w:p>
    <w:p w:rsidR="0048090F" w:rsidRPr="00674670" w:rsidRDefault="0048090F" w:rsidP="0048090F">
      <w:pPr>
        <w:widowControl w:val="0"/>
      </w:pPr>
    </w:p>
    <w:p w:rsidR="003A63B9" w:rsidRPr="00674670" w:rsidRDefault="003A63B9">
      <w:pPr>
        <w:spacing w:line="240" w:lineRule="auto"/>
        <w:jc w:val="left"/>
        <w:rPr>
          <w:b/>
        </w:rPr>
      </w:pPr>
      <w:r w:rsidRPr="00674670">
        <w:br w:type="page"/>
      </w:r>
    </w:p>
    <w:p w:rsidR="003B2BA2" w:rsidRPr="00674670" w:rsidRDefault="006140BB" w:rsidP="003A63B9">
      <w:pPr>
        <w:keepNext/>
        <w:numPr>
          <w:ilvl w:val="0"/>
          <w:numId w:val="2"/>
        </w:numPr>
        <w:ind w:left="567" w:hanging="578"/>
        <w:outlineLvl w:val="0"/>
        <w:rPr>
          <w:b/>
        </w:rPr>
      </w:pPr>
      <w:bookmarkStart w:id="8" w:name="_Toc448145877"/>
      <w:bookmarkStart w:id="9" w:name="_Toc448325762"/>
      <w:r w:rsidRPr="00674670">
        <w:rPr>
          <w:b/>
        </w:rPr>
        <w:t>OHUTUS</w:t>
      </w:r>
      <w:bookmarkEnd w:id="8"/>
      <w:bookmarkEnd w:id="9"/>
    </w:p>
    <w:p w:rsidR="00A26386" w:rsidRPr="00674670" w:rsidRDefault="00A26386" w:rsidP="006140BB">
      <w:pPr>
        <w:ind w:left="-567"/>
        <w:rPr>
          <w:b/>
          <w:iCs/>
          <w:highlight w:val="yellow"/>
          <w:u w:val="single"/>
        </w:rPr>
      </w:pPr>
    </w:p>
    <w:p w:rsidR="006140BB" w:rsidRPr="00674670" w:rsidRDefault="006140BB" w:rsidP="003A63B9">
      <w:pPr>
        <w:widowControl w:val="0"/>
        <w:numPr>
          <w:ilvl w:val="0"/>
          <w:numId w:val="69"/>
        </w:numPr>
        <w:overflowPunct w:val="0"/>
        <w:autoSpaceDE w:val="0"/>
        <w:autoSpaceDN w:val="0"/>
        <w:adjustRightInd w:val="0"/>
        <w:spacing w:line="240" w:lineRule="auto"/>
        <w:rPr>
          <w:b/>
          <w:i/>
          <w:sz w:val="28"/>
          <w:szCs w:val="28"/>
        </w:rPr>
      </w:pPr>
      <w:r w:rsidRPr="00674670">
        <w:rPr>
          <w:b/>
          <w:i/>
          <w:sz w:val="28"/>
        </w:rPr>
        <w:t>Euroopa julgeoleku tegevuskava</w:t>
      </w:r>
    </w:p>
    <w:p w:rsidR="006140BB" w:rsidRPr="00674670" w:rsidRDefault="006140BB" w:rsidP="006140BB">
      <w:pPr>
        <w:ind w:left="-567" w:firstLine="17"/>
        <w:rPr>
          <w:highlight w:val="yellow"/>
        </w:rPr>
      </w:pPr>
    </w:p>
    <w:p w:rsidR="006140BB" w:rsidRPr="00674670" w:rsidRDefault="006140BB" w:rsidP="006140BB">
      <w:r w:rsidRPr="00674670">
        <w:rPr>
          <w:b/>
        </w:rPr>
        <w:t>Raportöör:</w:t>
      </w:r>
      <w:r w:rsidRPr="00674670">
        <w:t xml:space="preserve"> </w:t>
      </w:r>
      <w:r w:rsidRPr="00674670">
        <w:tab/>
        <w:t>Cristian Pîrvulescu (eri elualade rühm – RO)</w:t>
      </w:r>
    </w:p>
    <w:p w:rsidR="006140BB" w:rsidRPr="00674670" w:rsidRDefault="006140BB" w:rsidP="006140BB"/>
    <w:p w:rsidR="006140BB" w:rsidRPr="00674670" w:rsidRDefault="006140BB" w:rsidP="006140BB">
      <w:pPr>
        <w:ind w:left="-5"/>
      </w:pPr>
      <w:r w:rsidRPr="00674670">
        <w:rPr>
          <w:b/>
        </w:rPr>
        <w:t>Viide:</w:t>
      </w:r>
      <w:r w:rsidRPr="00674670">
        <w:tab/>
      </w:r>
      <w:r w:rsidR="00853AF3" w:rsidRPr="00674670">
        <w:tab/>
      </w:r>
      <w:r w:rsidRPr="00674670">
        <w:t>COM(2015) 625 final –2015/0281 COD– EESC-2016-00019-00-00-AC-TRA</w:t>
      </w:r>
    </w:p>
    <w:p w:rsidR="006140BB" w:rsidRPr="00674670" w:rsidRDefault="006140BB" w:rsidP="006140BB">
      <w:pPr>
        <w:tabs>
          <w:tab w:val="left" w:pos="0"/>
        </w:tabs>
        <w:ind w:left="364" w:hanging="369"/>
      </w:pPr>
    </w:p>
    <w:p w:rsidR="006140BB" w:rsidRPr="00674670" w:rsidRDefault="006140BB" w:rsidP="006140BB">
      <w:pPr>
        <w:ind w:left="-5"/>
        <w:rPr>
          <w:b/>
        </w:rPr>
      </w:pPr>
      <w:r w:rsidRPr="00674670">
        <w:rPr>
          <w:b/>
        </w:rPr>
        <w:t>Põhipunktid</w:t>
      </w:r>
    </w:p>
    <w:p w:rsidR="00A26386" w:rsidRPr="00674670" w:rsidRDefault="00A26386" w:rsidP="006140BB">
      <w:pPr>
        <w:ind w:left="-5"/>
        <w:rPr>
          <w:b/>
        </w:rPr>
      </w:pPr>
    </w:p>
    <w:p w:rsidR="006140BB" w:rsidRPr="00674670" w:rsidRDefault="006140BB" w:rsidP="006140BB">
      <w:r w:rsidRPr="00674670">
        <w:t>Komitee tervitab asjaolu, et liikmesriigid on ühendanud oma jõud, et võidelda tulirelvade ja laskemoonaga ebaseadusliku kauplemise ning terrorismi vastu. Jõupingutuste hoogustamisega nii Euroopa kui liikmesriikide tasandil võib kaasneda koondmõju, mis võib seada ohtu põhiõigused.</w:t>
      </w:r>
    </w:p>
    <w:p w:rsidR="006140BB" w:rsidRPr="00674670" w:rsidRDefault="006140BB" w:rsidP="006140BB"/>
    <w:p w:rsidR="006140BB" w:rsidRPr="00674670" w:rsidRDefault="006140BB" w:rsidP="006140BB">
      <w:r w:rsidRPr="00674670">
        <w:t>Komitee leiab, et eurooplastel on õigus elada nii turvaliselt kui ka vabalt.</w:t>
      </w:r>
    </w:p>
    <w:p w:rsidR="006140BB" w:rsidRPr="00674670" w:rsidRDefault="006140BB" w:rsidP="006140BB"/>
    <w:p w:rsidR="0057117C" w:rsidRPr="00674670" w:rsidRDefault="0057117C" w:rsidP="006140BB">
      <w:r w:rsidRPr="00674670">
        <w:t>Komitee rõhutab ja nõuab, et kohustuslikust proportsionaalsuse põhimõttest – mis kuulub iga õigusriigi aluspõhimõtete hulka – peavad kinni pidama kõik riigiorganid ja kohtud.</w:t>
      </w:r>
    </w:p>
    <w:p w:rsidR="0057117C" w:rsidRPr="00674670" w:rsidRDefault="0057117C" w:rsidP="006140BB"/>
    <w:p w:rsidR="006140BB" w:rsidRPr="00674670" w:rsidRDefault="006140BB" w:rsidP="006140BB">
      <w:r w:rsidRPr="00674670">
        <w:t>Komitee arvates ohustab igat demokraatiat see, kui seadusandlikke meetmeid võetakse potentsiaalsete rikkumiste ennetamiseks (veel toimepanemata õiguserikkumiste ja kuritegude kriminaliseerimine). Ettepaneku artikkel 3.2 i) tuleks välja jätta, et õigust ja julgeolekut mitte omavahel segi ajada. Samuti ei tagata direktiivi ettepaneku artikliga 15 ei kodanikuvabadusi ega süütuse presumptsiooni.</w:t>
      </w:r>
    </w:p>
    <w:p w:rsidR="006140BB" w:rsidRPr="00674670" w:rsidRDefault="006140BB" w:rsidP="006140BB"/>
    <w:p w:rsidR="006140BB" w:rsidRPr="00674670" w:rsidRDefault="006140BB" w:rsidP="006140BB">
      <w:r w:rsidRPr="00674670">
        <w:t>On vaja luua vahendid, et ennetada radikaliseerumist. Ennetusmeetmed ja -programmid peavad olema suunatud nendele isikutele ja rühmadele, kellel on kõige suurem kalduvus sooritada terroristlikke vägivallategusid. Kodanikuühiskonnal on keskne roll nende tingimuste käsitlemisel, mis soodustavad radikaliseerumist ja vägivalla kasutamist.</w:t>
      </w:r>
    </w:p>
    <w:p w:rsidR="006140BB" w:rsidRPr="00674670" w:rsidRDefault="006140BB" w:rsidP="006140BB"/>
    <w:p w:rsidR="006140BB" w:rsidRPr="00674670" w:rsidRDefault="006140BB" w:rsidP="006140BB">
      <w:r w:rsidRPr="00674670">
        <w:t>Tuleb kooskõlastada Euroopa Liidu välispoliitikat Lähis-Ida ja Põhja-Aafrika suhtes. Komitee hinnangul on esmatähtis võtta selge kohustus toetada panuseid stabiilsuse, arengu ja demokraatia saavutamisse selles piirkonnas. Võitlus vaesuse, korruptsiooni ning poliitilise ja sotsiaalse tõrjutuse vastu peab omandama esmase tähtsuse.</w:t>
      </w:r>
    </w:p>
    <w:p w:rsidR="006140BB" w:rsidRPr="00674670" w:rsidRDefault="006140BB" w:rsidP="006140BB"/>
    <w:p w:rsidR="006140BB" w:rsidRPr="00674670" w:rsidRDefault="006140BB" w:rsidP="006140BB">
      <w:r w:rsidRPr="00674670">
        <w:t>Komitee leiab, et tulirelvade, laskemoona ja lõhkeainete kättesaadavuse oluline piiramine peab olema prioriteetne küsimus. Terroristlike ja organiseeritud kuritegevusega seotud rühmituste koostöö kujutab endast suurt ohtu Euroopa kodanike turvalisusele.</w:t>
      </w:r>
    </w:p>
    <w:p w:rsidR="006140BB" w:rsidRPr="00674670" w:rsidRDefault="006140BB" w:rsidP="006140BB"/>
    <w:p w:rsidR="006140BB" w:rsidRPr="00674670" w:rsidRDefault="006140BB">
      <w:r w:rsidRPr="00674670">
        <w:t>Komitee toetab terrorismiohvreid käsitlevate õigusaktide täpsustamist. Ohvrid peavad saama viivitamatut ja tõhusat abi nii keskpikas kui pikas perspektiivis. Terrorismi ennetamine ja selle vastu võitlemine toob kaasa kulutusi, ning komitee kutsub ELi üles kaaluma rahalise toetuse eraldamist liikmesriikide sellesuunaliste jõupingutuste jaoks.</w:t>
      </w:r>
    </w:p>
    <w:p w:rsidR="006140BB" w:rsidRPr="00674670" w:rsidRDefault="006140BB" w:rsidP="006140BB"/>
    <w:p w:rsidR="006140BB" w:rsidRPr="00674670" w:rsidRDefault="006140BB" w:rsidP="006140BB">
      <w:r w:rsidRPr="00674670">
        <w:t>Komitee on seisukohal, et seadusi ja institutsioonilisi menetlusi tuleb pidevalt ajakohastada, vastavalt julgeolekualastele arengutele ja ohtudele.</w:t>
      </w:r>
    </w:p>
    <w:p w:rsidR="006140BB" w:rsidRPr="00674670" w:rsidRDefault="006140BB" w:rsidP="006140BB"/>
    <w:p w:rsidR="006140BB" w:rsidRPr="00674670" w:rsidRDefault="006140BB" w:rsidP="006140BB">
      <w:r w:rsidRPr="00674670">
        <w:t>Komitee soovitab ELi institutsioonidel ja liikmesriikidel rakendada proportsionaalsuse põhimõtet: nende tegude kriminaliseerimise ja nende vastu võitlemise viis peab olema proportsionaalne nende raskusastme ja nende tahtliku iseloomuga.</w:t>
      </w:r>
    </w:p>
    <w:p w:rsidR="006140BB" w:rsidRPr="00674670" w:rsidRDefault="006140BB" w:rsidP="006140BB"/>
    <w:p w:rsidR="006140BB" w:rsidRPr="00674670" w:rsidRDefault="006140BB" w:rsidP="006140BB">
      <w:pPr>
        <w:tabs>
          <w:tab w:val="left" w:pos="770"/>
        </w:tabs>
        <w:ind w:left="1430" w:hanging="1430"/>
        <w:rPr>
          <w:rStyle w:val="normal--char"/>
          <w:i/>
          <w:iCs/>
        </w:rPr>
      </w:pPr>
      <w:r w:rsidRPr="00674670">
        <w:rPr>
          <w:rStyle w:val="normal--char"/>
          <w:b/>
          <w:i/>
        </w:rPr>
        <w:t>Kontaktisik:</w:t>
      </w:r>
      <w:r w:rsidRPr="00674670">
        <w:tab/>
      </w:r>
      <w:r w:rsidRPr="00674670">
        <w:rPr>
          <w:rStyle w:val="normal--char"/>
          <w:i/>
        </w:rPr>
        <w:t>Barbara Walentynowicz</w:t>
      </w:r>
    </w:p>
    <w:p w:rsidR="006140BB" w:rsidRPr="00674670" w:rsidRDefault="006140BB" w:rsidP="00A134D8">
      <w:pPr>
        <w:ind w:left="1418"/>
        <w:rPr>
          <w:rStyle w:val="normal--char"/>
          <w:i/>
          <w:iCs/>
        </w:rPr>
      </w:pPr>
      <w:r w:rsidRPr="00674670">
        <w:rPr>
          <w:rStyle w:val="normal--char"/>
          <w:i/>
        </w:rPr>
        <w:t xml:space="preserve">(Tel 00 32 2 546 8219 – e-post: </w:t>
      </w:r>
      <w:hyperlink r:id="rId37">
        <w:r w:rsidRPr="00674670">
          <w:rPr>
            <w:rStyle w:val="Hyperlink"/>
            <w:i/>
          </w:rPr>
          <w:t>barbara.walentynowicz@eesc.europa.eu</w:t>
        </w:r>
      </w:hyperlink>
      <w:r w:rsidRPr="00674670">
        <w:rPr>
          <w:i/>
        </w:rPr>
        <w:t>)</w:t>
      </w:r>
    </w:p>
    <w:p w:rsidR="006140BB" w:rsidRPr="00674670" w:rsidRDefault="006140BB" w:rsidP="0048090F">
      <w:pPr>
        <w:widowControl w:val="0"/>
        <w:ind w:left="-567"/>
        <w:rPr>
          <w:highlight w:val="yellow"/>
        </w:rPr>
      </w:pPr>
    </w:p>
    <w:p w:rsidR="00900EA0" w:rsidRPr="00674670" w:rsidRDefault="006F0D9E" w:rsidP="00000CE8">
      <w:pPr>
        <w:jc w:val="center"/>
      </w:pPr>
      <w:r w:rsidRPr="00674670">
        <w:t>_____________</w:t>
      </w:r>
    </w:p>
    <w:sectPr w:rsidR="00900EA0" w:rsidRPr="00674670" w:rsidSect="00A0297D">
      <w:headerReference w:type="even" r:id="rId38"/>
      <w:headerReference w:type="default" r:id="rId39"/>
      <w:footerReference w:type="even" r:id="rId40"/>
      <w:footerReference w:type="default" r:id="rId41"/>
      <w:headerReference w:type="first" r:id="rId42"/>
      <w:footerReference w:type="first" r:id="rId43"/>
      <w:pgSz w:w="11907" w:h="16839" w:code="9"/>
      <w:pgMar w:top="1701" w:right="1440" w:bottom="1928" w:left="1440" w:header="1020" w:footer="12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5E5" w:rsidRDefault="003325E5" w:rsidP="003B283B">
      <w:pPr>
        <w:spacing w:line="240" w:lineRule="auto"/>
      </w:pPr>
      <w:r>
        <w:separator/>
      </w:r>
    </w:p>
  </w:endnote>
  <w:endnote w:type="continuationSeparator" w:id="0">
    <w:p w:rsidR="003325E5" w:rsidRDefault="003325E5" w:rsidP="003B283B">
      <w:pPr>
        <w:spacing w:line="240" w:lineRule="auto"/>
      </w:pPr>
      <w:r>
        <w:continuationSeparator/>
      </w:r>
    </w:p>
  </w:endnote>
  <w:endnote w:type="continuationNotice" w:id="1">
    <w:p w:rsidR="003325E5" w:rsidRDefault="003325E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97D" w:rsidRPr="00A0297D" w:rsidRDefault="00A0297D" w:rsidP="00A029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0BB" w:rsidRPr="00A0297D" w:rsidRDefault="00A0297D" w:rsidP="00A0297D">
    <w:pPr>
      <w:pStyle w:val="Footer"/>
    </w:pPr>
    <w:r>
      <w:t xml:space="preserve">EESC-2016-01263-00-01-TCD-TRA (FR/EN) </w:t>
    </w:r>
    <w:r>
      <w:fldChar w:fldCharType="begin"/>
    </w:r>
    <w:r>
      <w:instrText xml:space="preserve"> PAGE  \* Arabic  \* MERGEFORMAT </w:instrText>
    </w:r>
    <w:r>
      <w:fldChar w:fldCharType="separate"/>
    </w:r>
    <w:r w:rsidR="00674670">
      <w:rPr>
        <w:noProof/>
      </w:rPr>
      <w:t>1</w:t>
    </w:r>
    <w:r>
      <w:fldChar w:fldCharType="end"/>
    </w:r>
    <w:r>
      <w:t>/</w:t>
    </w:r>
    <w:r>
      <w:fldChar w:fldCharType="begin"/>
    </w:r>
    <w:r>
      <w:instrText xml:space="preserve"> = </w:instrText>
    </w:r>
    <w:r w:rsidR="00674670">
      <w:fldChar w:fldCharType="begin"/>
    </w:r>
    <w:r w:rsidR="00674670">
      <w:instrText xml:space="preserve"> NUMPAGES </w:instrText>
    </w:r>
    <w:r w:rsidR="00674670">
      <w:fldChar w:fldCharType="separate"/>
    </w:r>
    <w:r w:rsidR="00674670">
      <w:rPr>
        <w:noProof/>
      </w:rPr>
      <w:instrText>3</w:instrText>
    </w:r>
    <w:r w:rsidR="00674670">
      <w:rPr>
        <w:noProof/>
      </w:rPr>
      <w:fldChar w:fldCharType="end"/>
    </w:r>
    <w:r>
      <w:instrText xml:space="preserve"> </w:instrText>
    </w:r>
    <w:r>
      <w:fldChar w:fldCharType="separate"/>
    </w:r>
    <w:r w:rsidR="00674670">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97D" w:rsidRPr="00A0297D" w:rsidRDefault="00A0297D" w:rsidP="00A0297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0BB" w:rsidRPr="00A0297D" w:rsidRDefault="006140BB" w:rsidP="00A0297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0BB" w:rsidRPr="00A0297D" w:rsidRDefault="00A0297D" w:rsidP="00A0297D">
    <w:pPr>
      <w:pStyle w:val="Footer"/>
    </w:pPr>
    <w:r>
      <w:t xml:space="preserve">EESC-2016-01263-00-01-TCD-TRA (FR/EN) </w:t>
    </w:r>
    <w:r>
      <w:fldChar w:fldCharType="begin"/>
    </w:r>
    <w:r>
      <w:instrText xml:space="preserve"> PAGE  \* Arabic  \* MERGEFORMAT </w:instrText>
    </w:r>
    <w:r>
      <w:fldChar w:fldCharType="separate"/>
    </w:r>
    <w:r>
      <w:rPr>
        <w:noProof/>
      </w:rPr>
      <w:t>1</w:t>
    </w:r>
    <w:r>
      <w:fldChar w:fldCharType="end"/>
    </w:r>
    <w:r>
      <w:t>/</w:t>
    </w:r>
    <w:r>
      <w:fldChar w:fldCharType="begin"/>
    </w:r>
    <w:r>
      <w:instrText xml:space="preserve"> = </w:instrText>
    </w:r>
    <w:r w:rsidR="00674670">
      <w:fldChar w:fldCharType="begin"/>
    </w:r>
    <w:r w:rsidR="00674670">
      <w:instrText xml:space="preserve"> NUMPAGES </w:instrText>
    </w:r>
    <w:r w:rsidR="00674670">
      <w:fldChar w:fldCharType="separate"/>
    </w:r>
    <w:r>
      <w:rPr>
        <w:noProof/>
      </w:rPr>
      <w:instrText>20</w:instrText>
    </w:r>
    <w:r w:rsidR="00674670">
      <w:rPr>
        <w:noProof/>
      </w:rPr>
      <w:fldChar w:fldCharType="end"/>
    </w:r>
    <w:r>
      <w:instrText xml:space="preserve"> </w:instrText>
    </w:r>
    <w:r>
      <w:fldChar w:fldCharType="separate"/>
    </w:r>
    <w:r>
      <w:rPr>
        <w:noProof/>
      </w:rPr>
      <w:t>20</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0BB" w:rsidRPr="00A0297D" w:rsidRDefault="006140BB" w:rsidP="00A0297D">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0BB" w:rsidRPr="00A0297D" w:rsidRDefault="006140BB" w:rsidP="00A0297D">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0BB" w:rsidRPr="00A0297D" w:rsidRDefault="00A0297D" w:rsidP="00A0297D">
    <w:pPr>
      <w:pStyle w:val="Footer"/>
    </w:pPr>
    <w:r>
      <w:t xml:space="preserve">EESC-2016-01263-00-01-TCD-TRA (FR/EN) </w:t>
    </w:r>
    <w:r>
      <w:fldChar w:fldCharType="begin"/>
    </w:r>
    <w:r>
      <w:instrText xml:space="preserve"> PAGE  \* Arabic  \* MERGEFORMAT </w:instrText>
    </w:r>
    <w:r>
      <w:fldChar w:fldCharType="separate"/>
    </w:r>
    <w:r w:rsidR="00674670">
      <w:rPr>
        <w:noProof/>
      </w:rPr>
      <w:t>3</w:t>
    </w:r>
    <w:r>
      <w:fldChar w:fldCharType="end"/>
    </w:r>
    <w:r>
      <w:t>/</w:t>
    </w:r>
    <w:r>
      <w:fldChar w:fldCharType="begin"/>
    </w:r>
    <w:r>
      <w:instrText xml:space="preserve"> = </w:instrText>
    </w:r>
    <w:r w:rsidR="00674670">
      <w:fldChar w:fldCharType="begin"/>
    </w:r>
    <w:r w:rsidR="00674670">
      <w:instrText xml:space="preserve"> </w:instrText>
    </w:r>
    <w:r w:rsidR="00674670">
      <w:instrText xml:space="preserve">NUMPAGES </w:instrText>
    </w:r>
    <w:r w:rsidR="00674670">
      <w:fldChar w:fldCharType="separate"/>
    </w:r>
    <w:r w:rsidR="00674670">
      <w:rPr>
        <w:noProof/>
      </w:rPr>
      <w:instrText>3</w:instrText>
    </w:r>
    <w:r w:rsidR="00674670">
      <w:rPr>
        <w:noProof/>
      </w:rPr>
      <w:fldChar w:fldCharType="end"/>
    </w:r>
    <w:r>
      <w:instrText xml:space="preserve"> </w:instrText>
    </w:r>
    <w:r>
      <w:fldChar w:fldCharType="separate"/>
    </w:r>
    <w:r w:rsidR="00674670">
      <w:rPr>
        <w:noProof/>
      </w:rPr>
      <w:t>3</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0BB" w:rsidRPr="00A0297D" w:rsidRDefault="006140BB" w:rsidP="00A029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5E5" w:rsidRDefault="003325E5" w:rsidP="003B283B">
      <w:pPr>
        <w:spacing w:line="240" w:lineRule="auto"/>
      </w:pPr>
      <w:r>
        <w:separator/>
      </w:r>
    </w:p>
  </w:footnote>
  <w:footnote w:type="continuationSeparator" w:id="0">
    <w:p w:rsidR="003325E5" w:rsidRDefault="003325E5" w:rsidP="003B283B">
      <w:pPr>
        <w:spacing w:line="240" w:lineRule="auto"/>
      </w:pPr>
      <w:r>
        <w:continuationSeparator/>
      </w:r>
    </w:p>
  </w:footnote>
  <w:footnote w:type="continuationNotice" w:id="1">
    <w:p w:rsidR="003325E5" w:rsidRDefault="003325E5">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97D" w:rsidRPr="00A0297D" w:rsidRDefault="00A0297D" w:rsidP="00A029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97D" w:rsidRPr="00A0297D" w:rsidRDefault="00A0297D" w:rsidP="00A029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97D" w:rsidRPr="00A0297D" w:rsidRDefault="00A0297D" w:rsidP="00A0297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0BB" w:rsidRPr="00A0297D" w:rsidRDefault="006140BB" w:rsidP="00A0297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0BB" w:rsidRPr="00A0297D" w:rsidRDefault="006140BB" w:rsidP="00A0297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0BB" w:rsidRPr="00A0297D" w:rsidRDefault="006140BB" w:rsidP="00A0297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0BB" w:rsidRPr="00A0297D" w:rsidRDefault="006140BB" w:rsidP="00A0297D">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0BB" w:rsidRPr="00A0297D" w:rsidRDefault="006140BB" w:rsidP="00A0297D">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0BB" w:rsidRPr="00A0297D" w:rsidRDefault="006140BB" w:rsidP="00A029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FFFFFFFE"/>
    <w:multiLevelType w:val="singleLevel"/>
    <w:tmpl w:val="ACD4CDB0"/>
    <w:lvl w:ilvl="0">
      <w:numFmt w:val="decimal"/>
      <w:lvlText w:val="*"/>
      <w:lvlJc w:val="left"/>
      <w:rPr>
        <w:rFonts w:cs="Times New Roman"/>
      </w:rPr>
    </w:lvl>
  </w:abstractNum>
  <w:abstractNum w:abstractNumId="2">
    <w:nsid w:val="0120606F"/>
    <w:multiLevelType w:val="hybridMultilevel"/>
    <w:tmpl w:val="A7B8F14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03B27D4F"/>
    <w:multiLevelType w:val="singleLevel"/>
    <w:tmpl w:val="B4A6EFD0"/>
    <w:lvl w:ilvl="0">
      <w:start w:val="1"/>
      <w:numFmt w:val="bullet"/>
      <w:lvlText w:val=""/>
      <w:lvlJc w:val="left"/>
      <w:pPr>
        <w:ind w:left="1854" w:hanging="360"/>
      </w:pPr>
      <w:rPr>
        <w:rFonts w:ascii="Symbol" w:hAnsi="Symbol" w:hint="default"/>
      </w:rPr>
    </w:lvl>
  </w:abstractNum>
  <w:abstractNum w:abstractNumId="4">
    <w:nsid w:val="05530337"/>
    <w:multiLevelType w:val="singleLevel"/>
    <w:tmpl w:val="ACD4CDB0"/>
    <w:lvl w:ilvl="0">
      <w:numFmt w:val="decimal"/>
      <w:lvlText w:val="*"/>
      <w:lvlJc w:val="left"/>
      <w:rPr>
        <w:rFonts w:cs="Times New Roman"/>
      </w:rPr>
    </w:lvl>
  </w:abstractNum>
  <w:abstractNum w:abstractNumId="5">
    <w:nsid w:val="064F2AB9"/>
    <w:multiLevelType w:val="hybridMultilevel"/>
    <w:tmpl w:val="51C09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66E4FB1"/>
    <w:multiLevelType w:val="singleLevel"/>
    <w:tmpl w:val="ACD4CDB0"/>
    <w:lvl w:ilvl="0">
      <w:numFmt w:val="decimal"/>
      <w:lvlText w:val="*"/>
      <w:lvlJc w:val="left"/>
      <w:rPr>
        <w:rFonts w:cs="Times New Roman"/>
      </w:rPr>
    </w:lvl>
  </w:abstractNum>
  <w:abstractNum w:abstractNumId="7">
    <w:nsid w:val="067F59FF"/>
    <w:multiLevelType w:val="hybridMultilevel"/>
    <w:tmpl w:val="BB3807D2"/>
    <w:lvl w:ilvl="0" w:tplc="EFA2B9F6">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7700152"/>
    <w:multiLevelType w:val="hybridMultilevel"/>
    <w:tmpl w:val="A4FE34C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1">
      <w:start w:val="1"/>
      <w:numFmt w:val="bullet"/>
      <w:lvlText w:val=""/>
      <w:lvlJc w:val="left"/>
      <w:pPr>
        <w:ind w:left="1070" w:hanging="360"/>
      </w:pPr>
      <w:rPr>
        <w:rFonts w:ascii="Symbol" w:hAnsi="Symbol"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nsid w:val="07F456CF"/>
    <w:multiLevelType w:val="hybridMultilevel"/>
    <w:tmpl w:val="733069D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08112CF7"/>
    <w:multiLevelType w:val="singleLevel"/>
    <w:tmpl w:val="080C0001"/>
    <w:lvl w:ilvl="0">
      <w:start w:val="1"/>
      <w:numFmt w:val="bullet"/>
      <w:lvlText w:val=""/>
      <w:lvlJc w:val="left"/>
      <w:pPr>
        <w:ind w:left="360" w:hanging="360"/>
      </w:pPr>
      <w:rPr>
        <w:rFonts w:ascii="Symbol" w:hAnsi="Symbol" w:hint="default"/>
      </w:rPr>
    </w:lvl>
  </w:abstractNum>
  <w:abstractNum w:abstractNumId="11">
    <w:nsid w:val="09EA1087"/>
    <w:multiLevelType w:val="hybridMultilevel"/>
    <w:tmpl w:val="7668E6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0A4119E1"/>
    <w:multiLevelType w:val="singleLevel"/>
    <w:tmpl w:val="080C0001"/>
    <w:lvl w:ilvl="0">
      <w:start w:val="1"/>
      <w:numFmt w:val="bullet"/>
      <w:lvlText w:val=""/>
      <w:lvlJc w:val="left"/>
      <w:pPr>
        <w:ind w:left="2160" w:hanging="360"/>
      </w:pPr>
      <w:rPr>
        <w:rFonts w:ascii="Symbol" w:hAnsi="Symbol" w:hint="default"/>
      </w:rPr>
    </w:lvl>
  </w:abstractNum>
  <w:abstractNum w:abstractNumId="13">
    <w:nsid w:val="0F4D3C27"/>
    <w:multiLevelType w:val="hybridMultilevel"/>
    <w:tmpl w:val="C5D87444"/>
    <w:lvl w:ilvl="0" w:tplc="08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14C73A27"/>
    <w:multiLevelType w:val="hybridMultilevel"/>
    <w:tmpl w:val="4926BFF6"/>
    <w:lvl w:ilvl="0" w:tplc="3F6C8E8C">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5">
    <w:nsid w:val="15FE7426"/>
    <w:multiLevelType w:val="singleLevel"/>
    <w:tmpl w:val="ACD4CDB0"/>
    <w:lvl w:ilvl="0">
      <w:numFmt w:val="decimal"/>
      <w:lvlText w:val="*"/>
      <w:lvlJc w:val="left"/>
      <w:rPr>
        <w:rFonts w:cs="Times New Roman"/>
      </w:rPr>
    </w:lvl>
  </w:abstractNum>
  <w:abstractNum w:abstractNumId="16">
    <w:nsid w:val="19CA0797"/>
    <w:multiLevelType w:val="hybridMultilevel"/>
    <w:tmpl w:val="C68804E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7">
    <w:nsid w:val="1C3F5AC8"/>
    <w:multiLevelType w:val="hybridMultilevel"/>
    <w:tmpl w:val="E3A02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1F152B3"/>
    <w:multiLevelType w:val="hybridMultilevel"/>
    <w:tmpl w:val="C6041344"/>
    <w:lvl w:ilvl="0" w:tplc="08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23536ADB"/>
    <w:multiLevelType w:val="singleLevel"/>
    <w:tmpl w:val="8682A70E"/>
    <w:lvl w:ilvl="0">
      <w:start w:val="1"/>
      <w:numFmt w:val="decimal"/>
      <w:lvlText w:val="%1."/>
      <w:lvlJc w:val="left"/>
      <w:pPr>
        <w:ind w:left="720" w:hanging="360"/>
      </w:pPr>
      <w:rPr>
        <w:rFonts w:cs="Times New Roman"/>
        <w:b w:val="0"/>
        <w:i w:val="0"/>
        <w:color w:val="000000"/>
        <w:sz w:val="22"/>
        <w:szCs w:val="22"/>
      </w:rPr>
    </w:lvl>
  </w:abstractNum>
  <w:abstractNum w:abstractNumId="20">
    <w:nsid w:val="23C8773F"/>
    <w:multiLevelType w:val="hybridMultilevel"/>
    <w:tmpl w:val="DC961302"/>
    <w:lvl w:ilvl="0" w:tplc="71D442AA">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nsid w:val="24685ED8"/>
    <w:multiLevelType w:val="hybridMultilevel"/>
    <w:tmpl w:val="035C195A"/>
    <w:lvl w:ilvl="0" w:tplc="E23E171C">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25B674A8"/>
    <w:multiLevelType w:val="hybridMultilevel"/>
    <w:tmpl w:val="1FC2AD4E"/>
    <w:lvl w:ilvl="0" w:tplc="9CD2A9D8">
      <w:start w:val="1"/>
      <w:numFmt w:val="bullet"/>
      <w:lvlRestart w:val="0"/>
      <w:lvlText w:val=""/>
      <w:lvlJc w:val="left"/>
      <w:pPr>
        <w:tabs>
          <w:tab w:val="num" w:pos="-720"/>
        </w:tabs>
        <w:ind w:left="-351" w:hanging="369"/>
      </w:pPr>
      <w:rPr>
        <w:rFonts w:ascii="Symbol" w:hAnsi="Symbol" w:hint="default"/>
        <w:b w:val="0"/>
        <w:i w:val="0"/>
        <w:sz w:val="22"/>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3">
    <w:nsid w:val="25E86A03"/>
    <w:multiLevelType w:val="hybridMultilevel"/>
    <w:tmpl w:val="E104D97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nsid w:val="26070458"/>
    <w:multiLevelType w:val="hybridMultilevel"/>
    <w:tmpl w:val="B84CEA10"/>
    <w:lvl w:ilvl="0" w:tplc="4E0EDF6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28F03917"/>
    <w:multiLevelType w:val="hybridMultilevel"/>
    <w:tmpl w:val="EF1229D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6">
    <w:nsid w:val="2C270C1B"/>
    <w:multiLevelType w:val="multilevel"/>
    <w:tmpl w:val="422625AC"/>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nsid w:val="2E831A8B"/>
    <w:multiLevelType w:val="hybridMultilevel"/>
    <w:tmpl w:val="240E8D5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nsid w:val="31E13A41"/>
    <w:multiLevelType w:val="hybridMultilevel"/>
    <w:tmpl w:val="89EC84C6"/>
    <w:lvl w:ilvl="0" w:tplc="080C0001">
      <w:start w:val="1"/>
      <w:numFmt w:val="bullet"/>
      <w:lvlText w:val=""/>
      <w:lvlJc w:val="left"/>
      <w:pPr>
        <w:ind w:left="720" w:hanging="360"/>
      </w:pPr>
      <w:rPr>
        <w:rFonts w:ascii="Symbol" w:hAnsi="Symbol" w:hint="default"/>
      </w:rPr>
    </w:lvl>
    <w:lvl w:ilvl="1" w:tplc="81680B40">
      <w:numFmt w:val="bullet"/>
      <w:lvlText w:val="•"/>
      <w:lvlJc w:val="left"/>
      <w:pPr>
        <w:ind w:left="1785" w:hanging="705"/>
      </w:pPr>
      <w:rPr>
        <w:rFonts w:ascii="Times New Roman" w:eastAsia="Times New Roman" w:hAnsi="Times New Roman"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nsid w:val="32261202"/>
    <w:multiLevelType w:val="hybridMultilevel"/>
    <w:tmpl w:val="1A1C266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nsid w:val="3551245E"/>
    <w:multiLevelType w:val="hybridMultilevel"/>
    <w:tmpl w:val="BE10FA32"/>
    <w:lvl w:ilvl="0" w:tplc="0FE0808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nsid w:val="35610068"/>
    <w:multiLevelType w:val="hybridMultilevel"/>
    <w:tmpl w:val="11A2AF5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nsid w:val="35CB63A9"/>
    <w:multiLevelType w:val="hybridMultilevel"/>
    <w:tmpl w:val="2098A99E"/>
    <w:lvl w:ilvl="0" w:tplc="080C0001">
      <w:start w:val="1"/>
      <w:numFmt w:val="bullet"/>
      <w:lvlText w:val=""/>
      <w:lvlJc w:val="left"/>
      <w:pPr>
        <w:ind w:left="1146" w:hanging="360"/>
      </w:pPr>
      <w:rPr>
        <w:rFonts w:ascii="Symbol" w:hAnsi="Symbol" w:hint="default"/>
      </w:rPr>
    </w:lvl>
    <w:lvl w:ilvl="1" w:tplc="080C0003" w:tentative="1">
      <w:start w:val="1"/>
      <w:numFmt w:val="bullet"/>
      <w:lvlText w:val="o"/>
      <w:lvlJc w:val="left"/>
      <w:pPr>
        <w:ind w:left="1866" w:hanging="360"/>
      </w:pPr>
      <w:rPr>
        <w:rFonts w:ascii="Courier New" w:hAnsi="Courier New" w:cs="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cs="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cs="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33">
    <w:nsid w:val="370C0B81"/>
    <w:multiLevelType w:val="hybridMultilevel"/>
    <w:tmpl w:val="5F54960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4">
    <w:nsid w:val="3A20261C"/>
    <w:multiLevelType w:val="singleLevel"/>
    <w:tmpl w:val="206AC7F8"/>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35">
    <w:nsid w:val="3F64163A"/>
    <w:multiLevelType w:val="singleLevel"/>
    <w:tmpl w:val="080C0001"/>
    <w:lvl w:ilvl="0">
      <w:start w:val="1"/>
      <w:numFmt w:val="bullet"/>
      <w:lvlText w:val=""/>
      <w:lvlJc w:val="left"/>
      <w:pPr>
        <w:ind w:left="360" w:hanging="360"/>
      </w:pPr>
      <w:rPr>
        <w:rFonts w:ascii="Symbol" w:hAnsi="Symbol" w:hint="default"/>
      </w:rPr>
    </w:lvl>
  </w:abstractNum>
  <w:abstractNum w:abstractNumId="36">
    <w:nsid w:val="40B2240E"/>
    <w:multiLevelType w:val="hybridMultilevel"/>
    <w:tmpl w:val="91D6286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nsid w:val="41687E17"/>
    <w:multiLevelType w:val="hybridMultilevel"/>
    <w:tmpl w:val="5A40D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1C306BC"/>
    <w:multiLevelType w:val="singleLevel"/>
    <w:tmpl w:val="7736C412"/>
    <w:lvl w:ilvl="0">
      <w:start w:val="1"/>
      <w:numFmt w:val="bullet"/>
      <w:lvlText w:val=""/>
      <w:lvlJc w:val="left"/>
      <w:pPr>
        <w:ind w:left="2160" w:hanging="360"/>
      </w:pPr>
      <w:rPr>
        <w:rFonts w:ascii="Symbol" w:hAnsi="Symbol" w:hint="default"/>
      </w:rPr>
    </w:lvl>
  </w:abstractNum>
  <w:abstractNum w:abstractNumId="39">
    <w:nsid w:val="43B70927"/>
    <w:multiLevelType w:val="hybridMultilevel"/>
    <w:tmpl w:val="92483B4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nsid w:val="45E77BC0"/>
    <w:multiLevelType w:val="singleLevel"/>
    <w:tmpl w:val="080C0001"/>
    <w:lvl w:ilvl="0">
      <w:start w:val="1"/>
      <w:numFmt w:val="bullet"/>
      <w:lvlText w:val=""/>
      <w:lvlJc w:val="left"/>
      <w:pPr>
        <w:ind w:left="720" w:hanging="360"/>
      </w:pPr>
      <w:rPr>
        <w:rFonts w:ascii="Symbol" w:hAnsi="Symbol" w:hint="default"/>
      </w:rPr>
    </w:lvl>
  </w:abstractNum>
  <w:abstractNum w:abstractNumId="41">
    <w:nsid w:val="4A2C39C9"/>
    <w:multiLevelType w:val="singleLevel"/>
    <w:tmpl w:val="206AC7F8"/>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42">
    <w:nsid w:val="4A765DAB"/>
    <w:multiLevelType w:val="hybridMultilevel"/>
    <w:tmpl w:val="E4703C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4D0E58B8"/>
    <w:multiLevelType w:val="hybridMultilevel"/>
    <w:tmpl w:val="A2B4548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4">
    <w:nsid w:val="4D4B68E9"/>
    <w:multiLevelType w:val="hybridMultilevel"/>
    <w:tmpl w:val="E3A85E1E"/>
    <w:lvl w:ilvl="0" w:tplc="AF444C04">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45">
    <w:nsid w:val="53B8141E"/>
    <w:multiLevelType w:val="singleLevel"/>
    <w:tmpl w:val="ACD4CDB0"/>
    <w:lvl w:ilvl="0">
      <w:numFmt w:val="decimal"/>
      <w:lvlText w:val="*"/>
      <w:lvlJc w:val="left"/>
      <w:rPr>
        <w:rFonts w:cs="Times New Roman"/>
      </w:rPr>
    </w:lvl>
  </w:abstractNum>
  <w:abstractNum w:abstractNumId="46">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47">
    <w:nsid w:val="55782E57"/>
    <w:multiLevelType w:val="hybridMultilevel"/>
    <w:tmpl w:val="0ABAD8A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8">
    <w:nsid w:val="55AF550E"/>
    <w:multiLevelType w:val="hybridMultilevel"/>
    <w:tmpl w:val="7736C412"/>
    <w:lvl w:ilvl="0" w:tplc="08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49">
    <w:nsid w:val="560535E3"/>
    <w:multiLevelType w:val="hybridMultilevel"/>
    <w:tmpl w:val="6A5A868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50">
    <w:nsid w:val="58922532"/>
    <w:multiLevelType w:val="singleLevel"/>
    <w:tmpl w:val="206AC7F8"/>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51">
    <w:nsid w:val="59473BCB"/>
    <w:multiLevelType w:val="hybridMultilevel"/>
    <w:tmpl w:val="4F28400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2">
    <w:nsid w:val="5CDB7E8B"/>
    <w:multiLevelType w:val="singleLevel"/>
    <w:tmpl w:val="206AC7F8"/>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53">
    <w:nsid w:val="5D0E2DA1"/>
    <w:multiLevelType w:val="singleLevel"/>
    <w:tmpl w:val="040C0001"/>
    <w:lvl w:ilvl="0">
      <w:start w:val="1"/>
      <w:numFmt w:val="bullet"/>
      <w:lvlText w:val=""/>
      <w:lvlJc w:val="left"/>
      <w:pPr>
        <w:ind w:left="720" w:hanging="360"/>
      </w:pPr>
      <w:rPr>
        <w:rFonts w:ascii="Symbol" w:hAnsi="Symbol" w:hint="default"/>
      </w:rPr>
    </w:lvl>
  </w:abstractNum>
  <w:abstractNum w:abstractNumId="54">
    <w:nsid w:val="5EA643CA"/>
    <w:multiLevelType w:val="hybridMultilevel"/>
    <w:tmpl w:val="E1C85F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nsid w:val="5ED429B0"/>
    <w:multiLevelType w:val="hybridMultilevel"/>
    <w:tmpl w:val="E2FA419A"/>
    <w:lvl w:ilvl="0" w:tplc="08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nsid w:val="5F1E3DBF"/>
    <w:multiLevelType w:val="hybridMultilevel"/>
    <w:tmpl w:val="0CF6A8F2"/>
    <w:lvl w:ilvl="0" w:tplc="0FE0808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7">
    <w:nsid w:val="60724ED4"/>
    <w:multiLevelType w:val="singleLevel"/>
    <w:tmpl w:val="080C0001"/>
    <w:lvl w:ilvl="0">
      <w:start w:val="1"/>
      <w:numFmt w:val="bullet"/>
      <w:lvlText w:val=""/>
      <w:lvlJc w:val="left"/>
      <w:pPr>
        <w:ind w:left="360" w:hanging="360"/>
      </w:pPr>
      <w:rPr>
        <w:rFonts w:ascii="Symbol" w:hAnsi="Symbol" w:hint="default"/>
      </w:rPr>
    </w:lvl>
  </w:abstractNum>
  <w:abstractNum w:abstractNumId="58">
    <w:nsid w:val="60BA7C7D"/>
    <w:multiLevelType w:val="singleLevel"/>
    <w:tmpl w:val="ACD4CDB0"/>
    <w:lvl w:ilvl="0">
      <w:numFmt w:val="decimal"/>
      <w:lvlText w:val="*"/>
      <w:lvlJc w:val="left"/>
      <w:rPr>
        <w:rFonts w:cs="Times New Roman"/>
      </w:rPr>
    </w:lvl>
  </w:abstractNum>
  <w:abstractNum w:abstractNumId="59">
    <w:nsid w:val="61C636FF"/>
    <w:multiLevelType w:val="hybridMultilevel"/>
    <w:tmpl w:val="2C88EA10"/>
    <w:lvl w:ilvl="0" w:tplc="AF444C04">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60">
    <w:nsid w:val="62837A54"/>
    <w:multiLevelType w:val="singleLevel"/>
    <w:tmpl w:val="ACD4CDB0"/>
    <w:lvl w:ilvl="0">
      <w:numFmt w:val="decimal"/>
      <w:lvlText w:val="*"/>
      <w:lvlJc w:val="left"/>
      <w:rPr>
        <w:rFonts w:cs="Times New Roman"/>
      </w:rPr>
    </w:lvl>
  </w:abstractNum>
  <w:abstractNum w:abstractNumId="61">
    <w:nsid w:val="62BA4D0D"/>
    <w:multiLevelType w:val="hybridMultilevel"/>
    <w:tmpl w:val="8530273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2">
    <w:nsid w:val="62C97925"/>
    <w:multiLevelType w:val="hybridMultilevel"/>
    <w:tmpl w:val="993E6A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nsid w:val="65510F4C"/>
    <w:multiLevelType w:val="hybridMultilevel"/>
    <w:tmpl w:val="2912029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4">
    <w:nsid w:val="66DE22C0"/>
    <w:multiLevelType w:val="hybridMultilevel"/>
    <w:tmpl w:val="A2BEC11E"/>
    <w:lvl w:ilvl="0" w:tplc="7CF65AA8">
      <w:start w:val="1"/>
      <w:numFmt w:val="bullet"/>
      <w:lvlRestart w:val="0"/>
      <w:lvlText w:val=""/>
      <w:lvlJc w:val="left"/>
      <w:pPr>
        <w:tabs>
          <w:tab w:val="num" w:pos="720"/>
        </w:tabs>
        <w:ind w:left="1089" w:hanging="369"/>
      </w:pPr>
      <w:rPr>
        <w:rFonts w:ascii="Symbol" w:hAnsi="Symbol" w:hint="default"/>
        <w:b w:val="0"/>
        <w:i w:val="0"/>
        <w:sz w:val="22"/>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65">
    <w:nsid w:val="66E77204"/>
    <w:multiLevelType w:val="hybridMultilevel"/>
    <w:tmpl w:val="BC48A4F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6">
    <w:nsid w:val="68956A17"/>
    <w:multiLevelType w:val="hybridMultilevel"/>
    <w:tmpl w:val="A4C224F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7">
    <w:nsid w:val="68C81F6F"/>
    <w:multiLevelType w:val="singleLevel"/>
    <w:tmpl w:val="B4A6EFD0"/>
    <w:lvl w:ilvl="0">
      <w:start w:val="1"/>
      <w:numFmt w:val="bullet"/>
      <w:lvlText w:val=""/>
      <w:lvlJc w:val="left"/>
      <w:pPr>
        <w:ind w:left="1854" w:hanging="360"/>
      </w:pPr>
      <w:rPr>
        <w:rFonts w:ascii="Symbol" w:hAnsi="Symbol" w:hint="default"/>
      </w:rPr>
    </w:lvl>
  </w:abstractNum>
  <w:abstractNum w:abstractNumId="68">
    <w:nsid w:val="6B5327B5"/>
    <w:multiLevelType w:val="singleLevel"/>
    <w:tmpl w:val="ACD4CDB0"/>
    <w:lvl w:ilvl="0">
      <w:numFmt w:val="decimal"/>
      <w:lvlText w:val="*"/>
      <w:lvlJc w:val="left"/>
      <w:rPr>
        <w:rFonts w:cs="Times New Roman"/>
      </w:rPr>
    </w:lvl>
  </w:abstractNum>
  <w:abstractNum w:abstractNumId="69">
    <w:nsid w:val="6CBF2547"/>
    <w:multiLevelType w:val="hybridMultilevel"/>
    <w:tmpl w:val="D520B30E"/>
    <w:lvl w:ilvl="0" w:tplc="080C000B">
      <w:start w:val="1"/>
      <w:numFmt w:val="bullet"/>
      <w:lvlText w:val=""/>
      <w:lvlJc w:val="left"/>
      <w:pPr>
        <w:ind w:left="609" w:hanging="360"/>
      </w:pPr>
      <w:rPr>
        <w:rFonts w:ascii="Wingdings" w:hAnsi="Wingdings"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70">
    <w:nsid w:val="6F9C78BB"/>
    <w:multiLevelType w:val="hybridMultilevel"/>
    <w:tmpl w:val="C896C6BA"/>
    <w:lvl w:ilvl="0" w:tplc="BA2A88F0">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nsid w:val="6FFC586E"/>
    <w:multiLevelType w:val="hybridMultilevel"/>
    <w:tmpl w:val="61009876"/>
    <w:lvl w:ilvl="0" w:tplc="AF444C04">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72">
    <w:nsid w:val="711C7CDB"/>
    <w:multiLevelType w:val="hybridMultilevel"/>
    <w:tmpl w:val="3FB805E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3">
    <w:nsid w:val="73084D8E"/>
    <w:multiLevelType w:val="hybridMultilevel"/>
    <w:tmpl w:val="A3B83B2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4">
    <w:nsid w:val="73D8737B"/>
    <w:multiLevelType w:val="hybridMultilevel"/>
    <w:tmpl w:val="11BEE5E2"/>
    <w:lvl w:ilvl="0" w:tplc="080C0001">
      <w:start w:val="1"/>
      <w:numFmt w:val="bullet"/>
      <w:lvlText w:val=""/>
      <w:lvlJc w:val="left"/>
      <w:pPr>
        <w:ind w:left="1146" w:hanging="360"/>
      </w:pPr>
      <w:rPr>
        <w:rFonts w:ascii="Symbol" w:hAnsi="Symbol" w:hint="default"/>
      </w:rPr>
    </w:lvl>
    <w:lvl w:ilvl="1" w:tplc="080C0003" w:tentative="1">
      <w:start w:val="1"/>
      <w:numFmt w:val="bullet"/>
      <w:lvlText w:val="o"/>
      <w:lvlJc w:val="left"/>
      <w:pPr>
        <w:ind w:left="1866" w:hanging="360"/>
      </w:pPr>
      <w:rPr>
        <w:rFonts w:ascii="Courier New" w:hAnsi="Courier New" w:cs="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cs="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cs="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75">
    <w:nsid w:val="7D0B6843"/>
    <w:multiLevelType w:val="hybridMultilevel"/>
    <w:tmpl w:val="65946672"/>
    <w:lvl w:ilvl="0" w:tplc="3F6C8E8C">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76">
    <w:nsid w:val="7D5E51CC"/>
    <w:multiLevelType w:val="singleLevel"/>
    <w:tmpl w:val="206AC7F8"/>
    <w:lvl w:ilvl="0">
      <w:start w:val="1"/>
      <w:numFmt w:val="bullet"/>
      <w:lvlRestart w:val="0"/>
      <w:lvlText w:val="-"/>
      <w:lvlJc w:val="left"/>
      <w:pPr>
        <w:tabs>
          <w:tab w:val="num" w:pos="0"/>
        </w:tabs>
        <w:ind w:left="369" w:hanging="369"/>
      </w:pPr>
      <w:rPr>
        <w:rFonts w:ascii="Symbol" w:hAnsi="Symbol" w:hint="default"/>
        <w:b w:val="0"/>
        <w:i w:val="0"/>
        <w:sz w:val="22"/>
      </w:rPr>
    </w:lvl>
  </w:abstractNum>
  <w:num w:numId="1">
    <w:abstractNumId w:val="0"/>
  </w:num>
  <w:num w:numId="2">
    <w:abstractNumId w:val="19"/>
  </w:num>
  <w:num w:numId="3">
    <w:abstractNumId w:val="7"/>
  </w:num>
  <w:num w:numId="4">
    <w:abstractNumId w:val="21"/>
  </w:num>
  <w:num w:numId="5">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6">
    <w:abstractNumId w:val="28"/>
  </w:num>
  <w:num w:numId="7">
    <w:abstractNumId w:val="35"/>
  </w:num>
  <w:num w:numId="8">
    <w:abstractNumId w:val="6"/>
  </w:num>
  <w:num w:numId="9">
    <w:abstractNumId w:val="72"/>
  </w:num>
  <w:num w:numId="10">
    <w:abstractNumId w:val="14"/>
  </w:num>
  <w:num w:numId="11">
    <w:abstractNumId w:val="43"/>
  </w:num>
  <w:num w:numId="12">
    <w:abstractNumId w:val="75"/>
  </w:num>
  <w:num w:numId="13">
    <w:abstractNumId w:val="15"/>
  </w:num>
  <w:num w:numId="14">
    <w:abstractNumId w:val="68"/>
  </w:num>
  <w:num w:numId="15">
    <w:abstractNumId w:val="58"/>
  </w:num>
  <w:num w:numId="16">
    <w:abstractNumId w:val="4"/>
  </w:num>
  <w:num w:numId="17">
    <w:abstractNumId w:val="45"/>
  </w:num>
  <w:num w:numId="18">
    <w:abstractNumId w:val="57"/>
  </w:num>
  <w:num w:numId="19">
    <w:abstractNumId w:val="44"/>
  </w:num>
  <w:num w:numId="20">
    <w:abstractNumId w:val="71"/>
  </w:num>
  <w:num w:numId="21">
    <w:abstractNumId w:val="46"/>
  </w:num>
  <w:num w:numId="22">
    <w:abstractNumId w:val="42"/>
  </w:num>
  <w:num w:numId="23">
    <w:abstractNumId w:val="22"/>
  </w:num>
  <w:num w:numId="24">
    <w:abstractNumId w:val="70"/>
  </w:num>
  <w:num w:numId="25">
    <w:abstractNumId w:val="33"/>
  </w:num>
  <w:num w:numId="26">
    <w:abstractNumId w:val="30"/>
  </w:num>
  <w:num w:numId="27">
    <w:abstractNumId w:val="56"/>
  </w:num>
  <w:num w:numId="28">
    <w:abstractNumId w:val="50"/>
  </w:num>
  <w:num w:numId="29">
    <w:abstractNumId w:val="34"/>
  </w:num>
  <w:num w:numId="30">
    <w:abstractNumId w:val="76"/>
  </w:num>
  <w:num w:numId="31">
    <w:abstractNumId w:val="52"/>
  </w:num>
  <w:num w:numId="32">
    <w:abstractNumId w:val="41"/>
  </w:num>
  <w:num w:numId="33">
    <w:abstractNumId w:val="55"/>
  </w:num>
  <w:num w:numId="34">
    <w:abstractNumId w:val="13"/>
  </w:num>
  <w:num w:numId="35">
    <w:abstractNumId w:val="59"/>
  </w:num>
  <w:num w:numId="36">
    <w:abstractNumId w:val="29"/>
  </w:num>
  <w:num w:numId="37">
    <w:abstractNumId w:val="18"/>
  </w:num>
  <w:num w:numId="38">
    <w:abstractNumId w:val="24"/>
  </w:num>
  <w:num w:numId="39">
    <w:abstractNumId w:val="53"/>
  </w:num>
  <w:num w:numId="40">
    <w:abstractNumId w:val="61"/>
  </w:num>
  <w:num w:numId="41">
    <w:abstractNumId w:val="62"/>
  </w:num>
  <w:num w:numId="42">
    <w:abstractNumId w:val="12"/>
  </w:num>
  <w:num w:numId="43">
    <w:abstractNumId w:val="37"/>
  </w:num>
  <w:num w:numId="44">
    <w:abstractNumId w:val="48"/>
  </w:num>
  <w:num w:numId="45">
    <w:abstractNumId w:val="1"/>
    <w:lvlOverride w:ilvl="0">
      <w:lvl w:ilvl="0">
        <w:numFmt w:val="bullet"/>
        <w:lvlText w:val=""/>
        <w:legacy w:legacy="1" w:legacySpace="0" w:legacyIndent="283"/>
        <w:lvlJc w:val="left"/>
        <w:pPr>
          <w:ind w:left="503" w:hanging="283"/>
        </w:pPr>
        <w:rPr>
          <w:rFonts w:ascii="Symbol" w:hAnsi="Symbol" w:hint="default"/>
        </w:rPr>
      </w:lvl>
    </w:lvlOverride>
  </w:num>
  <w:num w:numId="46">
    <w:abstractNumId w:val="10"/>
  </w:num>
  <w:num w:numId="47">
    <w:abstractNumId w:val="40"/>
  </w:num>
  <w:num w:numId="48">
    <w:abstractNumId w:val="7"/>
  </w:num>
  <w:num w:numId="49">
    <w:abstractNumId w:val="3"/>
  </w:num>
  <w:num w:numId="50">
    <w:abstractNumId w:val="67"/>
  </w:num>
  <w:num w:numId="51">
    <w:abstractNumId w:val="17"/>
  </w:num>
  <w:num w:numId="52">
    <w:abstractNumId w:val="1"/>
    <w:lvlOverride w:ilvl="0">
      <w:lvl w:ilvl="0">
        <w:start w:val="1"/>
        <w:numFmt w:val="bullet"/>
        <w:lvlText w:val=""/>
        <w:lvlJc w:val="left"/>
        <w:pPr>
          <w:ind w:left="720" w:hanging="360"/>
        </w:pPr>
        <w:rPr>
          <w:rFonts w:ascii="Symbol" w:hAnsi="Symbol" w:hint="default"/>
        </w:rPr>
      </w:lvl>
    </w:lvlOverride>
  </w:num>
  <w:num w:numId="53">
    <w:abstractNumId w:val="47"/>
  </w:num>
  <w:num w:numId="54">
    <w:abstractNumId w:val="5"/>
  </w:num>
  <w:num w:numId="55">
    <w:abstractNumId w:val="38"/>
  </w:num>
  <w:num w:numId="56">
    <w:abstractNumId w:val="49"/>
  </w:num>
  <w:num w:numId="57">
    <w:abstractNumId w:val="57"/>
  </w:num>
  <w:num w:numId="58">
    <w:abstractNumId w:val="11"/>
  </w:num>
  <w:num w:numId="59">
    <w:abstractNumId w:val="25"/>
  </w:num>
  <w:num w:numId="60">
    <w:abstractNumId w:val="16"/>
  </w:num>
  <w:num w:numId="61">
    <w:abstractNumId w:val="69"/>
  </w:num>
  <w:num w:numId="62">
    <w:abstractNumId w:val="27"/>
  </w:num>
  <w:num w:numId="63">
    <w:abstractNumId w:val="51"/>
  </w:num>
  <w:num w:numId="64">
    <w:abstractNumId w:val="64"/>
  </w:num>
  <w:num w:numId="65">
    <w:abstractNumId w:val="9"/>
  </w:num>
  <w:num w:numId="66">
    <w:abstractNumId w:val="54"/>
  </w:num>
  <w:num w:numId="67">
    <w:abstractNumId w:val="57"/>
  </w:num>
  <w:num w:numId="68">
    <w:abstractNumId w:val="20"/>
  </w:num>
  <w:num w:numId="69">
    <w:abstractNumId w:val="57"/>
  </w:num>
  <w:num w:numId="70">
    <w:abstractNumId w:val="39"/>
  </w:num>
  <w:num w:numId="71">
    <w:abstractNumId w:val="65"/>
  </w:num>
  <w:num w:numId="72">
    <w:abstractNumId w:val="2"/>
  </w:num>
  <w:num w:numId="73">
    <w:abstractNumId w:val="66"/>
  </w:num>
  <w:num w:numId="74">
    <w:abstractNumId w:val="31"/>
  </w:num>
  <w:num w:numId="75">
    <w:abstractNumId w:val="63"/>
  </w:num>
  <w:num w:numId="76">
    <w:abstractNumId w:val="73"/>
  </w:num>
  <w:num w:numId="77">
    <w:abstractNumId w:val="23"/>
  </w:num>
  <w:num w:numId="78">
    <w:abstractNumId w:val="32"/>
  </w:num>
  <w:num w:numId="79">
    <w:abstractNumId w:val="36"/>
  </w:num>
  <w:num w:numId="80">
    <w:abstractNumId w:val="74"/>
  </w:num>
  <w:num w:numId="81">
    <w:abstractNumId w:val="60"/>
  </w:num>
  <w:num w:numId="82">
    <w:abstractNumId w:val="26"/>
  </w:num>
  <w:num w:numId="83">
    <w:abstractNumId w:val="8"/>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SpellingErrors/>
  <w:hideGrammaticalErrors/>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STYLES"/>
  </w:docVars>
  <w:rsids>
    <w:rsidRoot w:val="003B283B"/>
    <w:rsid w:val="00000CE8"/>
    <w:rsid w:val="000017DC"/>
    <w:rsid w:val="00002E4F"/>
    <w:rsid w:val="00004D0F"/>
    <w:rsid w:val="000115A9"/>
    <w:rsid w:val="000138A1"/>
    <w:rsid w:val="0001686B"/>
    <w:rsid w:val="00017703"/>
    <w:rsid w:val="00020A28"/>
    <w:rsid w:val="000215A9"/>
    <w:rsid w:val="000244F9"/>
    <w:rsid w:val="00030B04"/>
    <w:rsid w:val="000316FF"/>
    <w:rsid w:val="000338E8"/>
    <w:rsid w:val="00033DA8"/>
    <w:rsid w:val="000349EE"/>
    <w:rsid w:val="00034A75"/>
    <w:rsid w:val="00035EF4"/>
    <w:rsid w:val="000378CC"/>
    <w:rsid w:val="00041EB7"/>
    <w:rsid w:val="00051C81"/>
    <w:rsid w:val="0005250A"/>
    <w:rsid w:val="00053D8B"/>
    <w:rsid w:val="00054E26"/>
    <w:rsid w:val="000562AF"/>
    <w:rsid w:val="00071E53"/>
    <w:rsid w:val="00073A46"/>
    <w:rsid w:val="000814F6"/>
    <w:rsid w:val="00081813"/>
    <w:rsid w:val="000818D4"/>
    <w:rsid w:val="00086D04"/>
    <w:rsid w:val="00087AE9"/>
    <w:rsid w:val="00094645"/>
    <w:rsid w:val="000967CA"/>
    <w:rsid w:val="00096999"/>
    <w:rsid w:val="000A62E2"/>
    <w:rsid w:val="000B67E4"/>
    <w:rsid w:val="000C2679"/>
    <w:rsid w:val="000C3DF6"/>
    <w:rsid w:val="000D28F0"/>
    <w:rsid w:val="000D50A8"/>
    <w:rsid w:val="000D7F5A"/>
    <w:rsid w:val="000E4C16"/>
    <w:rsid w:val="000F16CE"/>
    <w:rsid w:val="000F42C4"/>
    <w:rsid w:val="000F77C3"/>
    <w:rsid w:val="0010339F"/>
    <w:rsid w:val="0010391E"/>
    <w:rsid w:val="00103CC0"/>
    <w:rsid w:val="00104975"/>
    <w:rsid w:val="00110344"/>
    <w:rsid w:val="001138B0"/>
    <w:rsid w:val="001158DF"/>
    <w:rsid w:val="00116CFB"/>
    <w:rsid w:val="00127660"/>
    <w:rsid w:val="0013146D"/>
    <w:rsid w:val="00136F53"/>
    <w:rsid w:val="00136FA8"/>
    <w:rsid w:val="00142A4E"/>
    <w:rsid w:val="00146F91"/>
    <w:rsid w:val="00160DCC"/>
    <w:rsid w:val="001657F4"/>
    <w:rsid w:val="001737B7"/>
    <w:rsid w:val="001764F7"/>
    <w:rsid w:val="001768E2"/>
    <w:rsid w:val="0018061D"/>
    <w:rsid w:val="00182D03"/>
    <w:rsid w:val="00184C46"/>
    <w:rsid w:val="00186D96"/>
    <w:rsid w:val="00191C0B"/>
    <w:rsid w:val="00194447"/>
    <w:rsid w:val="0019516A"/>
    <w:rsid w:val="00195479"/>
    <w:rsid w:val="001A1064"/>
    <w:rsid w:val="001B0D26"/>
    <w:rsid w:val="001B18C2"/>
    <w:rsid w:val="001B232C"/>
    <w:rsid w:val="001B4CC9"/>
    <w:rsid w:val="001C0535"/>
    <w:rsid w:val="001C05B2"/>
    <w:rsid w:val="001C393F"/>
    <w:rsid w:val="001C6C93"/>
    <w:rsid w:val="001D52CB"/>
    <w:rsid w:val="001D6C48"/>
    <w:rsid w:val="001E2338"/>
    <w:rsid w:val="001E3D1B"/>
    <w:rsid w:val="001E76FC"/>
    <w:rsid w:val="001F0BC4"/>
    <w:rsid w:val="001F4D66"/>
    <w:rsid w:val="00200F03"/>
    <w:rsid w:val="00204864"/>
    <w:rsid w:val="002052D8"/>
    <w:rsid w:val="00205EFC"/>
    <w:rsid w:val="00211FAE"/>
    <w:rsid w:val="00212787"/>
    <w:rsid w:val="00214451"/>
    <w:rsid w:val="00221123"/>
    <w:rsid w:val="00226823"/>
    <w:rsid w:val="0023002B"/>
    <w:rsid w:val="00242408"/>
    <w:rsid w:val="00242890"/>
    <w:rsid w:val="00243514"/>
    <w:rsid w:val="002469F7"/>
    <w:rsid w:val="002563ED"/>
    <w:rsid w:val="0026049D"/>
    <w:rsid w:val="00263B55"/>
    <w:rsid w:val="002653BB"/>
    <w:rsid w:val="00267AB2"/>
    <w:rsid w:val="0027137C"/>
    <w:rsid w:val="00281365"/>
    <w:rsid w:val="002903CB"/>
    <w:rsid w:val="00291252"/>
    <w:rsid w:val="002915A8"/>
    <w:rsid w:val="00291981"/>
    <w:rsid w:val="00291F64"/>
    <w:rsid w:val="002A0707"/>
    <w:rsid w:val="002A17C4"/>
    <w:rsid w:val="002A349B"/>
    <w:rsid w:val="002A3665"/>
    <w:rsid w:val="002A4A76"/>
    <w:rsid w:val="002A5F58"/>
    <w:rsid w:val="002B4372"/>
    <w:rsid w:val="002C1999"/>
    <w:rsid w:val="002C3DCC"/>
    <w:rsid w:val="002D0F32"/>
    <w:rsid w:val="002D41B7"/>
    <w:rsid w:val="002D750B"/>
    <w:rsid w:val="003002D3"/>
    <w:rsid w:val="003079A2"/>
    <w:rsid w:val="00307A61"/>
    <w:rsid w:val="003111F0"/>
    <w:rsid w:val="00314E67"/>
    <w:rsid w:val="003160F4"/>
    <w:rsid w:val="00322BCE"/>
    <w:rsid w:val="00326F48"/>
    <w:rsid w:val="003325E5"/>
    <w:rsid w:val="00342715"/>
    <w:rsid w:val="00361CF3"/>
    <w:rsid w:val="00362B7F"/>
    <w:rsid w:val="00372D96"/>
    <w:rsid w:val="00380A9A"/>
    <w:rsid w:val="00387CFB"/>
    <w:rsid w:val="003939EE"/>
    <w:rsid w:val="00394196"/>
    <w:rsid w:val="003945E2"/>
    <w:rsid w:val="0039485C"/>
    <w:rsid w:val="00397835"/>
    <w:rsid w:val="00397C0A"/>
    <w:rsid w:val="003A63B9"/>
    <w:rsid w:val="003A7683"/>
    <w:rsid w:val="003B20F1"/>
    <w:rsid w:val="003B283B"/>
    <w:rsid w:val="003B2BA2"/>
    <w:rsid w:val="003B38AA"/>
    <w:rsid w:val="003B5456"/>
    <w:rsid w:val="003C4AF5"/>
    <w:rsid w:val="003C4EF8"/>
    <w:rsid w:val="003D05FE"/>
    <w:rsid w:val="003D35EF"/>
    <w:rsid w:val="003D3D9E"/>
    <w:rsid w:val="003D7FAF"/>
    <w:rsid w:val="003E0B8C"/>
    <w:rsid w:val="003E387D"/>
    <w:rsid w:val="003E6010"/>
    <w:rsid w:val="003E693F"/>
    <w:rsid w:val="003F1D4E"/>
    <w:rsid w:val="003F2CD5"/>
    <w:rsid w:val="003F2F97"/>
    <w:rsid w:val="003F4FF6"/>
    <w:rsid w:val="003F59AD"/>
    <w:rsid w:val="003F65E2"/>
    <w:rsid w:val="00411755"/>
    <w:rsid w:val="00414A4C"/>
    <w:rsid w:val="004221CC"/>
    <w:rsid w:val="00425526"/>
    <w:rsid w:val="00426306"/>
    <w:rsid w:val="00427C97"/>
    <w:rsid w:val="00434AB9"/>
    <w:rsid w:val="00434C77"/>
    <w:rsid w:val="00440808"/>
    <w:rsid w:val="00444C4C"/>
    <w:rsid w:val="00444D44"/>
    <w:rsid w:val="004452E3"/>
    <w:rsid w:val="00461E3E"/>
    <w:rsid w:val="00464C86"/>
    <w:rsid w:val="00470409"/>
    <w:rsid w:val="0047417A"/>
    <w:rsid w:val="00477C1C"/>
    <w:rsid w:val="0048090F"/>
    <w:rsid w:val="00480C50"/>
    <w:rsid w:val="00486144"/>
    <w:rsid w:val="004929C8"/>
    <w:rsid w:val="00492EDB"/>
    <w:rsid w:val="00496EBA"/>
    <w:rsid w:val="004A7356"/>
    <w:rsid w:val="004A737C"/>
    <w:rsid w:val="004A7AEE"/>
    <w:rsid w:val="004B7790"/>
    <w:rsid w:val="004C0FE5"/>
    <w:rsid w:val="004C4138"/>
    <w:rsid w:val="004C4D7B"/>
    <w:rsid w:val="004C6E55"/>
    <w:rsid w:val="004D1F3E"/>
    <w:rsid w:val="004E0268"/>
    <w:rsid w:val="004E16EC"/>
    <w:rsid w:val="004E21A8"/>
    <w:rsid w:val="004E2B3E"/>
    <w:rsid w:val="004E3528"/>
    <w:rsid w:val="004E3A5B"/>
    <w:rsid w:val="004E46A8"/>
    <w:rsid w:val="004F6922"/>
    <w:rsid w:val="004F7A13"/>
    <w:rsid w:val="005021B6"/>
    <w:rsid w:val="005024F6"/>
    <w:rsid w:val="00504096"/>
    <w:rsid w:val="00504A01"/>
    <w:rsid w:val="00505516"/>
    <w:rsid w:val="00507B8C"/>
    <w:rsid w:val="0051243D"/>
    <w:rsid w:val="00515BC0"/>
    <w:rsid w:val="00523686"/>
    <w:rsid w:val="00523996"/>
    <w:rsid w:val="00531900"/>
    <w:rsid w:val="00534CC2"/>
    <w:rsid w:val="00535FFB"/>
    <w:rsid w:val="0054017F"/>
    <w:rsid w:val="0054168C"/>
    <w:rsid w:val="005434EE"/>
    <w:rsid w:val="0054508A"/>
    <w:rsid w:val="005508F5"/>
    <w:rsid w:val="00560AD6"/>
    <w:rsid w:val="00561C94"/>
    <w:rsid w:val="005632D7"/>
    <w:rsid w:val="0056359E"/>
    <w:rsid w:val="00566858"/>
    <w:rsid w:val="00567A1B"/>
    <w:rsid w:val="0057117C"/>
    <w:rsid w:val="0057239E"/>
    <w:rsid w:val="005724ED"/>
    <w:rsid w:val="00575EED"/>
    <w:rsid w:val="00577829"/>
    <w:rsid w:val="005805C8"/>
    <w:rsid w:val="00584D4C"/>
    <w:rsid w:val="005876F8"/>
    <w:rsid w:val="00592C99"/>
    <w:rsid w:val="0059550E"/>
    <w:rsid w:val="00597449"/>
    <w:rsid w:val="005A07EF"/>
    <w:rsid w:val="005A196D"/>
    <w:rsid w:val="005A2AD2"/>
    <w:rsid w:val="005A68CF"/>
    <w:rsid w:val="005B04CB"/>
    <w:rsid w:val="005B0D29"/>
    <w:rsid w:val="005B4236"/>
    <w:rsid w:val="005B5D2D"/>
    <w:rsid w:val="005B7EAD"/>
    <w:rsid w:val="005C0D2A"/>
    <w:rsid w:val="005C119A"/>
    <w:rsid w:val="005C2810"/>
    <w:rsid w:val="005C6CC7"/>
    <w:rsid w:val="005C6FD3"/>
    <w:rsid w:val="005D060D"/>
    <w:rsid w:val="005D460E"/>
    <w:rsid w:val="005D4846"/>
    <w:rsid w:val="005D6008"/>
    <w:rsid w:val="005D652A"/>
    <w:rsid w:val="005E32A3"/>
    <w:rsid w:val="005E531B"/>
    <w:rsid w:val="005F54A5"/>
    <w:rsid w:val="005F7FD3"/>
    <w:rsid w:val="006139AA"/>
    <w:rsid w:val="006140BB"/>
    <w:rsid w:val="00616E48"/>
    <w:rsid w:val="00622A2D"/>
    <w:rsid w:val="00623940"/>
    <w:rsid w:val="00630FCB"/>
    <w:rsid w:val="0063400F"/>
    <w:rsid w:val="00637052"/>
    <w:rsid w:val="00637DD7"/>
    <w:rsid w:val="00643E56"/>
    <w:rsid w:val="00646EEC"/>
    <w:rsid w:val="00647030"/>
    <w:rsid w:val="00647038"/>
    <w:rsid w:val="006501DC"/>
    <w:rsid w:val="0065504C"/>
    <w:rsid w:val="006552FD"/>
    <w:rsid w:val="0065609C"/>
    <w:rsid w:val="006579F9"/>
    <w:rsid w:val="00657F8D"/>
    <w:rsid w:val="006600DC"/>
    <w:rsid w:val="00666847"/>
    <w:rsid w:val="00671031"/>
    <w:rsid w:val="00674670"/>
    <w:rsid w:val="006763EC"/>
    <w:rsid w:val="0067717C"/>
    <w:rsid w:val="006808D7"/>
    <w:rsid w:val="0068174F"/>
    <w:rsid w:val="00681787"/>
    <w:rsid w:val="00690AFD"/>
    <w:rsid w:val="00696261"/>
    <w:rsid w:val="006A4EAA"/>
    <w:rsid w:val="006A6090"/>
    <w:rsid w:val="006B02D0"/>
    <w:rsid w:val="006B1950"/>
    <w:rsid w:val="006B1EE7"/>
    <w:rsid w:val="006B4FD1"/>
    <w:rsid w:val="006B7240"/>
    <w:rsid w:val="006B7B1B"/>
    <w:rsid w:val="006C29F2"/>
    <w:rsid w:val="006E07C3"/>
    <w:rsid w:val="006E28A4"/>
    <w:rsid w:val="006E4A32"/>
    <w:rsid w:val="006F0D9E"/>
    <w:rsid w:val="006F289E"/>
    <w:rsid w:val="006F2CA5"/>
    <w:rsid w:val="006F396D"/>
    <w:rsid w:val="006F5B7B"/>
    <w:rsid w:val="007008B5"/>
    <w:rsid w:val="00701383"/>
    <w:rsid w:val="00701551"/>
    <w:rsid w:val="007056EF"/>
    <w:rsid w:val="007074EA"/>
    <w:rsid w:val="007112FB"/>
    <w:rsid w:val="007200A7"/>
    <w:rsid w:val="007274A7"/>
    <w:rsid w:val="00732A09"/>
    <w:rsid w:val="007402B1"/>
    <w:rsid w:val="00742995"/>
    <w:rsid w:val="0074514B"/>
    <w:rsid w:val="007460DB"/>
    <w:rsid w:val="00746BC1"/>
    <w:rsid w:val="00750AF6"/>
    <w:rsid w:val="0075179F"/>
    <w:rsid w:val="00754C10"/>
    <w:rsid w:val="007551F4"/>
    <w:rsid w:val="00757CF0"/>
    <w:rsid w:val="007605C0"/>
    <w:rsid w:val="00761F77"/>
    <w:rsid w:val="007647C3"/>
    <w:rsid w:val="00771B7B"/>
    <w:rsid w:val="00772D4D"/>
    <w:rsid w:val="007738AC"/>
    <w:rsid w:val="00774ED8"/>
    <w:rsid w:val="00782FDA"/>
    <w:rsid w:val="00793CC7"/>
    <w:rsid w:val="0079472F"/>
    <w:rsid w:val="00794E1C"/>
    <w:rsid w:val="00795DA3"/>
    <w:rsid w:val="00796D74"/>
    <w:rsid w:val="007B31B6"/>
    <w:rsid w:val="007C07C5"/>
    <w:rsid w:val="007C2D6B"/>
    <w:rsid w:val="007D135C"/>
    <w:rsid w:val="007D2AA2"/>
    <w:rsid w:val="007D31F4"/>
    <w:rsid w:val="007D4275"/>
    <w:rsid w:val="007E0816"/>
    <w:rsid w:val="007E3E7F"/>
    <w:rsid w:val="007E6BCE"/>
    <w:rsid w:val="007E6DF2"/>
    <w:rsid w:val="007F00D3"/>
    <w:rsid w:val="007F0D28"/>
    <w:rsid w:val="007F0D84"/>
    <w:rsid w:val="007F15F7"/>
    <w:rsid w:val="007F2174"/>
    <w:rsid w:val="007F556F"/>
    <w:rsid w:val="00802AF7"/>
    <w:rsid w:val="008031D6"/>
    <w:rsid w:val="00805F7C"/>
    <w:rsid w:val="00810910"/>
    <w:rsid w:val="0081158D"/>
    <w:rsid w:val="00811B34"/>
    <w:rsid w:val="00811CDA"/>
    <w:rsid w:val="00814D3F"/>
    <w:rsid w:val="00821A37"/>
    <w:rsid w:val="00822E71"/>
    <w:rsid w:val="008314D7"/>
    <w:rsid w:val="00831C5E"/>
    <w:rsid w:val="0083618B"/>
    <w:rsid w:val="008367AC"/>
    <w:rsid w:val="008405A0"/>
    <w:rsid w:val="00843DF4"/>
    <w:rsid w:val="00843DF6"/>
    <w:rsid w:val="008524D0"/>
    <w:rsid w:val="00853AF3"/>
    <w:rsid w:val="008549CE"/>
    <w:rsid w:val="00860B63"/>
    <w:rsid w:val="008634DC"/>
    <w:rsid w:val="00863940"/>
    <w:rsid w:val="008741DB"/>
    <w:rsid w:val="00875E52"/>
    <w:rsid w:val="00881E5F"/>
    <w:rsid w:val="008829A4"/>
    <w:rsid w:val="00883FCB"/>
    <w:rsid w:val="008874F5"/>
    <w:rsid w:val="0089503E"/>
    <w:rsid w:val="008A0BF5"/>
    <w:rsid w:val="008A2046"/>
    <w:rsid w:val="008A2A2F"/>
    <w:rsid w:val="008A6D95"/>
    <w:rsid w:val="008B1171"/>
    <w:rsid w:val="008B5152"/>
    <w:rsid w:val="008B5EA0"/>
    <w:rsid w:val="008B6EE1"/>
    <w:rsid w:val="008C0CA5"/>
    <w:rsid w:val="008C12A2"/>
    <w:rsid w:val="008C3CE8"/>
    <w:rsid w:val="008C6470"/>
    <w:rsid w:val="008D10DE"/>
    <w:rsid w:val="008D3DE9"/>
    <w:rsid w:val="008D54FE"/>
    <w:rsid w:val="008D639A"/>
    <w:rsid w:val="008E212A"/>
    <w:rsid w:val="008E23C2"/>
    <w:rsid w:val="008E4FE2"/>
    <w:rsid w:val="008E5F8B"/>
    <w:rsid w:val="008E79DB"/>
    <w:rsid w:val="008F199D"/>
    <w:rsid w:val="008F1D0A"/>
    <w:rsid w:val="008F3933"/>
    <w:rsid w:val="00900EA0"/>
    <w:rsid w:val="009031A2"/>
    <w:rsid w:val="0090367E"/>
    <w:rsid w:val="0090578F"/>
    <w:rsid w:val="00906027"/>
    <w:rsid w:val="009110F8"/>
    <w:rsid w:val="00915EB8"/>
    <w:rsid w:val="00921C9B"/>
    <w:rsid w:val="00923DCD"/>
    <w:rsid w:val="00927AA9"/>
    <w:rsid w:val="00930D55"/>
    <w:rsid w:val="00933610"/>
    <w:rsid w:val="00944F28"/>
    <w:rsid w:val="0096362C"/>
    <w:rsid w:val="00963FE9"/>
    <w:rsid w:val="009650BD"/>
    <w:rsid w:val="00967E69"/>
    <w:rsid w:val="00974757"/>
    <w:rsid w:val="00977579"/>
    <w:rsid w:val="00977961"/>
    <w:rsid w:val="009814EC"/>
    <w:rsid w:val="00983C32"/>
    <w:rsid w:val="009867C1"/>
    <w:rsid w:val="00992591"/>
    <w:rsid w:val="0099424C"/>
    <w:rsid w:val="009967CB"/>
    <w:rsid w:val="009A0DEA"/>
    <w:rsid w:val="009A1F1D"/>
    <w:rsid w:val="009A24AD"/>
    <w:rsid w:val="009A51F0"/>
    <w:rsid w:val="009B0BC4"/>
    <w:rsid w:val="009B3504"/>
    <w:rsid w:val="009B4402"/>
    <w:rsid w:val="009B5536"/>
    <w:rsid w:val="009C4B4E"/>
    <w:rsid w:val="009D3AE0"/>
    <w:rsid w:val="009D6AF9"/>
    <w:rsid w:val="009F02EC"/>
    <w:rsid w:val="009F05CF"/>
    <w:rsid w:val="009F09F1"/>
    <w:rsid w:val="009F40D9"/>
    <w:rsid w:val="009F475D"/>
    <w:rsid w:val="009F58A3"/>
    <w:rsid w:val="00A02258"/>
    <w:rsid w:val="00A0297D"/>
    <w:rsid w:val="00A0670F"/>
    <w:rsid w:val="00A07E52"/>
    <w:rsid w:val="00A108CC"/>
    <w:rsid w:val="00A134D8"/>
    <w:rsid w:val="00A1766C"/>
    <w:rsid w:val="00A17F1A"/>
    <w:rsid w:val="00A22001"/>
    <w:rsid w:val="00A222A7"/>
    <w:rsid w:val="00A26386"/>
    <w:rsid w:val="00A31921"/>
    <w:rsid w:val="00A34ED8"/>
    <w:rsid w:val="00A36A65"/>
    <w:rsid w:val="00A372EE"/>
    <w:rsid w:val="00A45CD8"/>
    <w:rsid w:val="00A55ABB"/>
    <w:rsid w:val="00A56055"/>
    <w:rsid w:val="00A56B6D"/>
    <w:rsid w:val="00A65DD2"/>
    <w:rsid w:val="00A71A8D"/>
    <w:rsid w:val="00A71EF4"/>
    <w:rsid w:val="00A76812"/>
    <w:rsid w:val="00A81584"/>
    <w:rsid w:val="00A86D47"/>
    <w:rsid w:val="00A944F3"/>
    <w:rsid w:val="00A97E15"/>
    <w:rsid w:val="00AA179C"/>
    <w:rsid w:val="00AA18AE"/>
    <w:rsid w:val="00AA2776"/>
    <w:rsid w:val="00AB4252"/>
    <w:rsid w:val="00AD2465"/>
    <w:rsid w:val="00AD6554"/>
    <w:rsid w:val="00AE22F2"/>
    <w:rsid w:val="00AE2392"/>
    <w:rsid w:val="00AE24DF"/>
    <w:rsid w:val="00AF328F"/>
    <w:rsid w:val="00B04ACF"/>
    <w:rsid w:val="00B104E7"/>
    <w:rsid w:val="00B33A06"/>
    <w:rsid w:val="00B34AF2"/>
    <w:rsid w:val="00B419F8"/>
    <w:rsid w:val="00B43B74"/>
    <w:rsid w:val="00B44DE2"/>
    <w:rsid w:val="00B50DEE"/>
    <w:rsid w:val="00B52FBD"/>
    <w:rsid w:val="00B54D58"/>
    <w:rsid w:val="00B55D48"/>
    <w:rsid w:val="00B60D9B"/>
    <w:rsid w:val="00B61251"/>
    <w:rsid w:val="00B614E6"/>
    <w:rsid w:val="00B6214E"/>
    <w:rsid w:val="00B65AF4"/>
    <w:rsid w:val="00B65F77"/>
    <w:rsid w:val="00B72929"/>
    <w:rsid w:val="00B75A56"/>
    <w:rsid w:val="00B75F69"/>
    <w:rsid w:val="00B82F3D"/>
    <w:rsid w:val="00B92979"/>
    <w:rsid w:val="00B929A5"/>
    <w:rsid w:val="00B939A6"/>
    <w:rsid w:val="00B94955"/>
    <w:rsid w:val="00B97C33"/>
    <w:rsid w:val="00B97F73"/>
    <w:rsid w:val="00BA020D"/>
    <w:rsid w:val="00BA0C8A"/>
    <w:rsid w:val="00BA4901"/>
    <w:rsid w:val="00BA5F2A"/>
    <w:rsid w:val="00BB026F"/>
    <w:rsid w:val="00BB5370"/>
    <w:rsid w:val="00BB65C4"/>
    <w:rsid w:val="00BC4431"/>
    <w:rsid w:val="00BC6E2E"/>
    <w:rsid w:val="00BD2639"/>
    <w:rsid w:val="00BD4CC9"/>
    <w:rsid w:val="00BD4EB5"/>
    <w:rsid w:val="00BD5B6F"/>
    <w:rsid w:val="00BD620F"/>
    <w:rsid w:val="00BE364C"/>
    <w:rsid w:val="00BF2010"/>
    <w:rsid w:val="00BF4BCD"/>
    <w:rsid w:val="00BF688B"/>
    <w:rsid w:val="00C01120"/>
    <w:rsid w:val="00C04273"/>
    <w:rsid w:val="00C044F5"/>
    <w:rsid w:val="00C07936"/>
    <w:rsid w:val="00C1157B"/>
    <w:rsid w:val="00C1160A"/>
    <w:rsid w:val="00C11D42"/>
    <w:rsid w:val="00C12328"/>
    <w:rsid w:val="00C12A12"/>
    <w:rsid w:val="00C152A6"/>
    <w:rsid w:val="00C23DF7"/>
    <w:rsid w:val="00C25B4D"/>
    <w:rsid w:val="00C27BFD"/>
    <w:rsid w:val="00C3053E"/>
    <w:rsid w:val="00C4067A"/>
    <w:rsid w:val="00C41BC5"/>
    <w:rsid w:val="00C46454"/>
    <w:rsid w:val="00C57A19"/>
    <w:rsid w:val="00C62955"/>
    <w:rsid w:val="00C64A18"/>
    <w:rsid w:val="00C70A83"/>
    <w:rsid w:val="00C72F05"/>
    <w:rsid w:val="00C74BBA"/>
    <w:rsid w:val="00C835B2"/>
    <w:rsid w:val="00C85AC8"/>
    <w:rsid w:val="00C87EFC"/>
    <w:rsid w:val="00C90C12"/>
    <w:rsid w:val="00C937E3"/>
    <w:rsid w:val="00CA1941"/>
    <w:rsid w:val="00CB10E5"/>
    <w:rsid w:val="00CB5CC4"/>
    <w:rsid w:val="00CC0E6A"/>
    <w:rsid w:val="00CC4171"/>
    <w:rsid w:val="00CC4385"/>
    <w:rsid w:val="00CD4639"/>
    <w:rsid w:val="00CD5F76"/>
    <w:rsid w:val="00CD6411"/>
    <w:rsid w:val="00CE27BF"/>
    <w:rsid w:val="00CE653A"/>
    <w:rsid w:val="00CF35FC"/>
    <w:rsid w:val="00CF53C8"/>
    <w:rsid w:val="00CF5F66"/>
    <w:rsid w:val="00D00275"/>
    <w:rsid w:val="00D033AB"/>
    <w:rsid w:val="00D0410B"/>
    <w:rsid w:val="00D0422F"/>
    <w:rsid w:val="00D06776"/>
    <w:rsid w:val="00D07DBE"/>
    <w:rsid w:val="00D14053"/>
    <w:rsid w:val="00D15664"/>
    <w:rsid w:val="00D160F1"/>
    <w:rsid w:val="00D215F3"/>
    <w:rsid w:val="00D22324"/>
    <w:rsid w:val="00D23740"/>
    <w:rsid w:val="00D32E3B"/>
    <w:rsid w:val="00D33B62"/>
    <w:rsid w:val="00D345E7"/>
    <w:rsid w:val="00D350C8"/>
    <w:rsid w:val="00D40BA4"/>
    <w:rsid w:val="00D4227C"/>
    <w:rsid w:val="00D502B8"/>
    <w:rsid w:val="00D606E2"/>
    <w:rsid w:val="00D62387"/>
    <w:rsid w:val="00D62A5F"/>
    <w:rsid w:val="00D67C7B"/>
    <w:rsid w:val="00D71342"/>
    <w:rsid w:val="00D7472A"/>
    <w:rsid w:val="00D83969"/>
    <w:rsid w:val="00D84D1C"/>
    <w:rsid w:val="00D92D5B"/>
    <w:rsid w:val="00D93206"/>
    <w:rsid w:val="00D95007"/>
    <w:rsid w:val="00D97EA9"/>
    <w:rsid w:val="00DA0BA0"/>
    <w:rsid w:val="00DA21B4"/>
    <w:rsid w:val="00DA6571"/>
    <w:rsid w:val="00DB4472"/>
    <w:rsid w:val="00DB4A7C"/>
    <w:rsid w:val="00DB564E"/>
    <w:rsid w:val="00DB69D2"/>
    <w:rsid w:val="00DC543D"/>
    <w:rsid w:val="00DC7FAC"/>
    <w:rsid w:val="00DD3CE5"/>
    <w:rsid w:val="00DD64AF"/>
    <w:rsid w:val="00DD7D2B"/>
    <w:rsid w:val="00DE1B14"/>
    <w:rsid w:val="00DE25EF"/>
    <w:rsid w:val="00DE4C44"/>
    <w:rsid w:val="00DE4F63"/>
    <w:rsid w:val="00DE59B3"/>
    <w:rsid w:val="00DF2441"/>
    <w:rsid w:val="00DF29AB"/>
    <w:rsid w:val="00DF4971"/>
    <w:rsid w:val="00DF76D7"/>
    <w:rsid w:val="00E01B2D"/>
    <w:rsid w:val="00E06D7D"/>
    <w:rsid w:val="00E07AE2"/>
    <w:rsid w:val="00E1002C"/>
    <w:rsid w:val="00E10448"/>
    <w:rsid w:val="00E12B0C"/>
    <w:rsid w:val="00E17B8F"/>
    <w:rsid w:val="00E2126D"/>
    <w:rsid w:val="00E2261E"/>
    <w:rsid w:val="00E30A3C"/>
    <w:rsid w:val="00E32722"/>
    <w:rsid w:val="00E3526B"/>
    <w:rsid w:val="00E37047"/>
    <w:rsid w:val="00E44B09"/>
    <w:rsid w:val="00E45BEF"/>
    <w:rsid w:val="00E46012"/>
    <w:rsid w:val="00E53230"/>
    <w:rsid w:val="00E53AE5"/>
    <w:rsid w:val="00E54FA7"/>
    <w:rsid w:val="00E568E7"/>
    <w:rsid w:val="00E602DF"/>
    <w:rsid w:val="00E62608"/>
    <w:rsid w:val="00E65473"/>
    <w:rsid w:val="00E66299"/>
    <w:rsid w:val="00E70827"/>
    <w:rsid w:val="00E70DF7"/>
    <w:rsid w:val="00E71C7E"/>
    <w:rsid w:val="00E752BD"/>
    <w:rsid w:val="00E80D97"/>
    <w:rsid w:val="00E81A13"/>
    <w:rsid w:val="00E82F78"/>
    <w:rsid w:val="00E83F3B"/>
    <w:rsid w:val="00E855C2"/>
    <w:rsid w:val="00E918FA"/>
    <w:rsid w:val="00E94287"/>
    <w:rsid w:val="00E97693"/>
    <w:rsid w:val="00EA28B9"/>
    <w:rsid w:val="00EA7B88"/>
    <w:rsid w:val="00EB6E7A"/>
    <w:rsid w:val="00EC1BD8"/>
    <w:rsid w:val="00EC2AB1"/>
    <w:rsid w:val="00EC423F"/>
    <w:rsid w:val="00EC63E2"/>
    <w:rsid w:val="00EC69E1"/>
    <w:rsid w:val="00EC6D2D"/>
    <w:rsid w:val="00ED2941"/>
    <w:rsid w:val="00ED65ED"/>
    <w:rsid w:val="00EE25F5"/>
    <w:rsid w:val="00EE278E"/>
    <w:rsid w:val="00EE3AEB"/>
    <w:rsid w:val="00EE4363"/>
    <w:rsid w:val="00EF2BED"/>
    <w:rsid w:val="00EF64A8"/>
    <w:rsid w:val="00F01EBA"/>
    <w:rsid w:val="00F024B3"/>
    <w:rsid w:val="00F051B3"/>
    <w:rsid w:val="00F06136"/>
    <w:rsid w:val="00F21A6E"/>
    <w:rsid w:val="00F226CE"/>
    <w:rsid w:val="00F24CCC"/>
    <w:rsid w:val="00F3080D"/>
    <w:rsid w:val="00F31ACB"/>
    <w:rsid w:val="00F33BFD"/>
    <w:rsid w:val="00F44F7C"/>
    <w:rsid w:val="00F4567B"/>
    <w:rsid w:val="00F47577"/>
    <w:rsid w:val="00F5294A"/>
    <w:rsid w:val="00F533AD"/>
    <w:rsid w:val="00F534B9"/>
    <w:rsid w:val="00F61E0A"/>
    <w:rsid w:val="00F671B2"/>
    <w:rsid w:val="00F673C4"/>
    <w:rsid w:val="00F7022D"/>
    <w:rsid w:val="00F70FF1"/>
    <w:rsid w:val="00F73B1E"/>
    <w:rsid w:val="00F74BB3"/>
    <w:rsid w:val="00F81B41"/>
    <w:rsid w:val="00F82F52"/>
    <w:rsid w:val="00F83F52"/>
    <w:rsid w:val="00F84C0F"/>
    <w:rsid w:val="00F87901"/>
    <w:rsid w:val="00F91945"/>
    <w:rsid w:val="00F955CF"/>
    <w:rsid w:val="00F9673A"/>
    <w:rsid w:val="00FA0AD4"/>
    <w:rsid w:val="00FA27F5"/>
    <w:rsid w:val="00FA7B89"/>
    <w:rsid w:val="00FB19F4"/>
    <w:rsid w:val="00FB4732"/>
    <w:rsid w:val="00FB72FC"/>
    <w:rsid w:val="00FC3325"/>
    <w:rsid w:val="00FD1A59"/>
    <w:rsid w:val="00FD1EF9"/>
    <w:rsid w:val="00FD7E01"/>
    <w:rsid w:val="00FF1B46"/>
    <w:rsid w:val="00FF2067"/>
    <w:rsid w:val="00FF5A9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t-EE" w:eastAsia="et-EE" w:bidi="et-EE"/>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uiPriority="99" w:qFormat="1"/>
    <w:lsdException w:name="caption" w:locked="1" w:semiHidden="1" w:unhideWhenUsed="1" w:qFormat="1"/>
    <w:lsdException w:name="footnote reference" w:locked="1" w:qFormat="1"/>
    <w:lsdException w:name="Title" w:locked="1" w:qFormat="1"/>
    <w:lsdException w:name="Default Paragraph Font" w:locked="1" w:uiPriority="1"/>
    <w:lsdException w:name="Subtitle" w:locked="1" w:qFormat="1"/>
    <w:lsdException w:name="Hyperlink" w:uiPriority="99"/>
    <w:lsdException w:name="Strong" w:locked="1" w:qFormat="1"/>
    <w:lsdException w:name="Emphasis" w:locked="1" w:qFormat="1"/>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472F"/>
    <w:pPr>
      <w:spacing w:line="288" w:lineRule="auto"/>
      <w:jc w:val="both"/>
    </w:pPr>
    <w:rPr>
      <w:rFonts w:ascii="Times New Roman" w:eastAsia="Times New Roman" w:hAnsi="Times New Roman"/>
      <w:sz w:val="22"/>
      <w:szCs w:val="22"/>
    </w:rPr>
  </w:style>
  <w:style w:type="paragraph" w:styleId="Heading1">
    <w:name w:val="heading 1"/>
    <w:basedOn w:val="Normal"/>
    <w:next w:val="Normal"/>
    <w:link w:val="Heading1Char"/>
    <w:qFormat/>
    <w:rsid w:val="0079472F"/>
    <w:pPr>
      <w:numPr>
        <w:numId w:val="1"/>
      </w:numPr>
      <w:ind w:left="720" w:hanging="720"/>
      <w:outlineLvl w:val="0"/>
    </w:pPr>
    <w:rPr>
      <w:kern w:val="28"/>
    </w:rPr>
  </w:style>
  <w:style w:type="paragraph" w:styleId="Heading2">
    <w:name w:val="heading 2"/>
    <w:basedOn w:val="Normal"/>
    <w:next w:val="Normal"/>
    <w:link w:val="Heading2Char"/>
    <w:qFormat/>
    <w:rsid w:val="0079472F"/>
    <w:pPr>
      <w:numPr>
        <w:ilvl w:val="1"/>
        <w:numId w:val="1"/>
      </w:numPr>
      <w:ind w:left="720" w:hanging="720"/>
      <w:outlineLvl w:val="1"/>
    </w:pPr>
  </w:style>
  <w:style w:type="paragraph" w:styleId="Heading3">
    <w:name w:val="heading 3"/>
    <w:basedOn w:val="Normal"/>
    <w:next w:val="Normal"/>
    <w:link w:val="Heading3Char"/>
    <w:qFormat/>
    <w:rsid w:val="0079472F"/>
    <w:pPr>
      <w:numPr>
        <w:ilvl w:val="2"/>
        <w:numId w:val="1"/>
      </w:numPr>
      <w:ind w:left="720" w:hanging="720"/>
      <w:outlineLvl w:val="2"/>
    </w:pPr>
  </w:style>
  <w:style w:type="paragraph" w:styleId="Heading4">
    <w:name w:val="heading 4"/>
    <w:basedOn w:val="Normal"/>
    <w:next w:val="Normal"/>
    <w:link w:val="Heading4Char"/>
    <w:qFormat/>
    <w:rsid w:val="0079472F"/>
    <w:pPr>
      <w:numPr>
        <w:ilvl w:val="3"/>
        <w:numId w:val="1"/>
      </w:numPr>
      <w:ind w:left="720" w:hanging="720"/>
      <w:outlineLvl w:val="3"/>
    </w:pPr>
  </w:style>
  <w:style w:type="paragraph" w:styleId="Heading5">
    <w:name w:val="heading 5"/>
    <w:basedOn w:val="Normal"/>
    <w:next w:val="Normal"/>
    <w:link w:val="Heading5Char"/>
    <w:qFormat/>
    <w:rsid w:val="0079472F"/>
    <w:pPr>
      <w:numPr>
        <w:ilvl w:val="4"/>
        <w:numId w:val="1"/>
      </w:numPr>
      <w:ind w:left="720" w:hanging="720"/>
      <w:outlineLvl w:val="4"/>
    </w:pPr>
  </w:style>
  <w:style w:type="paragraph" w:styleId="Heading6">
    <w:name w:val="heading 6"/>
    <w:basedOn w:val="Normal"/>
    <w:next w:val="Normal"/>
    <w:link w:val="Heading6Char"/>
    <w:qFormat/>
    <w:rsid w:val="0079472F"/>
    <w:pPr>
      <w:numPr>
        <w:ilvl w:val="5"/>
        <w:numId w:val="1"/>
      </w:numPr>
      <w:ind w:left="720" w:hanging="720"/>
      <w:outlineLvl w:val="5"/>
    </w:pPr>
  </w:style>
  <w:style w:type="paragraph" w:styleId="Heading7">
    <w:name w:val="heading 7"/>
    <w:basedOn w:val="Normal"/>
    <w:next w:val="Normal"/>
    <w:link w:val="Heading7Char"/>
    <w:qFormat/>
    <w:rsid w:val="0079472F"/>
    <w:pPr>
      <w:numPr>
        <w:ilvl w:val="6"/>
        <w:numId w:val="1"/>
      </w:numPr>
      <w:ind w:left="720" w:hanging="720"/>
      <w:outlineLvl w:val="6"/>
    </w:pPr>
  </w:style>
  <w:style w:type="paragraph" w:styleId="Heading8">
    <w:name w:val="heading 8"/>
    <w:basedOn w:val="Normal"/>
    <w:next w:val="Normal"/>
    <w:link w:val="Heading8Char"/>
    <w:qFormat/>
    <w:rsid w:val="0079472F"/>
    <w:pPr>
      <w:numPr>
        <w:ilvl w:val="7"/>
        <w:numId w:val="1"/>
      </w:numPr>
      <w:ind w:left="720" w:hanging="720"/>
      <w:outlineLvl w:val="7"/>
    </w:pPr>
  </w:style>
  <w:style w:type="paragraph" w:styleId="Heading9">
    <w:name w:val="heading 9"/>
    <w:basedOn w:val="Normal"/>
    <w:next w:val="Normal"/>
    <w:link w:val="Heading9Char"/>
    <w:qFormat/>
    <w:rsid w:val="0079472F"/>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3B283B"/>
    <w:rPr>
      <w:rFonts w:ascii="Times New Roman" w:eastAsia="Times New Roman" w:hAnsi="Times New Roman"/>
      <w:kern w:val="28"/>
      <w:sz w:val="22"/>
      <w:szCs w:val="22"/>
      <w:lang w:val="et-EE" w:eastAsia="et-EE" w:bidi="et-EE"/>
    </w:rPr>
  </w:style>
  <w:style w:type="character" w:customStyle="1" w:styleId="Heading2Char">
    <w:name w:val="Heading 2 Char"/>
    <w:link w:val="Heading2"/>
    <w:locked/>
    <w:rsid w:val="003B283B"/>
    <w:rPr>
      <w:rFonts w:ascii="Times New Roman" w:eastAsia="Times New Roman" w:hAnsi="Times New Roman"/>
      <w:sz w:val="22"/>
      <w:szCs w:val="22"/>
      <w:lang w:val="et-EE" w:eastAsia="et-EE" w:bidi="et-EE"/>
    </w:rPr>
  </w:style>
  <w:style w:type="character" w:customStyle="1" w:styleId="Heading3Char">
    <w:name w:val="Heading 3 Char"/>
    <w:link w:val="Heading3"/>
    <w:locked/>
    <w:rsid w:val="003B283B"/>
    <w:rPr>
      <w:rFonts w:ascii="Times New Roman" w:eastAsia="Times New Roman" w:hAnsi="Times New Roman"/>
      <w:sz w:val="22"/>
      <w:szCs w:val="22"/>
      <w:lang w:val="et-EE" w:eastAsia="et-EE" w:bidi="et-EE"/>
    </w:rPr>
  </w:style>
  <w:style w:type="character" w:customStyle="1" w:styleId="Heading4Char">
    <w:name w:val="Heading 4 Char"/>
    <w:link w:val="Heading4"/>
    <w:locked/>
    <w:rsid w:val="003B283B"/>
    <w:rPr>
      <w:rFonts w:ascii="Times New Roman" w:eastAsia="Times New Roman" w:hAnsi="Times New Roman"/>
      <w:sz w:val="22"/>
      <w:szCs w:val="22"/>
      <w:lang w:val="et-EE" w:eastAsia="et-EE" w:bidi="et-EE"/>
    </w:rPr>
  </w:style>
  <w:style w:type="character" w:customStyle="1" w:styleId="Heading5Char">
    <w:name w:val="Heading 5 Char"/>
    <w:link w:val="Heading5"/>
    <w:locked/>
    <w:rsid w:val="003B283B"/>
    <w:rPr>
      <w:rFonts w:ascii="Times New Roman" w:eastAsia="Times New Roman" w:hAnsi="Times New Roman"/>
      <w:sz w:val="22"/>
      <w:szCs w:val="22"/>
      <w:lang w:val="et-EE" w:eastAsia="et-EE" w:bidi="et-EE"/>
    </w:rPr>
  </w:style>
  <w:style w:type="character" w:customStyle="1" w:styleId="Heading6Char">
    <w:name w:val="Heading 6 Char"/>
    <w:link w:val="Heading6"/>
    <w:locked/>
    <w:rsid w:val="003B283B"/>
    <w:rPr>
      <w:rFonts w:ascii="Times New Roman" w:eastAsia="Times New Roman" w:hAnsi="Times New Roman"/>
      <w:sz w:val="22"/>
      <w:szCs w:val="22"/>
      <w:lang w:val="et-EE" w:eastAsia="et-EE" w:bidi="et-EE"/>
    </w:rPr>
  </w:style>
  <w:style w:type="character" w:customStyle="1" w:styleId="Heading7Char">
    <w:name w:val="Heading 7 Char"/>
    <w:link w:val="Heading7"/>
    <w:locked/>
    <w:rsid w:val="003B283B"/>
    <w:rPr>
      <w:rFonts w:ascii="Times New Roman" w:eastAsia="Times New Roman" w:hAnsi="Times New Roman"/>
      <w:sz w:val="22"/>
      <w:szCs w:val="22"/>
      <w:lang w:val="et-EE" w:eastAsia="et-EE" w:bidi="et-EE"/>
    </w:rPr>
  </w:style>
  <w:style w:type="character" w:customStyle="1" w:styleId="Heading8Char">
    <w:name w:val="Heading 8 Char"/>
    <w:link w:val="Heading8"/>
    <w:locked/>
    <w:rsid w:val="003B283B"/>
    <w:rPr>
      <w:rFonts w:ascii="Times New Roman" w:eastAsia="Times New Roman" w:hAnsi="Times New Roman"/>
      <w:sz w:val="22"/>
      <w:szCs w:val="22"/>
      <w:lang w:val="et-EE" w:eastAsia="et-EE" w:bidi="et-EE"/>
    </w:rPr>
  </w:style>
  <w:style w:type="character" w:customStyle="1" w:styleId="Heading9Char">
    <w:name w:val="Heading 9 Char"/>
    <w:link w:val="Heading9"/>
    <w:locked/>
    <w:rsid w:val="003B283B"/>
    <w:rPr>
      <w:rFonts w:ascii="Times New Roman" w:eastAsia="Times New Roman" w:hAnsi="Times New Roman"/>
      <w:sz w:val="22"/>
      <w:szCs w:val="22"/>
      <w:lang w:val="et-EE" w:eastAsia="et-EE" w:bidi="et-EE"/>
    </w:rPr>
  </w:style>
  <w:style w:type="paragraph" w:styleId="Footer">
    <w:name w:val="footer"/>
    <w:basedOn w:val="Normal"/>
    <w:link w:val="FooterChar"/>
    <w:uiPriority w:val="99"/>
    <w:qFormat/>
    <w:rsid w:val="0079472F"/>
  </w:style>
  <w:style w:type="character" w:customStyle="1" w:styleId="FooterChar">
    <w:name w:val="Footer Char"/>
    <w:link w:val="Footer"/>
    <w:uiPriority w:val="99"/>
    <w:locked/>
    <w:rsid w:val="003B283B"/>
    <w:rPr>
      <w:rFonts w:ascii="Times New Roman" w:eastAsia="Times New Roman" w:hAnsi="Times New Roman"/>
      <w:sz w:val="22"/>
      <w:szCs w:val="22"/>
      <w:lang w:eastAsia="et-EE" w:bidi="et-EE"/>
    </w:rPr>
  </w:style>
  <w:style w:type="paragraph" w:styleId="FootnoteText">
    <w:name w:val="footnote text"/>
    <w:basedOn w:val="Normal"/>
    <w:link w:val="FootnoteTextChar"/>
    <w:qFormat/>
    <w:rsid w:val="0079472F"/>
    <w:pPr>
      <w:keepLines/>
      <w:spacing w:after="60" w:line="240" w:lineRule="auto"/>
      <w:ind w:left="720" w:hanging="720"/>
    </w:pPr>
    <w:rPr>
      <w:sz w:val="16"/>
    </w:rPr>
  </w:style>
  <w:style w:type="character" w:customStyle="1" w:styleId="FootnoteTextChar">
    <w:name w:val="Footnote Text Char"/>
    <w:link w:val="FootnoteText"/>
    <w:locked/>
    <w:rsid w:val="003B283B"/>
    <w:rPr>
      <w:rFonts w:ascii="Times New Roman" w:eastAsia="Times New Roman" w:hAnsi="Times New Roman"/>
      <w:sz w:val="16"/>
      <w:szCs w:val="22"/>
      <w:lang w:val="et-EE" w:eastAsia="et-EE" w:bidi="et-EE"/>
    </w:rPr>
  </w:style>
  <w:style w:type="paragraph" w:styleId="Header">
    <w:name w:val="header"/>
    <w:basedOn w:val="Normal"/>
    <w:link w:val="HeaderChar"/>
    <w:qFormat/>
    <w:rsid w:val="0079472F"/>
  </w:style>
  <w:style w:type="character" w:customStyle="1" w:styleId="HeaderChar">
    <w:name w:val="Header Char"/>
    <w:link w:val="Header"/>
    <w:locked/>
    <w:rsid w:val="003B283B"/>
    <w:rPr>
      <w:rFonts w:ascii="Times New Roman" w:eastAsia="Times New Roman" w:hAnsi="Times New Roman"/>
      <w:sz w:val="22"/>
      <w:szCs w:val="22"/>
      <w:lang w:eastAsia="et-EE" w:bidi="et-EE"/>
    </w:rPr>
  </w:style>
  <w:style w:type="character" w:styleId="FootnoteReference">
    <w:name w:val="footnote reference"/>
    <w:basedOn w:val="DefaultParagraphFont"/>
    <w:unhideWhenUsed/>
    <w:qFormat/>
    <w:rsid w:val="0079472F"/>
    <w:rPr>
      <w:sz w:val="24"/>
      <w:vertAlign w:val="superscript"/>
    </w:rPr>
  </w:style>
  <w:style w:type="character" w:styleId="Hyperlink">
    <w:name w:val="Hyperlink"/>
    <w:uiPriority w:val="99"/>
    <w:rsid w:val="003B283B"/>
    <w:rPr>
      <w:rFonts w:ascii="Times New Roman" w:hAnsi="Times New Roman"/>
      <w:color w:val="0000FF"/>
      <w:u w:val="single"/>
    </w:rPr>
  </w:style>
  <w:style w:type="character" w:styleId="FollowedHyperlink">
    <w:name w:val="FollowedHyperlink"/>
    <w:semiHidden/>
    <w:rsid w:val="00A372EE"/>
    <w:rPr>
      <w:rFonts w:cs="Times New Roman"/>
      <w:color w:val="800080"/>
      <w:u w:val="single"/>
    </w:rPr>
  </w:style>
  <w:style w:type="paragraph" w:styleId="Revision">
    <w:name w:val="Revision"/>
    <w:hidden/>
    <w:uiPriority w:val="99"/>
    <w:semiHidden/>
    <w:rsid w:val="00461E3E"/>
    <w:rPr>
      <w:rFonts w:ascii="Times New Roman" w:hAnsi="Times New Roman"/>
      <w:sz w:val="22"/>
      <w:szCs w:val="22"/>
    </w:rPr>
  </w:style>
  <w:style w:type="paragraph" w:customStyle="1" w:styleId="quotes">
    <w:name w:val="quotes"/>
    <w:basedOn w:val="Normal"/>
    <w:next w:val="Normal"/>
    <w:rsid w:val="0079472F"/>
    <w:pPr>
      <w:ind w:left="720"/>
    </w:pPr>
    <w:rPr>
      <w:i/>
    </w:rPr>
  </w:style>
  <w:style w:type="paragraph" w:styleId="TOC1">
    <w:name w:val="toc 1"/>
    <w:basedOn w:val="Normal"/>
    <w:next w:val="Normal"/>
    <w:autoRedefine/>
    <w:uiPriority w:val="39"/>
    <w:locked/>
    <w:rsid w:val="009F58A3"/>
    <w:pPr>
      <w:spacing w:after="100"/>
    </w:pPr>
  </w:style>
  <w:style w:type="paragraph" w:styleId="TOC2">
    <w:name w:val="toc 2"/>
    <w:basedOn w:val="Normal"/>
    <w:next w:val="Normal"/>
    <w:autoRedefine/>
    <w:uiPriority w:val="39"/>
    <w:locked/>
    <w:rsid w:val="001D52CB"/>
    <w:pPr>
      <w:spacing w:after="100"/>
      <w:ind w:left="220"/>
    </w:pPr>
  </w:style>
  <w:style w:type="paragraph" w:customStyle="1" w:styleId="ListHeader">
    <w:name w:val="List Header"/>
    <w:uiPriority w:val="99"/>
    <w:rsid w:val="001E76FC"/>
    <w:pPr>
      <w:widowControl w:val="0"/>
      <w:autoSpaceDE w:val="0"/>
      <w:autoSpaceDN w:val="0"/>
      <w:adjustRightInd w:val="0"/>
    </w:pPr>
    <w:rPr>
      <w:rFonts w:ascii="Arial" w:eastAsiaTheme="minorEastAsia" w:hAnsi="Arial" w:cs="Arial"/>
      <w:b/>
      <w:bCs/>
      <w:color w:val="404040"/>
    </w:rPr>
  </w:style>
  <w:style w:type="paragraph" w:styleId="ListParagraph">
    <w:name w:val="List Paragraph"/>
    <w:basedOn w:val="Normal"/>
    <w:uiPriority w:val="34"/>
    <w:qFormat/>
    <w:rsid w:val="0047417A"/>
    <w:pPr>
      <w:ind w:left="720"/>
      <w:contextualSpacing/>
    </w:pPr>
  </w:style>
  <w:style w:type="character" w:customStyle="1" w:styleId="normal--char">
    <w:name w:val="normal--char"/>
    <w:basedOn w:val="DefaultParagraphFont"/>
    <w:rsid w:val="0047417A"/>
  </w:style>
  <w:style w:type="table" w:styleId="TableGrid">
    <w:name w:val="Table Grid"/>
    <w:basedOn w:val="TableNormal"/>
    <w:locked/>
    <w:rsid w:val="004929C8"/>
    <w:pPr>
      <w:overflowPunct w:val="0"/>
      <w:autoSpaceDE w:val="0"/>
      <w:autoSpaceDN w:val="0"/>
      <w:adjustRightInd w:val="0"/>
      <w:spacing w:line="288" w:lineRule="auto"/>
      <w:jc w:val="both"/>
      <w:textAlignment w:val="baseline"/>
    </w:pPr>
    <w:rPr>
      <w:rFonts w:ascii="Times New Roman" w:eastAsia="PMingLiU"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B447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DB4472"/>
    <w:rPr>
      <w:rFonts w:ascii="Tahoma" w:eastAsia="Times New Roman" w:hAnsi="Tahoma" w:cs="Tahoma"/>
      <w:sz w:val="16"/>
      <w:szCs w:val="16"/>
      <w:lang w:eastAsia="et-EE" w:bidi="et-E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t-EE" w:eastAsia="et-EE" w:bidi="et-EE"/>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uiPriority="99" w:qFormat="1"/>
    <w:lsdException w:name="caption" w:locked="1" w:semiHidden="1" w:unhideWhenUsed="1" w:qFormat="1"/>
    <w:lsdException w:name="footnote reference" w:locked="1" w:qFormat="1"/>
    <w:lsdException w:name="Title" w:locked="1" w:qFormat="1"/>
    <w:lsdException w:name="Default Paragraph Font" w:locked="1" w:uiPriority="1"/>
    <w:lsdException w:name="Subtitle" w:locked="1" w:qFormat="1"/>
    <w:lsdException w:name="Hyperlink" w:uiPriority="99"/>
    <w:lsdException w:name="Strong" w:locked="1" w:qFormat="1"/>
    <w:lsdException w:name="Emphasis" w:locked="1" w:qFormat="1"/>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472F"/>
    <w:pPr>
      <w:spacing w:line="288" w:lineRule="auto"/>
      <w:jc w:val="both"/>
    </w:pPr>
    <w:rPr>
      <w:rFonts w:ascii="Times New Roman" w:eastAsia="Times New Roman" w:hAnsi="Times New Roman"/>
      <w:sz w:val="22"/>
      <w:szCs w:val="22"/>
    </w:rPr>
  </w:style>
  <w:style w:type="paragraph" w:styleId="Heading1">
    <w:name w:val="heading 1"/>
    <w:basedOn w:val="Normal"/>
    <w:next w:val="Normal"/>
    <w:link w:val="Heading1Char"/>
    <w:qFormat/>
    <w:rsid w:val="0079472F"/>
    <w:pPr>
      <w:numPr>
        <w:numId w:val="1"/>
      </w:numPr>
      <w:ind w:left="720" w:hanging="720"/>
      <w:outlineLvl w:val="0"/>
    </w:pPr>
    <w:rPr>
      <w:kern w:val="28"/>
    </w:rPr>
  </w:style>
  <w:style w:type="paragraph" w:styleId="Heading2">
    <w:name w:val="heading 2"/>
    <w:basedOn w:val="Normal"/>
    <w:next w:val="Normal"/>
    <w:link w:val="Heading2Char"/>
    <w:qFormat/>
    <w:rsid w:val="0079472F"/>
    <w:pPr>
      <w:numPr>
        <w:ilvl w:val="1"/>
        <w:numId w:val="1"/>
      </w:numPr>
      <w:ind w:left="720" w:hanging="720"/>
      <w:outlineLvl w:val="1"/>
    </w:pPr>
  </w:style>
  <w:style w:type="paragraph" w:styleId="Heading3">
    <w:name w:val="heading 3"/>
    <w:basedOn w:val="Normal"/>
    <w:next w:val="Normal"/>
    <w:link w:val="Heading3Char"/>
    <w:qFormat/>
    <w:rsid w:val="0079472F"/>
    <w:pPr>
      <w:numPr>
        <w:ilvl w:val="2"/>
        <w:numId w:val="1"/>
      </w:numPr>
      <w:ind w:left="720" w:hanging="720"/>
      <w:outlineLvl w:val="2"/>
    </w:pPr>
  </w:style>
  <w:style w:type="paragraph" w:styleId="Heading4">
    <w:name w:val="heading 4"/>
    <w:basedOn w:val="Normal"/>
    <w:next w:val="Normal"/>
    <w:link w:val="Heading4Char"/>
    <w:qFormat/>
    <w:rsid w:val="0079472F"/>
    <w:pPr>
      <w:numPr>
        <w:ilvl w:val="3"/>
        <w:numId w:val="1"/>
      </w:numPr>
      <w:ind w:left="720" w:hanging="720"/>
      <w:outlineLvl w:val="3"/>
    </w:pPr>
  </w:style>
  <w:style w:type="paragraph" w:styleId="Heading5">
    <w:name w:val="heading 5"/>
    <w:basedOn w:val="Normal"/>
    <w:next w:val="Normal"/>
    <w:link w:val="Heading5Char"/>
    <w:qFormat/>
    <w:rsid w:val="0079472F"/>
    <w:pPr>
      <w:numPr>
        <w:ilvl w:val="4"/>
        <w:numId w:val="1"/>
      </w:numPr>
      <w:ind w:left="720" w:hanging="720"/>
      <w:outlineLvl w:val="4"/>
    </w:pPr>
  </w:style>
  <w:style w:type="paragraph" w:styleId="Heading6">
    <w:name w:val="heading 6"/>
    <w:basedOn w:val="Normal"/>
    <w:next w:val="Normal"/>
    <w:link w:val="Heading6Char"/>
    <w:qFormat/>
    <w:rsid w:val="0079472F"/>
    <w:pPr>
      <w:numPr>
        <w:ilvl w:val="5"/>
        <w:numId w:val="1"/>
      </w:numPr>
      <w:ind w:left="720" w:hanging="720"/>
      <w:outlineLvl w:val="5"/>
    </w:pPr>
  </w:style>
  <w:style w:type="paragraph" w:styleId="Heading7">
    <w:name w:val="heading 7"/>
    <w:basedOn w:val="Normal"/>
    <w:next w:val="Normal"/>
    <w:link w:val="Heading7Char"/>
    <w:qFormat/>
    <w:rsid w:val="0079472F"/>
    <w:pPr>
      <w:numPr>
        <w:ilvl w:val="6"/>
        <w:numId w:val="1"/>
      </w:numPr>
      <w:ind w:left="720" w:hanging="720"/>
      <w:outlineLvl w:val="6"/>
    </w:pPr>
  </w:style>
  <w:style w:type="paragraph" w:styleId="Heading8">
    <w:name w:val="heading 8"/>
    <w:basedOn w:val="Normal"/>
    <w:next w:val="Normal"/>
    <w:link w:val="Heading8Char"/>
    <w:qFormat/>
    <w:rsid w:val="0079472F"/>
    <w:pPr>
      <w:numPr>
        <w:ilvl w:val="7"/>
        <w:numId w:val="1"/>
      </w:numPr>
      <w:ind w:left="720" w:hanging="720"/>
      <w:outlineLvl w:val="7"/>
    </w:pPr>
  </w:style>
  <w:style w:type="paragraph" w:styleId="Heading9">
    <w:name w:val="heading 9"/>
    <w:basedOn w:val="Normal"/>
    <w:next w:val="Normal"/>
    <w:link w:val="Heading9Char"/>
    <w:qFormat/>
    <w:rsid w:val="0079472F"/>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3B283B"/>
    <w:rPr>
      <w:rFonts w:ascii="Times New Roman" w:eastAsia="Times New Roman" w:hAnsi="Times New Roman"/>
      <w:kern w:val="28"/>
      <w:sz w:val="22"/>
      <w:szCs w:val="22"/>
      <w:lang w:val="et-EE" w:eastAsia="et-EE" w:bidi="et-EE"/>
    </w:rPr>
  </w:style>
  <w:style w:type="character" w:customStyle="1" w:styleId="Heading2Char">
    <w:name w:val="Heading 2 Char"/>
    <w:link w:val="Heading2"/>
    <w:locked/>
    <w:rsid w:val="003B283B"/>
    <w:rPr>
      <w:rFonts w:ascii="Times New Roman" w:eastAsia="Times New Roman" w:hAnsi="Times New Roman"/>
      <w:sz w:val="22"/>
      <w:szCs w:val="22"/>
      <w:lang w:val="et-EE" w:eastAsia="et-EE" w:bidi="et-EE"/>
    </w:rPr>
  </w:style>
  <w:style w:type="character" w:customStyle="1" w:styleId="Heading3Char">
    <w:name w:val="Heading 3 Char"/>
    <w:link w:val="Heading3"/>
    <w:locked/>
    <w:rsid w:val="003B283B"/>
    <w:rPr>
      <w:rFonts w:ascii="Times New Roman" w:eastAsia="Times New Roman" w:hAnsi="Times New Roman"/>
      <w:sz w:val="22"/>
      <w:szCs w:val="22"/>
      <w:lang w:val="et-EE" w:eastAsia="et-EE" w:bidi="et-EE"/>
    </w:rPr>
  </w:style>
  <w:style w:type="character" w:customStyle="1" w:styleId="Heading4Char">
    <w:name w:val="Heading 4 Char"/>
    <w:link w:val="Heading4"/>
    <w:locked/>
    <w:rsid w:val="003B283B"/>
    <w:rPr>
      <w:rFonts w:ascii="Times New Roman" w:eastAsia="Times New Roman" w:hAnsi="Times New Roman"/>
      <w:sz w:val="22"/>
      <w:szCs w:val="22"/>
      <w:lang w:val="et-EE" w:eastAsia="et-EE" w:bidi="et-EE"/>
    </w:rPr>
  </w:style>
  <w:style w:type="character" w:customStyle="1" w:styleId="Heading5Char">
    <w:name w:val="Heading 5 Char"/>
    <w:link w:val="Heading5"/>
    <w:locked/>
    <w:rsid w:val="003B283B"/>
    <w:rPr>
      <w:rFonts w:ascii="Times New Roman" w:eastAsia="Times New Roman" w:hAnsi="Times New Roman"/>
      <w:sz w:val="22"/>
      <w:szCs w:val="22"/>
      <w:lang w:val="et-EE" w:eastAsia="et-EE" w:bidi="et-EE"/>
    </w:rPr>
  </w:style>
  <w:style w:type="character" w:customStyle="1" w:styleId="Heading6Char">
    <w:name w:val="Heading 6 Char"/>
    <w:link w:val="Heading6"/>
    <w:locked/>
    <w:rsid w:val="003B283B"/>
    <w:rPr>
      <w:rFonts w:ascii="Times New Roman" w:eastAsia="Times New Roman" w:hAnsi="Times New Roman"/>
      <w:sz w:val="22"/>
      <w:szCs w:val="22"/>
      <w:lang w:val="et-EE" w:eastAsia="et-EE" w:bidi="et-EE"/>
    </w:rPr>
  </w:style>
  <w:style w:type="character" w:customStyle="1" w:styleId="Heading7Char">
    <w:name w:val="Heading 7 Char"/>
    <w:link w:val="Heading7"/>
    <w:locked/>
    <w:rsid w:val="003B283B"/>
    <w:rPr>
      <w:rFonts w:ascii="Times New Roman" w:eastAsia="Times New Roman" w:hAnsi="Times New Roman"/>
      <w:sz w:val="22"/>
      <w:szCs w:val="22"/>
      <w:lang w:val="et-EE" w:eastAsia="et-EE" w:bidi="et-EE"/>
    </w:rPr>
  </w:style>
  <w:style w:type="character" w:customStyle="1" w:styleId="Heading8Char">
    <w:name w:val="Heading 8 Char"/>
    <w:link w:val="Heading8"/>
    <w:locked/>
    <w:rsid w:val="003B283B"/>
    <w:rPr>
      <w:rFonts w:ascii="Times New Roman" w:eastAsia="Times New Roman" w:hAnsi="Times New Roman"/>
      <w:sz w:val="22"/>
      <w:szCs w:val="22"/>
      <w:lang w:val="et-EE" w:eastAsia="et-EE" w:bidi="et-EE"/>
    </w:rPr>
  </w:style>
  <w:style w:type="character" w:customStyle="1" w:styleId="Heading9Char">
    <w:name w:val="Heading 9 Char"/>
    <w:link w:val="Heading9"/>
    <w:locked/>
    <w:rsid w:val="003B283B"/>
    <w:rPr>
      <w:rFonts w:ascii="Times New Roman" w:eastAsia="Times New Roman" w:hAnsi="Times New Roman"/>
      <w:sz w:val="22"/>
      <w:szCs w:val="22"/>
      <w:lang w:val="et-EE" w:eastAsia="et-EE" w:bidi="et-EE"/>
    </w:rPr>
  </w:style>
  <w:style w:type="paragraph" w:styleId="Footer">
    <w:name w:val="footer"/>
    <w:basedOn w:val="Normal"/>
    <w:link w:val="FooterChar"/>
    <w:uiPriority w:val="99"/>
    <w:qFormat/>
    <w:rsid w:val="0079472F"/>
  </w:style>
  <w:style w:type="character" w:customStyle="1" w:styleId="FooterChar">
    <w:name w:val="Footer Char"/>
    <w:link w:val="Footer"/>
    <w:uiPriority w:val="99"/>
    <w:locked/>
    <w:rsid w:val="003B283B"/>
    <w:rPr>
      <w:rFonts w:ascii="Times New Roman" w:eastAsia="Times New Roman" w:hAnsi="Times New Roman"/>
      <w:sz w:val="22"/>
      <w:szCs w:val="22"/>
      <w:lang w:eastAsia="et-EE" w:bidi="et-EE"/>
    </w:rPr>
  </w:style>
  <w:style w:type="paragraph" w:styleId="FootnoteText">
    <w:name w:val="footnote text"/>
    <w:basedOn w:val="Normal"/>
    <w:link w:val="FootnoteTextChar"/>
    <w:qFormat/>
    <w:rsid w:val="0079472F"/>
    <w:pPr>
      <w:keepLines/>
      <w:spacing w:after="60" w:line="240" w:lineRule="auto"/>
      <w:ind w:left="720" w:hanging="720"/>
    </w:pPr>
    <w:rPr>
      <w:sz w:val="16"/>
    </w:rPr>
  </w:style>
  <w:style w:type="character" w:customStyle="1" w:styleId="FootnoteTextChar">
    <w:name w:val="Footnote Text Char"/>
    <w:link w:val="FootnoteText"/>
    <w:locked/>
    <w:rsid w:val="003B283B"/>
    <w:rPr>
      <w:rFonts w:ascii="Times New Roman" w:eastAsia="Times New Roman" w:hAnsi="Times New Roman"/>
      <w:sz w:val="16"/>
      <w:szCs w:val="22"/>
      <w:lang w:val="et-EE" w:eastAsia="et-EE" w:bidi="et-EE"/>
    </w:rPr>
  </w:style>
  <w:style w:type="paragraph" w:styleId="Header">
    <w:name w:val="header"/>
    <w:basedOn w:val="Normal"/>
    <w:link w:val="HeaderChar"/>
    <w:qFormat/>
    <w:rsid w:val="0079472F"/>
  </w:style>
  <w:style w:type="character" w:customStyle="1" w:styleId="HeaderChar">
    <w:name w:val="Header Char"/>
    <w:link w:val="Header"/>
    <w:locked/>
    <w:rsid w:val="003B283B"/>
    <w:rPr>
      <w:rFonts w:ascii="Times New Roman" w:eastAsia="Times New Roman" w:hAnsi="Times New Roman"/>
      <w:sz w:val="22"/>
      <w:szCs w:val="22"/>
      <w:lang w:eastAsia="et-EE" w:bidi="et-EE"/>
    </w:rPr>
  </w:style>
  <w:style w:type="character" w:styleId="FootnoteReference">
    <w:name w:val="footnote reference"/>
    <w:basedOn w:val="DefaultParagraphFont"/>
    <w:unhideWhenUsed/>
    <w:qFormat/>
    <w:rsid w:val="0079472F"/>
    <w:rPr>
      <w:sz w:val="24"/>
      <w:vertAlign w:val="superscript"/>
    </w:rPr>
  </w:style>
  <w:style w:type="character" w:styleId="Hyperlink">
    <w:name w:val="Hyperlink"/>
    <w:uiPriority w:val="99"/>
    <w:rsid w:val="003B283B"/>
    <w:rPr>
      <w:rFonts w:ascii="Times New Roman" w:hAnsi="Times New Roman"/>
      <w:color w:val="0000FF"/>
      <w:u w:val="single"/>
    </w:rPr>
  </w:style>
  <w:style w:type="character" w:styleId="FollowedHyperlink">
    <w:name w:val="FollowedHyperlink"/>
    <w:semiHidden/>
    <w:rsid w:val="00A372EE"/>
    <w:rPr>
      <w:rFonts w:cs="Times New Roman"/>
      <w:color w:val="800080"/>
      <w:u w:val="single"/>
    </w:rPr>
  </w:style>
  <w:style w:type="paragraph" w:styleId="Revision">
    <w:name w:val="Revision"/>
    <w:hidden/>
    <w:uiPriority w:val="99"/>
    <w:semiHidden/>
    <w:rsid w:val="00461E3E"/>
    <w:rPr>
      <w:rFonts w:ascii="Times New Roman" w:hAnsi="Times New Roman"/>
      <w:sz w:val="22"/>
      <w:szCs w:val="22"/>
    </w:rPr>
  </w:style>
  <w:style w:type="paragraph" w:customStyle="1" w:styleId="quotes">
    <w:name w:val="quotes"/>
    <w:basedOn w:val="Normal"/>
    <w:next w:val="Normal"/>
    <w:rsid w:val="0079472F"/>
    <w:pPr>
      <w:ind w:left="720"/>
    </w:pPr>
    <w:rPr>
      <w:i/>
    </w:rPr>
  </w:style>
  <w:style w:type="paragraph" w:styleId="TOC1">
    <w:name w:val="toc 1"/>
    <w:basedOn w:val="Normal"/>
    <w:next w:val="Normal"/>
    <w:autoRedefine/>
    <w:uiPriority w:val="39"/>
    <w:locked/>
    <w:rsid w:val="009F58A3"/>
    <w:pPr>
      <w:spacing w:after="100"/>
    </w:pPr>
  </w:style>
  <w:style w:type="paragraph" w:styleId="TOC2">
    <w:name w:val="toc 2"/>
    <w:basedOn w:val="Normal"/>
    <w:next w:val="Normal"/>
    <w:autoRedefine/>
    <w:uiPriority w:val="39"/>
    <w:locked/>
    <w:rsid w:val="001D52CB"/>
    <w:pPr>
      <w:spacing w:after="100"/>
      <w:ind w:left="220"/>
    </w:pPr>
  </w:style>
  <w:style w:type="paragraph" w:customStyle="1" w:styleId="ListHeader">
    <w:name w:val="List Header"/>
    <w:uiPriority w:val="99"/>
    <w:rsid w:val="001E76FC"/>
    <w:pPr>
      <w:widowControl w:val="0"/>
      <w:autoSpaceDE w:val="0"/>
      <w:autoSpaceDN w:val="0"/>
      <w:adjustRightInd w:val="0"/>
    </w:pPr>
    <w:rPr>
      <w:rFonts w:ascii="Arial" w:eastAsiaTheme="minorEastAsia" w:hAnsi="Arial" w:cs="Arial"/>
      <w:b/>
      <w:bCs/>
      <w:color w:val="404040"/>
    </w:rPr>
  </w:style>
  <w:style w:type="paragraph" w:styleId="ListParagraph">
    <w:name w:val="List Paragraph"/>
    <w:basedOn w:val="Normal"/>
    <w:uiPriority w:val="34"/>
    <w:qFormat/>
    <w:rsid w:val="0047417A"/>
    <w:pPr>
      <w:ind w:left="720"/>
      <w:contextualSpacing/>
    </w:pPr>
  </w:style>
  <w:style w:type="character" w:customStyle="1" w:styleId="normal--char">
    <w:name w:val="normal--char"/>
    <w:basedOn w:val="DefaultParagraphFont"/>
    <w:rsid w:val="0047417A"/>
  </w:style>
  <w:style w:type="table" w:styleId="TableGrid">
    <w:name w:val="Table Grid"/>
    <w:basedOn w:val="TableNormal"/>
    <w:locked/>
    <w:rsid w:val="004929C8"/>
    <w:pPr>
      <w:overflowPunct w:val="0"/>
      <w:autoSpaceDE w:val="0"/>
      <w:autoSpaceDN w:val="0"/>
      <w:adjustRightInd w:val="0"/>
      <w:spacing w:line="288" w:lineRule="auto"/>
      <w:jc w:val="both"/>
      <w:textAlignment w:val="baseline"/>
    </w:pPr>
    <w:rPr>
      <w:rFonts w:ascii="Times New Roman" w:eastAsia="PMingLiU"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B447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DB4472"/>
    <w:rPr>
      <w:rFonts w:ascii="Tahoma" w:eastAsia="Times New Roman" w:hAnsi="Tahoma" w:cs="Tahoma"/>
      <w:sz w:val="16"/>
      <w:szCs w:val="16"/>
      <w:lang w:eastAsia="et-EE" w:bidi="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35396564">
      <w:bodyDiv w:val="1"/>
      <w:marLeft w:val="0"/>
      <w:marRight w:val="0"/>
      <w:marTop w:val="0"/>
      <w:marBottom w:val="0"/>
      <w:divBdr>
        <w:top w:val="none" w:sz="0" w:space="0" w:color="auto"/>
        <w:left w:val="none" w:sz="0" w:space="0" w:color="auto"/>
        <w:bottom w:val="none" w:sz="0" w:space="0" w:color="auto"/>
        <w:right w:val="none" w:sz="0" w:space="0" w:color="auto"/>
      </w:divBdr>
    </w:div>
    <w:div w:id="318072176">
      <w:bodyDiv w:val="1"/>
      <w:marLeft w:val="0"/>
      <w:marRight w:val="0"/>
      <w:marTop w:val="0"/>
      <w:marBottom w:val="0"/>
      <w:divBdr>
        <w:top w:val="none" w:sz="0" w:space="0" w:color="auto"/>
        <w:left w:val="none" w:sz="0" w:space="0" w:color="auto"/>
        <w:bottom w:val="none" w:sz="0" w:space="0" w:color="auto"/>
        <w:right w:val="none" w:sz="0" w:space="0" w:color="auto"/>
      </w:divBdr>
    </w:div>
    <w:div w:id="434639345">
      <w:bodyDiv w:val="1"/>
      <w:marLeft w:val="0"/>
      <w:marRight w:val="0"/>
      <w:marTop w:val="0"/>
      <w:marBottom w:val="0"/>
      <w:divBdr>
        <w:top w:val="none" w:sz="0" w:space="0" w:color="auto"/>
        <w:left w:val="none" w:sz="0" w:space="0" w:color="auto"/>
        <w:bottom w:val="none" w:sz="0" w:space="0" w:color="auto"/>
        <w:right w:val="none" w:sz="0" w:space="0" w:color="auto"/>
      </w:divBdr>
    </w:div>
    <w:div w:id="570434624">
      <w:bodyDiv w:val="1"/>
      <w:marLeft w:val="0"/>
      <w:marRight w:val="0"/>
      <w:marTop w:val="0"/>
      <w:marBottom w:val="0"/>
      <w:divBdr>
        <w:top w:val="none" w:sz="0" w:space="0" w:color="auto"/>
        <w:left w:val="none" w:sz="0" w:space="0" w:color="auto"/>
        <w:bottom w:val="none" w:sz="0" w:space="0" w:color="auto"/>
        <w:right w:val="none" w:sz="0" w:space="0" w:color="auto"/>
      </w:divBdr>
    </w:div>
    <w:div w:id="575553052">
      <w:bodyDiv w:val="1"/>
      <w:marLeft w:val="0"/>
      <w:marRight w:val="0"/>
      <w:marTop w:val="0"/>
      <w:marBottom w:val="0"/>
      <w:divBdr>
        <w:top w:val="none" w:sz="0" w:space="0" w:color="auto"/>
        <w:left w:val="none" w:sz="0" w:space="0" w:color="auto"/>
        <w:bottom w:val="none" w:sz="0" w:space="0" w:color="auto"/>
        <w:right w:val="none" w:sz="0" w:space="0" w:color="auto"/>
      </w:divBdr>
    </w:div>
    <w:div w:id="775488180">
      <w:bodyDiv w:val="1"/>
      <w:marLeft w:val="0"/>
      <w:marRight w:val="0"/>
      <w:marTop w:val="0"/>
      <w:marBottom w:val="0"/>
      <w:divBdr>
        <w:top w:val="none" w:sz="0" w:space="0" w:color="auto"/>
        <w:left w:val="none" w:sz="0" w:space="0" w:color="auto"/>
        <w:bottom w:val="none" w:sz="0" w:space="0" w:color="auto"/>
        <w:right w:val="none" w:sz="0" w:space="0" w:color="auto"/>
      </w:divBdr>
    </w:div>
    <w:div w:id="1654603152">
      <w:bodyDiv w:val="1"/>
      <w:marLeft w:val="0"/>
      <w:marRight w:val="0"/>
      <w:marTop w:val="0"/>
      <w:marBottom w:val="0"/>
      <w:divBdr>
        <w:top w:val="none" w:sz="0" w:space="0" w:color="auto"/>
        <w:left w:val="none" w:sz="0" w:space="0" w:color="auto"/>
        <w:bottom w:val="none" w:sz="0" w:space="0" w:color="auto"/>
        <w:right w:val="none" w:sz="0" w:space="0" w:color="auto"/>
      </w:divBdr>
    </w:div>
    <w:div w:id="196584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eader" Target="header3.xml"/><Relationship Id="rId26" Type="http://schemas.openxmlformats.org/officeDocument/2006/relationships/header" Target="header6.xml"/><Relationship Id="rId39"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hyperlink" Target="http://www.eesc.europa.eu/?i=portal.fr.opinions-search" TargetMode="External"/><Relationship Id="rId34" Type="http://schemas.openxmlformats.org/officeDocument/2006/relationships/hyperlink" Target="mailto:gerald.klec@eesc.europa.eu" TargetMode="External"/><Relationship Id="rId42" Type="http://schemas.openxmlformats.org/officeDocument/2006/relationships/header" Target="header9.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oter" Target="footer5.xml"/><Relationship Id="rId33" Type="http://schemas.openxmlformats.org/officeDocument/2006/relationships/hyperlink" Target="mailto:alexander.alexandrov@eesc.europa.eu" TargetMode="External"/><Relationship Id="rId38"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eesc.europa.eu/?i=portal.fr.documents" TargetMode="External"/><Relationship Id="rId29" Type="http://schemas.openxmlformats.org/officeDocument/2006/relationships/hyperlink" Target="mailto:Alexander.Alexandrov@eesc.europa.eu" TargetMode="External"/><Relationship Id="rId41"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4.xml"/><Relationship Id="rId32" Type="http://schemas.openxmlformats.org/officeDocument/2006/relationships/hyperlink" Target="mailto:alexander.alexandrov@eesc.europa.eu" TargetMode="External"/><Relationship Id="rId37" Type="http://schemas.openxmlformats.org/officeDocument/2006/relationships/hyperlink" Target="mailto:barbara.walentynowicz@eesc.europa.eu" TargetMode="External"/><Relationship Id="rId40" Type="http://schemas.openxmlformats.org/officeDocument/2006/relationships/footer" Target="footer7.xm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5.xml"/><Relationship Id="rId28" Type="http://schemas.openxmlformats.org/officeDocument/2006/relationships/hyperlink" Target="mailto:siegfried.jantscher@eesc.europa.eu" TargetMode="External"/><Relationship Id="rId36" Type="http://schemas.openxmlformats.org/officeDocument/2006/relationships/hyperlink" Target="mailto:Erika.Paulinova@eesc.europa.eu" TargetMode="Externa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hyperlink" Target="mailto:Alexander.Alexandrov@eesc.europa.eu"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eader" Target="header4.xml"/><Relationship Id="rId27" Type="http://schemas.openxmlformats.org/officeDocument/2006/relationships/footer" Target="footer6.xml"/><Relationship Id="rId30" Type="http://schemas.openxmlformats.org/officeDocument/2006/relationships/hyperlink" Target="mailto:gerald.klec@eesc.europa.eu" TargetMode="External"/><Relationship Id="rId35" Type="http://schemas.openxmlformats.org/officeDocument/2006/relationships/hyperlink" Target="mailto:jean-pierre.faure@eesc.europa.eu" TargetMode="External"/><Relationship Id="rId43" Type="http://schemas.openxmlformats.org/officeDocument/2006/relationships/footer" Target="footer9.xml"/></Relationships>
</file>

<file path=word/_rels/settings.xml.rels><?xml version="1.0" encoding="UTF-8" standalone="yes"?>
<Relationships xmlns="http://schemas.openxmlformats.org/package/2006/relationships"><Relationship Id="rId1" Type="http://schemas.openxmlformats.org/officeDocument/2006/relationships/attachedTemplate" Target="file:///\\isis\dfs\softwlib\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dlc_DocId xmlns="8835a8a4-5a07-4207-ac1e-223f88a8f7af">3XPXQ63Y2AW3-4-5322</_dlc_DocId>
    <_dlc_DocIdUrl xmlns="8835a8a4-5a07-4207-ac1e-223f88a8f7af">
      <Url>http://dm/EESC/2016/_layouts/DocIdRedir.aspx?ID=3XPXQ63Y2AW3-4-5322</Url>
      <Description>3XPXQ63Y2AW3-4-5322</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MeetingNumber xmlns="de4cff7e-4e20-4eb3-a3d2-f9b81ff3cdf6">515</MeetingNumber>
    <Procedure xmlns="8835a8a4-5a07-4207-ac1e-223f88a8f7a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835a8a4-5a07-4207-ac1e-223f88a8f7af">2016-04-13T12:00:00+00:00</ProductionDate>
    <FicheYear xmlns="8835a8a4-5a07-4207-ac1e-223f88a8f7af">2016</FicheYear>
    <DocumentNumber xmlns="de4cff7e-4e20-4eb3-a3d2-f9b81ff3cdf6">1263</DocumentNumber>
    <DocumentVersion xmlns="8835a8a4-5a07-4207-ac1e-223f88a8f7af">1</DocumentVersion>
    <DossierNumber xmlns="8835a8a4-5a07-4207-ac1e-223f88a8f7a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DocumentLanguage_0 xmlns="http://schemas.microsoft.com/sharepoint/v3/fields">
      <Terms xmlns="http://schemas.microsoft.com/office/infopath/2007/PartnerControls">
        <TermInfo xmlns="http://schemas.microsoft.com/office/infopath/2007/PartnerControls">
          <TermName xmlns="http://schemas.microsoft.com/office/infopath/2007/PartnerControls">ET</TermName>
          <TermId xmlns="http://schemas.microsoft.com/office/infopath/2007/PartnerControls">ff6c3f4c-b02c-4c3c-ab07-2c37995a7a0a</TermId>
        </TermInfo>
      </Terms>
    </DocumentLanguage_0>
    <TaxCatchAll xmlns="8835a8a4-5a07-4207-ac1e-223f88a8f7af">
      <Value>40</Value>
      <Value>39</Value>
      <Value>38</Value>
      <Value>37</Value>
      <Value>36</Value>
      <Value>35</Value>
      <Value>34</Value>
      <Value>33</Value>
      <Value>24</Value>
      <Value>28</Value>
      <Value>26</Value>
      <Value>25</Value>
      <Value>71</Value>
      <Value>23</Value>
      <Value>22</Value>
      <Value>21</Value>
      <Value>20</Value>
      <Value>19</Value>
      <Value>18</Value>
      <Value>17</Value>
      <Value>16</Value>
      <Value>15</Value>
      <Value>10</Value>
      <Value>6</Value>
      <Value>5</Value>
      <Value>4</Value>
      <Value>2</Value>
      <Value>1</Value>
    </TaxCatchAll>
    <MeetingDate xmlns="8835a8a4-5a07-4207-ac1e-223f88a8f7af">2016-03-16T12:00:00+00:00</MeetingDate>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835a8a4-5a07-4207-ac1e-223f88a8f7af" xsi:nil="true"/>
    <DocumentYear xmlns="8835a8a4-5a07-4207-ac1e-223f88a8f7af">2016</DocumentYear>
    <FicheNumber xmlns="8835a8a4-5a07-4207-ac1e-223f88a8f7af">3091</FicheNumber>
    <DocumentPart xmlns="8835a8a4-5a07-4207-ac1e-223f88a8f7af">0</DocumentPart>
    <AdoptionDate xmlns="8835a8a4-5a07-4207-ac1e-223f88a8f7af" xsi:nil="tru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RequestingService xmlns="8835a8a4-5a07-4207-ac1e-223f88a8f7af">Greffe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AvailableTranslations_0>
  </documentManagement>
</p:propertie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125E4F99FF85F041A9387D78E8B8EE2D" ma:contentTypeVersion="4" ma:contentTypeDescription="Defines the documents for Document Manager V2" ma:contentTypeScope="" ma:versionID="e160df8343e79264e1beb3e8ab67aed6">
  <xsd:schema xmlns:xsd="http://www.w3.org/2001/XMLSchema" xmlns:xs="http://www.w3.org/2001/XMLSchema" xmlns:p="http://schemas.microsoft.com/office/2006/metadata/properties" xmlns:ns2="8835a8a4-5a07-4207-ac1e-223f88a8f7af" xmlns:ns3="http://schemas.microsoft.com/sharepoint/v3/fields" xmlns:ns4="de4cff7e-4e20-4eb3-a3d2-f9b81ff3cdf6" targetNamespace="http://schemas.microsoft.com/office/2006/metadata/properties" ma:root="true" ma:fieldsID="faef69ccf12077eadfc45ec2785a4fb4" ns2:_="" ns3:_="" ns4:_="">
    <xsd:import namespace="8835a8a4-5a07-4207-ac1e-223f88a8f7af"/>
    <xsd:import namespace="http://schemas.microsoft.com/sharepoint/v3/fields"/>
    <xsd:import namespace="de4cff7e-4e20-4eb3-a3d2-f9b81ff3cdf6"/>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5a8a4-5a07-4207-ac1e-223f88a8f7a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f3f0825d-ea3e-46c1-8cce-b7b67f4cb9e0}" ma:internalName="TaxCatchAll" ma:showField="CatchAllData"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f3f0825d-ea3e-46c1-8cce-b7b67f4cb9e0}" ma:internalName="TaxCatchAllLabel" ma:readOnly="true" ma:showField="CatchAllDataLabel"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e4cff7e-4e20-4eb3-a3d2-f9b81ff3cdf6"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F21020-769F-445A-ACE8-D4837AA421C2}"/>
</file>

<file path=customXml/itemProps2.xml><?xml version="1.0" encoding="utf-8"?>
<ds:datastoreItem xmlns:ds="http://schemas.openxmlformats.org/officeDocument/2006/customXml" ds:itemID="{27172C6D-F210-4BCC-96B9-D59A42C1E6F5}"/>
</file>

<file path=customXml/itemProps3.xml><?xml version="1.0" encoding="utf-8"?>
<ds:datastoreItem xmlns:ds="http://schemas.openxmlformats.org/officeDocument/2006/customXml" ds:itemID="{FEE793A4-F022-4749-956E-D21699553FD1}"/>
</file>

<file path=customXml/itemProps4.xml><?xml version="1.0" encoding="utf-8"?>
<ds:datastoreItem xmlns:ds="http://schemas.openxmlformats.org/officeDocument/2006/customXml" ds:itemID="{65C41151-A0C8-492A-9572-9867E45A8089}"/>
</file>

<file path=customXml/itemProps5.xml><?xml version="1.0" encoding="utf-8"?>
<ds:datastoreItem xmlns:ds="http://schemas.openxmlformats.org/officeDocument/2006/customXml" ds:itemID="{2272B315-18A8-418C-AEDB-0DE6F18C5CA7}"/>
</file>

<file path=docProps/app.xml><?xml version="1.0" encoding="utf-8"?>
<Properties xmlns="http://schemas.openxmlformats.org/officeDocument/2006/extended-properties" xmlns:vt="http://schemas.openxmlformats.org/officeDocument/2006/docPropsVTypes">
  <Template>Styles.dotm</Template>
  <TotalTime>9</TotalTime>
  <Pages>3</Pages>
  <Words>2569</Words>
  <Characters>20180</Characters>
  <Application>Microsoft Office Word</Application>
  <DocSecurity>0</DocSecurity>
  <Lines>480</Lines>
  <Paragraphs>167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Note de synthèse - 510e Session plénière des 16 &amp; 17 septembre 2015</vt:lpstr>
      <vt:lpstr> </vt:lpstr>
    </vt:vector>
  </TitlesOfParts>
  <Company>CESE-CdR</Company>
  <LinksUpToDate>false</LinksUpToDate>
  <CharactersWithSpaces>22686</CharactersWithSpaces>
  <SharedDoc>false</SharedDoc>
  <HLinks>
    <vt:vector size="180" baseType="variant">
      <vt:variant>
        <vt:i4>6029429</vt:i4>
      </vt:variant>
      <vt:variant>
        <vt:i4>162</vt:i4>
      </vt:variant>
      <vt:variant>
        <vt:i4>0</vt:i4>
      </vt:variant>
      <vt:variant>
        <vt:i4>5</vt:i4>
      </vt:variant>
      <vt:variant>
        <vt:lpwstr>mailto:GeorgesHenry.Carrard@eesc.europa.eu</vt:lpwstr>
      </vt:variant>
      <vt:variant>
        <vt:lpwstr/>
      </vt:variant>
      <vt:variant>
        <vt:i4>2752529</vt:i4>
      </vt:variant>
      <vt:variant>
        <vt:i4>159</vt:i4>
      </vt:variant>
      <vt:variant>
        <vt:i4>0</vt:i4>
      </vt:variant>
      <vt:variant>
        <vt:i4>5</vt:i4>
      </vt:variant>
      <vt:variant>
        <vt:lpwstr>mailto:rafael.bellongomez@eesc.europa.eu</vt:lpwstr>
      </vt:variant>
      <vt:variant>
        <vt:lpwstr/>
      </vt:variant>
      <vt:variant>
        <vt:i4>6029429</vt:i4>
      </vt:variant>
      <vt:variant>
        <vt:i4>156</vt:i4>
      </vt:variant>
      <vt:variant>
        <vt:i4>0</vt:i4>
      </vt:variant>
      <vt:variant>
        <vt:i4>5</vt:i4>
      </vt:variant>
      <vt:variant>
        <vt:lpwstr>mailto:GeorgesHenry.Carrard@eesc.europa.eu</vt:lpwstr>
      </vt:variant>
      <vt:variant>
        <vt:lpwstr/>
      </vt:variant>
      <vt:variant>
        <vt:i4>2424842</vt:i4>
      </vt:variant>
      <vt:variant>
        <vt:i4>153</vt:i4>
      </vt:variant>
      <vt:variant>
        <vt:i4>0</vt:i4>
      </vt:variant>
      <vt:variant>
        <vt:i4>5</vt:i4>
      </vt:variant>
      <vt:variant>
        <vt:lpwstr>mailto:Tzonka.Iotzova@eesc.europa.eu</vt:lpwstr>
      </vt:variant>
      <vt:variant>
        <vt:lpwstr/>
      </vt:variant>
      <vt:variant>
        <vt:i4>3604507</vt:i4>
      </vt:variant>
      <vt:variant>
        <vt:i4>150</vt:i4>
      </vt:variant>
      <vt:variant>
        <vt:i4>0</vt:i4>
      </vt:variant>
      <vt:variant>
        <vt:i4>5</vt:i4>
      </vt:variant>
      <vt:variant>
        <vt:lpwstr>mailto:Joanna.Ziecina@eesc.europa.eu</vt:lpwstr>
      </vt:variant>
      <vt:variant>
        <vt:lpwstr/>
      </vt:variant>
      <vt:variant>
        <vt:i4>3604507</vt:i4>
      </vt:variant>
      <vt:variant>
        <vt:i4>144</vt:i4>
      </vt:variant>
      <vt:variant>
        <vt:i4>0</vt:i4>
      </vt:variant>
      <vt:variant>
        <vt:i4>5</vt:i4>
      </vt:variant>
      <vt:variant>
        <vt:lpwstr>mailto:Joanna.Ziecina@eesc.europa.eu</vt:lpwstr>
      </vt:variant>
      <vt:variant>
        <vt:lpwstr/>
      </vt:variant>
      <vt:variant>
        <vt:i4>6029411</vt:i4>
      </vt:variant>
      <vt:variant>
        <vt:i4>135</vt:i4>
      </vt:variant>
      <vt:variant>
        <vt:i4>0</vt:i4>
      </vt:variant>
      <vt:variant>
        <vt:i4>5</vt:i4>
      </vt:variant>
      <vt:variant>
        <vt:lpwstr>mailto:LucaVenerando.Giuffrida@eesc.europa.eu</vt:lpwstr>
      </vt:variant>
      <vt:variant>
        <vt:lpwstr/>
      </vt:variant>
      <vt:variant>
        <vt:i4>4915303</vt:i4>
      </vt:variant>
      <vt:variant>
        <vt:i4>123</vt:i4>
      </vt:variant>
      <vt:variant>
        <vt:i4>0</vt:i4>
      </vt:variant>
      <vt:variant>
        <vt:i4>5</vt:i4>
      </vt:variant>
      <vt:variant>
        <vt:lpwstr>mailto:Erika.Paulinova@eesc.europa.eu</vt:lpwstr>
      </vt:variant>
      <vt:variant>
        <vt:lpwstr/>
      </vt:variant>
      <vt:variant>
        <vt:i4>1835065</vt:i4>
      </vt:variant>
      <vt:variant>
        <vt:i4>117</vt:i4>
      </vt:variant>
      <vt:variant>
        <vt:i4>0</vt:i4>
      </vt:variant>
      <vt:variant>
        <vt:i4>5</vt:i4>
      </vt:variant>
      <vt:variant>
        <vt:lpwstr>mailto:irina.fomina@eesc.europa.eu</vt:lpwstr>
      </vt:variant>
      <vt:variant>
        <vt:lpwstr/>
      </vt:variant>
      <vt:variant>
        <vt:i4>4128786</vt:i4>
      </vt:variant>
      <vt:variant>
        <vt:i4>111</vt:i4>
      </vt:variant>
      <vt:variant>
        <vt:i4>0</vt:i4>
      </vt:variant>
      <vt:variant>
        <vt:i4>5</vt:i4>
      </vt:variant>
      <vt:variant>
        <vt:lpwstr>mailto:dorota.zapatka@eesc.europa.eu</vt:lpwstr>
      </vt:variant>
      <vt:variant>
        <vt:lpwstr/>
      </vt:variant>
      <vt:variant>
        <vt:i4>1966125</vt:i4>
      </vt:variant>
      <vt:variant>
        <vt:i4>105</vt:i4>
      </vt:variant>
      <vt:variant>
        <vt:i4>0</vt:i4>
      </vt:variant>
      <vt:variant>
        <vt:i4>5</vt:i4>
      </vt:variant>
      <vt:variant>
        <vt:lpwstr>mailto:petra.dlouha@eesc.europa.eu</vt:lpwstr>
      </vt:variant>
      <vt:variant>
        <vt:lpwstr/>
      </vt:variant>
      <vt:variant>
        <vt:i4>1966125</vt:i4>
      </vt:variant>
      <vt:variant>
        <vt:i4>99</vt:i4>
      </vt:variant>
      <vt:variant>
        <vt:i4>0</vt:i4>
      </vt:variant>
      <vt:variant>
        <vt:i4>5</vt:i4>
      </vt:variant>
      <vt:variant>
        <vt:lpwstr>mailto:petra.dlouha@eesc.europa.eu</vt:lpwstr>
      </vt:variant>
      <vt:variant>
        <vt:lpwstr/>
      </vt:variant>
      <vt:variant>
        <vt:i4>6684743</vt:i4>
      </vt:variant>
      <vt:variant>
        <vt:i4>93</vt:i4>
      </vt:variant>
      <vt:variant>
        <vt:i4>0</vt:i4>
      </vt:variant>
      <vt:variant>
        <vt:i4>5</vt:i4>
      </vt:variant>
      <vt:variant>
        <vt:lpwstr>mailto:stella.brozekeveraert@eesc.europa.eu</vt:lpwstr>
      </vt:variant>
      <vt:variant>
        <vt:lpwstr/>
      </vt:variant>
      <vt:variant>
        <vt:i4>3997707</vt:i4>
      </vt:variant>
      <vt:variant>
        <vt:i4>87</vt:i4>
      </vt:variant>
      <vt:variant>
        <vt:i4>0</vt:i4>
      </vt:variant>
      <vt:variant>
        <vt:i4>5</vt:i4>
      </vt:variant>
      <vt:variant>
        <vt:lpwstr>mailto:arturo.iniguez@eesc.europa.eu</vt:lpwstr>
      </vt:variant>
      <vt:variant>
        <vt:lpwstr/>
      </vt:variant>
      <vt:variant>
        <vt:i4>1835051</vt:i4>
      </vt:variant>
      <vt:variant>
        <vt:i4>81</vt:i4>
      </vt:variant>
      <vt:variant>
        <vt:i4>0</vt:i4>
      </vt:variant>
      <vt:variant>
        <vt:i4>5</vt:i4>
      </vt:variant>
      <vt:variant>
        <vt:lpwstr>mailto:gerald.klec@eesc.europa.eu</vt:lpwstr>
      </vt:variant>
      <vt:variant>
        <vt:lpwstr/>
      </vt:variant>
      <vt:variant>
        <vt:i4>1835051</vt:i4>
      </vt:variant>
      <vt:variant>
        <vt:i4>75</vt:i4>
      </vt:variant>
      <vt:variant>
        <vt:i4>0</vt:i4>
      </vt:variant>
      <vt:variant>
        <vt:i4>5</vt:i4>
      </vt:variant>
      <vt:variant>
        <vt:lpwstr>mailto:gerald.klec@eesc.europa.eu</vt:lpwstr>
      </vt:variant>
      <vt:variant>
        <vt:lpwstr/>
      </vt:variant>
      <vt:variant>
        <vt:i4>1900601</vt:i4>
      </vt:variant>
      <vt:variant>
        <vt:i4>62</vt:i4>
      </vt:variant>
      <vt:variant>
        <vt:i4>0</vt:i4>
      </vt:variant>
      <vt:variant>
        <vt:i4>5</vt:i4>
      </vt:variant>
      <vt:variant>
        <vt:lpwstr/>
      </vt:variant>
      <vt:variant>
        <vt:lpwstr>_Toc424111884</vt:lpwstr>
      </vt:variant>
      <vt:variant>
        <vt:i4>1900601</vt:i4>
      </vt:variant>
      <vt:variant>
        <vt:i4>56</vt:i4>
      </vt:variant>
      <vt:variant>
        <vt:i4>0</vt:i4>
      </vt:variant>
      <vt:variant>
        <vt:i4>5</vt:i4>
      </vt:variant>
      <vt:variant>
        <vt:lpwstr/>
      </vt:variant>
      <vt:variant>
        <vt:lpwstr>_Toc424111883</vt:lpwstr>
      </vt:variant>
      <vt:variant>
        <vt:i4>1900601</vt:i4>
      </vt:variant>
      <vt:variant>
        <vt:i4>50</vt:i4>
      </vt:variant>
      <vt:variant>
        <vt:i4>0</vt:i4>
      </vt:variant>
      <vt:variant>
        <vt:i4>5</vt:i4>
      </vt:variant>
      <vt:variant>
        <vt:lpwstr/>
      </vt:variant>
      <vt:variant>
        <vt:lpwstr>_Toc424111882</vt:lpwstr>
      </vt:variant>
      <vt:variant>
        <vt:i4>1900601</vt:i4>
      </vt:variant>
      <vt:variant>
        <vt:i4>44</vt:i4>
      </vt:variant>
      <vt:variant>
        <vt:i4>0</vt:i4>
      </vt:variant>
      <vt:variant>
        <vt:i4>5</vt:i4>
      </vt:variant>
      <vt:variant>
        <vt:lpwstr/>
      </vt:variant>
      <vt:variant>
        <vt:lpwstr>_Toc424111881</vt:lpwstr>
      </vt:variant>
      <vt:variant>
        <vt:i4>1900601</vt:i4>
      </vt:variant>
      <vt:variant>
        <vt:i4>38</vt:i4>
      </vt:variant>
      <vt:variant>
        <vt:i4>0</vt:i4>
      </vt:variant>
      <vt:variant>
        <vt:i4>5</vt:i4>
      </vt:variant>
      <vt:variant>
        <vt:lpwstr/>
      </vt:variant>
      <vt:variant>
        <vt:lpwstr>_Toc424111880</vt:lpwstr>
      </vt:variant>
      <vt:variant>
        <vt:i4>1179705</vt:i4>
      </vt:variant>
      <vt:variant>
        <vt:i4>32</vt:i4>
      </vt:variant>
      <vt:variant>
        <vt:i4>0</vt:i4>
      </vt:variant>
      <vt:variant>
        <vt:i4>5</vt:i4>
      </vt:variant>
      <vt:variant>
        <vt:lpwstr/>
      </vt:variant>
      <vt:variant>
        <vt:lpwstr>_Toc424111879</vt:lpwstr>
      </vt:variant>
      <vt:variant>
        <vt:i4>1179705</vt:i4>
      </vt:variant>
      <vt:variant>
        <vt:i4>26</vt:i4>
      </vt:variant>
      <vt:variant>
        <vt:i4>0</vt:i4>
      </vt:variant>
      <vt:variant>
        <vt:i4>5</vt:i4>
      </vt:variant>
      <vt:variant>
        <vt:lpwstr/>
      </vt:variant>
      <vt:variant>
        <vt:lpwstr>_Toc424111878</vt:lpwstr>
      </vt:variant>
      <vt:variant>
        <vt:i4>1179705</vt:i4>
      </vt:variant>
      <vt:variant>
        <vt:i4>20</vt:i4>
      </vt:variant>
      <vt:variant>
        <vt:i4>0</vt:i4>
      </vt:variant>
      <vt:variant>
        <vt:i4>5</vt:i4>
      </vt:variant>
      <vt:variant>
        <vt:lpwstr/>
      </vt:variant>
      <vt:variant>
        <vt:lpwstr>_Toc424111877</vt:lpwstr>
      </vt:variant>
      <vt:variant>
        <vt:i4>1179705</vt:i4>
      </vt:variant>
      <vt:variant>
        <vt:i4>14</vt:i4>
      </vt:variant>
      <vt:variant>
        <vt:i4>0</vt:i4>
      </vt:variant>
      <vt:variant>
        <vt:i4>5</vt:i4>
      </vt:variant>
      <vt:variant>
        <vt:lpwstr/>
      </vt:variant>
      <vt:variant>
        <vt:lpwstr>_Toc424111876</vt:lpwstr>
      </vt:variant>
      <vt:variant>
        <vt:i4>2555940</vt:i4>
      </vt:variant>
      <vt:variant>
        <vt:i4>9</vt:i4>
      </vt:variant>
      <vt:variant>
        <vt:i4>0</vt:i4>
      </vt:variant>
      <vt:variant>
        <vt:i4>5</vt:i4>
      </vt:variant>
      <vt:variant>
        <vt:lpwstr>http://www.eesc.europa.eu/?i=portal.fr.opinions-search</vt:lpwstr>
      </vt:variant>
      <vt:variant>
        <vt:lpwstr/>
      </vt:variant>
      <vt:variant>
        <vt:i4>3866663</vt:i4>
      </vt:variant>
      <vt:variant>
        <vt:i4>6</vt:i4>
      </vt:variant>
      <vt:variant>
        <vt:i4>0</vt:i4>
      </vt:variant>
      <vt:variant>
        <vt:i4>5</vt:i4>
      </vt:variant>
      <vt:variant>
        <vt:lpwstr>http://www.eesc.europa.eu/?i=portal.en.opinions-search</vt:lpwstr>
      </vt:variant>
      <vt:variant>
        <vt:lpwstr/>
      </vt:variant>
      <vt:variant>
        <vt:i4>8060967</vt:i4>
      </vt:variant>
      <vt:variant>
        <vt:i4>3</vt:i4>
      </vt:variant>
      <vt:variant>
        <vt:i4>0</vt:i4>
      </vt:variant>
      <vt:variant>
        <vt:i4>5</vt:i4>
      </vt:variant>
      <vt:variant>
        <vt:lpwstr>http://www.eesc.europa.eu/?i=portal.fr.documents</vt:lpwstr>
      </vt:variant>
      <vt:variant>
        <vt:lpwstr>/boxTab1-2</vt:lpwstr>
      </vt:variant>
      <vt:variant>
        <vt:i4>6750244</vt:i4>
      </vt:variant>
      <vt:variant>
        <vt:i4>0</vt:i4>
      </vt:variant>
      <vt:variant>
        <vt:i4>0</vt:i4>
      </vt:variant>
      <vt:variant>
        <vt:i4>5</vt:i4>
      </vt:variant>
      <vt:variant>
        <vt:lpwstr>http://www.eesc.europa.eu/?i=portal.en.documents</vt:lpwstr>
      </vt:variant>
      <vt:variant>
        <vt:lpwstr>/boxTab1-2</vt:lpwstr>
      </vt:variant>
      <vt:variant>
        <vt:i4>2228330</vt:i4>
      </vt:variant>
      <vt:variant>
        <vt:i4>0</vt:i4>
      </vt:variant>
      <vt:variant>
        <vt:i4>0</vt:i4>
      </vt:variant>
      <vt:variant>
        <vt:i4>5</vt:i4>
      </vt:variant>
      <vt:variant>
        <vt:lpwstr>http://www.eesc.europa.eu/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Kokkuvõte vastuvõetud arvamustest MÄRTS</dc:title>
  <dc:subject>Nõuandetegevus, mitmesugust </dc:subject>
  <dc:creator/>
  <cp:keywords>EESC-2016-01263-00-01-TCD-TRA-ET</cp:keywords>
  <dc:description>Rapporteur: -_x000d_
Original language: FR, EN_x000d_
Date of document: 13/04/2016_x000d_
Date of meeting: 16/03/2016_x000d_
External documents: -_x000d_
Administrator responsible: Cosmai Domenico, telephone: +32 (0)2 546 9041_x000d_
_x000d_
Abstract:</dc:description>
  <cp:lastModifiedBy>Mari Schockaert</cp:lastModifiedBy>
  <cp:revision>6</cp:revision>
  <cp:lastPrinted>2016-04-05T07:11:00Z</cp:lastPrinted>
  <dcterms:created xsi:type="dcterms:W3CDTF">2016-04-11T11:49:00Z</dcterms:created>
  <dcterms:modified xsi:type="dcterms:W3CDTF">2016-04-13T13:56:00Z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11/04/2016, 11/04/2016, 14/03/2016, 11/03/2016, 11/03/2016, 15/02/2016, 15/02/2016, 15/02/2016, 03/02/2016, 03/02/2016, 14/01/2016, 14/01/2016, 17/12/2015, 17/12/2015, 17/09/2015, 17/09/2015, 02/07/2015, 02/07/2015, 26/05/2015, 26/05/2015, 26/05/2015, 28/</vt:lpwstr>
  </property>
  <property fmtid="{D5CDD505-2E9C-101B-9397-08002B2CF9AE}" pid="4" name="Pref_Time">
    <vt:lpwstr>13:43:41, 12:12:37, 08:31:22, 17:08:54, 15:59:23, 12:27:50, 12:09:16, 09:49:23, 17:26:57, 16:09:02, 17:58:07, 17:32:44, 15:05:42, 11:13:53, 16:35:31, 16:17:21, 11:06:52, 09:02:14, 11:36:17, 10:24:48, 10:08:29, 10:48:07, 08:46:16, 16:41:11, 09:47:16, 17:45</vt:lpwstr>
  </property>
  <property fmtid="{D5CDD505-2E9C-101B-9397-08002B2CF9AE}" pid="5" name="Pref_User">
    <vt:lpwstr>jhvi, hnic, amett, enied, nmcg, amett, enied, ymur, tvoc, nmcg, vvos, ssex, vvos, vvos, mkop, nmcg, amett, htoo, tvoc, dtai, nmcg, amett, ymur, amett, YMUR, jhvi, gharr</vt:lpwstr>
  </property>
  <property fmtid="{D5CDD505-2E9C-101B-9397-08002B2CF9AE}" pid="6" name="Pref_FileName">
    <vt:lpwstr>EESC-2016-01263-00-01-TCD-TRA-EN-CRR.docx, EESC-2016-01263-00-01-TCD-CRR-EN.docx, EESC-2016-01263-00-00-TCD-ORI.docx, EESC-2016-01263-00-00-TCD-TRA-EN-CRR.docx, EESC-2016-01263-00-00-TCD-CRR-EN.docx, EESC-2016-00599-00-00-TCD-ORI.docx, EESC-2016-00599-00-</vt:lpwstr>
  </property>
  <property fmtid="{D5CDD505-2E9C-101B-9397-08002B2CF9AE}" pid="7" name="ContentTypeId">
    <vt:lpwstr>0x010100EA97B91038054C99906057A708A1480A00125E4F99FF85F041A9387D78E8B8EE2D</vt:lpwstr>
  </property>
  <property fmtid="{D5CDD505-2E9C-101B-9397-08002B2CF9AE}" pid="8" name="_dlc_DocIdItemGuid">
    <vt:lpwstr>e06f6453-774f-45fa-a25e-35392cb39e17</vt:lpwstr>
  </property>
  <property fmtid="{D5CDD505-2E9C-101B-9397-08002B2CF9AE}" pid="9" name="AvailableTranslations">
    <vt:lpwstr>21;#SL|98a412ae-eb01-49e9-ae3d-585a81724cfc;#37;#LT|a7ff5ce7-6123-4f68-865a-a57c31810414;#22;#DE|f6b31e5a-26fa-4935-b661-318e46daf27e;#28;#ES|e7a6b05b-ae16-40c8-add9-68b64b03aeba;#26;#ET|ff6c3f4c-b02c-4c3c-ab07-2c37995a7a0a;#18;#SV|c2ed69e7-a339-43d7-8f22-d93680a92aa0;#25;#RO|feb747a2-64cd-4299-af12-4833ddc30497;#24;#PL|1e03da61-4678-4e07-b136-b5024ca9197b;#17;#NL|55c6556c-b4f4-441d-9acf-c498d4f838bd;#15;#IT|0774613c-01ed-4e5d-a25d-11d2388de825;#35;#HU|6b229040-c589-4408-b4c1-4285663d20a8;#23;#EL|6d4f4d51-af9b-4650-94b4-4276bee85c91;#40;#FI|87606a43-d45f-42d6-b8c9-e1a3457db5b7;#34;#BG|1a1b3951-7821-4e6a-85f5-5673fc08bd2c;#16;#DA|5d49c027-8956-412b-aa16-e85a0f96ad0e;#39;#CS|72f9705b-0217-4fd3-bea2-cbc7ed80e26e;#38;#HR|2f555653-ed1a-4fe6-8362-9082d95989e5;#36;#LV|46f7e311-5d9f-4663-b433-18aeccb7ace7;#33;#SK|46d9fce0-ef79-4f71-b89b-cd6aa82426b8;#4;#FR|d2afafd3-4c81-4f60-8f52-ee33f2f54ff3;#19;#PT|50ccc04a-eadd-42ae-a0cb-acaf45f812ba;#10;#EN|f2175f21-25d7-44a3-96da-d6a61b075e1b</vt:lpwstr>
  </property>
  <property fmtid="{D5CDD505-2E9C-101B-9397-08002B2CF9AE}" pid="10" name="DossierName">
    <vt:lpwstr/>
  </property>
  <property fmtid="{D5CDD505-2E9C-101B-9397-08002B2CF9AE}" pid="11" name="DocumentStatus">
    <vt:lpwstr>2;#TRA|150d2a88-1431-44e6-a8ca-0bb753ab8672</vt:lpwstr>
  </property>
  <property fmtid="{D5CDD505-2E9C-101B-9397-08002B2CF9AE}" pid="12" name="Confidentiality">
    <vt:lpwstr>5;#Unrestricted|826e22d7-d029-4ec0-a450-0c28ff673572</vt:lpwstr>
  </property>
  <property fmtid="{D5CDD505-2E9C-101B-9397-08002B2CF9AE}" pid="13" name="OriginalLanguage">
    <vt:lpwstr>4;#FR|d2afafd3-4c81-4f60-8f52-ee33f2f54ff3;#10;#EN|f2175f21-25d7-44a3-96da-d6a61b075e1b</vt:lpwstr>
  </property>
  <property fmtid="{D5CDD505-2E9C-101B-9397-08002B2CF9AE}" pid="14" name="MeetingName">
    <vt:lpwstr>71;#SPL-CES|32d8cb1f-c9ec-4365-95c7-8385a18618ac</vt:lpwstr>
  </property>
  <property fmtid="{D5CDD505-2E9C-101B-9397-08002B2CF9AE}" pid="15" name="VersionStatus">
    <vt:lpwstr>6;#Final|ea5e6674-7b27-4bac-b091-73adbb394efe</vt:lpwstr>
  </property>
  <property fmtid="{D5CDD505-2E9C-101B-9397-08002B2CF9AE}" pid="16" name="DocumentSource">
    <vt:lpwstr>1;#EESC|422833ec-8d7e-4e65-8e4e-8bed07ffb729</vt:lpwstr>
  </property>
  <property fmtid="{D5CDD505-2E9C-101B-9397-08002B2CF9AE}" pid="17" name="DocumentType">
    <vt:lpwstr>20;#TCD|cd9d6eb6-3f4f-424a-b2d1-57c9d450eaaf</vt:lpwstr>
  </property>
  <property fmtid="{D5CDD505-2E9C-101B-9397-08002B2CF9AE}" pid="18" name="DocumentLanguage">
    <vt:lpwstr>26;#ET|ff6c3f4c-b02c-4c3c-ab07-2c37995a7a0a</vt:lpwstr>
  </property>
  <property fmtid="{D5CDD505-2E9C-101B-9397-08002B2CF9AE}" pid="19" name="DocumentType_0">
    <vt:lpwstr>TCD|cd9d6eb6-3f4f-424a-b2d1-57c9d450eaaf</vt:lpwstr>
  </property>
  <property fmtid="{D5CDD505-2E9C-101B-9397-08002B2CF9AE}" pid="20" name="DossierName_0">
    <vt:lpwstr/>
  </property>
  <property fmtid="{D5CDD505-2E9C-101B-9397-08002B2CF9AE}" pid="21" name="DocumentSource_0">
    <vt:lpwstr>EESC|422833ec-8d7e-4e65-8e4e-8bed07ffb729</vt:lpwstr>
  </property>
  <property fmtid="{D5CDD505-2E9C-101B-9397-08002B2CF9AE}" pid="22" name="Confidentiality_0">
    <vt:lpwstr>Unrestricted|826e22d7-d029-4ec0-a450-0c28ff673572</vt:lpwstr>
  </property>
  <property fmtid="{D5CDD505-2E9C-101B-9397-08002B2CF9AE}" pid="23" name="MeetingName_0">
    <vt:lpwstr>SPL-CES|32d8cb1f-c9ec-4365-95c7-8385a18618ac</vt:lpwstr>
  </property>
  <property fmtid="{D5CDD505-2E9C-101B-9397-08002B2CF9AE}" pid="24" name="DocumentStatus_0">
    <vt:lpwstr>TRA|150d2a88-1431-44e6-a8ca-0bb753ab8672</vt:lpwstr>
  </property>
  <property fmtid="{D5CDD505-2E9C-101B-9397-08002B2CF9AE}" pid="25" name="OriginalLanguage_0">
    <vt:lpwstr>FR|d2afafd3-4c81-4f60-8f52-ee33f2f54ff3;EN|f2175f21-25d7-44a3-96da-d6a61b075e1b</vt:lpwstr>
  </property>
  <property fmtid="{D5CDD505-2E9C-101B-9397-08002B2CF9AE}" pid="26" name="DocumentLanguage_0">
    <vt:lpwstr>FR|d2afafd3-4c81-4f60-8f52-ee33f2f54ff3</vt:lpwstr>
  </property>
  <property fmtid="{D5CDD505-2E9C-101B-9397-08002B2CF9AE}" pid="27" name="TaxCatchAll">
    <vt:lpwstr>40;#FI|87606a43-d45f-42d6-b8c9-e1a3457db5b7;#39;#CS|72f9705b-0217-4fd3-bea2-cbc7ed80e26e;#38;#HR|2f555653-ed1a-4fe6-8362-9082d95989e5;#37;#LT|a7ff5ce7-6123-4f68-865a-a57c31810414;#36;#LV|46f7e311-5d9f-4663-b433-18aeccb7ace7;#35;#HU|6b229040-c589-4408-b4c1-4285663d20a8;#34;#BG|1a1b3951-7821-4e6a-85f5-5673fc08bd2c;#33;#SK|46d9fce0-ef79-4f71-b89b-cd6aa82426b8;#71;#SPL-CES|32d8cb1f-c9ec-4365-95c7-8385a18618ac;#25;#RO|feb747a2-64cd-4299-af12-4833ddc30497;#24;#PL|1e03da61-4678-4e07-b136-b5024ca9197b;#23;#EL|6d4f4d51-af9b-4650-94b4-4276bee85c91;#21;#SL|98a412ae-eb01-49e9-ae3d-585a81724cfc;#20;#TCD|cd9d6eb6-3f4f-424a-b2d1-57c9d450eaaf;#19;#PT|50ccc04a-eadd-42ae-a0cb-acaf45f812ba;#18;#SV|c2ed69e7-a339-43d7-8f22-d93680a92aa0;#17;#NL|55c6556c-b4f4-441d-9acf-c498d4f838bd;#16;#DA|5d49c027-8956-412b-aa16-e85a0f96ad0e;#15;#IT|0774613c-01ed-4e5d-a25d-11d2388de825;#10;#EN|f2175f21-25d7-44a3-96da-d6a61b075e1b;#6;#Final|ea5e6674-7b27-4bac-b091-73adbb394efe;#5;#Unrestricted|826e22d7-d029-4ec0-a450-0c28ff673572;#4;#FR|d2afafd3-4c81-4f60-8f52-ee33f2f54ff3;#2;#TRA|150d2a88-1431-44e6-a8ca-0bb753ab8672;#1;#EESC|422833ec-8d7e-4e65-8e4e-8bed07ffb729</vt:lpwstr>
  </property>
  <property fmtid="{D5CDD505-2E9C-101B-9397-08002B2CF9AE}" pid="28" name="AvailableTranslations_0">
    <vt:lpwstr>SL|98a412ae-eb01-49e9-ae3d-585a81724cfc;LT|a7ff5ce7-6123-4f68-865a-a57c31810414;SV|c2ed69e7-a339-43d7-8f22-d93680a92aa0;RO|feb747a2-64cd-4299-af12-4833ddc30497;PL|1e03da61-4678-4e07-b136-b5024ca9197b;NL|55c6556c-b4f4-441d-9acf-c498d4f838bd;IT|0774613c-01ed-4e5d-a25d-11d2388de825;HU|6b229040-c589-4408-b4c1-4285663d20a8;EL|6d4f4d51-af9b-4650-94b4-4276bee85c91;FI|87606a43-d45f-42d6-b8c9-e1a3457db5b7;BG|1a1b3951-7821-4e6a-85f5-5673fc08bd2c;DA|5d49c027-8956-412b-aa16-e85a0f96ad0e;CS|72f9705b-0217-4fd3-bea2-cbc7ed80e26e;HR|2f555653-ed1a-4fe6-8362-9082d95989e5;LV|46f7e311-5d9f-4663-b433-18aeccb7ace7;SK|46d9fce0-ef79-4f71-b89b-cd6aa82426b8;PT|50ccc04a-eadd-42ae-a0cb-acaf45f812ba;EN|f2175f21-25d7-44a3-96da-d6a61b075e1b</vt:lpwstr>
  </property>
  <property fmtid="{D5CDD505-2E9C-101B-9397-08002B2CF9AE}" pid="29" name="VersionStatus_0">
    <vt:lpwstr>Final|ea5e6674-7b27-4bac-b091-73adbb394efe</vt:lpwstr>
  </property>
  <property fmtid="{D5CDD505-2E9C-101B-9397-08002B2CF9AE}" pid="30" name="ProductionDate">
    <vt:filetime>2015-10-01T12:00:00Z</vt:filetime>
  </property>
  <property fmtid="{D5CDD505-2E9C-101B-9397-08002B2CF9AE}" pid="31" name="FicheYear">
    <vt:i4>2016</vt:i4>
  </property>
  <property fmtid="{D5CDD505-2E9C-101B-9397-08002B2CF9AE}" pid="32" name="DocumentNumber">
    <vt:i4>1263</vt:i4>
  </property>
  <property fmtid="{D5CDD505-2E9C-101B-9397-08002B2CF9AE}" pid="33" name="DocumentVersion">
    <vt:i4>1</vt:i4>
  </property>
  <property fmtid="{D5CDD505-2E9C-101B-9397-08002B2CF9AE}" pid="34" name="DocumentYear">
    <vt:i4>2016</vt:i4>
  </property>
  <property fmtid="{D5CDD505-2E9C-101B-9397-08002B2CF9AE}" pid="35" name="FicheNumber">
    <vt:i4>3091</vt:i4>
  </property>
  <property fmtid="{D5CDD505-2E9C-101B-9397-08002B2CF9AE}" pid="36" name="DocumentPart">
    <vt:i4>0</vt:i4>
  </property>
  <property fmtid="{D5CDD505-2E9C-101B-9397-08002B2CF9AE}" pid="37" name="RequestingService">
    <vt:lpwstr>Greffe</vt:lpwstr>
  </property>
  <property fmtid="{D5CDD505-2E9C-101B-9397-08002B2CF9AE}" pid="38" name="StyleCheckSum">
    <vt:lpwstr>45163_C33020_P410_L59</vt:lpwstr>
  </property>
  <property fmtid="{D5CDD505-2E9C-101B-9397-08002B2CF9AE}" pid="39" name="MeetingNumber">
    <vt:i4>515</vt:i4>
  </property>
  <property fmtid="{D5CDD505-2E9C-101B-9397-08002B2CF9AE}" pid="40" name="MeetingDate">
    <vt:filetime>2016-03-16T12:00:00Z</vt:filetime>
  </property>
</Properties>
</file>