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5E2FD9" w:rsidRDefault="008405A0" w:rsidP="00000CE8">
      <w:pPr>
        <w:snapToGrid w:val="0"/>
        <w:jc w:val="center"/>
      </w:pPr>
      <w:bookmarkStart w:id="0" w:name="_GoBack"/>
      <w:bookmarkEnd w:id="0"/>
      <w:r w:rsidRPr="005E2FD9">
        <w:rPr>
          <w:noProof/>
          <w:lang w:val="fr-BE" w:eastAsia="fr-BE" w:bidi="ar-SA"/>
        </w:rPr>
        <w:drawing>
          <wp:inline distT="0" distB="0" distL="0" distR="0" wp14:anchorId="47FC27BE" wp14:editId="2F8D7E03">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5E2FD9">
        <w:rPr>
          <w:noProof/>
          <w:lang w:val="fr-BE" w:eastAsia="fr-BE" w:bidi="ar-SA"/>
        </w:rPr>
        <mc:AlternateContent>
          <mc:Choice Requires="wps">
            <w:drawing>
              <wp:anchor distT="0" distB="0" distL="114300" distR="114300" simplePos="0" relativeHeight="251659264" behindDoc="1" locked="0" layoutInCell="0" allowOverlap="1" wp14:anchorId="622818B2" wp14:editId="37485C2D">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16A" w:rsidRPr="0079472F" w:rsidRDefault="0019516A" w:rsidP="00000CE8">
                            <w:pPr>
                              <w:snapToGrid w:val="0"/>
                              <w:jc w:val="center"/>
                              <w:rPr>
                                <w:rFonts w:ascii="Arial" w:hAnsi="Arial" w:cs="Arial"/>
                                <w:b/>
                                <w:sz w:val="48"/>
                              </w:rPr>
                            </w:pPr>
                            <w:r>
                              <w:rPr>
                                <w:rFonts w:ascii="Arial" w:hAnsi="Arial"/>
                                <w:b/>
                                <w:noProof/>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19516A" w:rsidRPr="0079472F" w:rsidRDefault="0019516A" w:rsidP="00000CE8">
                      <w:pPr>
                        <w:snapToGrid w:val="0"/>
                        <w:jc w:val="center"/>
                        <w:rPr>
                          <w:rFonts w:ascii="Arial" w:hAnsi="Arial" w:cs="Arial"/>
                          <w:b/>
                          <w:sz w:val="48"/>
                        </w:rPr>
                      </w:pPr>
                      <w:r>
                        <w:rPr>
                          <w:rFonts w:ascii="Arial" w:hAnsi="Arial"/>
                          <w:b/>
                          <w:noProof/>
                          <w:sz w:val="48"/>
                        </w:rPr>
                        <w:t>LT</w:t>
                      </w:r>
                    </w:p>
                  </w:txbxContent>
                </v:textbox>
                <w10:wrap anchorx="page" anchory="page"/>
              </v:shape>
            </w:pict>
          </mc:Fallback>
        </mc:AlternateContent>
      </w:r>
    </w:p>
    <w:p w:rsidR="008405A0" w:rsidRPr="005E2FD9" w:rsidRDefault="008405A0" w:rsidP="00000CE8">
      <w:pPr>
        <w:snapToGrid w:val="0"/>
        <w:spacing w:line="280" w:lineRule="auto"/>
        <w:jc w:val="center"/>
        <w:rPr>
          <w:rFonts w:ascii="Arial" w:eastAsia="MS Mincho" w:hAnsi="Arial" w:cs="Arial"/>
          <w:b/>
          <w:i/>
          <w:sz w:val="20"/>
        </w:rPr>
      </w:pPr>
      <w:r w:rsidRPr="005E2FD9">
        <w:rPr>
          <w:rFonts w:ascii="Arial" w:hAnsi="Arial"/>
          <w:b/>
          <w:i/>
          <w:sz w:val="20"/>
        </w:rPr>
        <w:t>Europos ekonomikos ir socialinių reikalų komitetas</w:t>
      </w:r>
    </w:p>
    <w:p w:rsidR="008405A0" w:rsidRPr="005E2FD9" w:rsidRDefault="008405A0" w:rsidP="0079472F">
      <w:pPr>
        <w:rPr>
          <w:rFonts w:ascii="Arial" w:eastAsia="SimSun" w:hAnsi="Arial" w:cs="Arial"/>
          <w:b/>
          <w:i/>
          <w:sz w:val="20"/>
        </w:rPr>
        <w:sectPr w:rsidR="008405A0" w:rsidRPr="005E2FD9" w:rsidSect="003E6010">
          <w:footerReference w:type="default" r:id="rId14"/>
          <w:pgSz w:w="11907" w:h="16839" w:code="9"/>
          <w:pgMar w:top="567" w:right="1440" w:bottom="1928" w:left="1440" w:header="284" w:footer="1134" w:gutter="0"/>
          <w:pgNumType w:start="1"/>
          <w:cols w:space="708"/>
          <w:docGrid w:linePitch="360"/>
        </w:sectPr>
      </w:pPr>
    </w:p>
    <w:p w:rsidR="008405A0" w:rsidRPr="005E2FD9" w:rsidRDefault="008405A0" w:rsidP="00000CE8">
      <w:pPr>
        <w:snapToGrid w:val="0"/>
        <w:jc w:val="center"/>
      </w:pPr>
    </w:p>
    <w:p w:rsidR="008405A0" w:rsidRPr="005E2FD9" w:rsidRDefault="008405A0" w:rsidP="00000CE8">
      <w:pPr>
        <w:snapToGrid w:val="0"/>
      </w:pPr>
    </w:p>
    <w:p w:rsidR="008405A0" w:rsidRPr="005E2FD9" w:rsidRDefault="008405A0" w:rsidP="00000CE8">
      <w:pPr>
        <w:snapToGrid w:val="0"/>
      </w:pPr>
    </w:p>
    <w:p w:rsidR="008405A0" w:rsidRPr="005E2FD9" w:rsidRDefault="008405A0" w:rsidP="00000CE8">
      <w:pPr>
        <w:snapToGrid w:val="0"/>
        <w:spacing w:line="280" w:lineRule="auto"/>
        <w:jc w:val="right"/>
        <w:rPr>
          <w:rFonts w:eastAsia="MS Mincho"/>
        </w:rPr>
      </w:pPr>
      <w:r w:rsidRPr="005E2FD9">
        <w:t>2016 m. vasario 4 d., Briuselis</w:t>
      </w:r>
    </w:p>
    <w:p w:rsidR="008405A0" w:rsidRPr="005E2FD9" w:rsidRDefault="008405A0" w:rsidP="00000CE8">
      <w:pPr>
        <w:snapToGrid w:val="0"/>
      </w:pPr>
    </w:p>
    <w:p w:rsidR="008405A0" w:rsidRPr="005E2FD9" w:rsidRDefault="008405A0" w:rsidP="00000CE8">
      <w:pPr>
        <w:snapToGrid w:val="0"/>
      </w:pPr>
    </w:p>
    <w:p w:rsidR="008405A0" w:rsidRPr="005E2FD9" w:rsidRDefault="008405A0" w:rsidP="00000CE8">
      <w:pPr>
        <w:snapToGrid w:val="0"/>
      </w:pPr>
    </w:p>
    <w:p w:rsidR="008405A0" w:rsidRPr="005E2FD9" w:rsidRDefault="008405A0" w:rsidP="00000CE8">
      <w:pPr>
        <w:snapToGrid w:val="0"/>
      </w:pPr>
    </w:p>
    <w:p w:rsidR="008405A0" w:rsidRPr="005E2FD9" w:rsidRDefault="008405A0" w:rsidP="00000CE8">
      <w:pPr>
        <w:snapToGrid w:val="0"/>
      </w:pPr>
    </w:p>
    <w:tbl>
      <w:tblPr>
        <w:tblW w:w="0" w:type="auto"/>
        <w:tblLayout w:type="fixed"/>
        <w:tblLook w:val="0000" w:firstRow="0" w:lastRow="0" w:firstColumn="0" w:lastColumn="0" w:noHBand="0" w:noVBand="0"/>
      </w:tblPr>
      <w:tblGrid>
        <w:gridCol w:w="9243"/>
      </w:tblGrid>
      <w:tr w:rsidR="008405A0" w:rsidRPr="005E2FD9" w:rsidTr="008405A0">
        <w:tc>
          <w:tcPr>
            <w:tcW w:w="9243" w:type="dxa"/>
            <w:tcBorders>
              <w:top w:val="nil"/>
              <w:left w:val="nil"/>
              <w:bottom w:val="double" w:sz="4" w:space="0" w:color="auto"/>
              <w:right w:val="nil"/>
            </w:tcBorders>
          </w:tcPr>
          <w:p w:rsidR="008405A0" w:rsidRPr="005E2FD9" w:rsidRDefault="008405A0" w:rsidP="00000CE8">
            <w:pPr>
              <w:snapToGrid w:val="0"/>
              <w:spacing w:line="280" w:lineRule="auto"/>
              <w:jc w:val="center"/>
              <w:rPr>
                <w:rFonts w:eastAsia="MS Mincho"/>
                <w:b/>
                <w:sz w:val="32"/>
              </w:rPr>
            </w:pPr>
            <w:r w:rsidRPr="005E2FD9">
              <w:rPr>
                <w:b/>
                <w:sz w:val="32"/>
              </w:rPr>
              <w:t xml:space="preserve">PLENARINĖ SESIJA </w:t>
            </w:r>
            <w:r w:rsidRPr="005E2FD9">
              <w:rPr>
                <w:b/>
                <w:sz w:val="32"/>
              </w:rPr>
              <w:br/>
              <w:t xml:space="preserve"> </w:t>
            </w:r>
            <w:r w:rsidRPr="005E2FD9">
              <w:rPr>
                <w:b/>
                <w:sz w:val="32"/>
              </w:rPr>
              <w:br/>
              <w:t xml:space="preserve">2016 m. SAUSIO 20–21 d. </w:t>
            </w:r>
            <w:r w:rsidRPr="005E2FD9">
              <w:rPr>
                <w:b/>
                <w:sz w:val="32"/>
              </w:rPr>
              <w:br/>
              <w:t xml:space="preserve"> </w:t>
            </w:r>
            <w:r w:rsidRPr="005E2FD9">
              <w:rPr>
                <w:b/>
                <w:sz w:val="32"/>
              </w:rPr>
              <w:br/>
              <w:t>PRIIMTŲ NUOMONIŲ SANTRAUKA</w:t>
            </w:r>
          </w:p>
          <w:p w:rsidR="008405A0" w:rsidRPr="005E2FD9" w:rsidRDefault="008405A0" w:rsidP="00000CE8">
            <w:pPr>
              <w:snapToGrid w:val="0"/>
              <w:jc w:val="center"/>
              <w:rPr>
                <w:b/>
                <w:sz w:val="32"/>
              </w:rPr>
            </w:pPr>
          </w:p>
          <w:p w:rsidR="008405A0" w:rsidRPr="005E2FD9" w:rsidRDefault="008405A0" w:rsidP="00000CE8">
            <w:pPr>
              <w:snapToGrid w:val="0"/>
              <w:jc w:val="center"/>
              <w:rPr>
                <w:rFonts w:eastAsia="Calibri"/>
                <w:b/>
                <w:bCs/>
              </w:rPr>
            </w:pPr>
          </w:p>
        </w:tc>
      </w:tr>
      <w:tr w:rsidR="008405A0" w:rsidRPr="005E2FD9" w:rsidTr="008405A0">
        <w:tc>
          <w:tcPr>
            <w:tcW w:w="9243" w:type="dxa"/>
            <w:tcBorders>
              <w:top w:val="double" w:sz="4" w:space="0" w:color="auto"/>
              <w:left w:val="double" w:sz="4" w:space="0" w:color="auto"/>
              <w:bottom w:val="double" w:sz="4" w:space="0" w:color="auto"/>
              <w:right w:val="double" w:sz="4" w:space="0" w:color="auto"/>
            </w:tcBorders>
          </w:tcPr>
          <w:p w:rsidR="008405A0" w:rsidRPr="005E2FD9" w:rsidRDefault="00A31921" w:rsidP="00000CE8">
            <w:pPr>
              <w:snapToGrid w:val="0"/>
              <w:spacing w:line="280" w:lineRule="auto"/>
              <w:jc w:val="center"/>
              <w:rPr>
                <w:rFonts w:eastAsia="MS Mincho"/>
                <w:b/>
              </w:rPr>
            </w:pPr>
            <w:r w:rsidRPr="005E2FD9">
              <w:rPr>
                <w:b/>
              </w:rPr>
              <w:t>Šį dokumentą visomis oficialiosiomis kalbomis rasite Komiteto interneto svetainėje</w:t>
            </w:r>
          </w:p>
          <w:p w:rsidR="008405A0" w:rsidRPr="005E2FD9" w:rsidRDefault="008405A0" w:rsidP="00000CE8">
            <w:pPr>
              <w:snapToGrid w:val="0"/>
              <w:jc w:val="center"/>
              <w:rPr>
                <w:b/>
              </w:rPr>
            </w:pPr>
          </w:p>
          <w:p w:rsidR="008405A0" w:rsidRPr="005E2FD9" w:rsidRDefault="00CB393D" w:rsidP="00000CE8">
            <w:pPr>
              <w:spacing w:line="280" w:lineRule="auto"/>
              <w:jc w:val="center"/>
              <w:rPr>
                <w:rFonts w:eastAsia="MS Mincho"/>
                <w:u w:val="single"/>
              </w:rPr>
            </w:pPr>
            <w:hyperlink r:id="rId15" w:anchor="/boxTab1-2">
              <w:r w:rsidR="00646EEC" w:rsidRPr="005E2FD9">
                <w:rPr>
                  <w:rStyle w:val="Hyperlink"/>
                  <w:b/>
                  <w:color w:val="auto"/>
                </w:rPr>
                <w:t>http://www.eesc.europa.eu/?i=portal.fr.documents#/boxTab1-2</w:t>
              </w:r>
            </w:hyperlink>
          </w:p>
          <w:p w:rsidR="008405A0" w:rsidRPr="005E2FD9" w:rsidRDefault="008405A0" w:rsidP="00000CE8">
            <w:pPr>
              <w:snapToGrid w:val="0"/>
              <w:jc w:val="center"/>
            </w:pPr>
          </w:p>
          <w:p w:rsidR="008405A0" w:rsidRPr="005E2FD9" w:rsidRDefault="008405A0" w:rsidP="00000CE8">
            <w:pPr>
              <w:snapToGrid w:val="0"/>
              <w:jc w:val="center"/>
              <w:rPr>
                <w:rFonts w:eastAsia="SimSun"/>
                <w:b/>
              </w:rPr>
            </w:pPr>
          </w:p>
          <w:p w:rsidR="008405A0" w:rsidRPr="005E2FD9" w:rsidRDefault="008405A0" w:rsidP="00000CE8">
            <w:pPr>
              <w:snapToGrid w:val="0"/>
              <w:spacing w:line="280" w:lineRule="auto"/>
              <w:jc w:val="center"/>
              <w:rPr>
                <w:rFonts w:eastAsia="MS Mincho"/>
                <w:b/>
              </w:rPr>
            </w:pPr>
            <w:r w:rsidRPr="005E2FD9">
              <w:rPr>
                <w:b/>
              </w:rPr>
              <w:t>Visas minimas nuomones rasite Komiteto interneto svetainėje</w:t>
            </w:r>
          </w:p>
          <w:p w:rsidR="008405A0" w:rsidRPr="005E2FD9" w:rsidRDefault="008405A0" w:rsidP="00000CE8">
            <w:pPr>
              <w:snapToGrid w:val="0"/>
              <w:jc w:val="center"/>
              <w:rPr>
                <w:b/>
              </w:rPr>
            </w:pPr>
          </w:p>
          <w:p w:rsidR="008405A0" w:rsidRPr="005E2FD9" w:rsidRDefault="00CB393D" w:rsidP="00000CE8">
            <w:pPr>
              <w:snapToGrid w:val="0"/>
              <w:spacing w:line="280" w:lineRule="auto"/>
              <w:jc w:val="center"/>
              <w:rPr>
                <w:rFonts w:eastAsia="MS Mincho"/>
                <w:b/>
              </w:rPr>
            </w:pPr>
            <w:hyperlink r:id="rId16">
              <w:r w:rsidR="00646EEC" w:rsidRPr="005E2FD9">
                <w:rPr>
                  <w:rStyle w:val="Hyperlink"/>
                  <w:b/>
                  <w:color w:val="auto"/>
                </w:rPr>
                <w:t>http://www.eesc.europa.eu/?i=portal.fr.opinions-search</w:t>
              </w:r>
            </w:hyperlink>
          </w:p>
          <w:p w:rsidR="008405A0" w:rsidRPr="005E2FD9" w:rsidRDefault="008405A0" w:rsidP="00000CE8">
            <w:pPr>
              <w:snapToGrid w:val="0"/>
              <w:jc w:val="center"/>
              <w:rPr>
                <w:rFonts w:eastAsia="Calibri"/>
                <w:b/>
                <w:bCs/>
              </w:rPr>
            </w:pPr>
          </w:p>
        </w:tc>
      </w:tr>
    </w:tbl>
    <w:p w:rsidR="008405A0" w:rsidRPr="005E2FD9" w:rsidRDefault="008405A0" w:rsidP="00000CE8"/>
    <w:p w:rsidR="008405A0" w:rsidRPr="005E2FD9" w:rsidRDefault="008405A0" w:rsidP="00000CE8">
      <w:pPr>
        <w:snapToGrid w:val="0"/>
      </w:pPr>
    </w:p>
    <w:p w:rsidR="008405A0" w:rsidRPr="005E2FD9" w:rsidRDefault="008405A0" w:rsidP="0079472F">
      <w:pPr>
        <w:rPr>
          <w:rFonts w:eastAsia="SimSun"/>
          <w:b/>
          <w:sz w:val="28"/>
          <w:u w:val="single"/>
        </w:rPr>
        <w:sectPr w:rsidR="008405A0" w:rsidRPr="005E2FD9" w:rsidSect="003E6010">
          <w:headerReference w:type="even" r:id="rId17"/>
          <w:headerReference w:type="default" r:id="rId18"/>
          <w:footerReference w:type="even" r:id="rId19"/>
          <w:footerReference w:type="default" r:id="rId20"/>
          <w:headerReference w:type="first" r:id="rId21"/>
          <w:footerReference w:type="first" r:id="rId22"/>
          <w:type w:val="continuous"/>
          <w:pgSz w:w="11907" w:h="16839"/>
          <w:pgMar w:top="1701" w:right="1440" w:bottom="1928" w:left="1440" w:header="1020" w:footer="1247" w:gutter="0"/>
          <w:cols w:space="720"/>
          <w:docGrid w:linePitch="299"/>
        </w:sectPr>
      </w:pPr>
    </w:p>
    <w:p w:rsidR="008405A0" w:rsidRPr="005E2FD9" w:rsidRDefault="008405A0" w:rsidP="00000CE8">
      <w:pPr>
        <w:snapToGrid w:val="0"/>
        <w:rPr>
          <w:b/>
          <w:sz w:val="28"/>
          <w:u w:val="single"/>
        </w:rPr>
      </w:pPr>
    </w:p>
    <w:p w:rsidR="008405A0" w:rsidRPr="005E2FD9" w:rsidRDefault="008405A0" w:rsidP="00000CE8">
      <w:pPr>
        <w:snapToGrid w:val="0"/>
        <w:spacing w:line="280" w:lineRule="auto"/>
        <w:rPr>
          <w:rFonts w:eastAsia="MS Mincho"/>
          <w:b/>
          <w:sz w:val="28"/>
          <w:u w:val="single"/>
        </w:rPr>
      </w:pPr>
      <w:r w:rsidRPr="005E2FD9">
        <w:rPr>
          <w:b/>
        </w:rPr>
        <w:t>Turinys</w:t>
      </w:r>
    </w:p>
    <w:p w:rsidR="00B939A6" w:rsidRPr="005E2FD9" w:rsidRDefault="00B939A6" w:rsidP="00000CE8">
      <w:pPr>
        <w:snapToGrid w:val="0"/>
        <w:rPr>
          <w:b/>
          <w:sz w:val="28"/>
          <w:u w:val="single"/>
        </w:rPr>
      </w:pPr>
    </w:p>
    <w:p w:rsidR="00103129" w:rsidRPr="005E2FD9" w:rsidRDefault="00B97C33">
      <w:pPr>
        <w:pStyle w:val="TOC1"/>
        <w:tabs>
          <w:tab w:val="left" w:pos="440"/>
          <w:tab w:val="right" w:leader="dot" w:pos="9017"/>
        </w:tabs>
        <w:rPr>
          <w:rFonts w:asciiTheme="minorHAnsi" w:eastAsiaTheme="minorEastAsia" w:hAnsiTheme="minorHAnsi" w:cstheme="minorBidi"/>
          <w:lang w:bidi="ar-SA"/>
        </w:rPr>
      </w:pPr>
      <w:r w:rsidRPr="005E2FD9">
        <w:fldChar w:fldCharType="begin"/>
      </w:r>
      <w:r w:rsidRPr="005E2FD9">
        <w:instrText xml:space="preserve"> TOC \o "1-3" \h \z \u </w:instrText>
      </w:r>
      <w:r w:rsidRPr="005E2FD9">
        <w:fldChar w:fldCharType="separate"/>
      </w:r>
      <w:hyperlink w:anchor="_Toc442352135" w:history="1">
        <w:r w:rsidR="00103129" w:rsidRPr="005E2FD9">
          <w:rPr>
            <w:rStyle w:val="Hyperlink"/>
          </w:rPr>
          <w:t>1.</w:t>
        </w:r>
        <w:r w:rsidR="00103129" w:rsidRPr="005E2FD9">
          <w:rPr>
            <w:rFonts w:asciiTheme="minorHAnsi" w:eastAsiaTheme="minorEastAsia" w:hAnsiTheme="minorHAnsi" w:cstheme="minorBidi"/>
            <w:lang w:bidi="ar-SA"/>
          </w:rPr>
          <w:tab/>
        </w:r>
        <w:r w:rsidR="00103129" w:rsidRPr="005E2FD9">
          <w:rPr>
            <w:rStyle w:val="Hyperlink"/>
            <w:b/>
          </w:rPr>
          <w:t>FINANSINĖS PRIEMONĖS. APMOKESTINIMAS</w:t>
        </w:r>
        <w:r w:rsidR="00103129" w:rsidRPr="005E2FD9">
          <w:rPr>
            <w:webHidden/>
          </w:rPr>
          <w:tab/>
        </w:r>
        <w:r w:rsidR="00103129" w:rsidRPr="005E2FD9">
          <w:rPr>
            <w:webHidden/>
          </w:rPr>
          <w:fldChar w:fldCharType="begin"/>
        </w:r>
        <w:r w:rsidR="00103129" w:rsidRPr="005E2FD9">
          <w:rPr>
            <w:webHidden/>
          </w:rPr>
          <w:instrText xml:space="preserve"> PAGEREF _Toc442352135 \h </w:instrText>
        </w:r>
        <w:r w:rsidR="00103129" w:rsidRPr="005E2FD9">
          <w:rPr>
            <w:webHidden/>
          </w:rPr>
        </w:r>
        <w:r w:rsidR="00103129" w:rsidRPr="005E2FD9">
          <w:rPr>
            <w:webHidden/>
          </w:rPr>
          <w:fldChar w:fldCharType="separate"/>
        </w:r>
        <w:r w:rsidR="00A27D31" w:rsidRPr="005E2FD9">
          <w:rPr>
            <w:webHidden/>
          </w:rPr>
          <w:t>3</w:t>
        </w:r>
        <w:r w:rsidR="00103129" w:rsidRPr="005E2FD9">
          <w:rPr>
            <w:webHidden/>
          </w:rPr>
          <w:fldChar w:fldCharType="end"/>
        </w:r>
      </w:hyperlink>
    </w:p>
    <w:p w:rsidR="00103129" w:rsidRPr="005E2FD9" w:rsidRDefault="00CB393D">
      <w:pPr>
        <w:pStyle w:val="TOC1"/>
        <w:tabs>
          <w:tab w:val="left" w:pos="440"/>
          <w:tab w:val="right" w:leader="dot" w:pos="9017"/>
        </w:tabs>
        <w:rPr>
          <w:rFonts w:asciiTheme="minorHAnsi" w:eastAsiaTheme="minorEastAsia" w:hAnsiTheme="minorHAnsi" w:cstheme="minorBidi"/>
          <w:lang w:bidi="ar-SA"/>
        </w:rPr>
      </w:pPr>
      <w:hyperlink w:anchor="_Toc442352136" w:history="1">
        <w:r w:rsidR="00103129" w:rsidRPr="005E2FD9">
          <w:rPr>
            <w:rStyle w:val="Hyperlink"/>
          </w:rPr>
          <w:t>2.</w:t>
        </w:r>
        <w:r w:rsidR="00103129" w:rsidRPr="005E2FD9">
          <w:rPr>
            <w:rFonts w:asciiTheme="minorHAnsi" w:eastAsiaTheme="minorEastAsia" w:hAnsiTheme="minorHAnsi" w:cstheme="minorBidi"/>
            <w:lang w:bidi="ar-SA"/>
          </w:rPr>
          <w:tab/>
        </w:r>
        <w:r w:rsidR="00103129" w:rsidRPr="005E2FD9">
          <w:rPr>
            <w:rStyle w:val="Hyperlink"/>
            <w:b/>
          </w:rPr>
          <w:t>ENERGETIKA</w:t>
        </w:r>
        <w:r w:rsidR="00103129" w:rsidRPr="005E2FD9">
          <w:rPr>
            <w:webHidden/>
          </w:rPr>
          <w:tab/>
        </w:r>
        <w:r w:rsidR="00103129" w:rsidRPr="005E2FD9">
          <w:rPr>
            <w:webHidden/>
          </w:rPr>
          <w:fldChar w:fldCharType="begin"/>
        </w:r>
        <w:r w:rsidR="00103129" w:rsidRPr="005E2FD9">
          <w:rPr>
            <w:webHidden/>
          </w:rPr>
          <w:instrText xml:space="preserve"> PAGEREF _Toc442352136 \h </w:instrText>
        </w:r>
        <w:r w:rsidR="00103129" w:rsidRPr="005E2FD9">
          <w:rPr>
            <w:webHidden/>
          </w:rPr>
        </w:r>
        <w:r w:rsidR="00103129" w:rsidRPr="005E2FD9">
          <w:rPr>
            <w:webHidden/>
          </w:rPr>
          <w:fldChar w:fldCharType="separate"/>
        </w:r>
        <w:r w:rsidR="00A27D31" w:rsidRPr="005E2FD9">
          <w:rPr>
            <w:webHidden/>
          </w:rPr>
          <w:t>4</w:t>
        </w:r>
        <w:r w:rsidR="00103129" w:rsidRPr="005E2FD9">
          <w:rPr>
            <w:webHidden/>
          </w:rPr>
          <w:fldChar w:fldCharType="end"/>
        </w:r>
      </w:hyperlink>
    </w:p>
    <w:p w:rsidR="001D52CB" w:rsidRPr="005E2FD9" w:rsidRDefault="00B97C33">
      <w:pPr>
        <w:pStyle w:val="TOC1"/>
        <w:tabs>
          <w:tab w:val="left" w:pos="440"/>
          <w:tab w:val="right" w:leader="dot" w:pos="9017"/>
        </w:tabs>
        <w:rPr>
          <w:rFonts w:asciiTheme="minorHAnsi" w:eastAsiaTheme="minorEastAsia" w:hAnsiTheme="minorHAnsi" w:cstheme="minorBidi"/>
        </w:rPr>
      </w:pPr>
      <w:r w:rsidRPr="005E2FD9">
        <w:fldChar w:fldCharType="end"/>
      </w:r>
    </w:p>
    <w:p w:rsidR="008405A0" w:rsidRPr="005E2FD9" w:rsidRDefault="008405A0" w:rsidP="0079472F">
      <w:r w:rsidRPr="005E2FD9">
        <w:br w:type="page"/>
      </w:r>
    </w:p>
    <w:p w:rsidR="004E3A5B" w:rsidRPr="005E2FD9" w:rsidRDefault="004E3A5B" w:rsidP="004E3A5B"/>
    <w:p w:rsidR="00387CFB" w:rsidRPr="005E2FD9" w:rsidRDefault="00DE3E55" w:rsidP="004E3A5B">
      <w:r w:rsidRPr="005E2FD9">
        <w:t xml:space="preserve">2016 m. sausio 20–21 d. plenarinėje sesijoje dalyvaus Tuniso visuotinės profesinės sąjungos (UGTT) generalinio sekretoriaus pavaduotojas </w:t>
      </w:r>
      <w:r w:rsidRPr="005E2FD9">
        <w:rPr>
          <w:b/>
        </w:rPr>
        <w:t>Kacem Afaya</w:t>
      </w:r>
      <w:r w:rsidR="008405A0" w:rsidRPr="005E2FD9">
        <w:t xml:space="preserve">, Tuniso žmogaus teisių lygos (LTDH) pirmininko pavaduotojas </w:t>
      </w:r>
      <w:r w:rsidR="008405A0" w:rsidRPr="005E2FD9">
        <w:rPr>
          <w:b/>
        </w:rPr>
        <w:t>Ahmed ben Tahar Galai</w:t>
      </w:r>
      <w:r w:rsidR="008405A0" w:rsidRPr="005E2FD9">
        <w:t xml:space="preserve"> ir Tuniso pramonės, prekybos ir amatų sąjungos (UTICA) vykdomojo biuro narys </w:t>
      </w:r>
      <w:r w:rsidR="008405A0" w:rsidRPr="005E2FD9">
        <w:rPr>
          <w:b/>
        </w:rPr>
        <w:t>Slim Ghorbel</w:t>
      </w:r>
      <w:r w:rsidR="008405A0" w:rsidRPr="005E2FD9">
        <w:t>.</w:t>
      </w:r>
    </w:p>
    <w:p w:rsidR="008405A0" w:rsidRPr="005E2FD9" w:rsidRDefault="008405A0" w:rsidP="004E3A5B">
      <w:pPr>
        <w:rPr>
          <w:sz w:val="16"/>
        </w:rPr>
      </w:pPr>
    </w:p>
    <w:p w:rsidR="008405A0" w:rsidRPr="005E2FD9" w:rsidRDefault="008405A0" w:rsidP="004E3A5B">
      <w:pPr>
        <w:rPr>
          <w:rFonts w:eastAsia="MS Mincho"/>
        </w:rPr>
      </w:pPr>
      <w:r w:rsidRPr="005E2FD9">
        <w:t>Sesijos metu priimtos šios nuomonės:</w:t>
      </w:r>
    </w:p>
    <w:p w:rsidR="008405A0" w:rsidRPr="005E2FD9" w:rsidRDefault="008405A0" w:rsidP="004E3A5B">
      <w:pPr>
        <w:rPr>
          <w:sz w:val="16"/>
        </w:rPr>
      </w:pPr>
    </w:p>
    <w:p w:rsidR="009F58A3" w:rsidRPr="005E2FD9" w:rsidRDefault="00900EA0" w:rsidP="00B104E7">
      <w:pPr>
        <w:keepNext/>
        <w:numPr>
          <w:ilvl w:val="0"/>
          <w:numId w:val="2"/>
        </w:numPr>
        <w:ind w:left="567" w:hanging="578"/>
        <w:outlineLvl w:val="0"/>
        <w:rPr>
          <w:b/>
        </w:rPr>
      </w:pPr>
      <w:bookmarkStart w:id="1" w:name="_Toc442171220"/>
      <w:bookmarkStart w:id="2" w:name="_Toc442171260"/>
      <w:bookmarkStart w:id="3" w:name="_Toc442352135"/>
      <w:r w:rsidRPr="005E2FD9">
        <w:rPr>
          <w:b/>
        </w:rPr>
        <w:t>FINANSINĖS PRIEMONĖS. APMOKESTINIMAS</w:t>
      </w:r>
      <w:bookmarkEnd w:id="1"/>
      <w:bookmarkEnd w:id="2"/>
      <w:bookmarkEnd w:id="3"/>
    </w:p>
    <w:p w:rsidR="009F58A3" w:rsidRPr="005E2FD9" w:rsidRDefault="009F58A3" w:rsidP="00B104E7">
      <w:pPr>
        <w:keepNext/>
        <w:rPr>
          <w:b/>
          <w:iCs/>
          <w:highlight w:val="yellow"/>
          <w:u w:val="single"/>
        </w:rPr>
      </w:pPr>
    </w:p>
    <w:p w:rsidR="002A3665" w:rsidRPr="005E2FD9" w:rsidRDefault="002A3665" w:rsidP="00B104E7">
      <w:pPr>
        <w:keepNext/>
        <w:ind w:left="-567"/>
        <w:rPr>
          <w:b/>
          <w:iCs/>
          <w:highlight w:val="yellow"/>
          <w:u w:val="single"/>
        </w:rPr>
      </w:pPr>
      <w:r w:rsidRPr="005E2FD9">
        <w:rPr>
          <w:b/>
          <w:iCs/>
          <w:u w:val="single"/>
        </w:rPr>
        <w:fldChar w:fldCharType="begin" w:fldLock="1"/>
      </w:r>
      <w:r w:rsidRPr="005E2FD9">
        <w:rPr>
          <w:b/>
          <w:iCs/>
          <w:u w:val="single"/>
        </w:rPr>
        <w:instrText>COMMENTS "ECO/385"</w:instrText>
      </w:r>
      <w:r w:rsidRPr="005E2FD9">
        <w:rPr>
          <w:b/>
          <w:iCs/>
          <w:u w:val="single"/>
        </w:rPr>
        <w:fldChar w:fldCharType="separate"/>
      </w:r>
      <w:r w:rsidRPr="005E2FD9">
        <w:rPr>
          <w:b/>
          <w:iCs/>
          <w:u w:val="single"/>
        </w:rPr>
        <w:t>ECO/385</w:t>
      </w:r>
      <w:r w:rsidRPr="005E2FD9">
        <w:fldChar w:fldCharType="end"/>
      </w:r>
    </w:p>
    <w:p w:rsidR="002A3665" w:rsidRPr="005E2FD9" w:rsidRDefault="002A3665" w:rsidP="00B104E7">
      <w:pPr>
        <w:keepNext/>
        <w:rPr>
          <w:b/>
          <w:iCs/>
          <w:highlight w:val="yellow"/>
          <w:u w:val="single"/>
        </w:rPr>
      </w:pPr>
    </w:p>
    <w:p w:rsidR="009F58A3" w:rsidRPr="005E2FD9" w:rsidRDefault="009F58A3" w:rsidP="004E3A5B">
      <w:pPr>
        <w:widowControl w:val="0"/>
        <w:numPr>
          <w:ilvl w:val="0"/>
          <w:numId w:val="5"/>
        </w:numPr>
        <w:overflowPunct w:val="0"/>
        <w:autoSpaceDE w:val="0"/>
        <w:autoSpaceDN w:val="0"/>
        <w:adjustRightInd w:val="0"/>
        <w:ind w:hanging="567"/>
        <w:textAlignment w:val="baseline"/>
        <w:rPr>
          <w:b/>
          <w:bCs/>
          <w:i/>
          <w:iCs/>
        </w:rPr>
      </w:pPr>
      <w:r w:rsidRPr="005E2FD9">
        <w:rPr>
          <w:b/>
          <w:i/>
        </w:rPr>
        <w:t>Pakeitimo vertybiniais popieriais teisinė sistema</w:t>
      </w:r>
    </w:p>
    <w:p w:rsidR="009F58A3" w:rsidRPr="005E2FD9" w:rsidRDefault="009F58A3" w:rsidP="004E3A5B">
      <w:pPr>
        <w:ind w:firstLine="17"/>
      </w:pPr>
    </w:p>
    <w:p w:rsidR="009F58A3" w:rsidRPr="005E2FD9" w:rsidRDefault="009F58A3" w:rsidP="00B104E7">
      <w:pPr>
        <w:ind w:left="1418" w:hanging="1418"/>
      </w:pPr>
      <w:r w:rsidRPr="005E2FD9">
        <w:rPr>
          <w:b/>
        </w:rPr>
        <w:t>Pranešėjas</w:t>
      </w:r>
      <w:r w:rsidRPr="005E2FD9">
        <w:tab/>
        <w:t>Daniel Mareels (Darbdavių gr., BE)</w:t>
      </w:r>
    </w:p>
    <w:p w:rsidR="009F58A3" w:rsidRPr="005E2FD9" w:rsidRDefault="009F58A3" w:rsidP="00B104E7">
      <w:pPr>
        <w:ind w:left="1418" w:hanging="1418"/>
      </w:pPr>
    </w:p>
    <w:p w:rsidR="009F58A3" w:rsidRPr="005E2FD9" w:rsidRDefault="009F58A3" w:rsidP="00B104E7">
      <w:pPr>
        <w:keepNext/>
        <w:ind w:left="1418" w:hanging="1418"/>
      </w:pPr>
      <w:r w:rsidRPr="005E2FD9">
        <w:rPr>
          <w:b/>
        </w:rPr>
        <w:t>Nuorodos</w:t>
      </w:r>
      <w:r w:rsidRPr="005E2FD9">
        <w:tab/>
        <w:t>COM(2015) 473 final ir COM(2015) 472 final</w:t>
      </w:r>
    </w:p>
    <w:p w:rsidR="009F58A3" w:rsidRPr="005E2FD9" w:rsidRDefault="009F58A3" w:rsidP="00B104E7">
      <w:pPr>
        <w:ind w:left="1418"/>
      </w:pPr>
      <w:r w:rsidRPr="005E2FD9">
        <w:t>EESC-2015-04971-00-00-AC-TRA</w:t>
      </w:r>
    </w:p>
    <w:p w:rsidR="009F58A3" w:rsidRPr="005E2FD9" w:rsidRDefault="009F58A3" w:rsidP="00B104E7"/>
    <w:p w:rsidR="009F58A3" w:rsidRPr="005E2FD9" w:rsidRDefault="009F58A3" w:rsidP="00B104E7">
      <w:pPr>
        <w:keepNext/>
        <w:rPr>
          <w:b/>
        </w:rPr>
      </w:pPr>
      <w:r w:rsidRPr="005E2FD9">
        <w:rPr>
          <w:b/>
        </w:rPr>
        <w:t>Dokumento esmė</w:t>
      </w:r>
    </w:p>
    <w:p w:rsidR="009F58A3" w:rsidRPr="005E2FD9" w:rsidRDefault="009F58A3" w:rsidP="00282997"/>
    <w:p w:rsidR="009F58A3" w:rsidRPr="005E2FD9" w:rsidRDefault="009F58A3" w:rsidP="00B104E7">
      <w:pPr>
        <w:keepNext/>
        <w:tabs>
          <w:tab w:val="left" w:pos="7797"/>
        </w:tabs>
        <w:rPr>
          <w:sz w:val="23"/>
          <w:szCs w:val="23"/>
        </w:rPr>
      </w:pPr>
      <w:r w:rsidRPr="005E2FD9">
        <w:rPr>
          <w:sz w:val="23"/>
        </w:rPr>
        <w:t>EESRK</w:t>
      </w:r>
    </w:p>
    <w:p w:rsidR="002D750B" w:rsidRPr="005E2FD9" w:rsidRDefault="002D750B" w:rsidP="00B104E7">
      <w:pPr>
        <w:keepNext/>
        <w:tabs>
          <w:tab w:val="left" w:pos="7797"/>
        </w:tabs>
        <w:rPr>
          <w:sz w:val="23"/>
          <w:szCs w:val="23"/>
        </w:rPr>
      </w:pPr>
    </w:p>
    <w:p w:rsidR="009F58A3" w:rsidRPr="005E2FD9" w:rsidRDefault="009F58A3" w:rsidP="00B104E7">
      <w:pPr>
        <w:numPr>
          <w:ilvl w:val="0"/>
          <w:numId w:val="4"/>
        </w:numPr>
        <w:tabs>
          <w:tab w:val="clear" w:pos="0"/>
        </w:tabs>
        <w:overflowPunct w:val="0"/>
        <w:autoSpaceDE w:val="0"/>
        <w:autoSpaceDN w:val="0"/>
        <w:adjustRightInd w:val="0"/>
        <w:ind w:left="283" w:hanging="283"/>
        <w:textAlignment w:val="baseline"/>
      </w:pPr>
      <w:r w:rsidRPr="005E2FD9">
        <w:t>palankiai vertina pasiūlymus sukurti „paprastą, skaidrią ir standartizuotą“ pakeitimo vertybiniais popieriais tvarką (PSS pakeitimą vertybiniais popieriais), taip pat prudencinių reikalavimų pritaikymą kredito įstaigoms ir investicinėms įmonėms;</w:t>
      </w:r>
    </w:p>
    <w:p w:rsidR="009F58A3" w:rsidRPr="005E2FD9" w:rsidRDefault="009F58A3" w:rsidP="00B104E7">
      <w:pPr>
        <w:numPr>
          <w:ilvl w:val="0"/>
          <w:numId w:val="4"/>
        </w:numPr>
        <w:tabs>
          <w:tab w:val="clear" w:pos="0"/>
        </w:tabs>
        <w:overflowPunct w:val="0"/>
        <w:autoSpaceDE w:val="0"/>
        <w:autoSpaceDN w:val="0"/>
        <w:adjustRightInd w:val="0"/>
        <w:ind w:left="283" w:hanging="283"/>
        <w:textAlignment w:val="baseline"/>
      </w:pPr>
      <w:r w:rsidRPr="005E2FD9">
        <w:t>ragina imtis veiksmų trumpuoju laikotarpiu, kad būtų sutelkti dideli papildomi ištekliai bankų skiriamam finansavimui. Tai yra labai svarbu, ypač MVĮ ir namų ūkiams;</w:t>
      </w:r>
    </w:p>
    <w:p w:rsidR="009F58A3" w:rsidRPr="005E2FD9" w:rsidRDefault="002D750B" w:rsidP="00B104E7">
      <w:pPr>
        <w:numPr>
          <w:ilvl w:val="0"/>
          <w:numId w:val="4"/>
        </w:numPr>
        <w:tabs>
          <w:tab w:val="clear" w:pos="0"/>
        </w:tabs>
        <w:overflowPunct w:val="0"/>
        <w:autoSpaceDE w:val="0"/>
        <w:autoSpaceDN w:val="0"/>
        <w:adjustRightInd w:val="0"/>
        <w:ind w:left="283" w:hanging="283"/>
        <w:textAlignment w:val="baseline"/>
      </w:pPr>
      <w:r w:rsidRPr="005E2FD9">
        <w:t>mano, kad bankų skiriamas finansavimas ir rinka pagrįstas finansavimas yra neatsiejamas vienas nuo kito ir juos reikėtų laikyti ne konkuruojančiais, o veikiau vienas kitą papildančiais;</w:t>
      </w:r>
    </w:p>
    <w:p w:rsidR="009F58A3" w:rsidRPr="005E2FD9" w:rsidRDefault="009F58A3" w:rsidP="00B104E7">
      <w:pPr>
        <w:numPr>
          <w:ilvl w:val="0"/>
          <w:numId w:val="4"/>
        </w:numPr>
        <w:tabs>
          <w:tab w:val="clear" w:pos="0"/>
        </w:tabs>
        <w:overflowPunct w:val="0"/>
        <w:autoSpaceDE w:val="0"/>
        <w:autoSpaceDN w:val="0"/>
        <w:adjustRightInd w:val="0"/>
        <w:ind w:left="283" w:hanging="283"/>
        <w:textAlignment w:val="baseline"/>
      </w:pPr>
      <w:r w:rsidRPr="005E2FD9">
        <w:t>pageidauja, kad taisyklės būtų pakankamai plačios ir PSS pakeitimo vertybiniais popieriais kriterijai būtų realistiški ir įvykdomi visiems aktyviai kreditų rinkoje veikiantiems bankams – tiek dideliems, tiek mažiems ir vietos reikšmės;</w:t>
      </w:r>
    </w:p>
    <w:p w:rsidR="009F58A3" w:rsidRPr="005E2FD9" w:rsidRDefault="009F58A3" w:rsidP="00B104E7">
      <w:pPr>
        <w:numPr>
          <w:ilvl w:val="0"/>
          <w:numId w:val="4"/>
        </w:numPr>
        <w:tabs>
          <w:tab w:val="clear" w:pos="0"/>
        </w:tabs>
        <w:overflowPunct w:val="0"/>
        <w:autoSpaceDE w:val="0"/>
        <w:autoSpaceDN w:val="0"/>
        <w:adjustRightInd w:val="0"/>
        <w:ind w:left="283" w:hanging="283"/>
        <w:textAlignment w:val="baseline"/>
      </w:pPr>
      <w:r w:rsidRPr="005E2FD9">
        <w:t>pageidauja, kad pakeitimo vertybiniais popieriais operacijos būtų patrauklios investuotojams. Tuo pačiu metu dera aiškiai apibrėžti su juo susijusią riziką ir nurodyti, kas turės ją prisiimti atsižvelgiant į visą grandinę, t. y. nuo emitento iki investuotojo;</w:t>
      </w:r>
    </w:p>
    <w:p w:rsidR="009F58A3" w:rsidRPr="005E2FD9" w:rsidRDefault="009F58A3" w:rsidP="00B104E7">
      <w:pPr>
        <w:numPr>
          <w:ilvl w:val="0"/>
          <w:numId w:val="4"/>
        </w:numPr>
        <w:tabs>
          <w:tab w:val="clear" w:pos="0"/>
        </w:tabs>
        <w:overflowPunct w:val="0"/>
        <w:autoSpaceDE w:val="0"/>
        <w:autoSpaceDN w:val="0"/>
        <w:adjustRightInd w:val="0"/>
        <w:ind w:left="283" w:hanging="283"/>
        <w:textAlignment w:val="baseline"/>
      </w:pPr>
      <w:r w:rsidRPr="005E2FD9">
        <w:t>mano, kad dabar svarbu nekartoti praeities klaidų;</w:t>
      </w:r>
    </w:p>
    <w:p w:rsidR="009F58A3" w:rsidRPr="005E2FD9" w:rsidRDefault="009F58A3" w:rsidP="00B104E7">
      <w:pPr>
        <w:numPr>
          <w:ilvl w:val="0"/>
          <w:numId w:val="4"/>
        </w:numPr>
        <w:tabs>
          <w:tab w:val="clear" w:pos="0"/>
        </w:tabs>
        <w:overflowPunct w:val="0"/>
        <w:autoSpaceDE w:val="0"/>
        <w:autoSpaceDN w:val="0"/>
        <w:adjustRightInd w:val="0"/>
        <w:ind w:left="283" w:hanging="283"/>
        <w:textAlignment w:val="baseline"/>
      </w:pPr>
      <w:r w:rsidRPr="005E2FD9">
        <w:t>pritaria požiūriui, kad pakeitimas vertybiniais popieriais neturi būti prieinamas smulkiems investuotojams ir vartotojams dėl problemos sudėtingumo ir susijusios rizikos. Komitetas prašo į dokumentus įtraukti aiškų draudimą.</w:t>
      </w:r>
    </w:p>
    <w:p w:rsidR="009F58A3" w:rsidRPr="005E2FD9" w:rsidRDefault="009F58A3" w:rsidP="004E3A5B">
      <w:pPr>
        <w:tabs>
          <w:tab w:val="left" w:pos="770"/>
        </w:tabs>
        <w:ind w:left="1430" w:hanging="1430"/>
        <w:rPr>
          <w:b/>
          <w:bCs/>
          <w:i/>
          <w:iCs/>
        </w:rPr>
      </w:pPr>
    </w:p>
    <w:p w:rsidR="009F58A3" w:rsidRPr="005E2FD9" w:rsidRDefault="009F58A3" w:rsidP="00B104E7">
      <w:pPr>
        <w:keepNext/>
        <w:ind w:left="1429" w:hanging="1429"/>
        <w:rPr>
          <w:i/>
          <w:iCs/>
        </w:rPr>
      </w:pPr>
      <w:r w:rsidRPr="005E2FD9">
        <w:rPr>
          <w:b/>
          <w:i/>
        </w:rPr>
        <w:t>Asmuo pasiteirauti</w:t>
      </w:r>
      <w:r w:rsidRPr="005E2FD9">
        <w:tab/>
      </w:r>
      <w:r w:rsidRPr="005E2FD9">
        <w:rPr>
          <w:i/>
        </w:rPr>
        <w:t>Siegfried Jantscher</w:t>
      </w:r>
    </w:p>
    <w:p w:rsidR="009F58A3" w:rsidRPr="005E2FD9" w:rsidRDefault="00000EE9" w:rsidP="00B104E7">
      <w:pPr>
        <w:ind w:left="1430" w:hanging="12"/>
        <w:rPr>
          <w:i/>
          <w:iCs/>
        </w:rPr>
      </w:pPr>
      <w:r w:rsidRPr="005E2FD9">
        <w:rPr>
          <w:i/>
        </w:rPr>
        <w:t>(Tel. +</w:t>
      </w:r>
      <w:r w:rsidR="009F58A3" w:rsidRPr="005E2FD9">
        <w:rPr>
          <w:i/>
        </w:rPr>
        <w:t xml:space="preserve">32 2 546 8287, el. paštas </w:t>
      </w:r>
      <w:hyperlink r:id="rId23">
        <w:r w:rsidR="009F58A3" w:rsidRPr="005E2FD9">
          <w:rPr>
            <w:rStyle w:val="Hyperlink"/>
            <w:i/>
            <w:color w:val="auto"/>
          </w:rPr>
          <w:t>siegfried.jantscher@eesc.europa.eu</w:t>
        </w:r>
      </w:hyperlink>
      <w:r w:rsidR="009F58A3" w:rsidRPr="005E2FD9">
        <w:rPr>
          <w:i/>
        </w:rPr>
        <w:t>)</w:t>
      </w:r>
    </w:p>
    <w:p w:rsidR="00A36A65" w:rsidRPr="005E2FD9" w:rsidRDefault="00A36A65" w:rsidP="0079472F">
      <w:pPr>
        <w:rPr>
          <w:b/>
          <w:sz w:val="28"/>
        </w:rPr>
      </w:pPr>
    </w:p>
    <w:p w:rsidR="009F58A3" w:rsidRPr="005E2FD9" w:rsidRDefault="00136FA8" w:rsidP="00B104E7">
      <w:pPr>
        <w:keepNext/>
        <w:numPr>
          <w:ilvl w:val="0"/>
          <w:numId w:val="2"/>
        </w:numPr>
        <w:ind w:left="567" w:hanging="578"/>
        <w:outlineLvl w:val="0"/>
        <w:rPr>
          <w:b/>
        </w:rPr>
      </w:pPr>
      <w:bookmarkStart w:id="4" w:name="_Toc442171222"/>
      <w:bookmarkStart w:id="5" w:name="_Toc442171261"/>
      <w:bookmarkStart w:id="6" w:name="_Toc442352136"/>
      <w:r w:rsidRPr="005E2FD9">
        <w:rPr>
          <w:b/>
        </w:rPr>
        <w:t>ENERGETIKA</w:t>
      </w:r>
      <w:bookmarkEnd w:id="4"/>
      <w:bookmarkEnd w:id="5"/>
      <w:bookmarkEnd w:id="6"/>
    </w:p>
    <w:p w:rsidR="007F15F7" w:rsidRPr="005E2FD9" w:rsidRDefault="007F15F7" w:rsidP="00B104E7">
      <w:pPr>
        <w:keepNext/>
        <w:rPr>
          <w:b/>
          <w:iCs/>
          <w:highlight w:val="yellow"/>
          <w:u w:val="single"/>
        </w:rPr>
      </w:pPr>
    </w:p>
    <w:p w:rsidR="002A3665" w:rsidRPr="005E2FD9" w:rsidRDefault="002A3665" w:rsidP="00B104E7">
      <w:pPr>
        <w:keepNext/>
        <w:ind w:left="-567"/>
        <w:rPr>
          <w:b/>
          <w:iCs/>
          <w:highlight w:val="yellow"/>
          <w:u w:val="single"/>
        </w:rPr>
      </w:pPr>
      <w:r w:rsidRPr="005E2FD9">
        <w:rPr>
          <w:b/>
          <w:iCs/>
          <w:u w:val="single"/>
        </w:rPr>
        <w:fldChar w:fldCharType="begin" w:fldLock="1"/>
      </w:r>
      <w:r w:rsidRPr="005E2FD9">
        <w:rPr>
          <w:b/>
          <w:iCs/>
          <w:u w:val="single"/>
        </w:rPr>
        <w:instrText>COMMENTS "TEN/576"</w:instrText>
      </w:r>
      <w:r w:rsidRPr="005E2FD9">
        <w:rPr>
          <w:b/>
          <w:iCs/>
          <w:u w:val="single"/>
        </w:rPr>
        <w:fldChar w:fldCharType="separate"/>
      </w:r>
      <w:r w:rsidRPr="005E2FD9">
        <w:rPr>
          <w:b/>
          <w:iCs/>
          <w:u w:val="single"/>
        </w:rPr>
        <w:t>TEN/576</w:t>
      </w:r>
      <w:r w:rsidRPr="005E2FD9">
        <w:fldChar w:fldCharType="end"/>
      </w:r>
    </w:p>
    <w:p w:rsidR="002A3665" w:rsidRPr="005E2FD9" w:rsidRDefault="002A3665" w:rsidP="00B104E7">
      <w:pPr>
        <w:keepNext/>
        <w:rPr>
          <w:b/>
          <w:iCs/>
          <w:highlight w:val="yellow"/>
          <w:u w:val="single"/>
        </w:rPr>
      </w:pPr>
    </w:p>
    <w:p w:rsidR="007F15F7" w:rsidRPr="005E2FD9" w:rsidRDefault="007F15F7" w:rsidP="004E3A5B">
      <w:pPr>
        <w:widowControl w:val="0"/>
        <w:numPr>
          <w:ilvl w:val="0"/>
          <w:numId w:val="5"/>
        </w:numPr>
        <w:overflowPunct w:val="0"/>
        <w:autoSpaceDE w:val="0"/>
        <w:autoSpaceDN w:val="0"/>
        <w:adjustRightInd w:val="0"/>
        <w:ind w:hanging="567"/>
        <w:textAlignment w:val="baseline"/>
        <w:rPr>
          <w:b/>
          <w:bCs/>
          <w:i/>
          <w:iCs/>
        </w:rPr>
      </w:pPr>
      <w:r w:rsidRPr="005E2FD9">
        <w:rPr>
          <w:b/>
          <w:i/>
        </w:rPr>
        <w:t>Energijos vartojimo efektyvumo ženklinimo pagrindai</w:t>
      </w:r>
    </w:p>
    <w:p w:rsidR="007F15F7" w:rsidRPr="005E2FD9" w:rsidRDefault="007F15F7" w:rsidP="004E3A5B">
      <w:pPr>
        <w:widowControl w:val="0"/>
        <w:rPr>
          <w:bCs/>
          <w:szCs w:val="20"/>
        </w:rPr>
      </w:pPr>
    </w:p>
    <w:p w:rsidR="007F15F7" w:rsidRPr="005E2FD9" w:rsidRDefault="007F15F7" w:rsidP="004E3A5B">
      <w:pPr>
        <w:rPr>
          <w:bCs/>
        </w:rPr>
      </w:pPr>
      <w:r w:rsidRPr="005E2FD9">
        <w:rPr>
          <w:b/>
        </w:rPr>
        <w:t>Pranešėjas</w:t>
      </w:r>
      <w:r w:rsidRPr="005E2FD9">
        <w:tab/>
        <w:t>Emilio Fatovic (Darbuotojų gr., IT)</w:t>
      </w:r>
    </w:p>
    <w:p w:rsidR="007F15F7" w:rsidRPr="005E2FD9" w:rsidRDefault="007F15F7" w:rsidP="004E3A5B">
      <w:pPr>
        <w:tabs>
          <w:tab w:val="num" w:pos="550"/>
        </w:tabs>
        <w:rPr>
          <w:b/>
        </w:rPr>
      </w:pPr>
    </w:p>
    <w:p w:rsidR="007F15F7" w:rsidRPr="005E2FD9" w:rsidRDefault="007F15F7" w:rsidP="00B104E7">
      <w:pPr>
        <w:keepNext/>
        <w:ind w:left="1418" w:hanging="1418"/>
        <w:rPr>
          <w:bCs/>
        </w:rPr>
      </w:pPr>
      <w:r w:rsidRPr="005E2FD9">
        <w:rPr>
          <w:b/>
        </w:rPr>
        <w:t>Nuorodos</w:t>
      </w:r>
      <w:r w:rsidRPr="005E2FD9">
        <w:tab/>
        <w:t>COM(2015) 341 final</w:t>
      </w:r>
      <w:r w:rsidRPr="005E2FD9">
        <w:rPr>
          <w:b/>
        </w:rPr>
        <w:t xml:space="preserve"> </w:t>
      </w:r>
    </w:p>
    <w:p w:rsidR="007F15F7" w:rsidRPr="005E2FD9" w:rsidRDefault="007F15F7" w:rsidP="00B104E7">
      <w:pPr>
        <w:ind w:left="1418"/>
        <w:rPr>
          <w:bCs/>
        </w:rPr>
      </w:pPr>
      <w:r w:rsidRPr="005E2FD9">
        <w:t>EESC-2015-04936-00-00-AS-TRA</w:t>
      </w:r>
    </w:p>
    <w:p w:rsidR="007F15F7" w:rsidRPr="005E2FD9" w:rsidRDefault="007F15F7" w:rsidP="0079472F">
      <w:pPr>
        <w:rPr>
          <w:szCs w:val="20"/>
        </w:rPr>
      </w:pPr>
    </w:p>
    <w:p w:rsidR="007F15F7" w:rsidRPr="005E2FD9" w:rsidRDefault="007F15F7" w:rsidP="00B104E7">
      <w:pPr>
        <w:keepNext/>
      </w:pPr>
      <w:r w:rsidRPr="005E2FD9">
        <w:rPr>
          <w:b/>
        </w:rPr>
        <w:t>Dokumento esmė</w:t>
      </w:r>
    </w:p>
    <w:p w:rsidR="007F15F7" w:rsidRPr="005E2FD9" w:rsidRDefault="007F15F7" w:rsidP="00B104E7">
      <w:pPr>
        <w:keepNext/>
      </w:pPr>
    </w:p>
    <w:p w:rsidR="007F15F7" w:rsidRPr="005E2FD9" w:rsidRDefault="007F15F7" w:rsidP="004E3A5B">
      <w:r w:rsidRPr="005E2FD9">
        <w:t>EESRK remia Komisijos pasiūlymą, nes jame nagrinėjamos svarbiausios su galiojančiais teisės aktais susijusios problemos, t. y. veiksmingas teisės aktų įgyvendinimas, veiksminga rinkos stebėsena ir vartotojų teisė gauti aiškią, suprantamą ir palyginamą informaciją. Komitetas mano, kad sprendimas vietoj direktyvos kaip teisinę priemonę naudoti reglamentą buvo teisingas. Komitetas taip pat pritaria pasiūlymui sukurti gaminių duomenų bazę ir grįžti prie ankstesnės energijos vartojimo efektyvumo skalės nuo A iki G. EESRK taip pat pateikė šias pagrindines rekomendacijas:</w:t>
      </w:r>
    </w:p>
    <w:p w:rsidR="007F15F7" w:rsidRPr="005E2FD9" w:rsidRDefault="007F15F7" w:rsidP="004E3A5B"/>
    <w:p w:rsidR="007F15F7" w:rsidRPr="005E2FD9" w:rsidRDefault="007F15F7" w:rsidP="00B104E7">
      <w:pPr>
        <w:numPr>
          <w:ilvl w:val="0"/>
          <w:numId w:val="4"/>
        </w:numPr>
        <w:tabs>
          <w:tab w:val="clear" w:pos="0"/>
        </w:tabs>
        <w:overflowPunct w:val="0"/>
        <w:autoSpaceDE w:val="0"/>
        <w:autoSpaceDN w:val="0"/>
        <w:adjustRightInd w:val="0"/>
        <w:ind w:left="363" w:hanging="363"/>
        <w:textAlignment w:val="baseline"/>
      </w:pPr>
      <w:r w:rsidRPr="005E2FD9">
        <w:t>stiprinti parduodamų produktų kontrolę siekiant patikrinti, ar jų savybės tikrai atitinka tas, kurios nurodytos etiketėje,</w:t>
      </w:r>
    </w:p>
    <w:p w:rsidR="007F15F7" w:rsidRPr="005E2FD9" w:rsidRDefault="007F15F7" w:rsidP="00B104E7">
      <w:pPr>
        <w:numPr>
          <w:ilvl w:val="0"/>
          <w:numId w:val="4"/>
        </w:numPr>
        <w:tabs>
          <w:tab w:val="clear" w:pos="0"/>
        </w:tabs>
        <w:overflowPunct w:val="0"/>
        <w:autoSpaceDE w:val="0"/>
        <w:autoSpaceDN w:val="0"/>
        <w:adjustRightInd w:val="0"/>
        <w:ind w:left="363" w:hanging="363"/>
        <w:textAlignment w:val="baseline"/>
      </w:pPr>
      <w:r w:rsidRPr="005E2FD9">
        <w:t>naują etiketę papildyti kita vartotojams svarbia informacija, kaip antai mažiausia produktų naudojimo trukmė ir energijos suvartojimas per visą gaminio eksploatavimo laiką,</w:t>
      </w:r>
    </w:p>
    <w:p w:rsidR="007F15F7" w:rsidRPr="005E2FD9" w:rsidRDefault="007F15F7" w:rsidP="00B104E7">
      <w:pPr>
        <w:numPr>
          <w:ilvl w:val="0"/>
          <w:numId w:val="4"/>
        </w:numPr>
        <w:tabs>
          <w:tab w:val="clear" w:pos="0"/>
        </w:tabs>
        <w:overflowPunct w:val="0"/>
        <w:autoSpaceDE w:val="0"/>
        <w:autoSpaceDN w:val="0"/>
        <w:adjustRightInd w:val="0"/>
        <w:ind w:left="363" w:hanging="363"/>
        <w:textAlignment w:val="baseline"/>
      </w:pPr>
      <w:r w:rsidRPr="005E2FD9">
        <w:t>nustatyti vienodą sankcijų režimą Europos lygmeniu,</w:t>
      </w:r>
    </w:p>
    <w:p w:rsidR="007F15F7" w:rsidRPr="005E2FD9" w:rsidRDefault="007F15F7" w:rsidP="00B104E7">
      <w:pPr>
        <w:numPr>
          <w:ilvl w:val="0"/>
          <w:numId w:val="4"/>
        </w:numPr>
        <w:tabs>
          <w:tab w:val="clear" w:pos="0"/>
        </w:tabs>
        <w:overflowPunct w:val="0"/>
        <w:autoSpaceDE w:val="0"/>
        <w:autoSpaceDN w:val="0"/>
        <w:adjustRightInd w:val="0"/>
        <w:ind w:left="363" w:hanging="363"/>
        <w:textAlignment w:val="baseline"/>
      </w:pPr>
      <w:r w:rsidRPr="005E2FD9">
        <w:t>imtis veiksmų, kad galimos papildomos išlaidos, numatytos diegiant ženklinimo sistemą, nebūtų automatiškai užkraunamos mažmenininkams ar galutiniams vartotojams,</w:t>
      </w:r>
    </w:p>
    <w:p w:rsidR="007F15F7" w:rsidRPr="005E2FD9" w:rsidRDefault="007F15F7" w:rsidP="00B104E7">
      <w:pPr>
        <w:numPr>
          <w:ilvl w:val="0"/>
          <w:numId w:val="4"/>
        </w:numPr>
        <w:tabs>
          <w:tab w:val="clear" w:pos="0"/>
        </w:tabs>
        <w:overflowPunct w:val="0"/>
        <w:autoSpaceDE w:val="0"/>
        <w:autoSpaceDN w:val="0"/>
        <w:adjustRightInd w:val="0"/>
        <w:ind w:left="363" w:hanging="363"/>
        <w:textAlignment w:val="baseline"/>
      </w:pPr>
      <w:r w:rsidRPr="005E2FD9">
        <w:t>sureguliuoti prekybą interneto svetainėse, kuriose nustatoma daugiausia reikalavimo pateikti energijos vartojimo efektyvumo etiketes pažeidimų,</w:t>
      </w:r>
    </w:p>
    <w:p w:rsidR="007F15F7" w:rsidRPr="005E2FD9" w:rsidRDefault="007F15F7" w:rsidP="00B104E7">
      <w:pPr>
        <w:numPr>
          <w:ilvl w:val="0"/>
          <w:numId w:val="4"/>
        </w:numPr>
        <w:tabs>
          <w:tab w:val="clear" w:pos="0"/>
        </w:tabs>
        <w:overflowPunct w:val="0"/>
        <w:autoSpaceDE w:val="0"/>
        <w:autoSpaceDN w:val="0"/>
        <w:adjustRightInd w:val="0"/>
        <w:ind w:left="363" w:hanging="363"/>
        <w:textAlignment w:val="baseline"/>
      </w:pPr>
      <w:r w:rsidRPr="005E2FD9">
        <w:t>reguliuoti prekybą atnaujintais produktais, siekiant išvengti reguliavimo spragų ir pirmiausia paskatinti geriau integruoti efektyvaus energijos vartojimo ir žiedinės ekonomikos strategijas,</w:t>
      </w:r>
    </w:p>
    <w:p w:rsidR="007F15F7" w:rsidRPr="005E2FD9" w:rsidRDefault="007F15F7" w:rsidP="00B104E7">
      <w:pPr>
        <w:numPr>
          <w:ilvl w:val="0"/>
          <w:numId w:val="4"/>
        </w:numPr>
        <w:tabs>
          <w:tab w:val="clear" w:pos="0"/>
        </w:tabs>
        <w:overflowPunct w:val="0"/>
        <w:autoSpaceDE w:val="0"/>
        <w:autoSpaceDN w:val="0"/>
        <w:adjustRightInd w:val="0"/>
        <w:ind w:left="363" w:hanging="363"/>
        <w:textAlignment w:val="baseline"/>
      </w:pPr>
      <w:r w:rsidRPr="005E2FD9">
        <w:t>ypatingą dėmesį skirti iš trečiųjų šalių importuojamiems produktams, kad Europos gamybos įmonės būtų apsaugotos nuo galimos nesąžiningos konkurencijos ar sukčiavimo,</w:t>
      </w:r>
    </w:p>
    <w:p w:rsidR="007F15F7" w:rsidRPr="005E2FD9" w:rsidRDefault="007F15F7" w:rsidP="00B104E7">
      <w:pPr>
        <w:numPr>
          <w:ilvl w:val="0"/>
          <w:numId w:val="4"/>
        </w:numPr>
        <w:tabs>
          <w:tab w:val="clear" w:pos="0"/>
        </w:tabs>
        <w:overflowPunct w:val="0"/>
        <w:autoSpaceDE w:val="0"/>
        <w:autoSpaceDN w:val="0"/>
        <w:adjustRightInd w:val="0"/>
        <w:ind w:left="363" w:hanging="363"/>
        <w:textAlignment w:val="baseline"/>
      </w:pPr>
      <w:r w:rsidRPr="005E2FD9">
        <w:t>organizuota pilietinė visuomenė turėtų talkinti nacionalinėms vyriausybėms siekiant veiksmingai vykdyti plataus masto informavimo ir sąmoningumo didinimo veiklą, kuri apimtų ir mažmenininkus,</w:t>
      </w:r>
    </w:p>
    <w:p w:rsidR="007F15F7" w:rsidRPr="005E2FD9" w:rsidRDefault="007F15F7" w:rsidP="00B104E7">
      <w:pPr>
        <w:numPr>
          <w:ilvl w:val="0"/>
          <w:numId w:val="4"/>
        </w:numPr>
        <w:tabs>
          <w:tab w:val="clear" w:pos="0"/>
        </w:tabs>
        <w:overflowPunct w:val="0"/>
        <w:autoSpaceDE w:val="0"/>
        <w:autoSpaceDN w:val="0"/>
        <w:adjustRightInd w:val="0"/>
        <w:ind w:left="363" w:hanging="363"/>
        <w:textAlignment w:val="baseline"/>
      </w:pPr>
      <w:r w:rsidRPr="005E2FD9">
        <w:t>laikotarpį pereinamojo laikotarpio pabaigoje reikėtų prailginti iki 30 dienų, kad būtų suteikta pakankamai laiko galutinai pereiti prie naujos produktų ženklinimo sistemos,</w:t>
      </w:r>
    </w:p>
    <w:p w:rsidR="007F15F7" w:rsidRPr="005E2FD9" w:rsidRDefault="007F15F7" w:rsidP="00B104E7">
      <w:pPr>
        <w:numPr>
          <w:ilvl w:val="0"/>
          <w:numId w:val="4"/>
        </w:numPr>
        <w:tabs>
          <w:tab w:val="clear" w:pos="0"/>
        </w:tabs>
        <w:overflowPunct w:val="0"/>
        <w:autoSpaceDE w:val="0"/>
        <w:autoSpaceDN w:val="0"/>
        <w:adjustRightInd w:val="0"/>
        <w:ind w:left="363" w:hanging="363"/>
        <w:textAlignment w:val="baseline"/>
      </w:pPr>
      <w:r w:rsidRPr="005E2FD9">
        <w:t>laikytis atsargesnės ir labiau apgalvotos taktikos pasitelkiant deleguotuosius aktus,</w:t>
      </w:r>
    </w:p>
    <w:p w:rsidR="007F15F7" w:rsidRPr="005E2FD9" w:rsidRDefault="007F15F7" w:rsidP="00B104E7">
      <w:pPr>
        <w:numPr>
          <w:ilvl w:val="0"/>
          <w:numId w:val="4"/>
        </w:numPr>
        <w:tabs>
          <w:tab w:val="clear" w:pos="0"/>
        </w:tabs>
        <w:overflowPunct w:val="0"/>
        <w:autoSpaceDE w:val="0"/>
        <w:autoSpaceDN w:val="0"/>
        <w:adjustRightInd w:val="0"/>
        <w:ind w:left="363" w:hanging="363"/>
        <w:textAlignment w:val="baseline"/>
      </w:pPr>
      <w:r w:rsidRPr="005E2FD9">
        <w:t>įpusėjus aštuonių metų laikotarpiui, kuris numatytas ženklinimo sistemai persvarstyti, reikėtų atlikti poveikio vertinimą,</w:t>
      </w:r>
    </w:p>
    <w:p w:rsidR="007F15F7" w:rsidRPr="005E2FD9" w:rsidRDefault="007F15F7" w:rsidP="00B104E7">
      <w:pPr>
        <w:numPr>
          <w:ilvl w:val="0"/>
          <w:numId w:val="4"/>
        </w:numPr>
        <w:tabs>
          <w:tab w:val="clear" w:pos="0"/>
        </w:tabs>
        <w:overflowPunct w:val="0"/>
        <w:autoSpaceDE w:val="0"/>
        <w:autoSpaceDN w:val="0"/>
        <w:adjustRightInd w:val="0"/>
        <w:ind w:left="363" w:hanging="363"/>
        <w:textAlignment w:val="baseline"/>
      </w:pPr>
      <w:r w:rsidRPr="005E2FD9">
        <w:lastRenderedPageBreak/>
        <w:t>produktų etikečių skalė turėtų būti keičiama automatiškai atsižvelgiant į realią technologijų plėtrą; keisti etikečių skalę reikėtų tik tuomet, kai A klasės produktai rinkoje sudaro ne mažiau kaip 20 proc.</w:t>
      </w:r>
    </w:p>
    <w:p w:rsidR="007F15F7" w:rsidRPr="005E2FD9" w:rsidRDefault="007F15F7" w:rsidP="004E3A5B"/>
    <w:p w:rsidR="007F15F7" w:rsidRPr="005E2FD9" w:rsidRDefault="007F15F7" w:rsidP="00B104E7">
      <w:pPr>
        <w:keepNext/>
        <w:ind w:left="1418" w:hanging="1418"/>
        <w:rPr>
          <w:i/>
          <w:szCs w:val="20"/>
        </w:rPr>
      </w:pPr>
      <w:r w:rsidRPr="005E2FD9">
        <w:rPr>
          <w:b/>
          <w:i/>
        </w:rPr>
        <w:t>Asmuo pasiteirauti</w:t>
      </w:r>
      <w:r w:rsidR="00F86D37" w:rsidRPr="005E2FD9">
        <w:rPr>
          <w:b/>
          <w:i/>
        </w:rPr>
        <w:t xml:space="preserve"> </w:t>
      </w:r>
      <w:r w:rsidRPr="005E2FD9">
        <w:rPr>
          <w:i/>
        </w:rPr>
        <w:t>Andrei Popescu</w:t>
      </w:r>
    </w:p>
    <w:p w:rsidR="007F15F7" w:rsidRPr="005E2FD9" w:rsidRDefault="00000EE9" w:rsidP="00B104E7">
      <w:pPr>
        <w:widowControl w:val="0"/>
        <w:ind w:left="1418"/>
        <w:rPr>
          <w:i/>
          <w:iCs/>
        </w:rPr>
      </w:pPr>
      <w:r w:rsidRPr="005E2FD9">
        <w:rPr>
          <w:i/>
        </w:rPr>
        <w:t>(Tel. +32 2 546 91</w:t>
      </w:r>
      <w:r w:rsidR="007F15F7" w:rsidRPr="005E2FD9">
        <w:rPr>
          <w:i/>
        </w:rPr>
        <w:t xml:space="preserve">86, el. paštas </w:t>
      </w:r>
      <w:hyperlink r:id="rId24">
        <w:r w:rsidR="007F15F7" w:rsidRPr="005E2FD9">
          <w:rPr>
            <w:rStyle w:val="Hyperlink"/>
            <w:i/>
            <w:color w:val="auto"/>
          </w:rPr>
          <w:t>Andrei.Popescu@eesc.europa.eu</w:t>
        </w:r>
      </w:hyperlink>
      <w:r w:rsidR="007F15F7" w:rsidRPr="005E2FD9">
        <w:rPr>
          <w:i/>
        </w:rPr>
        <w:t>)</w:t>
      </w:r>
    </w:p>
    <w:p w:rsidR="002A3665" w:rsidRPr="005E2FD9" w:rsidRDefault="002A3665" w:rsidP="00B104E7">
      <w:pPr>
        <w:spacing w:line="240" w:lineRule="auto"/>
        <w:jc w:val="left"/>
        <w:rPr>
          <w:iCs/>
        </w:rPr>
      </w:pPr>
    </w:p>
    <w:p w:rsidR="002A3665" w:rsidRPr="005E2FD9" w:rsidRDefault="002A3665" w:rsidP="002A3665">
      <w:pPr>
        <w:ind w:left="-567"/>
        <w:rPr>
          <w:b/>
          <w:iCs/>
          <w:u w:val="single"/>
        </w:rPr>
      </w:pPr>
      <w:r w:rsidRPr="005E2FD9">
        <w:rPr>
          <w:b/>
          <w:iCs/>
          <w:u w:val="single"/>
        </w:rPr>
        <w:fldChar w:fldCharType="begin" w:fldLock="1"/>
      </w:r>
      <w:r w:rsidRPr="005E2FD9">
        <w:rPr>
          <w:b/>
          <w:iCs/>
          <w:u w:val="single"/>
        </w:rPr>
        <w:instrText>COMMENTS "TEN/577"</w:instrText>
      </w:r>
      <w:r w:rsidRPr="005E2FD9">
        <w:rPr>
          <w:b/>
          <w:iCs/>
          <w:u w:val="single"/>
        </w:rPr>
        <w:fldChar w:fldCharType="separate"/>
      </w:r>
      <w:r w:rsidRPr="005E2FD9">
        <w:rPr>
          <w:b/>
          <w:iCs/>
          <w:u w:val="single"/>
        </w:rPr>
        <w:t>TEN/577</w:t>
      </w:r>
      <w:r w:rsidRPr="005E2FD9">
        <w:rPr>
          <w:b/>
          <w:u w:val="single"/>
        </w:rPr>
        <w:fldChar w:fldCharType="end"/>
      </w:r>
    </w:p>
    <w:p w:rsidR="007F15F7" w:rsidRPr="005E2FD9" w:rsidRDefault="007F15F7" w:rsidP="004E3A5B">
      <w:pPr>
        <w:rPr>
          <w:b/>
          <w:iCs/>
          <w:highlight w:val="yellow"/>
          <w:u w:val="single"/>
        </w:rPr>
      </w:pPr>
    </w:p>
    <w:p w:rsidR="007F15F7" w:rsidRPr="005E2FD9" w:rsidRDefault="007F15F7" w:rsidP="004E3A5B">
      <w:pPr>
        <w:widowControl w:val="0"/>
        <w:numPr>
          <w:ilvl w:val="0"/>
          <w:numId w:val="5"/>
        </w:numPr>
        <w:overflowPunct w:val="0"/>
        <w:autoSpaceDE w:val="0"/>
        <w:autoSpaceDN w:val="0"/>
        <w:adjustRightInd w:val="0"/>
        <w:ind w:hanging="567"/>
        <w:textAlignment w:val="baseline"/>
        <w:rPr>
          <w:b/>
          <w:bCs/>
          <w:i/>
          <w:iCs/>
        </w:rPr>
      </w:pPr>
      <w:r w:rsidRPr="005E2FD9">
        <w:rPr>
          <w:b/>
          <w:i/>
        </w:rPr>
        <w:t>Pradedamos viešos konsultacijos dėl naujo energijos rinkos modelio</w:t>
      </w:r>
    </w:p>
    <w:p w:rsidR="007F15F7" w:rsidRPr="005E2FD9" w:rsidRDefault="007F15F7" w:rsidP="004E3A5B">
      <w:pPr>
        <w:widowControl w:val="0"/>
        <w:rPr>
          <w:bCs/>
          <w:szCs w:val="20"/>
        </w:rPr>
      </w:pPr>
    </w:p>
    <w:p w:rsidR="007F15F7" w:rsidRPr="005E2FD9" w:rsidRDefault="007F15F7" w:rsidP="002A4A76">
      <w:pPr>
        <w:ind w:left="1418" w:hanging="1418"/>
        <w:rPr>
          <w:bCs/>
        </w:rPr>
      </w:pPr>
      <w:r w:rsidRPr="005E2FD9">
        <w:rPr>
          <w:b/>
        </w:rPr>
        <w:t>Pranešėjas</w:t>
      </w:r>
      <w:r w:rsidRPr="005E2FD9">
        <w:tab/>
        <w:t>Lutz Ribbe (Įvairių interesų gr., DE)</w:t>
      </w:r>
    </w:p>
    <w:p w:rsidR="007F15F7" w:rsidRPr="005E2FD9" w:rsidRDefault="007F15F7" w:rsidP="00B104E7">
      <w:pPr>
        <w:ind w:left="1418" w:hanging="1418"/>
        <w:rPr>
          <w:b/>
        </w:rPr>
      </w:pPr>
    </w:p>
    <w:p w:rsidR="007F15F7" w:rsidRPr="005E2FD9" w:rsidRDefault="007F15F7" w:rsidP="00B104E7">
      <w:pPr>
        <w:keepNext/>
        <w:ind w:left="1418" w:hanging="1418"/>
        <w:rPr>
          <w:b/>
        </w:rPr>
      </w:pPr>
      <w:r w:rsidRPr="005E2FD9">
        <w:rPr>
          <w:b/>
        </w:rPr>
        <w:t>Nuorodos</w:t>
      </w:r>
      <w:r w:rsidRPr="005E2FD9">
        <w:t xml:space="preserve"> </w:t>
      </w:r>
      <w:r w:rsidRPr="005E2FD9">
        <w:tab/>
        <w:t>COM(2015) 340 final</w:t>
      </w:r>
    </w:p>
    <w:p w:rsidR="007F15F7" w:rsidRPr="005E2FD9" w:rsidRDefault="007F15F7" w:rsidP="00B104E7">
      <w:pPr>
        <w:ind w:left="1418"/>
        <w:rPr>
          <w:bCs/>
        </w:rPr>
      </w:pPr>
      <w:r w:rsidRPr="005E2FD9">
        <w:t>EESC-2015-05033-00-00-AS-TRA</w:t>
      </w:r>
    </w:p>
    <w:p w:rsidR="007F15F7" w:rsidRPr="005E2FD9" w:rsidRDefault="007F15F7" w:rsidP="0079472F">
      <w:pPr>
        <w:rPr>
          <w:szCs w:val="20"/>
        </w:rPr>
      </w:pPr>
    </w:p>
    <w:p w:rsidR="007F15F7" w:rsidRPr="005E2FD9" w:rsidRDefault="007F15F7" w:rsidP="00B104E7">
      <w:pPr>
        <w:keepNext/>
      </w:pPr>
      <w:r w:rsidRPr="005E2FD9">
        <w:rPr>
          <w:b/>
        </w:rPr>
        <w:t>Dokumento esmė</w:t>
      </w:r>
    </w:p>
    <w:p w:rsidR="007F15F7" w:rsidRPr="005E2FD9" w:rsidRDefault="007F15F7" w:rsidP="00B104E7">
      <w:pPr>
        <w:keepNext/>
      </w:pPr>
    </w:p>
    <w:p w:rsidR="007F15F7" w:rsidRPr="005E2FD9" w:rsidRDefault="007F15F7" w:rsidP="004E3A5B">
      <w:r w:rsidRPr="005E2FD9">
        <w:t>EESRK pripažįsta naujo energijos rinkos modelio svarbą siekiant įgyvendinti Europos Sąjungos plataus užmojo klimato politikos tikslus, visų pirma didinti atsinaujinančiųjų išteklių energijos dalį. Komitetas pripažįsta, kad daugelis Europos Komisijos komunikate siūlomų priemonių, pavyzdžiui, einamosios paros rinkų kūrimas arba konkurenciją iškreipiančių nacionalinių taisyklių panaikinimas, yra žingsniai teisinga linkme. Tačiau EESRK norėtų, kad Komisija užsibrėžtų platesnio užmojo tikslus.</w:t>
      </w:r>
    </w:p>
    <w:p w:rsidR="007F15F7" w:rsidRPr="005E2FD9" w:rsidRDefault="007F15F7" w:rsidP="004E3A5B"/>
    <w:p w:rsidR="007F15F7" w:rsidRPr="005E2FD9" w:rsidRDefault="007F15F7" w:rsidP="004E3A5B">
      <w:r w:rsidRPr="005E2FD9">
        <w:t>EESRK pabrėžia, kad energetikos sistema iš esmės yra visos visuomenės reikalas, kurio valdymui ir plėtotei reikalinga tinkama rinkos ir reglamentavimo pusiausvyra.</w:t>
      </w:r>
    </w:p>
    <w:p w:rsidR="007F15F7" w:rsidRPr="005E2FD9" w:rsidRDefault="007F15F7" w:rsidP="004E3A5B"/>
    <w:p w:rsidR="007F15F7" w:rsidRPr="005E2FD9" w:rsidRDefault="007F15F7" w:rsidP="004E3A5B">
      <w:r w:rsidRPr="005E2FD9">
        <w:t>EESRK pažymi, kad dabartinė sistema rinkos dalyviams nesuteikia nei pakankamai galimybių lanksčiai veikti (kaupimas, paklausos valdymas, bendra šilumos ir elektros energijos gamyba), nei reikiamos elektros skirstymo infrastruktūros. Be to, vartotojams trūksta galimybių gauti informacijos apie naujas galimybes patiems gaminti, vartoti ir parduoti savo pasigamintą elektros energiją ir reikiamų išteklių.</w:t>
      </w:r>
    </w:p>
    <w:p w:rsidR="007F15F7" w:rsidRPr="005E2FD9" w:rsidRDefault="007F15F7" w:rsidP="004E3A5B"/>
    <w:p w:rsidR="007F15F7" w:rsidRPr="005E2FD9" w:rsidRDefault="007F15F7" w:rsidP="004E3A5B">
      <w:r w:rsidRPr="005E2FD9">
        <w:t>EESRK pabrėžia teisingų kainų svarbą. Šiuo metu (pernelyg žemos) kainos nesuteikia pakankamai paskatų investuoti į mažo anglies dioksido kiekio technologijas bei infrastruktūrą. Žemas kainas iš dalies lemia subsidijos, teisės aktai ir nurašytos jėgainės. EESRK prašo Komisijos skatinti didesnį kainų skaidrumą, užtikrinti, kad nustatant kainą būtų visapusiškai atsižvelgiama į išorės veiksnius (pvz., išmetamas anglies dioksido kiekis) ir būtų panaikintas dabartinis valstybės kainų reguliavimas ir pritaikyti savo subsidijavimo sistemą.</w:t>
      </w:r>
    </w:p>
    <w:p w:rsidR="007F15F7" w:rsidRPr="005E2FD9" w:rsidRDefault="007F15F7" w:rsidP="004E3A5B"/>
    <w:p w:rsidR="007F15F7" w:rsidRPr="005E2FD9" w:rsidRDefault="007F15F7" w:rsidP="004E3A5B">
      <w:r w:rsidRPr="005E2FD9">
        <w:t xml:space="preserve">EESRK atkreipia dėmesį į svarbias problemas, bet ir dideles galimybes, atsirandančias centralizuotą iškastiniu kuru paremtą energetikos sistemą pakeičiant decentralizuota atsinaujinančiaisiais energijos </w:t>
      </w:r>
      <w:r w:rsidRPr="005E2FD9">
        <w:lastRenderedPageBreak/>
        <w:t>ištekliais paremta sistema, apimančia daug naujų rinkos dalyvių (savivaldybės, tarpininkai, su energija susijusios paslaugos ir kt.). Šiuo tikslu labai svarbu, kad infrastruktūra ir tinklai, teisės aktai ir kiti rinkos dalyviai (pavyzdžiui, paskirstymo sistemų operatoriai) sudarytų sąlygas decentralizuotai vietos energijos gamybai ir tokiu būdu pagamintos energijos tiesioginiam pardavimui nedalyvaujant biržai ar komercinės veiklos subjektams.</w:t>
      </w:r>
    </w:p>
    <w:p w:rsidR="007F15F7" w:rsidRPr="005E2FD9" w:rsidRDefault="007F15F7" w:rsidP="004E3A5B"/>
    <w:p w:rsidR="007F15F7" w:rsidRPr="005E2FD9" w:rsidRDefault="007F15F7" w:rsidP="00B104E7">
      <w:pPr>
        <w:keepNext/>
        <w:ind w:left="1418" w:hanging="1418"/>
        <w:rPr>
          <w:i/>
          <w:szCs w:val="20"/>
        </w:rPr>
      </w:pPr>
      <w:r w:rsidRPr="005E2FD9">
        <w:rPr>
          <w:b/>
          <w:i/>
        </w:rPr>
        <w:t>Asmuo pasiteirauti</w:t>
      </w:r>
      <w:r w:rsidR="00F86D37" w:rsidRPr="005E2FD9">
        <w:rPr>
          <w:b/>
          <w:i/>
        </w:rPr>
        <w:t xml:space="preserve"> </w:t>
      </w:r>
      <w:r w:rsidRPr="005E2FD9">
        <w:rPr>
          <w:i/>
        </w:rPr>
        <w:t>Kristian Krieger</w:t>
      </w:r>
    </w:p>
    <w:p w:rsidR="007F15F7" w:rsidRPr="005E2FD9" w:rsidRDefault="00000EE9" w:rsidP="00B104E7">
      <w:pPr>
        <w:widowControl w:val="0"/>
        <w:ind w:left="1418"/>
        <w:rPr>
          <w:i/>
          <w:iCs/>
        </w:rPr>
      </w:pPr>
      <w:r w:rsidRPr="005E2FD9">
        <w:rPr>
          <w:i/>
        </w:rPr>
        <w:t>(Tel. +</w:t>
      </w:r>
      <w:r w:rsidR="007F15F7" w:rsidRPr="005E2FD9">
        <w:rPr>
          <w:i/>
        </w:rPr>
        <w:t xml:space="preserve">32 2 546 8921, el. paštas </w:t>
      </w:r>
      <w:hyperlink r:id="rId25">
        <w:r w:rsidR="007F15F7" w:rsidRPr="005E2FD9">
          <w:rPr>
            <w:rStyle w:val="Hyperlink"/>
            <w:i/>
            <w:color w:val="auto"/>
          </w:rPr>
          <w:t>Kristian.Krieger@eesc.europa.eu</w:t>
        </w:r>
      </w:hyperlink>
      <w:r w:rsidR="007F15F7" w:rsidRPr="005E2FD9">
        <w:rPr>
          <w:i/>
        </w:rPr>
        <w:t>)</w:t>
      </w:r>
    </w:p>
    <w:p w:rsidR="002A3665" w:rsidRPr="005E2FD9" w:rsidRDefault="002A3665" w:rsidP="00B104E7">
      <w:pPr>
        <w:spacing w:line="240" w:lineRule="auto"/>
        <w:jc w:val="left"/>
        <w:rPr>
          <w:i/>
          <w:iCs/>
        </w:rPr>
      </w:pPr>
    </w:p>
    <w:p w:rsidR="002A3665" w:rsidRPr="005E2FD9" w:rsidRDefault="002A3665" w:rsidP="002A3665">
      <w:pPr>
        <w:ind w:left="-567"/>
        <w:rPr>
          <w:b/>
          <w:iCs/>
          <w:u w:val="single"/>
        </w:rPr>
      </w:pPr>
      <w:r w:rsidRPr="005E2FD9">
        <w:rPr>
          <w:b/>
          <w:iCs/>
          <w:u w:val="single"/>
        </w:rPr>
        <w:fldChar w:fldCharType="begin" w:fldLock="1"/>
      </w:r>
      <w:r w:rsidRPr="005E2FD9">
        <w:rPr>
          <w:b/>
          <w:iCs/>
          <w:u w:val="single"/>
        </w:rPr>
        <w:instrText>COMMENTS "TEN/578"</w:instrText>
      </w:r>
      <w:r w:rsidRPr="005E2FD9">
        <w:rPr>
          <w:b/>
          <w:iCs/>
          <w:u w:val="single"/>
        </w:rPr>
        <w:fldChar w:fldCharType="separate"/>
      </w:r>
      <w:r w:rsidRPr="005E2FD9">
        <w:rPr>
          <w:b/>
          <w:iCs/>
          <w:u w:val="single"/>
        </w:rPr>
        <w:t>TEN/578</w:t>
      </w:r>
      <w:r w:rsidRPr="005E2FD9">
        <w:rPr>
          <w:b/>
          <w:u w:val="single"/>
        </w:rPr>
        <w:fldChar w:fldCharType="end"/>
      </w:r>
    </w:p>
    <w:p w:rsidR="007F15F7" w:rsidRPr="005E2FD9" w:rsidRDefault="007F15F7" w:rsidP="004E3A5B">
      <w:pPr>
        <w:rPr>
          <w:iCs/>
          <w:highlight w:val="yellow"/>
          <w:u w:val="single"/>
        </w:rPr>
      </w:pPr>
    </w:p>
    <w:p w:rsidR="007F15F7" w:rsidRPr="005E2FD9" w:rsidRDefault="007F15F7" w:rsidP="004E3A5B">
      <w:pPr>
        <w:widowControl w:val="0"/>
        <w:numPr>
          <w:ilvl w:val="0"/>
          <w:numId w:val="5"/>
        </w:numPr>
        <w:overflowPunct w:val="0"/>
        <w:autoSpaceDE w:val="0"/>
        <w:autoSpaceDN w:val="0"/>
        <w:adjustRightInd w:val="0"/>
        <w:ind w:hanging="567"/>
        <w:textAlignment w:val="baseline"/>
        <w:rPr>
          <w:b/>
          <w:bCs/>
          <w:i/>
          <w:iCs/>
        </w:rPr>
      </w:pPr>
      <w:r w:rsidRPr="005E2FD9">
        <w:rPr>
          <w:b/>
          <w:i/>
        </w:rPr>
        <w:t>Naujų galimybių energijos vartotojams teikiančių priemonių rinkinio įgyvendinimas</w:t>
      </w:r>
    </w:p>
    <w:p w:rsidR="007F15F7" w:rsidRPr="005E2FD9" w:rsidRDefault="007F15F7" w:rsidP="004E3A5B">
      <w:pPr>
        <w:widowControl w:val="0"/>
        <w:rPr>
          <w:bCs/>
          <w:szCs w:val="20"/>
        </w:rPr>
      </w:pPr>
    </w:p>
    <w:p w:rsidR="007F15F7" w:rsidRPr="005E2FD9" w:rsidRDefault="007F15F7" w:rsidP="004E3A5B">
      <w:pPr>
        <w:rPr>
          <w:bCs/>
        </w:rPr>
      </w:pPr>
      <w:r w:rsidRPr="005E2FD9">
        <w:rPr>
          <w:b/>
        </w:rPr>
        <w:t>Pranešėjas</w:t>
      </w:r>
      <w:r w:rsidRPr="005E2FD9">
        <w:tab/>
        <w:t>Lutz Ribbe (Įvairių interesų gr., DE)</w:t>
      </w:r>
    </w:p>
    <w:p w:rsidR="007F15F7" w:rsidRPr="005E2FD9" w:rsidRDefault="007F15F7" w:rsidP="004E3A5B">
      <w:pPr>
        <w:tabs>
          <w:tab w:val="num" w:pos="550"/>
        </w:tabs>
        <w:rPr>
          <w:b/>
        </w:rPr>
      </w:pPr>
    </w:p>
    <w:p w:rsidR="007F15F7" w:rsidRPr="005E2FD9" w:rsidRDefault="007F15F7" w:rsidP="00B104E7">
      <w:pPr>
        <w:keepNext/>
        <w:ind w:left="1418" w:hanging="1418"/>
      </w:pPr>
      <w:r w:rsidRPr="005E2FD9">
        <w:rPr>
          <w:b/>
        </w:rPr>
        <w:t>Nuorodos</w:t>
      </w:r>
      <w:r w:rsidRPr="005E2FD9">
        <w:tab/>
        <w:t>COM(2015) 339 final</w:t>
      </w:r>
    </w:p>
    <w:p w:rsidR="007F15F7" w:rsidRPr="005E2FD9" w:rsidRDefault="007F15F7" w:rsidP="00B104E7">
      <w:pPr>
        <w:ind w:left="1418"/>
        <w:rPr>
          <w:bCs/>
        </w:rPr>
      </w:pPr>
      <w:r w:rsidRPr="005E2FD9">
        <w:t>EESC-2015-05067-00-00-AS-TRA</w:t>
      </w:r>
    </w:p>
    <w:p w:rsidR="007F15F7" w:rsidRPr="005E2FD9" w:rsidRDefault="007F15F7" w:rsidP="0079472F">
      <w:pPr>
        <w:rPr>
          <w:szCs w:val="20"/>
        </w:rPr>
      </w:pPr>
    </w:p>
    <w:p w:rsidR="007F15F7" w:rsidRPr="005E2FD9" w:rsidRDefault="007F15F7" w:rsidP="00B104E7">
      <w:pPr>
        <w:keepNext/>
      </w:pPr>
      <w:r w:rsidRPr="005E2FD9">
        <w:rPr>
          <w:b/>
        </w:rPr>
        <w:t>Dokumento esmė</w:t>
      </w:r>
    </w:p>
    <w:p w:rsidR="007F15F7" w:rsidRPr="005E2FD9" w:rsidRDefault="007F15F7" w:rsidP="00B104E7">
      <w:pPr>
        <w:keepNext/>
      </w:pPr>
    </w:p>
    <w:p w:rsidR="007F15F7" w:rsidRPr="005E2FD9" w:rsidRDefault="007F15F7" w:rsidP="004E3A5B">
      <w:r w:rsidRPr="005E2FD9">
        <w:t>EESRK, atsižvelgdamas į Komisijos komunikatą ir energetikos sąjungos programą, pabrėžia kintantį, vis svarbesnį ir aktyvesnį vartotojų vaidmenį energetikos rinkose. Jis palankiai vertina daugelį nuostatų, įtrauktų į komunikatą dėl naujų galimybių energijos vartotojams teikiančių priemonių rinkinio. Tačiau jis taip pat atkreipia dėmesį į keletą sričių, kurias Komisija turėtų persvarstyti vykdydama tolesnį darbą, susijusį su energijos vartotojais.</w:t>
      </w:r>
    </w:p>
    <w:p w:rsidR="007F15F7" w:rsidRPr="005E2FD9" w:rsidRDefault="007F15F7" w:rsidP="004E3A5B"/>
    <w:p w:rsidR="007F15F7" w:rsidRPr="005E2FD9" w:rsidRDefault="007F15F7" w:rsidP="004E3A5B">
      <w:r w:rsidRPr="005E2FD9">
        <w:t>Nors Komisijos komunikate pripažįstamas besikeičiantis vartotojų vaidmuo, jame palikta neatsakytų svarbių klausimų. Kad šie klausimai būtų nustatyti ir sprendžiami, EESRK prašo Komisijos atlikti sisteminę analizę kliūčių, su kuriomis susiduria vartotojai, aktyviai dalyvaujantys energijos rinkose.</w:t>
      </w:r>
    </w:p>
    <w:p w:rsidR="007F15F7" w:rsidRPr="005E2FD9" w:rsidRDefault="007F15F7" w:rsidP="004E3A5B"/>
    <w:p w:rsidR="007F15F7" w:rsidRPr="005E2FD9" w:rsidRDefault="007F15F7" w:rsidP="004E3A5B">
      <w:r w:rsidRPr="005E2FD9">
        <w:t>EESRK pabrėžia, kad reikia sudaryti vartotojams galimybes tapti aktyviais rinkos dalyviais. Šiuo tikslu būtina užtikrinti, kad vartotojai turėtų prieigą prie pagrindinių technologijų, pavyzdžiui, pažangiųjų skaitiklių. Pažangieji skaitikliai turėtų būti suprantami ir finansuojami kaip tinklo plėtros dalis.</w:t>
      </w:r>
    </w:p>
    <w:p w:rsidR="007F15F7" w:rsidRPr="005E2FD9" w:rsidRDefault="007F15F7" w:rsidP="004E3A5B"/>
    <w:p w:rsidR="007F15F7" w:rsidRPr="005E2FD9" w:rsidRDefault="007F15F7" w:rsidP="004E3A5B">
      <w:r w:rsidRPr="005E2FD9">
        <w:t>EESRK taip pat mano, kad svarbu kurti naujas paskatų sistemas, kad būtų skatinamas individualus vartojimas, tiesioginis tiekimas, perteklinės energijos kaupimas ir paklausos valdymas.</w:t>
      </w:r>
    </w:p>
    <w:p w:rsidR="007F15F7" w:rsidRPr="005E2FD9" w:rsidRDefault="007F15F7" w:rsidP="004E3A5B"/>
    <w:p w:rsidR="007F15F7" w:rsidRPr="005E2FD9" w:rsidRDefault="007F15F7" w:rsidP="004E3A5B">
      <w:r w:rsidRPr="005E2FD9">
        <w:t>EESRK taip pat atkreipia dėmesį į tai, kad apsirūpinimo ir savarankiškos gamybos sąvokos nėra tinkamai apibrėžtos Komisijos komunikate, kuris atspindi ribotą gaminančio vartotojo koncepcijos supratimą. Savarankiška gamyba ir apsirūpinimas, EESRK nuomone, turėtų būti vertinami daug plačiau nei tik elektros energijos gamyba prie tinklo skaitiklio prijungtu savo įrenginiu ir pasigamintos elektros energijos vartojimas.</w:t>
      </w:r>
    </w:p>
    <w:p w:rsidR="007F15F7" w:rsidRPr="005E2FD9" w:rsidRDefault="007F15F7" w:rsidP="004E3A5B"/>
    <w:p w:rsidR="007F15F7" w:rsidRPr="005E2FD9" w:rsidRDefault="007F15F7" w:rsidP="00B104E7">
      <w:pPr>
        <w:keepNext/>
        <w:ind w:left="1429" w:hanging="1429"/>
        <w:rPr>
          <w:i/>
          <w:szCs w:val="20"/>
        </w:rPr>
      </w:pPr>
      <w:r w:rsidRPr="005E2FD9">
        <w:rPr>
          <w:b/>
          <w:i/>
        </w:rPr>
        <w:t>Asmuo pasiteirauti</w:t>
      </w:r>
      <w:r w:rsidR="00F86D37" w:rsidRPr="005E2FD9">
        <w:rPr>
          <w:b/>
          <w:i/>
        </w:rPr>
        <w:t xml:space="preserve"> </w:t>
      </w:r>
      <w:r w:rsidRPr="005E2FD9">
        <w:rPr>
          <w:i/>
        </w:rPr>
        <w:t>Kristian Krieger</w:t>
      </w:r>
    </w:p>
    <w:p w:rsidR="007F15F7" w:rsidRPr="005E2FD9" w:rsidRDefault="00000EE9" w:rsidP="00B104E7">
      <w:pPr>
        <w:ind w:left="1430" w:hanging="12"/>
        <w:rPr>
          <w:i/>
          <w:iCs/>
        </w:rPr>
      </w:pPr>
      <w:r w:rsidRPr="005E2FD9">
        <w:rPr>
          <w:i/>
        </w:rPr>
        <w:t>(Tel. +</w:t>
      </w:r>
      <w:r w:rsidR="007F15F7" w:rsidRPr="005E2FD9">
        <w:rPr>
          <w:i/>
        </w:rPr>
        <w:t>32 2 546 8921, el. paštas</w:t>
      </w:r>
      <w:r w:rsidR="006952B6" w:rsidRPr="005E2FD9">
        <w:rPr>
          <w:i/>
        </w:rPr>
        <w:t xml:space="preserve"> </w:t>
      </w:r>
      <w:hyperlink r:id="rId26">
        <w:r w:rsidR="007F15F7" w:rsidRPr="005E2FD9">
          <w:rPr>
            <w:rStyle w:val="Hyperlink"/>
            <w:i/>
            <w:color w:val="auto"/>
          </w:rPr>
          <w:t>Kristian.Krieger@eesc.europa.eu</w:t>
        </w:r>
      </w:hyperlink>
      <w:r w:rsidR="007F15F7" w:rsidRPr="005E2FD9">
        <w:rPr>
          <w:i/>
        </w:rPr>
        <w:t>)</w:t>
      </w:r>
    </w:p>
    <w:p w:rsidR="007F15F7" w:rsidRPr="005E2FD9" w:rsidRDefault="007F15F7" w:rsidP="004E3A5B">
      <w:pPr>
        <w:widowControl w:val="0"/>
        <w:rPr>
          <w:iCs/>
        </w:rPr>
      </w:pPr>
    </w:p>
    <w:p w:rsidR="007F15F7" w:rsidRPr="005E2FD9" w:rsidRDefault="007F15F7" w:rsidP="004E3A5B">
      <w:pPr>
        <w:widowControl w:val="0"/>
        <w:rPr>
          <w:szCs w:val="20"/>
        </w:rPr>
      </w:pPr>
    </w:p>
    <w:p w:rsidR="00900EA0" w:rsidRPr="005E2FD9" w:rsidRDefault="006F0D9E" w:rsidP="00000CE8">
      <w:pPr>
        <w:jc w:val="center"/>
      </w:pPr>
      <w:r w:rsidRPr="005E2FD9">
        <w:t>_____________</w:t>
      </w:r>
    </w:p>
    <w:sectPr w:rsidR="00900EA0" w:rsidRPr="005E2FD9" w:rsidSect="003E6010">
      <w:headerReference w:type="even" r:id="rId27"/>
      <w:headerReference w:type="default" r:id="rId28"/>
      <w:footerReference w:type="even" r:id="rId29"/>
      <w:footerReference w:type="default" r:id="rId30"/>
      <w:headerReference w:type="first" r:id="rId31"/>
      <w:footerReference w:type="first" r:id="rId32"/>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D8" w:rsidRDefault="00A34ED8" w:rsidP="003B283B">
      <w:pPr>
        <w:spacing w:line="240" w:lineRule="auto"/>
      </w:pPr>
      <w:r>
        <w:separator/>
      </w:r>
    </w:p>
  </w:endnote>
  <w:endnote w:type="continuationSeparator" w:id="0">
    <w:p w:rsidR="00A34ED8" w:rsidRDefault="00A34ED8"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3E6010" w:rsidP="003E6010">
    <w:pPr>
      <w:pStyle w:val="Footer"/>
    </w:pPr>
    <w:r>
      <w:t>EESC-2015-06625-00-0</w:t>
    </w:r>
    <w:r w:rsidR="00167F7E">
      <w:t>2</w:t>
    </w:r>
    <w:r>
      <w:t xml:space="preserve">-TCD-TRA (FR/EN) </w:t>
    </w:r>
    <w:r>
      <w:fldChar w:fldCharType="begin"/>
    </w:r>
    <w:r>
      <w:instrText xml:space="preserve"> PAGE  \* Arabic  \* MERGEFORMAT </w:instrText>
    </w:r>
    <w:r>
      <w:fldChar w:fldCharType="separate"/>
    </w:r>
    <w:r w:rsidR="00CB393D">
      <w:rPr>
        <w:noProof/>
      </w:rPr>
      <w:t>1</w:t>
    </w:r>
    <w:r>
      <w:fldChar w:fldCharType="end"/>
    </w:r>
    <w:r>
      <w:t>/</w:t>
    </w:r>
    <w:r>
      <w:fldChar w:fldCharType="begin"/>
    </w:r>
    <w:r>
      <w:instrText xml:space="preserve"> = </w:instrText>
    </w:r>
    <w:r w:rsidR="00CB393D">
      <w:fldChar w:fldCharType="begin"/>
    </w:r>
    <w:r w:rsidR="00CB393D">
      <w:instrText xml:space="preserve"> NUMPAGES </w:instrText>
    </w:r>
    <w:r w:rsidR="00CB393D">
      <w:fldChar w:fldCharType="separate"/>
    </w:r>
    <w:r w:rsidR="00CB393D">
      <w:rPr>
        <w:noProof/>
      </w:rPr>
      <w:instrText>7</w:instrText>
    </w:r>
    <w:r w:rsidR="00CB393D">
      <w:rPr>
        <w:noProof/>
      </w:rPr>
      <w:fldChar w:fldCharType="end"/>
    </w:r>
    <w:r>
      <w:instrText xml:space="preserve"> </w:instrText>
    </w:r>
    <w:r>
      <w:fldChar w:fldCharType="separate"/>
    </w:r>
    <w:r w:rsidR="00CB393D">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19516A" w:rsidP="003E60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3E6010" w:rsidP="003E6010">
    <w:pPr>
      <w:pStyle w:val="Footer"/>
    </w:pPr>
    <w:r>
      <w:t xml:space="preserve">EESC-2015-06625-00-01-TCD-TRA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CB393D">
      <w:fldChar w:fldCharType="begin"/>
    </w:r>
    <w:r w:rsidR="00CB393D">
      <w:instrText xml:space="preserve"> NUMPAGES </w:instrText>
    </w:r>
    <w:r w:rsidR="00CB393D">
      <w:fldChar w:fldCharType="separate"/>
    </w:r>
    <w:r w:rsidR="00A27D31">
      <w:rPr>
        <w:noProof/>
      </w:rPr>
      <w:instrText>7</w:instrText>
    </w:r>
    <w:r w:rsidR="00CB393D">
      <w:rPr>
        <w:noProof/>
      </w:rPr>
      <w:fldChar w:fldCharType="end"/>
    </w:r>
    <w:r>
      <w:instrText xml:space="preserve"> </w:instrText>
    </w:r>
    <w:r>
      <w:fldChar w:fldCharType="separate"/>
    </w:r>
    <w:r w:rsidR="00A27D31">
      <w:rPr>
        <w:noProof/>
      </w:rPr>
      <w:t>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19516A" w:rsidP="003E60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19516A" w:rsidP="003E601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167F7E" w:rsidP="003E6010">
    <w:pPr>
      <w:pStyle w:val="Footer"/>
    </w:pPr>
    <w:r>
      <w:t>EESC-2015-06625-00-02</w:t>
    </w:r>
    <w:r w:rsidR="003E6010">
      <w:t xml:space="preserve">-TCD-TRA (FR/EN) </w:t>
    </w:r>
    <w:r w:rsidR="003E6010">
      <w:fldChar w:fldCharType="begin"/>
    </w:r>
    <w:r w:rsidR="003E6010">
      <w:instrText xml:space="preserve"> PAGE  \* Arabic  \* MERGEFORMAT </w:instrText>
    </w:r>
    <w:r w:rsidR="003E6010">
      <w:fldChar w:fldCharType="separate"/>
    </w:r>
    <w:r w:rsidR="00CB393D">
      <w:rPr>
        <w:noProof/>
      </w:rPr>
      <w:t>7</w:t>
    </w:r>
    <w:r w:rsidR="003E6010">
      <w:fldChar w:fldCharType="end"/>
    </w:r>
    <w:r w:rsidR="003E6010">
      <w:t>/</w:t>
    </w:r>
    <w:r w:rsidR="003E6010">
      <w:fldChar w:fldCharType="begin"/>
    </w:r>
    <w:r w:rsidR="003E6010">
      <w:instrText xml:space="preserve"> = </w:instrText>
    </w:r>
    <w:r w:rsidR="00CB393D">
      <w:fldChar w:fldCharType="begin"/>
    </w:r>
    <w:r w:rsidR="00CB393D">
      <w:instrText xml:space="preserve"> NUMPAGES </w:instrText>
    </w:r>
    <w:r w:rsidR="00CB393D">
      <w:fldChar w:fldCharType="separate"/>
    </w:r>
    <w:r w:rsidR="00CB393D">
      <w:rPr>
        <w:noProof/>
      </w:rPr>
      <w:instrText>7</w:instrText>
    </w:r>
    <w:r w:rsidR="00CB393D">
      <w:rPr>
        <w:noProof/>
      </w:rPr>
      <w:fldChar w:fldCharType="end"/>
    </w:r>
    <w:r w:rsidR="003E6010">
      <w:instrText xml:space="preserve"> </w:instrText>
    </w:r>
    <w:r w:rsidR="003E6010">
      <w:fldChar w:fldCharType="separate"/>
    </w:r>
    <w:r w:rsidR="00CB393D">
      <w:rPr>
        <w:noProof/>
      </w:rPr>
      <w:t>7</w:t>
    </w:r>
    <w:r w:rsidR="003E6010">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19516A" w:rsidP="003E6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D8" w:rsidRDefault="00A34ED8" w:rsidP="003B283B">
      <w:pPr>
        <w:spacing w:line="240" w:lineRule="auto"/>
      </w:pPr>
      <w:r>
        <w:separator/>
      </w:r>
    </w:p>
  </w:footnote>
  <w:footnote w:type="continuationSeparator" w:id="0">
    <w:p w:rsidR="00A34ED8" w:rsidRDefault="00A34ED8" w:rsidP="003B28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19516A" w:rsidP="003E6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19516A" w:rsidP="003E60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19516A" w:rsidP="003E60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19516A" w:rsidP="003E60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19516A" w:rsidP="003E60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19516A" w:rsidP="003E6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3">
    <w:nsid w:val="05530337"/>
    <w:multiLevelType w:val="singleLevel"/>
    <w:tmpl w:val="ACD4CDB0"/>
    <w:lvl w:ilvl="0">
      <w:numFmt w:val="decimal"/>
      <w:lvlText w:val="*"/>
      <w:lvlJc w:val="left"/>
      <w:rPr>
        <w:rFonts w:cs="Times New Roman"/>
      </w:rPr>
    </w:lvl>
  </w:abstractNum>
  <w:abstractNum w:abstractNumId="4">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6E4FB1"/>
    <w:multiLevelType w:val="singleLevel"/>
    <w:tmpl w:val="ACD4CDB0"/>
    <w:lvl w:ilvl="0">
      <w:numFmt w:val="decimal"/>
      <w:lvlText w:val="*"/>
      <w:lvlJc w:val="left"/>
      <w:rPr>
        <w:rFonts w:cs="Times New Roman"/>
      </w:rPr>
    </w:lvl>
  </w:abstractNum>
  <w:abstractNum w:abstractNumId="6">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8">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10">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nsid w:val="15FE7426"/>
    <w:multiLevelType w:val="singleLevel"/>
    <w:tmpl w:val="ACD4CDB0"/>
    <w:lvl w:ilvl="0">
      <w:numFmt w:val="decimal"/>
      <w:lvlText w:val="*"/>
      <w:lvlJc w:val="left"/>
      <w:rPr>
        <w:rFonts w:cs="Times New Roman"/>
      </w:rPr>
    </w:lvl>
  </w:abstractNum>
  <w:abstractNum w:abstractNumId="13">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3536ADB"/>
    <w:multiLevelType w:val="singleLevel"/>
    <w:tmpl w:val="9E0C9C6A"/>
    <w:lvl w:ilvl="0">
      <w:start w:val="1"/>
      <w:numFmt w:val="decimal"/>
      <w:lvlText w:val="%1."/>
      <w:lvlJc w:val="left"/>
      <w:pPr>
        <w:ind w:left="720" w:hanging="360"/>
      </w:pPr>
      <w:rPr>
        <w:rFonts w:cs="Times New Roman"/>
        <w:b w:val="0"/>
        <w:i w:val="0"/>
        <w:color w:val="000000"/>
        <w:sz w:val="28"/>
        <w:szCs w:val="28"/>
      </w:rPr>
    </w:lvl>
  </w:abstractNum>
  <w:abstractNum w:abstractNumId="17">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6">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27">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29">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30">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1">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nsid w:val="53B8141E"/>
    <w:multiLevelType w:val="singleLevel"/>
    <w:tmpl w:val="ACD4CDB0"/>
    <w:lvl w:ilvl="0">
      <w:numFmt w:val="decimal"/>
      <w:lvlText w:val="*"/>
      <w:lvlJc w:val="left"/>
      <w:rPr>
        <w:rFonts w:cs="Times New Roman"/>
      </w:rPr>
    </w:lvl>
  </w:abstractNum>
  <w:abstractNum w:abstractNumId="35">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6">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8">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0">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1">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42">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45">
    <w:nsid w:val="60BA7C7D"/>
    <w:multiLevelType w:val="singleLevel"/>
    <w:tmpl w:val="ACD4CDB0"/>
    <w:lvl w:ilvl="0">
      <w:numFmt w:val="decimal"/>
      <w:lvlText w:val="*"/>
      <w:lvlJc w:val="left"/>
      <w:rPr>
        <w:rFonts w:cs="Times New Roman"/>
      </w:rPr>
    </w:lvl>
  </w:abstractNum>
  <w:abstractNum w:abstractNumId="46">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7">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50">
    <w:nsid w:val="6B5327B5"/>
    <w:multiLevelType w:val="singleLevel"/>
    <w:tmpl w:val="ACD4CDB0"/>
    <w:lvl w:ilvl="0">
      <w:numFmt w:val="decimal"/>
      <w:lvlText w:val="*"/>
      <w:lvlJc w:val="left"/>
      <w:rPr>
        <w:rFonts w:cs="Times New Roman"/>
      </w:rPr>
    </w:lvl>
  </w:abstractNum>
  <w:abstractNum w:abstractNumId="51">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2">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4">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6">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16"/>
  </w:num>
  <w:num w:numId="3">
    <w:abstractNumId w:val="6"/>
  </w:num>
  <w:num w:numId="4">
    <w:abstractNumId w:val="17"/>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21"/>
  </w:num>
  <w:num w:numId="7">
    <w:abstractNumId w:val="26"/>
  </w:num>
  <w:num w:numId="8">
    <w:abstractNumId w:val="5"/>
  </w:num>
  <w:num w:numId="9">
    <w:abstractNumId w:val="54"/>
  </w:num>
  <w:num w:numId="10">
    <w:abstractNumId w:val="11"/>
  </w:num>
  <w:num w:numId="11">
    <w:abstractNumId w:val="32"/>
  </w:num>
  <w:num w:numId="12">
    <w:abstractNumId w:val="55"/>
  </w:num>
  <w:num w:numId="13">
    <w:abstractNumId w:val="12"/>
  </w:num>
  <w:num w:numId="14">
    <w:abstractNumId w:val="50"/>
  </w:num>
  <w:num w:numId="15">
    <w:abstractNumId w:val="45"/>
  </w:num>
  <w:num w:numId="16">
    <w:abstractNumId w:val="3"/>
  </w:num>
  <w:num w:numId="17">
    <w:abstractNumId w:val="34"/>
  </w:num>
  <w:num w:numId="18">
    <w:abstractNumId w:val="44"/>
  </w:num>
  <w:num w:numId="19">
    <w:abstractNumId w:val="33"/>
  </w:num>
  <w:num w:numId="20">
    <w:abstractNumId w:val="53"/>
  </w:num>
  <w:num w:numId="21">
    <w:abstractNumId w:val="35"/>
  </w:num>
  <w:num w:numId="22">
    <w:abstractNumId w:val="31"/>
  </w:num>
  <w:num w:numId="23">
    <w:abstractNumId w:val="18"/>
  </w:num>
  <w:num w:numId="24">
    <w:abstractNumId w:val="52"/>
  </w:num>
  <w:num w:numId="25">
    <w:abstractNumId w:val="24"/>
  </w:num>
  <w:num w:numId="26">
    <w:abstractNumId w:val="23"/>
  </w:num>
  <w:num w:numId="27">
    <w:abstractNumId w:val="43"/>
  </w:num>
  <w:num w:numId="28">
    <w:abstractNumId w:val="39"/>
  </w:num>
  <w:num w:numId="29">
    <w:abstractNumId w:val="25"/>
  </w:num>
  <w:num w:numId="30">
    <w:abstractNumId w:val="56"/>
  </w:num>
  <w:num w:numId="31">
    <w:abstractNumId w:val="40"/>
  </w:num>
  <w:num w:numId="32">
    <w:abstractNumId w:val="30"/>
  </w:num>
  <w:num w:numId="33">
    <w:abstractNumId w:val="42"/>
  </w:num>
  <w:num w:numId="34">
    <w:abstractNumId w:val="10"/>
  </w:num>
  <w:num w:numId="35">
    <w:abstractNumId w:val="46"/>
  </w:num>
  <w:num w:numId="36">
    <w:abstractNumId w:val="22"/>
  </w:num>
  <w:num w:numId="37">
    <w:abstractNumId w:val="15"/>
  </w:num>
  <w:num w:numId="38">
    <w:abstractNumId w:val="19"/>
  </w:num>
  <w:num w:numId="39">
    <w:abstractNumId w:val="41"/>
  </w:num>
  <w:num w:numId="40">
    <w:abstractNumId w:val="47"/>
  </w:num>
  <w:num w:numId="41">
    <w:abstractNumId w:val="48"/>
  </w:num>
  <w:num w:numId="42">
    <w:abstractNumId w:val="9"/>
  </w:num>
  <w:num w:numId="43">
    <w:abstractNumId w:val="27"/>
  </w:num>
  <w:num w:numId="44">
    <w:abstractNumId w:val="37"/>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7"/>
  </w:num>
  <w:num w:numId="47">
    <w:abstractNumId w:val="29"/>
  </w:num>
  <w:num w:numId="48">
    <w:abstractNumId w:val="6"/>
  </w:num>
  <w:num w:numId="49">
    <w:abstractNumId w:val="2"/>
  </w:num>
  <w:num w:numId="50">
    <w:abstractNumId w:val="49"/>
  </w:num>
  <w:num w:numId="51">
    <w:abstractNumId w:val="14"/>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36"/>
  </w:num>
  <w:num w:numId="54">
    <w:abstractNumId w:val="4"/>
  </w:num>
  <w:num w:numId="55">
    <w:abstractNumId w:val="28"/>
  </w:num>
  <w:num w:numId="56">
    <w:abstractNumId w:val="38"/>
  </w:num>
  <w:num w:numId="57">
    <w:abstractNumId w:val="44"/>
  </w:num>
  <w:num w:numId="58">
    <w:abstractNumId w:val="8"/>
  </w:num>
  <w:num w:numId="59">
    <w:abstractNumId w:val="20"/>
  </w:num>
  <w:num w:numId="60">
    <w:abstractNumId w:val="13"/>
  </w:num>
  <w:num w:numId="61">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0EE9"/>
    <w:rsid w:val="00002E4F"/>
    <w:rsid w:val="00004D0F"/>
    <w:rsid w:val="000115A9"/>
    <w:rsid w:val="000138A1"/>
    <w:rsid w:val="00020A28"/>
    <w:rsid w:val="000215A9"/>
    <w:rsid w:val="000244F9"/>
    <w:rsid w:val="00030B04"/>
    <w:rsid w:val="000316FF"/>
    <w:rsid w:val="000338E8"/>
    <w:rsid w:val="00033DA8"/>
    <w:rsid w:val="000349EE"/>
    <w:rsid w:val="00034A75"/>
    <w:rsid w:val="00035EF4"/>
    <w:rsid w:val="000378CC"/>
    <w:rsid w:val="00041EB7"/>
    <w:rsid w:val="00051C81"/>
    <w:rsid w:val="0005250A"/>
    <w:rsid w:val="00054E26"/>
    <w:rsid w:val="000562AF"/>
    <w:rsid w:val="00071E53"/>
    <w:rsid w:val="00073A46"/>
    <w:rsid w:val="000814F6"/>
    <w:rsid w:val="00081813"/>
    <w:rsid w:val="000818D4"/>
    <w:rsid w:val="00087AE9"/>
    <w:rsid w:val="00094645"/>
    <w:rsid w:val="000967CA"/>
    <w:rsid w:val="00096999"/>
    <w:rsid w:val="000A62E2"/>
    <w:rsid w:val="000C2679"/>
    <w:rsid w:val="000C3DF6"/>
    <w:rsid w:val="000D28F0"/>
    <w:rsid w:val="000D50A8"/>
    <w:rsid w:val="000D7F5A"/>
    <w:rsid w:val="000E4C16"/>
    <w:rsid w:val="000F16CE"/>
    <w:rsid w:val="000F17D8"/>
    <w:rsid w:val="000F42C4"/>
    <w:rsid w:val="000F77C3"/>
    <w:rsid w:val="00103129"/>
    <w:rsid w:val="0010339F"/>
    <w:rsid w:val="0010391E"/>
    <w:rsid w:val="00103CC0"/>
    <w:rsid w:val="00104975"/>
    <w:rsid w:val="00110344"/>
    <w:rsid w:val="001138B0"/>
    <w:rsid w:val="001158DF"/>
    <w:rsid w:val="00116CFB"/>
    <w:rsid w:val="00127660"/>
    <w:rsid w:val="0013146D"/>
    <w:rsid w:val="00136F53"/>
    <w:rsid w:val="00136FA8"/>
    <w:rsid w:val="00142A4E"/>
    <w:rsid w:val="00160DCC"/>
    <w:rsid w:val="001657F4"/>
    <w:rsid w:val="00167F7E"/>
    <w:rsid w:val="001737B7"/>
    <w:rsid w:val="001768E2"/>
    <w:rsid w:val="00182D03"/>
    <w:rsid w:val="00186D96"/>
    <w:rsid w:val="00191C0B"/>
    <w:rsid w:val="00194447"/>
    <w:rsid w:val="0019516A"/>
    <w:rsid w:val="00195479"/>
    <w:rsid w:val="001B0D26"/>
    <w:rsid w:val="001B18C2"/>
    <w:rsid w:val="001B232C"/>
    <w:rsid w:val="001B4CC9"/>
    <w:rsid w:val="001C0535"/>
    <w:rsid w:val="001C05B2"/>
    <w:rsid w:val="001C6C93"/>
    <w:rsid w:val="001D52CB"/>
    <w:rsid w:val="001D6C48"/>
    <w:rsid w:val="001E2338"/>
    <w:rsid w:val="001F0BC4"/>
    <w:rsid w:val="00200F03"/>
    <w:rsid w:val="00204864"/>
    <w:rsid w:val="00205EFC"/>
    <w:rsid w:val="00212787"/>
    <w:rsid w:val="00214451"/>
    <w:rsid w:val="00221123"/>
    <w:rsid w:val="00226823"/>
    <w:rsid w:val="0023002B"/>
    <w:rsid w:val="00242408"/>
    <w:rsid w:val="00242890"/>
    <w:rsid w:val="00243514"/>
    <w:rsid w:val="002469F7"/>
    <w:rsid w:val="002563ED"/>
    <w:rsid w:val="0026049D"/>
    <w:rsid w:val="00263B55"/>
    <w:rsid w:val="002653BB"/>
    <w:rsid w:val="00267AB2"/>
    <w:rsid w:val="0027137C"/>
    <w:rsid w:val="00281365"/>
    <w:rsid w:val="00282997"/>
    <w:rsid w:val="002903CB"/>
    <w:rsid w:val="00291252"/>
    <w:rsid w:val="002915A8"/>
    <w:rsid w:val="00291981"/>
    <w:rsid w:val="00291F64"/>
    <w:rsid w:val="002A0707"/>
    <w:rsid w:val="002A17C4"/>
    <w:rsid w:val="002A3665"/>
    <w:rsid w:val="002A4A76"/>
    <w:rsid w:val="002A5F58"/>
    <w:rsid w:val="002B4372"/>
    <w:rsid w:val="002C1999"/>
    <w:rsid w:val="002C3DCC"/>
    <w:rsid w:val="002D0F32"/>
    <w:rsid w:val="002D41B7"/>
    <w:rsid w:val="002D750B"/>
    <w:rsid w:val="003002D3"/>
    <w:rsid w:val="003079A2"/>
    <w:rsid w:val="00307A61"/>
    <w:rsid w:val="003111F0"/>
    <w:rsid w:val="00314E67"/>
    <w:rsid w:val="003160F4"/>
    <w:rsid w:val="00322BCE"/>
    <w:rsid w:val="00326F48"/>
    <w:rsid w:val="00361CF3"/>
    <w:rsid w:val="00362B7F"/>
    <w:rsid w:val="00372D96"/>
    <w:rsid w:val="00380A9A"/>
    <w:rsid w:val="00387CFB"/>
    <w:rsid w:val="00394196"/>
    <w:rsid w:val="003966B4"/>
    <w:rsid w:val="00397835"/>
    <w:rsid w:val="003B283B"/>
    <w:rsid w:val="003B38AA"/>
    <w:rsid w:val="003B5456"/>
    <w:rsid w:val="003C4AF5"/>
    <w:rsid w:val="003C4EF8"/>
    <w:rsid w:val="003D05FE"/>
    <w:rsid w:val="003D35EF"/>
    <w:rsid w:val="003D3D9E"/>
    <w:rsid w:val="003D7FAF"/>
    <w:rsid w:val="003E0B8C"/>
    <w:rsid w:val="003E387D"/>
    <w:rsid w:val="003E6010"/>
    <w:rsid w:val="003E693F"/>
    <w:rsid w:val="003F2CD5"/>
    <w:rsid w:val="003F2F97"/>
    <w:rsid w:val="003F4FF6"/>
    <w:rsid w:val="003F59AD"/>
    <w:rsid w:val="003F65E2"/>
    <w:rsid w:val="004221CC"/>
    <w:rsid w:val="00425526"/>
    <w:rsid w:val="00426306"/>
    <w:rsid w:val="00427C97"/>
    <w:rsid w:val="00434C77"/>
    <w:rsid w:val="00440808"/>
    <w:rsid w:val="00444C4C"/>
    <w:rsid w:val="00444D44"/>
    <w:rsid w:val="004452E3"/>
    <w:rsid w:val="00461E3E"/>
    <w:rsid w:val="00464C86"/>
    <w:rsid w:val="00470409"/>
    <w:rsid w:val="00480C50"/>
    <w:rsid w:val="00492EDB"/>
    <w:rsid w:val="004A7356"/>
    <w:rsid w:val="004A7AEE"/>
    <w:rsid w:val="004B7790"/>
    <w:rsid w:val="004C0FE5"/>
    <w:rsid w:val="004C4138"/>
    <w:rsid w:val="004C4D7B"/>
    <w:rsid w:val="004C6E55"/>
    <w:rsid w:val="004D1F3E"/>
    <w:rsid w:val="004E0268"/>
    <w:rsid w:val="004E16EC"/>
    <w:rsid w:val="004E21A8"/>
    <w:rsid w:val="004E2B3E"/>
    <w:rsid w:val="004E3528"/>
    <w:rsid w:val="004E3A5B"/>
    <w:rsid w:val="004E46A8"/>
    <w:rsid w:val="004F7A13"/>
    <w:rsid w:val="005021B6"/>
    <w:rsid w:val="005024F6"/>
    <w:rsid w:val="00504096"/>
    <w:rsid w:val="00504A01"/>
    <w:rsid w:val="00505516"/>
    <w:rsid w:val="00507B8C"/>
    <w:rsid w:val="0051243D"/>
    <w:rsid w:val="00515BC0"/>
    <w:rsid w:val="00523686"/>
    <w:rsid w:val="00523996"/>
    <w:rsid w:val="00531900"/>
    <w:rsid w:val="00534CC2"/>
    <w:rsid w:val="00535FFB"/>
    <w:rsid w:val="0054017F"/>
    <w:rsid w:val="005434EE"/>
    <w:rsid w:val="0054508A"/>
    <w:rsid w:val="005508F5"/>
    <w:rsid w:val="00560AD6"/>
    <w:rsid w:val="00561C94"/>
    <w:rsid w:val="005632D7"/>
    <w:rsid w:val="0056359E"/>
    <w:rsid w:val="00567A1B"/>
    <w:rsid w:val="005724ED"/>
    <w:rsid w:val="00575EED"/>
    <w:rsid w:val="00577829"/>
    <w:rsid w:val="005805C8"/>
    <w:rsid w:val="00584D4C"/>
    <w:rsid w:val="005876F8"/>
    <w:rsid w:val="00592C99"/>
    <w:rsid w:val="0059550E"/>
    <w:rsid w:val="00597449"/>
    <w:rsid w:val="005A07EF"/>
    <w:rsid w:val="005A196D"/>
    <w:rsid w:val="005A2AD2"/>
    <w:rsid w:val="005A68CF"/>
    <w:rsid w:val="005B04CB"/>
    <w:rsid w:val="005B0D29"/>
    <w:rsid w:val="005B5D2D"/>
    <w:rsid w:val="005B7EAD"/>
    <w:rsid w:val="005C0D2A"/>
    <w:rsid w:val="005C6CC7"/>
    <w:rsid w:val="005C6FD3"/>
    <w:rsid w:val="005D060D"/>
    <w:rsid w:val="005D460E"/>
    <w:rsid w:val="005D4846"/>
    <w:rsid w:val="005D6008"/>
    <w:rsid w:val="005D652A"/>
    <w:rsid w:val="005E2FD9"/>
    <w:rsid w:val="005E32A3"/>
    <w:rsid w:val="005E531B"/>
    <w:rsid w:val="005F54A5"/>
    <w:rsid w:val="006139AA"/>
    <w:rsid w:val="00622A2D"/>
    <w:rsid w:val="00630FCB"/>
    <w:rsid w:val="0063400F"/>
    <w:rsid w:val="00637052"/>
    <w:rsid w:val="00637DD7"/>
    <w:rsid w:val="00643E56"/>
    <w:rsid w:val="00646EEC"/>
    <w:rsid w:val="00647038"/>
    <w:rsid w:val="006501DC"/>
    <w:rsid w:val="0065504C"/>
    <w:rsid w:val="006552FD"/>
    <w:rsid w:val="0065609C"/>
    <w:rsid w:val="006579F9"/>
    <w:rsid w:val="00657F8D"/>
    <w:rsid w:val="006600DC"/>
    <w:rsid w:val="00671031"/>
    <w:rsid w:val="006763EC"/>
    <w:rsid w:val="0067717C"/>
    <w:rsid w:val="006808D7"/>
    <w:rsid w:val="0068174F"/>
    <w:rsid w:val="00681787"/>
    <w:rsid w:val="00690AFD"/>
    <w:rsid w:val="006952B6"/>
    <w:rsid w:val="006A4EAA"/>
    <w:rsid w:val="006A6090"/>
    <w:rsid w:val="006B02D0"/>
    <w:rsid w:val="006B4FD1"/>
    <w:rsid w:val="006B7240"/>
    <w:rsid w:val="006E07C3"/>
    <w:rsid w:val="006E28A4"/>
    <w:rsid w:val="006E4A32"/>
    <w:rsid w:val="006F0D9E"/>
    <w:rsid w:val="006F289E"/>
    <w:rsid w:val="006F2CA5"/>
    <w:rsid w:val="006F396D"/>
    <w:rsid w:val="007008B5"/>
    <w:rsid w:val="00701383"/>
    <w:rsid w:val="00701551"/>
    <w:rsid w:val="007056EF"/>
    <w:rsid w:val="007112FB"/>
    <w:rsid w:val="007200A7"/>
    <w:rsid w:val="007274A7"/>
    <w:rsid w:val="00732A09"/>
    <w:rsid w:val="00742995"/>
    <w:rsid w:val="0074514B"/>
    <w:rsid w:val="007460DB"/>
    <w:rsid w:val="00746BC1"/>
    <w:rsid w:val="0075179F"/>
    <w:rsid w:val="00754C10"/>
    <w:rsid w:val="00757CF0"/>
    <w:rsid w:val="007605C0"/>
    <w:rsid w:val="00771B7B"/>
    <w:rsid w:val="007738AC"/>
    <w:rsid w:val="00774ED8"/>
    <w:rsid w:val="00782FDA"/>
    <w:rsid w:val="00793CC7"/>
    <w:rsid w:val="0079472F"/>
    <w:rsid w:val="00794E1C"/>
    <w:rsid w:val="00796D74"/>
    <w:rsid w:val="007B31B6"/>
    <w:rsid w:val="007C07C5"/>
    <w:rsid w:val="007C2D6B"/>
    <w:rsid w:val="007D135C"/>
    <w:rsid w:val="007D2AA2"/>
    <w:rsid w:val="007D31F4"/>
    <w:rsid w:val="007D4275"/>
    <w:rsid w:val="007E6BCE"/>
    <w:rsid w:val="007F00D3"/>
    <w:rsid w:val="007F0D28"/>
    <w:rsid w:val="007F0D84"/>
    <w:rsid w:val="007F15F7"/>
    <w:rsid w:val="007F2174"/>
    <w:rsid w:val="007F556F"/>
    <w:rsid w:val="00802AF7"/>
    <w:rsid w:val="008031D6"/>
    <w:rsid w:val="00805F7C"/>
    <w:rsid w:val="00810910"/>
    <w:rsid w:val="0081158D"/>
    <w:rsid w:val="00811CDA"/>
    <w:rsid w:val="00821A37"/>
    <w:rsid w:val="00822E71"/>
    <w:rsid w:val="008314D7"/>
    <w:rsid w:val="00831C5E"/>
    <w:rsid w:val="0083618B"/>
    <w:rsid w:val="008367AC"/>
    <w:rsid w:val="008405A0"/>
    <w:rsid w:val="00843DF6"/>
    <w:rsid w:val="008524D0"/>
    <w:rsid w:val="00860B63"/>
    <w:rsid w:val="008634DC"/>
    <w:rsid w:val="00863940"/>
    <w:rsid w:val="008741DB"/>
    <w:rsid w:val="00875E52"/>
    <w:rsid w:val="00881E5F"/>
    <w:rsid w:val="008829A4"/>
    <w:rsid w:val="00883FCB"/>
    <w:rsid w:val="008874F5"/>
    <w:rsid w:val="0089503E"/>
    <w:rsid w:val="008A0BF5"/>
    <w:rsid w:val="008A2046"/>
    <w:rsid w:val="008A2A2F"/>
    <w:rsid w:val="008A6D95"/>
    <w:rsid w:val="008B5152"/>
    <w:rsid w:val="008B5EA0"/>
    <w:rsid w:val="008B6EE1"/>
    <w:rsid w:val="008C0CA5"/>
    <w:rsid w:val="008C6470"/>
    <w:rsid w:val="008D10DE"/>
    <w:rsid w:val="008D3DE9"/>
    <w:rsid w:val="008D54FE"/>
    <w:rsid w:val="008D639A"/>
    <w:rsid w:val="008E212A"/>
    <w:rsid w:val="008E4FE2"/>
    <w:rsid w:val="008E5F8B"/>
    <w:rsid w:val="008E79DB"/>
    <w:rsid w:val="008F199D"/>
    <w:rsid w:val="008F1D0A"/>
    <w:rsid w:val="008F3933"/>
    <w:rsid w:val="00900EA0"/>
    <w:rsid w:val="0090367E"/>
    <w:rsid w:val="00906027"/>
    <w:rsid w:val="009110F8"/>
    <w:rsid w:val="00915EB8"/>
    <w:rsid w:val="00927AA9"/>
    <w:rsid w:val="00930D55"/>
    <w:rsid w:val="00933610"/>
    <w:rsid w:val="0096362C"/>
    <w:rsid w:val="00963FE9"/>
    <w:rsid w:val="009650BD"/>
    <w:rsid w:val="00967E69"/>
    <w:rsid w:val="00974757"/>
    <w:rsid w:val="00977579"/>
    <w:rsid w:val="00977961"/>
    <w:rsid w:val="00983C32"/>
    <w:rsid w:val="00992591"/>
    <w:rsid w:val="0099424C"/>
    <w:rsid w:val="009967CB"/>
    <w:rsid w:val="009A0DEA"/>
    <w:rsid w:val="009A1F1D"/>
    <w:rsid w:val="009A24AD"/>
    <w:rsid w:val="009A51F0"/>
    <w:rsid w:val="009B0BC4"/>
    <w:rsid w:val="009B3504"/>
    <w:rsid w:val="009B4402"/>
    <w:rsid w:val="009B5536"/>
    <w:rsid w:val="009C4B4E"/>
    <w:rsid w:val="009D3AE0"/>
    <w:rsid w:val="009D6AF9"/>
    <w:rsid w:val="009F02EC"/>
    <w:rsid w:val="009F09F1"/>
    <w:rsid w:val="009F40D9"/>
    <w:rsid w:val="009F475D"/>
    <w:rsid w:val="009F58A3"/>
    <w:rsid w:val="00A02258"/>
    <w:rsid w:val="00A0670F"/>
    <w:rsid w:val="00A07E52"/>
    <w:rsid w:val="00A108CC"/>
    <w:rsid w:val="00A1766C"/>
    <w:rsid w:val="00A17F1A"/>
    <w:rsid w:val="00A22001"/>
    <w:rsid w:val="00A222A7"/>
    <w:rsid w:val="00A27D31"/>
    <w:rsid w:val="00A31921"/>
    <w:rsid w:val="00A34ED8"/>
    <w:rsid w:val="00A36A65"/>
    <w:rsid w:val="00A372EE"/>
    <w:rsid w:val="00A45CD8"/>
    <w:rsid w:val="00A56B6D"/>
    <w:rsid w:val="00A65DD2"/>
    <w:rsid w:val="00A71A8D"/>
    <w:rsid w:val="00A71EF4"/>
    <w:rsid w:val="00A76812"/>
    <w:rsid w:val="00A86D47"/>
    <w:rsid w:val="00A944F3"/>
    <w:rsid w:val="00A97E15"/>
    <w:rsid w:val="00AA179C"/>
    <w:rsid w:val="00AA18AE"/>
    <w:rsid w:val="00AA2776"/>
    <w:rsid w:val="00AB4252"/>
    <w:rsid w:val="00AD2465"/>
    <w:rsid w:val="00AD6554"/>
    <w:rsid w:val="00AE22F2"/>
    <w:rsid w:val="00AE2392"/>
    <w:rsid w:val="00AE24DF"/>
    <w:rsid w:val="00AF328F"/>
    <w:rsid w:val="00B04ACF"/>
    <w:rsid w:val="00B104E7"/>
    <w:rsid w:val="00B33A06"/>
    <w:rsid w:val="00B34AF2"/>
    <w:rsid w:val="00B419F8"/>
    <w:rsid w:val="00B44DE2"/>
    <w:rsid w:val="00B50DEE"/>
    <w:rsid w:val="00B52FBD"/>
    <w:rsid w:val="00B54D58"/>
    <w:rsid w:val="00B60D9B"/>
    <w:rsid w:val="00B61251"/>
    <w:rsid w:val="00B614E6"/>
    <w:rsid w:val="00B6214E"/>
    <w:rsid w:val="00B65F77"/>
    <w:rsid w:val="00B72929"/>
    <w:rsid w:val="00B75A56"/>
    <w:rsid w:val="00B82F3D"/>
    <w:rsid w:val="00B92979"/>
    <w:rsid w:val="00B929A5"/>
    <w:rsid w:val="00B939A6"/>
    <w:rsid w:val="00B94955"/>
    <w:rsid w:val="00B97C33"/>
    <w:rsid w:val="00BA020D"/>
    <w:rsid w:val="00BA0C8A"/>
    <w:rsid w:val="00BA4901"/>
    <w:rsid w:val="00BA5F2A"/>
    <w:rsid w:val="00BB026F"/>
    <w:rsid w:val="00BB5370"/>
    <w:rsid w:val="00BB65C4"/>
    <w:rsid w:val="00BC4431"/>
    <w:rsid w:val="00BC6E2E"/>
    <w:rsid w:val="00BD2639"/>
    <w:rsid w:val="00BD4CC9"/>
    <w:rsid w:val="00BD4EB5"/>
    <w:rsid w:val="00BD5B6F"/>
    <w:rsid w:val="00BE364C"/>
    <w:rsid w:val="00BF2010"/>
    <w:rsid w:val="00BF4BCD"/>
    <w:rsid w:val="00BF688B"/>
    <w:rsid w:val="00C01120"/>
    <w:rsid w:val="00C04273"/>
    <w:rsid w:val="00C044F5"/>
    <w:rsid w:val="00C07936"/>
    <w:rsid w:val="00C1160A"/>
    <w:rsid w:val="00C12328"/>
    <w:rsid w:val="00C12A12"/>
    <w:rsid w:val="00C152A6"/>
    <w:rsid w:val="00C23DF7"/>
    <w:rsid w:val="00C25B4D"/>
    <w:rsid w:val="00C27BFD"/>
    <w:rsid w:val="00C3053E"/>
    <w:rsid w:val="00C4067A"/>
    <w:rsid w:val="00C41BC5"/>
    <w:rsid w:val="00C46454"/>
    <w:rsid w:val="00C57A19"/>
    <w:rsid w:val="00C62955"/>
    <w:rsid w:val="00C64A18"/>
    <w:rsid w:val="00C70A83"/>
    <w:rsid w:val="00C72F05"/>
    <w:rsid w:val="00C74BBA"/>
    <w:rsid w:val="00C835B2"/>
    <w:rsid w:val="00C85AC8"/>
    <w:rsid w:val="00C87EFC"/>
    <w:rsid w:val="00C90C12"/>
    <w:rsid w:val="00C937E3"/>
    <w:rsid w:val="00CA1941"/>
    <w:rsid w:val="00CB10E5"/>
    <w:rsid w:val="00CB393D"/>
    <w:rsid w:val="00CB5CC4"/>
    <w:rsid w:val="00CC0E6A"/>
    <w:rsid w:val="00CC4171"/>
    <w:rsid w:val="00CC4385"/>
    <w:rsid w:val="00CD4639"/>
    <w:rsid w:val="00CD5F76"/>
    <w:rsid w:val="00CD6411"/>
    <w:rsid w:val="00CE27BF"/>
    <w:rsid w:val="00CE653A"/>
    <w:rsid w:val="00CF35FC"/>
    <w:rsid w:val="00CF5F66"/>
    <w:rsid w:val="00D00275"/>
    <w:rsid w:val="00D033AB"/>
    <w:rsid w:val="00D0422F"/>
    <w:rsid w:val="00D06776"/>
    <w:rsid w:val="00D14053"/>
    <w:rsid w:val="00D15664"/>
    <w:rsid w:val="00D160F1"/>
    <w:rsid w:val="00D215F3"/>
    <w:rsid w:val="00D23740"/>
    <w:rsid w:val="00D32E3B"/>
    <w:rsid w:val="00D33B62"/>
    <w:rsid w:val="00D345E7"/>
    <w:rsid w:val="00D350C8"/>
    <w:rsid w:val="00D40BA4"/>
    <w:rsid w:val="00D4227C"/>
    <w:rsid w:val="00D502B8"/>
    <w:rsid w:val="00D6026D"/>
    <w:rsid w:val="00D606E2"/>
    <w:rsid w:val="00D62387"/>
    <w:rsid w:val="00D62A5F"/>
    <w:rsid w:val="00D67C7B"/>
    <w:rsid w:val="00D83969"/>
    <w:rsid w:val="00D92D5B"/>
    <w:rsid w:val="00D93206"/>
    <w:rsid w:val="00D95007"/>
    <w:rsid w:val="00D97EA9"/>
    <w:rsid w:val="00DA0BA0"/>
    <w:rsid w:val="00DA6571"/>
    <w:rsid w:val="00DB4A7C"/>
    <w:rsid w:val="00DB564E"/>
    <w:rsid w:val="00DB69D2"/>
    <w:rsid w:val="00DC543D"/>
    <w:rsid w:val="00DC7FAC"/>
    <w:rsid w:val="00DD3CE5"/>
    <w:rsid w:val="00DD64AF"/>
    <w:rsid w:val="00DD7D2B"/>
    <w:rsid w:val="00DE1B14"/>
    <w:rsid w:val="00DE25EF"/>
    <w:rsid w:val="00DE3E55"/>
    <w:rsid w:val="00DE4C44"/>
    <w:rsid w:val="00DE4F63"/>
    <w:rsid w:val="00DE59B3"/>
    <w:rsid w:val="00DF2441"/>
    <w:rsid w:val="00DF29AB"/>
    <w:rsid w:val="00DF4971"/>
    <w:rsid w:val="00DF76D7"/>
    <w:rsid w:val="00E01B2D"/>
    <w:rsid w:val="00E06D7D"/>
    <w:rsid w:val="00E07AE2"/>
    <w:rsid w:val="00E1002C"/>
    <w:rsid w:val="00E12B0C"/>
    <w:rsid w:val="00E17B8F"/>
    <w:rsid w:val="00E2126D"/>
    <w:rsid w:val="00E30A3C"/>
    <w:rsid w:val="00E32722"/>
    <w:rsid w:val="00E3526B"/>
    <w:rsid w:val="00E37047"/>
    <w:rsid w:val="00E44B09"/>
    <w:rsid w:val="00E45BEF"/>
    <w:rsid w:val="00E46012"/>
    <w:rsid w:val="00E53230"/>
    <w:rsid w:val="00E53AE5"/>
    <w:rsid w:val="00E54FA7"/>
    <w:rsid w:val="00E602DF"/>
    <w:rsid w:val="00E62608"/>
    <w:rsid w:val="00E65473"/>
    <w:rsid w:val="00E66299"/>
    <w:rsid w:val="00E70827"/>
    <w:rsid w:val="00E70DF7"/>
    <w:rsid w:val="00E71C7E"/>
    <w:rsid w:val="00E752BD"/>
    <w:rsid w:val="00E80D97"/>
    <w:rsid w:val="00E81A13"/>
    <w:rsid w:val="00E82F78"/>
    <w:rsid w:val="00E83F3B"/>
    <w:rsid w:val="00E855C2"/>
    <w:rsid w:val="00E94287"/>
    <w:rsid w:val="00EB6E7A"/>
    <w:rsid w:val="00EC1BD8"/>
    <w:rsid w:val="00EC2AB1"/>
    <w:rsid w:val="00EC423F"/>
    <w:rsid w:val="00EC69E1"/>
    <w:rsid w:val="00EC6D2D"/>
    <w:rsid w:val="00ED65ED"/>
    <w:rsid w:val="00EE278E"/>
    <w:rsid w:val="00EE3AEB"/>
    <w:rsid w:val="00EE4363"/>
    <w:rsid w:val="00EF2BED"/>
    <w:rsid w:val="00EF64A8"/>
    <w:rsid w:val="00F01EBA"/>
    <w:rsid w:val="00F024B3"/>
    <w:rsid w:val="00F051B3"/>
    <w:rsid w:val="00F06136"/>
    <w:rsid w:val="00F21A6E"/>
    <w:rsid w:val="00F226CE"/>
    <w:rsid w:val="00F24CCC"/>
    <w:rsid w:val="00F3080D"/>
    <w:rsid w:val="00F31ACB"/>
    <w:rsid w:val="00F33BFD"/>
    <w:rsid w:val="00F44F7C"/>
    <w:rsid w:val="00F4567B"/>
    <w:rsid w:val="00F47577"/>
    <w:rsid w:val="00F5294A"/>
    <w:rsid w:val="00F533AD"/>
    <w:rsid w:val="00F534B9"/>
    <w:rsid w:val="00F61E0A"/>
    <w:rsid w:val="00F671B2"/>
    <w:rsid w:val="00F673C4"/>
    <w:rsid w:val="00F7022D"/>
    <w:rsid w:val="00F70FF1"/>
    <w:rsid w:val="00F73B1E"/>
    <w:rsid w:val="00F74BB3"/>
    <w:rsid w:val="00F81B41"/>
    <w:rsid w:val="00F83F52"/>
    <w:rsid w:val="00F84C0F"/>
    <w:rsid w:val="00F86D37"/>
    <w:rsid w:val="00F87901"/>
    <w:rsid w:val="00F955CF"/>
    <w:rsid w:val="00FA0AD4"/>
    <w:rsid w:val="00FA27F5"/>
    <w:rsid w:val="00FA7B89"/>
    <w:rsid w:val="00FB4732"/>
    <w:rsid w:val="00FC3325"/>
    <w:rsid w:val="00FD1A59"/>
    <w:rsid w:val="00FD7E01"/>
    <w:rsid w:val="00FF1B46"/>
    <w:rsid w:val="00FF2067"/>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lt-L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lt-LT" w:eastAsia="lt-LT" w:bidi="lt-LT"/>
    </w:rPr>
  </w:style>
  <w:style w:type="character" w:customStyle="1" w:styleId="Heading2Char">
    <w:name w:val="Heading 2 Char"/>
    <w:link w:val="Heading2"/>
    <w:locked/>
    <w:rsid w:val="003B283B"/>
    <w:rPr>
      <w:rFonts w:ascii="Times New Roman" w:eastAsia="Times New Roman" w:hAnsi="Times New Roman"/>
      <w:sz w:val="22"/>
      <w:szCs w:val="22"/>
      <w:lang w:val="lt-LT" w:eastAsia="lt-LT" w:bidi="lt-LT"/>
    </w:rPr>
  </w:style>
  <w:style w:type="character" w:customStyle="1" w:styleId="Heading3Char">
    <w:name w:val="Heading 3 Char"/>
    <w:link w:val="Heading3"/>
    <w:locked/>
    <w:rsid w:val="003B283B"/>
    <w:rPr>
      <w:rFonts w:ascii="Times New Roman" w:eastAsia="Times New Roman" w:hAnsi="Times New Roman"/>
      <w:sz w:val="22"/>
      <w:szCs w:val="22"/>
      <w:lang w:val="lt-LT" w:eastAsia="lt-LT" w:bidi="lt-LT"/>
    </w:rPr>
  </w:style>
  <w:style w:type="character" w:customStyle="1" w:styleId="Heading4Char">
    <w:name w:val="Heading 4 Char"/>
    <w:link w:val="Heading4"/>
    <w:locked/>
    <w:rsid w:val="003B283B"/>
    <w:rPr>
      <w:rFonts w:ascii="Times New Roman" w:eastAsia="Times New Roman" w:hAnsi="Times New Roman"/>
      <w:sz w:val="22"/>
      <w:szCs w:val="22"/>
      <w:lang w:val="lt-LT" w:eastAsia="lt-LT" w:bidi="lt-LT"/>
    </w:rPr>
  </w:style>
  <w:style w:type="character" w:customStyle="1" w:styleId="Heading5Char">
    <w:name w:val="Heading 5 Char"/>
    <w:link w:val="Heading5"/>
    <w:locked/>
    <w:rsid w:val="003B283B"/>
    <w:rPr>
      <w:rFonts w:ascii="Times New Roman" w:eastAsia="Times New Roman" w:hAnsi="Times New Roman"/>
      <w:sz w:val="22"/>
      <w:szCs w:val="22"/>
      <w:lang w:val="lt-LT" w:eastAsia="lt-LT" w:bidi="lt-LT"/>
    </w:rPr>
  </w:style>
  <w:style w:type="character" w:customStyle="1" w:styleId="Heading6Char">
    <w:name w:val="Heading 6 Char"/>
    <w:link w:val="Heading6"/>
    <w:locked/>
    <w:rsid w:val="003B283B"/>
    <w:rPr>
      <w:rFonts w:ascii="Times New Roman" w:eastAsia="Times New Roman" w:hAnsi="Times New Roman"/>
      <w:sz w:val="22"/>
      <w:szCs w:val="22"/>
      <w:lang w:val="lt-LT" w:eastAsia="lt-LT" w:bidi="lt-LT"/>
    </w:rPr>
  </w:style>
  <w:style w:type="character" w:customStyle="1" w:styleId="Heading7Char">
    <w:name w:val="Heading 7 Char"/>
    <w:link w:val="Heading7"/>
    <w:locked/>
    <w:rsid w:val="003B283B"/>
    <w:rPr>
      <w:rFonts w:ascii="Times New Roman" w:eastAsia="Times New Roman" w:hAnsi="Times New Roman"/>
      <w:sz w:val="22"/>
      <w:szCs w:val="22"/>
      <w:lang w:val="lt-LT" w:eastAsia="lt-LT" w:bidi="lt-LT"/>
    </w:rPr>
  </w:style>
  <w:style w:type="character" w:customStyle="1" w:styleId="Heading8Char">
    <w:name w:val="Heading 8 Char"/>
    <w:link w:val="Heading8"/>
    <w:locked/>
    <w:rsid w:val="003B283B"/>
    <w:rPr>
      <w:rFonts w:ascii="Times New Roman" w:eastAsia="Times New Roman" w:hAnsi="Times New Roman"/>
      <w:sz w:val="22"/>
      <w:szCs w:val="22"/>
      <w:lang w:val="lt-LT" w:eastAsia="lt-LT" w:bidi="lt-LT"/>
    </w:rPr>
  </w:style>
  <w:style w:type="character" w:customStyle="1" w:styleId="Heading9Char">
    <w:name w:val="Heading 9 Char"/>
    <w:link w:val="Heading9"/>
    <w:locked/>
    <w:rsid w:val="003B283B"/>
    <w:rPr>
      <w:rFonts w:ascii="Times New Roman" w:eastAsia="Times New Roman" w:hAnsi="Times New Roman"/>
      <w:sz w:val="22"/>
      <w:szCs w:val="22"/>
      <w:lang w:val="lt-LT" w:eastAsia="lt-LT" w:bidi="lt-LT"/>
    </w:rPr>
  </w:style>
  <w:style w:type="paragraph" w:styleId="Footer">
    <w:name w:val="footer"/>
    <w:basedOn w:val="Normal"/>
    <w:link w:val="FooterChar"/>
    <w:qFormat/>
    <w:rsid w:val="0079472F"/>
  </w:style>
  <w:style w:type="character" w:customStyle="1" w:styleId="FooterChar">
    <w:name w:val="Footer Char"/>
    <w:link w:val="Footer"/>
    <w:locked/>
    <w:rsid w:val="003B283B"/>
    <w:rPr>
      <w:rFonts w:ascii="Times New Roman" w:eastAsia="Times New Roman" w:hAnsi="Times New Roman"/>
      <w:sz w:val="22"/>
      <w:szCs w:val="22"/>
      <w:lang w:eastAsia="lt-LT" w:bidi="lt-LT"/>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lt-LT" w:eastAsia="lt-LT" w:bidi="lt-LT"/>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lt-LT" w:bidi="lt-LT"/>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styleId="BalloonText">
    <w:name w:val="Balloon Text"/>
    <w:basedOn w:val="Normal"/>
    <w:link w:val="BalloonTextChar"/>
    <w:rsid w:val="0028299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82997"/>
    <w:rPr>
      <w:rFonts w:ascii="Tahoma" w:eastAsia="Times New Roman" w:hAnsi="Tahoma" w:cs="Tahoma"/>
      <w:sz w:val="16"/>
      <w:szCs w:val="16"/>
      <w:lang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lt-L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lt-LT" w:eastAsia="lt-LT" w:bidi="lt-LT"/>
    </w:rPr>
  </w:style>
  <w:style w:type="character" w:customStyle="1" w:styleId="Heading2Char">
    <w:name w:val="Heading 2 Char"/>
    <w:link w:val="Heading2"/>
    <w:locked/>
    <w:rsid w:val="003B283B"/>
    <w:rPr>
      <w:rFonts w:ascii="Times New Roman" w:eastAsia="Times New Roman" w:hAnsi="Times New Roman"/>
      <w:sz w:val="22"/>
      <w:szCs w:val="22"/>
      <w:lang w:val="lt-LT" w:eastAsia="lt-LT" w:bidi="lt-LT"/>
    </w:rPr>
  </w:style>
  <w:style w:type="character" w:customStyle="1" w:styleId="Heading3Char">
    <w:name w:val="Heading 3 Char"/>
    <w:link w:val="Heading3"/>
    <w:locked/>
    <w:rsid w:val="003B283B"/>
    <w:rPr>
      <w:rFonts w:ascii="Times New Roman" w:eastAsia="Times New Roman" w:hAnsi="Times New Roman"/>
      <w:sz w:val="22"/>
      <w:szCs w:val="22"/>
      <w:lang w:val="lt-LT" w:eastAsia="lt-LT" w:bidi="lt-LT"/>
    </w:rPr>
  </w:style>
  <w:style w:type="character" w:customStyle="1" w:styleId="Heading4Char">
    <w:name w:val="Heading 4 Char"/>
    <w:link w:val="Heading4"/>
    <w:locked/>
    <w:rsid w:val="003B283B"/>
    <w:rPr>
      <w:rFonts w:ascii="Times New Roman" w:eastAsia="Times New Roman" w:hAnsi="Times New Roman"/>
      <w:sz w:val="22"/>
      <w:szCs w:val="22"/>
      <w:lang w:val="lt-LT" w:eastAsia="lt-LT" w:bidi="lt-LT"/>
    </w:rPr>
  </w:style>
  <w:style w:type="character" w:customStyle="1" w:styleId="Heading5Char">
    <w:name w:val="Heading 5 Char"/>
    <w:link w:val="Heading5"/>
    <w:locked/>
    <w:rsid w:val="003B283B"/>
    <w:rPr>
      <w:rFonts w:ascii="Times New Roman" w:eastAsia="Times New Roman" w:hAnsi="Times New Roman"/>
      <w:sz w:val="22"/>
      <w:szCs w:val="22"/>
      <w:lang w:val="lt-LT" w:eastAsia="lt-LT" w:bidi="lt-LT"/>
    </w:rPr>
  </w:style>
  <w:style w:type="character" w:customStyle="1" w:styleId="Heading6Char">
    <w:name w:val="Heading 6 Char"/>
    <w:link w:val="Heading6"/>
    <w:locked/>
    <w:rsid w:val="003B283B"/>
    <w:rPr>
      <w:rFonts w:ascii="Times New Roman" w:eastAsia="Times New Roman" w:hAnsi="Times New Roman"/>
      <w:sz w:val="22"/>
      <w:szCs w:val="22"/>
      <w:lang w:val="lt-LT" w:eastAsia="lt-LT" w:bidi="lt-LT"/>
    </w:rPr>
  </w:style>
  <w:style w:type="character" w:customStyle="1" w:styleId="Heading7Char">
    <w:name w:val="Heading 7 Char"/>
    <w:link w:val="Heading7"/>
    <w:locked/>
    <w:rsid w:val="003B283B"/>
    <w:rPr>
      <w:rFonts w:ascii="Times New Roman" w:eastAsia="Times New Roman" w:hAnsi="Times New Roman"/>
      <w:sz w:val="22"/>
      <w:szCs w:val="22"/>
      <w:lang w:val="lt-LT" w:eastAsia="lt-LT" w:bidi="lt-LT"/>
    </w:rPr>
  </w:style>
  <w:style w:type="character" w:customStyle="1" w:styleId="Heading8Char">
    <w:name w:val="Heading 8 Char"/>
    <w:link w:val="Heading8"/>
    <w:locked/>
    <w:rsid w:val="003B283B"/>
    <w:rPr>
      <w:rFonts w:ascii="Times New Roman" w:eastAsia="Times New Roman" w:hAnsi="Times New Roman"/>
      <w:sz w:val="22"/>
      <w:szCs w:val="22"/>
      <w:lang w:val="lt-LT" w:eastAsia="lt-LT" w:bidi="lt-LT"/>
    </w:rPr>
  </w:style>
  <w:style w:type="character" w:customStyle="1" w:styleId="Heading9Char">
    <w:name w:val="Heading 9 Char"/>
    <w:link w:val="Heading9"/>
    <w:locked/>
    <w:rsid w:val="003B283B"/>
    <w:rPr>
      <w:rFonts w:ascii="Times New Roman" w:eastAsia="Times New Roman" w:hAnsi="Times New Roman"/>
      <w:sz w:val="22"/>
      <w:szCs w:val="22"/>
      <w:lang w:val="lt-LT" w:eastAsia="lt-LT" w:bidi="lt-LT"/>
    </w:rPr>
  </w:style>
  <w:style w:type="paragraph" w:styleId="Footer">
    <w:name w:val="footer"/>
    <w:basedOn w:val="Normal"/>
    <w:link w:val="FooterChar"/>
    <w:qFormat/>
    <w:rsid w:val="0079472F"/>
  </w:style>
  <w:style w:type="character" w:customStyle="1" w:styleId="FooterChar">
    <w:name w:val="Footer Char"/>
    <w:link w:val="Footer"/>
    <w:locked/>
    <w:rsid w:val="003B283B"/>
    <w:rPr>
      <w:rFonts w:ascii="Times New Roman" w:eastAsia="Times New Roman" w:hAnsi="Times New Roman"/>
      <w:sz w:val="22"/>
      <w:szCs w:val="22"/>
      <w:lang w:eastAsia="lt-LT" w:bidi="lt-LT"/>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lt-LT" w:eastAsia="lt-LT" w:bidi="lt-LT"/>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lt-LT" w:bidi="lt-LT"/>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styleId="BalloonText">
    <w:name w:val="Balloon Text"/>
    <w:basedOn w:val="Normal"/>
    <w:link w:val="BalloonTextChar"/>
    <w:rsid w:val="0028299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82997"/>
    <w:rPr>
      <w:rFonts w:ascii="Tahoma" w:eastAsia="Times New Roman" w:hAnsi="Tahoma" w:cs="Tahoma"/>
      <w:sz w:val="16"/>
      <w:szCs w:val="16"/>
      <w:lang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5396564">
      <w:bodyDiv w:val="1"/>
      <w:marLeft w:val="0"/>
      <w:marRight w:val="0"/>
      <w:marTop w:val="0"/>
      <w:marBottom w:val="0"/>
      <w:divBdr>
        <w:top w:val="none" w:sz="0" w:space="0" w:color="auto"/>
        <w:left w:val="none" w:sz="0" w:space="0" w:color="auto"/>
        <w:bottom w:val="none" w:sz="0" w:space="0" w:color="auto"/>
        <w:right w:val="none" w:sz="0" w:space="0" w:color="auto"/>
      </w:divBdr>
    </w:div>
    <w:div w:id="570434624">
      <w:bodyDiv w:val="1"/>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mailto:Kristian.Krieger@eesc.europa.eu"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Kristian.Krieger@eesc.europa.e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esc.europa.eu/?i=portal.fr.opinions-search" TargetMode="Externa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ndrei.Popescu@eesc.europa.eu" TargetMode="Externa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http://www.eesc.europa.eu/?i=portal.fr.documents" TargetMode="External"/><Relationship Id="rId23" Type="http://schemas.openxmlformats.org/officeDocument/2006/relationships/hyperlink" Target="mailto:siegfried.jantscher@eesc.europa.eu"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SNS6YXTC77FS-9-5060</_dlc_DocId>
    <_dlc_DocIdUrl xmlns="9f264e46-9252-4f01-a3b2-4cb67eb6fc3c">
      <Url>http://dm/EESC/2015/_layouts/DocIdRedir.aspx?ID=SNS6YXTC77FS-9-5060</Url>
      <Description>SNS6YXTC77FS-9-5060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2016-02-05T12:00:00+00:00</ProductionDate>
    <FicheYear xmlns="9f264e46-9252-4f01-a3b2-4cb67eb6fc3c">2016</FicheYear>
    <DocumentNumber xmlns="ae52afa4-c322-454e-8472-1d2b1900674c">6625</DocumentNumber>
    <DocumentVersion xmlns="9f264e46-9252-4f01-a3b2-4cb67eb6fc3c">2</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TaxCatchAll xmlns="9f264e46-9252-4f01-a3b2-4cb67eb6fc3c">
      <Value>43</Value>
      <Value>41</Value>
      <Value>39</Value>
      <Value>38</Value>
      <Value>37</Value>
      <Value>36</Value>
      <Value>35</Value>
      <Value>33</Value>
      <Value>120</Value>
      <Value>25</Value>
      <Value>24</Value>
      <Value>22</Value>
      <Value>21</Value>
      <Value>20</Value>
      <Value>18</Value>
      <Value>17</Value>
      <Value>16</Value>
      <Value>14</Value>
      <Value>13</Value>
      <Value>11</Value>
      <Value>10</Value>
      <Value>9</Value>
      <Value>8</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1423</FicheNumber>
    <DocumentPart xmlns="9f264e46-9252-4f01-a3b2-4cb67eb6fc3c">0</DocumentPart>
    <AdoptionDate xmlns="9f264e46-9252-4f01-a3b2-4cb67eb6fc3c">2016-01-21T12:00:00+00:00</AdoptionDate>
    <MeetingName_0 xmlns="http://schemas.microsoft.com/sharepoint/v3/fields">
      <Terms xmlns="http://schemas.microsoft.com/office/infopath/2007/PartnerControl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2C6D-F210-4BCC-96B9-D59A42C1E6F5}">
  <ds:schemaRefs>
    <ds:schemaRef ds:uri="http://purl.org/dc/elements/1.1/"/>
    <ds:schemaRef ds:uri="http://schemas.microsoft.com/office/2006/metadata/properties"/>
    <ds:schemaRef ds:uri="9f264e46-9252-4f01-a3b2-4cb67eb6fc3c"/>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e52afa4-c322-454e-8472-1d2b1900674c"/>
    <ds:schemaRef ds:uri="http://schemas.microsoft.com/sharepoint/v3/fields"/>
  </ds:schemaRefs>
</ds:datastoreItem>
</file>

<file path=customXml/itemProps2.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3.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4.xml><?xml version="1.0" encoding="utf-8"?>
<ds:datastoreItem xmlns:ds="http://schemas.openxmlformats.org/officeDocument/2006/customXml" ds:itemID="{EE9D807E-E73C-4961-B442-074958518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F57073-9A99-4C36-98C5-BF424071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7</Pages>
  <Words>1159</Words>
  <Characters>9293</Characters>
  <Application>Microsoft Office Word</Application>
  <DocSecurity>0</DocSecurity>
  <Lines>77</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513-OSIOS PLENARINĖS SESIJOS PRIIMTŲ NUOMONIŲ SANTRAUKA</vt:lpstr>
      <vt:lpstr> </vt:lpstr>
    </vt:vector>
  </TitlesOfParts>
  <Company>CESE-CdR</Company>
  <LinksUpToDate>false</LinksUpToDate>
  <CharactersWithSpaces>10432</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513-OSIOS PLENARINĖS SESIJOS PRIIMTŲ NUOMONIŲ SANTRAUKA</dc:title>
  <dc:subject>Konsultacinis darbas</dc:subject>
  <dc:creator>Stuart Shelley</dc:creator>
  <cp:keywords>EESC-2015-06625-00-02-TCD-TRA-LT</cp:keywords>
  <dc:description>Rapporteur: -_x000d_
Original language: FR_x000d_
Date of document: 05/02/2016_x000d_
Date of meeting: _x000d_
External documents: -_x000d_
Administrator responsible: Cosmai Domenico, telephone: +32 (0)2 546 9041_x000d_
_x000d_
Abstract:</dc:description>
  <cp:lastModifiedBy>Stuart Shelley</cp:lastModifiedBy>
  <cp:revision>2</cp:revision>
  <cp:lastPrinted>2016-02-04T11:29:00Z</cp:lastPrinted>
  <dcterms:created xsi:type="dcterms:W3CDTF">2016-02-22T15:10:00Z</dcterms:created>
  <dcterms:modified xsi:type="dcterms:W3CDTF">2016-02-22T15:10:00Z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03/02/2016, 03/02/2016, 14/01/2016, 14/01/2016, 17/12/2015, 17/12/2015, 17/09/2015, 17/09/2015, 02/07/2015, 02/07/2015, 26/05/2015, 26/05/2015, 26/05/2015, 28/04/2015, 28/04/2015, 16/04/2015, 16/04/2015, 17/03/2015, 17/03/2015</vt:lpwstr>
  </property>
  <property fmtid="{D5CDD505-2E9C-101B-9397-08002B2CF9AE}" pid="4" name="Pref_Time">
    <vt:lpwstr>17:26:57, 16:09:02, 17:58:07, 17:32:44, 15:05:42, 11:13:53, 16:35:31, 16:17:21, 11:06:52, 09:02:14, 11:36:17, 10:24:48, 10:08:29, 10:48:07, 08:46:16, 16:41:11, 09:47:16, 17:45:27, 14:54:56</vt:lpwstr>
  </property>
  <property fmtid="{D5CDD505-2E9C-101B-9397-08002B2CF9AE}" pid="5" name="Pref_User">
    <vt:lpwstr>tvoc, nmcg, vvos, ssex, vvos, vvos, mkop, nmcg, amett, htoo, tvoc, dtai, nmcg, amett, ymur, amett, YMUR, jhvi, gharr</vt:lpwstr>
  </property>
  <property fmtid="{D5CDD505-2E9C-101B-9397-08002B2CF9AE}" pid="6" name="Pref_FileName">
    <vt:lpwstr>EESC-2015-06625-00-01-TCD-TRA-EN-CRR.docx, EESC-2015-06625-00-01-TCD-CRR-EN.docx, EESC-2015-06625-00-00-TCD-TRA-EN-CRR.docx, EESC-2015-06625-00-00-TCD-CRR-EN.docx, EESC-2015-05366-00-00-TCD-ORI.docx, EESC-2015-03529-00-00-TCD-ORI.docx, EESC-2015-04700-00-</vt:lpwstr>
  </property>
  <property fmtid="{D5CDD505-2E9C-101B-9397-08002B2CF9AE}" pid="7" name="ContentTypeId">
    <vt:lpwstr>0x010100EA97B91038054C99906057A708A1480A00E7D2B1FD55A9544EB8E25229FA72FDDF</vt:lpwstr>
  </property>
  <property fmtid="{D5CDD505-2E9C-101B-9397-08002B2CF9AE}" pid="8" name="_dlc_DocIdItemGuid">
    <vt:lpwstr>b3aa5daf-f481-4506-84d1-ee3f63684bcd</vt:lpwstr>
  </property>
  <property fmtid="{D5CDD505-2E9C-101B-9397-08002B2CF9AE}" pid="9" name="AvailableTranslations">
    <vt:lpwstr>38;#IT|0774613c-01ed-4e5d-a25d-11d2388de825;#41;#NL|55c6556c-b4f4-441d-9acf-c498d4f838bd;#24;#PT|50ccc04a-eadd-42ae-a0cb-acaf45f812ba;#11;#EL|6d4f4d51-af9b-4650-94b4-4276bee85c91;#22;#LV|46f7e311-5d9f-4663-b433-18aeccb7ace7;#35;#ET|ff6c3f4c-b02c-4c3c-ab07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4;#FR|d2afafd3-4c81-4f60-8f52-ee33f2f54ff3;#9;#EN|f2175f21-25d7-44a3-96da-d6a61b075e1b</vt:lpwstr>
  </property>
  <property fmtid="{D5CDD505-2E9C-101B-9397-08002B2CF9AE}" pid="14" name="MeetingName">
    <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10;#LT|a7ff5ce7-6123-4f68-865a-a57c31810414</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
  </property>
  <property fmtid="{D5CDD505-2E9C-101B-9397-08002B2CF9AE}" pid="24" name="DocumentStatus_0">
    <vt:lpwstr>TRA|150d2a88-1431-44e6-a8ca-0bb753ab8672</vt:lpwstr>
  </property>
  <property fmtid="{D5CDD505-2E9C-101B-9397-08002B2CF9AE}" pid="25" name="OriginalLanguage_0">
    <vt:lpwstr>FR|d2afafd3-4c81-4f60-8f52-ee33f2f54ff3</vt:lpwstr>
  </property>
  <property fmtid="{D5CDD505-2E9C-101B-9397-08002B2CF9AE}" pid="26" name="DocumentLanguage_0">
    <vt:lpwstr>FR|d2afafd3-4c81-4f60-8f52-ee33f2f54ff3</vt:lpwstr>
  </property>
  <property fmtid="{D5CDD505-2E9C-101B-9397-08002B2CF9AE}" pid="27" name="TaxCatchAll">
    <vt:lpwstr>21;#HR|2f555653-ed1a-4fe6-8362-9082d95989e5;#20;#DE|f6b31e5a-26fa-4935-b661-318e46daf27e;#41;#NL|55c6556c-b4f4-441d-9acf-c498d4f838bd;#17;#ES|e7a6b05b-ae16-40c8-add9-68b64b03aeba;#38;#IT|0774613c-01ed-4e5d-a25d-11d2388de825;#14;#DA|5d49c027-8956-412b-aa16</vt:lpwstr>
  </property>
  <property fmtid="{D5CDD505-2E9C-101B-9397-08002B2CF9AE}" pid="28" name="AvailableTranslations_0">
    <vt:lpwstr>IT|0774613c-01ed-4e5d-a25d-11d2388de825;NL|55c6556c-b4f4-441d-9acf-c498d4f838bd;EL|6d4f4d51-af9b-4650-94b4-4276bee85c91;HR|2f555653-ed1a-4fe6-8362-9082d95989e5;ES|e7a6b05b-ae16-40c8-add9-68b64b03aeba;DE|f6b31e5a-26fa-4935-b661-318e46daf27e;RO|feb747a2-64c</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2016</vt:i4>
  </property>
  <property fmtid="{D5CDD505-2E9C-101B-9397-08002B2CF9AE}" pid="32" name="DocumentNumber">
    <vt:i4>6625</vt:i4>
  </property>
  <property fmtid="{D5CDD505-2E9C-101B-9397-08002B2CF9AE}" pid="33" name="DocumentVersion">
    <vt:i4>2</vt:i4>
  </property>
  <property fmtid="{D5CDD505-2E9C-101B-9397-08002B2CF9AE}" pid="34" name="DocumentYear">
    <vt:i4>2015</vt:i4>
  </property>
  <property fmtid="{D5CDD505-2E9C-101B-9397-08002B2CF9AE}" pid="35" name="FicheNumber">
    <vt:i4>1423</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y fmtid="{D5CDD505-2E9C-101B-9397-08002B2CF9AE}" pid="39" name="AdoptionDate">
    <vt:filetime>2016-01-21T12:00:00Z</vt:filetime>
  </property>
</Properties>
</file>