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D0FB2" w:rsidRDefault="008405A0" w:rsidP="00E12713">
      <w:pPr>
        <w:snapToGrid w:val="0"/>
        <w:spacing w:line="360" w:lineRule="auto"/>
        <w:jc w:val="center"/>
      </w:pPr>
      <w:bookmarkStart w:id="0" w:name="_GoBack"/>
      <w:bookmarkEnd w:id="0"/>
      <w:r w:rsidRPr="00DD0FB2">
        <w:rPr>
          <w:noProof/>
          <w:lang w:val="fr-BE" w:eastAsia="fr-BE" w:bidi="ar-SA"/>
        </w:rPr>
        <w:drawing>
          <wp:inline distT="0" distB="0" distL="0" distR="0" wp14:anchorId="5FE72CE6" wp14:editId="42B259C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D0FB2">
        <w:rPr>
          <w:noProof/>
          <w:lang w:val="fr-BE" w:eastAsia="fr-BE" w:bidi="ar-SA"/>
        </w:rPr>
        <mc:AlternateContent>
          <mc:Choice Requires="wps">
            <w:drawing>
              <wp:anchor distT="0" distB="0" distL="114300" distR="114300" simplePos="0" relativeHeight="251659264" behindDoc="1" locked="0" layoutInCell="0" allowOverlap="1" wp14:anchorId="4F2A3806" wp14:editId="21B4222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FI</w:t>
                      </w:r>
                    </w:p>
                  </w:txbxContent>
                </v:textbox>
                <w10:wrap anchorx="page" anchory="page"/>
              </v:shape>
            </w:pict>
          </mc:Fallback>
        </mc:AlternateContent>
      </w:r>
    </w:p>
    <w:p w:rsidR="008405A0" w:rsidRPr="00DD0FB2" w:rsidRDefault="008405A0" w:rsidP="00E12713">
      <w:pPr>
        <w:snapToGrid w:val="0"/>
        <w:spacing w:line="360" w:lineRule="auto"/>
        <w:jc w:val="center"/>
        <w:rPr>
          <w:rFonts w:ascii="Arial" w:eastAsia="MS Mincho" w:hAnsi="Arial" w:cs="Arial"/>
          <w:b/>
          <w:i/>
          <w:sz w:val="20"/>
        </w:rPr>
      </w:pPr>
      <w:r w:rsidRPr="00DD0FB2">
        <w:rPr>
          <w:rFonts w:ascii="Arial" w:hAnsi="Arial"/>
          <w:b/>
          <w:i/>
          <w:sz w:val="20"/>
        </w:rPr>
        <w:t>Euroopan talous- ja sosiaalikomitea</w:t>
      </w:r>
    </w:p>
    <w:p w:rsidR="008405A0" w:rsidRPr="00DD0FB2" w:rsidRDefault="008405A0" w:rsidP="00E12713">
      <w:pPr>
        <w:spacing w:line="360" w:lineRule="auto"/>
        <w:rPr>
          <w:rFonts w:ascii="Arial" w:eastAsia="SimSun" w:hAnsi="Arial" w:cs="Arial"/>
          <w:b/>
          <w:i/>
          <w:sz w:val="20"/>
        </w:rPr>
        <w:sectPr w:rsidR="008405A0" w:rsidRPr="00DD0FB2" w:rsidSect="00504C25">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4" w:footer="1134" w:gutter="0"/>
          <w:pgNumType w:start="1"/>
          <w:cols w:space="708"/>
          <w:docGrid w:linePitch="360"/>
        </w:sectPr>
      </w:pPr>
    </w:p>
    <w:p w:rsidR="008405A0" w:rsidRPr="00DD0FB2" w:rsidRDefault="008405A0" w:rsidP="00E12713">
      <w:pPr>
        <w:snapToGrid w:val="0"/>
        <w:spacing w:line="360" w:lineRule="auto"/>
        <w:jc w:val="center"/>
      </w:pPr>
    </w:p>
    <w:p w:rsidR="008405A0" w:rsidRPr="00DD0FB2" w:rsidRDefault="008405A0" w:rsidP="00E12713">
      <w:pPr>
        <w:snapToGrid w:val="0"/>
        <w:spacing w:line="360" w:lineRule="auto"/>
      </w:pPr>
    </w:p>
    <w:p w:rsidR="008405A0" w:rsidRPr="00DD0FB2" w:rsidRDefault="008405A0" w:rsidP="00E12713">
      <w:pPr>
        <w:snapToGrid w:val="0"/>
        <w:spacing w:line="360" w:lineRule="auto"/>
      </w:pPr>
    </w:p>
    <w:p w:rsidR="008405A0" w:rsidRPr="00DD0FB2" w:rsidRDefault="008405A0" w:rsidP="00E12713">
      <w:pPr>
        <w:snapToGrid w:val="0"/>
        <w:spacing w:line="360" w:lineRule="auto"/>
        <w:jc w:val="right"/>
        <w:rPr>
          <w:rFonts w:eastAsia="MS Mincho"/>
        </w:rPr>
      </w:pPr>
      <w:r w:rsidRPr="00DD0FB2">
        <w:t>Bryssel 4. helmikuuta 2016</w:t>
      </w:r>
    </w:p>
    <w:p w:rsidR="008405A0" w:rsidRPr="00DD0FB2" w:rsidRDefault="008405A0" w:rsidP="00E12713">
      <w:pPr>
        <w:snapToGrid w:val="0"/>
        <w:spacing w:line="360" w:lineRule="auto"/>
      </w:pPr>
    </w:p>
    <w:p w:rsidR="008405A0" w:rsidRPr="00DD0FB2" w:rsidRDefault="008405A0" w:rsidP="00E12713">
      <w:pPr>
        <w:snapToGrid w:val="0"/>
        <w:spacing w:line="360" w:lineRule="auto"/>
      </w:pPr>
    </w:p>
    <w:p w:rsidR="008405A0" w:rsidRPr="00DD0FB2" w:rsidRDefault="008405A0" w:rsidP="00E12713">
      <w:pPr>
        <w:snapToGrid w:val="0"/>
        <w:spacing w:line="360" w:lineRule="auto"/>
      </w:pPr>
    </w:p>
    <w:p w:rsidR="008405A0" w:rsidRPr="00DD0FB2" w:rsidRDefault="008405A0" w:rsidP="00E12713">
      <w:pPr>
        <w:snapToGrid w:val="0"/>
        <w:spacing w:line="360" w:lineRule="auto"/>
      </w:pPr>
    </w:p>
    <w:p w:rsidR="008405A0" w:rsidRPr="00DD0FB2" w:rsidRDefault="008405A0" w:rsidP="00E12713">
      <w:pPr>
        <w:snapToGrid w:val="0"/>
        <w:spacing w:line="360" w:lineRule="auto"/>
      </w:pPr>
    </w:p>
    <w:tbl>
      <w:tblPr>
        <w:tblW w:w="0" w:type="auto"/>
        <w:tblLayout w:type="fixed"/>
        <w:tblLook w:val="0000" w:firstRow="0" w:lastRow="0" w:firstColumn="0" w:lastColumn="0" w:noHBand="0" w:noVBand="0"/>
      </w:tblPr>
      <w:tblGrid>
        <w:gridCol w:w="9243"/>
      </w:tblGrid>
      <w:tr w:rsidR="008405A0" w:rsidRPr="00DD0FB2" w:rsidTr="008405A0">
        <w:tc>
          <w:tcPr>
            <w:tcW w:w="9243" w:type="dxa"/>
            <w:tcBorders>
              <w:top w:val="nil"/>
              <w:left w:val="nil"/>
              <w:bottom w:val="double" w:sz="4" w:space="0" w:color="auto"/>
              <w:right w:val="nil"/>
            </w:tcBorders>
          </w:tcPr>
          <w:p w:rsidR="008405A0" w:rsidRPr="00DD0FB2" w:rsidRDefault="008405A0" w:rsidP="00E12713">
            <w:pPr>
              <w:snapToGrid w:val="0"/>
              <w:spacing w:line="360" w:lineRule="auto"/>
              <w:jc w:val="center"/>
              <w:rPr>
                <w:rFonts w:eastAsia="MS Mincho"/>
                <w:b/>
                <w:sz w:val="32"/>
              </w:rPr>
            </w:pPr>
            <w:r w:rsidRPr="00DD0FB2">
              <w:rPr>
                <w:b/>
                <w:sz w:val="32"/>
              </w:rPr>
              <w:t xml:space="preserve">TÄYSISTUNNOSSA </w:t>
            </w:r>
            <w:r w:rsidRPr="00DD0FB2">
              <w:rPr>
                <w:b/>
                <w:sz w:val="32"/>
              </w:rPr>
              <w:br/>
              <w:t xml:space="preserve"> </w:t>
            </w:r>
            <w:r w:rsidRPr="00DD0FB2">
              <w:rPr>
                <w:b/>
                <w:sz w:val="32"/>
              </w:rPr>
              <w:br/>
              <w:t xml:space="preserve">20.– 21. TAMMIKUUTA 2016 </w:t>
            </w:r>
            <w:r w:rsidRPr="00DD0FB2">
              <w:rPr>
                <w:b/>
                <w:sz w:val="32"/>
              </w:rPr>
              <w:br/>
              <w:t xml:space="preserve"> </w:t>
            </w:r>
            <w:r w:rsidRPr="00DD0FB2">
              <w:rPr>
                <w:b/>
                <w:sz w:val="32"/>
              </w:rPr>
              <w:br/>
              <w:t>ANNETUT LAUSUNNOT</w:t>
            </w:r>
          </w:p>
          <w:p w:rsidR="008405A0" w:rsidRPr="00DD0FB2" w:rsidRDefault="008405A0" w:rsidP="00E12713">
            <w:pPr>
              <w:snapToGrid w:val="0"/>
              <w:spacing w:line="360" w:lineRule="auto"/>
              <w:jc w:val="center"/>
              <w:rPr>
                <w:b/>
                <w:sz w:val="32"/>
              </w:rPr>
            </w:pPr>
          </w:p>
          <w:p w:rsidR="008405A0" w:rsidRPr="00DD0FB2" w:rsidRDefault="008405A0" w:rsidP="00E12713">
            <w:pPr>
              <w:snapToGrid w:val="0"/>
              <w:spacing w:line="360" w:lineRule="auto"/>
              <w:jc w:val="center"/>
              <w:rPr>
                <w:rFonts w:eastAsia="Calibri"/>
                <w:b/>
                <w:bCs/>
              </w:rPr>
            </w:pPr>
          </w:p>
        </w:tc>
      </w:tr>
      <w:tr w:rsidR="008405A0" w:rsidRPr="00DD0FB2" w:rsidTr="008405A0">
        <w:tc>
          <w:tcPr>
            <w:tcW w:w="9243" w:type="dxa"/>
            <w:tcBorders>
              <w:top w:val="double" w:sz="4" w:space="0" w:color="auto"/>
              <w:left w:val="double" w:sz="4" w:space="0" w:color="auto"/>
              <w:bottom w:val="double" w:sz="4" w:space="0" w:color="auto"/>
              <w:right w:val="double" w:sz="4" w:space="0" w:color="auto"/>
            </w:tcBorders>
          </w:tcPr>
          <w:p w:rsidR="008405A0" w:rsidRPr="00DD0FB2" w:rsidRDefault="00A31921" w:rsidP="00E12713">
            <w:pPr>
              <w:snapToGrid w:val="0"/>
              <w:spacing w:line="360" w:lineRule="auto"/>
              <w:jc w:val="center"/>
              <w:rPr>
                <w:rFonts w:eastAsia="MS Mincho"/>
                <w:b/>
              </w:rPr>
            </w:pPr>
            <w:r w:rsidRPr="00DD0FB2">
              <w:rPr>
                <w:b/>
              </w:rPr>
              <w:t>Tämä asiakirja on saatavana unionin virallisilla kielillä komitean internetsivuilla osoitteessa</w:t>
            </w:r>
          </w:p>
          <w:p w:rsidR="008405A0" w:rsidRPr="00DD0FB2" w:rsidRDefault="008405A0" w:rsidP="00E12713">
            <w:pPr>
              <w:snapToGrid w:val="0"/>
              <w:spacing w:line="360" w:lineRule="auto"/>
              <w:jc w:val="center"/>
              <w:rPr>
                <w:b/>
              </w:rPr>
            </w:pPr>
          </w:p>
          <w:p w:rsidR="008405A0" w:rsidRPr="00DD0FB2" w:rsidRDefault="00D979CC" w:rsidP="00E12713">
            <w:pPr>
              <w:spacing w:line="360" w:lineRule="auto"/>
              <w:jc w:val="center"/>
              <w:rPr>
                <w:rFonts w:eastAsia="MS Mincho"/>
                <w:u w:val="single"/>
              </w:rPr>
            </w:pPr>
            <w:hyperlink r:id="rId20" w:anchor="/boxTab1-2">
              <w:r w:rsidR="004938AF" w:rsidRPr="00DD0FB2">
                <w:rPr>
                  <w:rStyle w:val="Hyperlink"/>
                  <w:b/>
                  <w:color w:val="auto"/>
                </w:rPr>
                <w:t>http://www.eesc.europa.eu/?i=portal.en.documents#/boxTab1-2</w:t>
              </w:r>
            </w:hyperlink>
          </w:p>
          <w:p w:rsidR="008405A0" w:rsidRPr="00DD0FB2" w:rsidRDefault="008405A0" w:rsidP="00E12713">
            <w:pPr>
              <w:snapToGrid w:val="0"/>
              <w:spacing w:line="360" w:lineRule="auto"/>
              <w:jc w:val="center"/>
            </w:pPr>
          </w:p>
          <w:p w:rsidR="008405A0" w:rsidRPr="00DD0FB2" w:rsidRDefault="008405A0" w:rsidP="00E12713">
            <w:pPr>
              <w:snapToGrid w:val="0"/>
              <w:spacing w:line="360" w:lineRule="auto"/>
              <w:jc w:val="center"/>
              <w:rPr>
                <w:rFonts w:eastAsia="SimSun"/>
                <w:b/>
              </w:rPr>
            </w:pPr>
          </w:p>
          <w:p w:rsidR="008405A0" w:rsidRPr="00DD0FB2" w:rsidRDefault="008405A0" w:rsidP="00E12713">
            <w:pPr>
              <w:snapToGrid w:val="0"/>
              <w:spacing w:line="360" w:lineRule="auto"/>
              <w:jc w:val="center"/>
              <w:rPr>
                <w:rFonts w:eastAsia="MS Mincho"/>
                <w:b/>
              </w:rPr>
            </w:pPr>
            <w:r w:rsidRPr="00DD0FB2">
              <w:rPr>
                <w:b/>
              </w:rPr>
              <w:t>Mainitut lausunnot ovat saatavissa sähköisessä muodossa komitean hakukoneella</w:t>
            </w:r>
          </w:p>
          <w:p w:rsidR="008405A0" w:rsidRPr="00DD0FB2" w:rsidRDefault="008405A0" w:rsidP="00E12713">
            <w:pPr>
              <w:snapToGrid w:val="0"/>
              <w:spacing w:line="360" w:lineRule="auto"/>
              <w:jc w:val="center"/>
              <w:rPr>
                <w:b/>
              </w:rPr>
            </w:pPr>
          </w:p>
          <w:p w:rsidR="008405A0" w:rsidRPr="00DD0FB2" w:rsidRDefault="00D979CC" w:rsidP="00E12713">
            <w:pPr>
              <w:snapToGrid w:val="0"/>
              <w:spacing w:line="360" w:lineRule="auto"/>
              <w:jc w:val="center"/>
              <w:rPr>
                <w:rFonts w:eastAsia="MS Mincho"/>
                <w:b/>
              </w:rPr>
            </w:pPr>
            <w:hyperlink r:id="rId21">
              <w:r w:rsidR="004938AF" w:rsidRPr="00DD0FB2">
                <w:rPr>
                  <w:rStyle w:val="Hyperlink"/>
                  <w:b/>
                  <w:color w:val="auto"/>
                </w:rPr>
                <w:t>http://www.eesc.europa.eu/?i=portal.en.opinions-search</w:t>
              </w:r>
            </w:hyperlink>
          </w:p>
          <w:p w:rsidR="008405A0" w:rsidRPr="00DD0FB2" w:rsidRDefault="008405A0" w:rsidP="00E12713">
            <w:pPr>
              <w:snapToGrid w:val="0"/>
              <w:spacing w:line="360" w:lineRule="auto"/>
              <w:jc w:val="center"/>
              <w:rPr>
                <w:rFonts w:eastAsia="Calibri"/>
                <w:b/>
                <w:bCs/>
              </w:rPr>
            </w:pPr>
          </w:p>
        </w:tc>
      </w:tr>
    </w:tbl>
    <w:p w:rsidR="008405A0" w:rsidRPr="00DD0FB2" w:rsidRDefault="008405A0" w:rsidP="00E12713">
      <w:pPr>
        <w:spacing w:line="360" w:lineRule="auto"/>
      </w:pPr>
    </w:p>
    <w:p w:rsidR="008405A0" w:rsidRPr="00DD0FB2" w:rsidRDefault="008405A0" w:rsidP="00E12713">
      <w:pPr>
        <w:snapToGrid w:val="0"/>
        <w:spacing w:line="360" w:lineRule="auto"/>
      </w:pPr>
    </w:p>
    <w:p w:rsidR="008405A0" w:rsidRPr="00DD0FB2" w:rsidRDefault="008405A0" w:rsidP="00E12713">
      <w:pPr>
        <w:spacing w:line="360" w:lineRule="auto"/>
        <w:rPr>
          <w:rFonts w:eastAsia="SimSun"/>
          <w:b/>
          <w:sz w:val="28"/>
          <w:u w:val="single"/>
        </w:rPr>
        <w:sectPr w:rsidR="008405A0" w:rsidRPr="00DD0FB2" w:rsidSect="00504C25">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DD0FB2" w:rsidRDefault="008405A0" w:rsidP="00E12713">
      <w:pPr>
        <w:snapToGrid w:val="0"/>
        <w:spacing w:line="360" w:lineRule="auto"/>
        <w:rPr>
          <w:b/>
          <w:sz w:val="28"/>
          <w:u w:val="single"/>
        </w:rPr>
      </w:pPr>
    </w:p>
    <w:p w:rsidR="008405A0" w:rsidRPr="00DD0FB2" w:rsidRDefault="008405A0" w:rsidP="00E12713">
      <w:pPr>
        <w:snapToGrid w:val="0"/>
        <w:spacing w:line="360" w:lineRule="auto"/>
        <w:rPr>
          <w:rFonts w:eastAsia="MS Mincho"/>
          <w:b/>
          <w:sz w:val="28"/>
          <w:u w:val="single"/>
        </w:rPr>
      </w:pPr>
      <w:r w:rsidRPr="00DD0FB2">
        <w:rPr>
          <w:b/>
        </w:rPr>
        <w:t>Yhteenveto</w:t>
      </w:r>
    </w:p>
    <w:p w:rsidR="00B939A6" w:rsidRPr="00DD0FB2" w:rsidRDefault="00B939A6" w:rsidP="00E12713">
      <w:pPr>
        <w:snapToGrid w:val="0"/>
        <w:spacing w:line="360" w:lineRule="auto"/>
        <w:rPr>
          <w:b/>
          <w:sz w:val="28"/>
          <w:u w:val="single"/>
        </w:rPr>
      </w:pPr>
    </w:p>
    <w:p w:rsidR="003D4F37" w:rsidRPr="00DD0FB2" w:rsidRDefault="00B97C33">
      <w:pPr>
        <w:pStyle w:val="TOC1"/>
        <w:tabs>
          <w:tab w:val="left" w:pos="440"/>
          <w:tab w:val="right" w:leader="dot" w:pos="9017"/>
        </w:tabs>
        <w:rPr>
          <w:rFonts w:asciiTheme="minorHAnsi" w:eastAsiaTheme="minorEastAsia" w:hAnsiTheme="minorHAnsi" w:cstheme="minorBidi"/>
          <w:lang w:eastAsia="en-US" w:bidi="ar-SA"/>
        </w:rPr>
      </w:pPr>
      <w:r w:rsidRPr="00DD0FB2">
        <w:fldChar w:fldCharType="begin"/>
      </w:r>
      <w:r w:rsidRPr="00DD0FB2">
        <w:instrText xml:space="preserve"> TOC \o "1-3" \h \z \u </w:instrText>
      </w:r>
      <w:r w:rsidRPr="00DD0FB2">
        <w:fldChar w:fldCharType="separate"/>
      </w:r>
      <w:hyperlink w:anchor="_Toc442442156" w:history="1">
        <w:r w:rsidR="003D4F37" w:rsidRPr="00DD0FB2">
          <w:rPr>
            <w:rStyle w:val="Hyperlink"/>
          </w:rPr>
          <w:t>1.</w:t>
        </w:r>
        <w:r w:rsidR="003D4F37" w:rsidRPr="00DD0FB2">
          <w:rPr>
            <w:rFonts w:asciiTheme="minorHAnsi" w:eastAsiaTheme="minorEastAsia" w:hAnsiTheme="minorHAnsi" w:cstheme="minorBidi"/>
            <w:lang w:eastAsia="en-US" w:bidi="ar-SA"/>
          </w:rPr>
          <w:tab/>
        </w:r>
        <w:r w:rsidR="003D4F37" w:rsidRPr="00DD0FB2">
          <w:rPr>
            <w:rStyle w:val="Hyperlink"/>
            <w:b/>
          </w:rPr>
          <w:t>RAHOITUSVÄLINEET / VEROTUS</w:t>
        </w:r>
        <w:r w:rsidR="003D4F37" w:rsidRPr="00DD0FB2">
          <w:rPr>
            <w:webHidden/>
          </w:rPr>
          <w:tab/>
        </w:r>
        <w:r w:rsidR="003D4F37" w:rsidRPr="00DD0FB2">
          <w:rPr>
            <w:webHidden/>
          </w:rPr>
          <w:fldChar w:fldCharType="begin"/>
        </w:r>
        <w:r w:rsidR="003D4F37" w:rsidRPr="00DD0FB2">
          <w:rPr>
            <w:webHidden/>
          </w:rPr>
          <w:instrText xml:space="preserve"> PAGEREF _Toc442442156 \h </w:instrText>
        </w:r>
        <w:r w:rsidR="003D4F37" w:rsidRPr="00DD0FB2">
          <w:rPr>
            <w:webHidden/>
          </w:rPr>
        </w:r>
        <w:r w:rsidR="003D4F37" w:rsidRPr="00DD0FB2">
          <w:rPr>
            <w:webHidden/>
          </w:rPr>
          <w:fldChar w:fldCharType="separate"/>
        </w:r>
        <w:r w:rsidR="003D4F37" w:rsidRPr="00DD0FB2">
          <w:rPr>
            <w:webHidden/>
          </w:rPr>
          <w:t>3</w:t>
        </w:r>
        <w:r w:rsidR="003D4F37" w:rsidRPr="00DD0FB2">
          <w:rPr>
            <w:webHidden/>
          </w:rPr>
          <w:fldChar w:fldCharType="end"/>
        </w:r>
      </w:hyperlink>
    </w:p>
    <w:p w:rsidR="003D4F37" w:rsidRPr="00DD0FB2" w:rsidRDefault="00D979CC">
      <w:pPr>
        <w:pStyle w:val="TOC1"/>
        <w:tabs>
          <w:tab w:val="left" w:pos="440"/>
          <w:tab w:val="right" w:leader="dot" w:pos="9017"/>
        </w:tabs>
        <w:rPr>
          <w:rFonts w:asciiTheme="minorHAnsi" w:eastAsiaTheme="minorEastAsia" w:hAnsiTheme="minorHAnsi" w:cstheme="minorBidi"/>
          <w:lang w:eastAsia="en-US" w:bidi="ar-SA"/>
        </w:rPr>
      </w:pPr>
      <w:hyperlink w:anchor="_Toc442442157" w:history="1">
        <w:r w:rsidR="003D4F37" w:rsidRPr="00DD0FB2">
          <w:rPr>
            <w:rStyle w:val="Hyperlink"/>
          </w:rPr>
          <w:t>2.</w:t>
        </w:r>
        <w:r w:rsidR="003D4F37" w:rsidRPr="00DD0FB2">
          <w:rPr>
            <w:rFonts w:asciiTheme="minorHAnsi" w:eastAsiaTheme="minorEastAsia" w:hAnsiTheme="minorHAnsi" w:cstheme="minorBidi"/>
            <w:lang w:eastAsia="en-US" w:bidi="ar-SA"/>
          </w:rPr>
          <w:tab/>
        </w:r>
        <w:r w:rsidR="003D4F37" w:rsidRPr="00DD0FB2">
          <w:rPr>
            <w:rStyle w:val="Hyperlink"/>
            <w:b/>
          </w:rPr>
          <w:t>ENERGIA</w:t>
        </w:r>
        <w:r w:rsidR="003D4F37" w:rsidRPr="00DD0FB2">
          <w:rPr>
            <w:webHidden/>
          </w:rPr>
          <w:tab/>
        </w:r>
        <w:r w:rsidR="003D4F37" w:rsidRPr="00DD0FB2">
          <w:rPr>
            <w:webHidden/>
          </w:rPr>
          <w:fldChar w:fldCharType="begin"/>
        </w:r>
        <w:r w:rsidR="003D4F37" w:rsidRPr="00DD0FB2">
          <w:rPr>
            <w:webHidden/>
          </w:rPr>
          <w:instrText xml:space="preserve"> PAGEREF _Toc442442157 \h </w:instrText>
        </w:r>
        <w:r w:rsidR="003D4F37" w:rsidRPr="00DD0FB2">
          <w:rPr>
            <w:webHidden/>
          </w:rPr>
        </w:r>
        <w:r w:rsidR="003D4F37" w:rsidRPr="00DD0FB2">
          <w:rPr>
            <w:webHidden/>
          </w:rPr>
          <w:fldChar w:fldCharType="separate"/>
        </w:r>
        <w:r w:rsidR="003D4F37" w:rsidRPr="00DD0FB2">
          <w:rPr>
            <w:webHidden/>
          </w:rPr>
          <w:t>4</w:t>
        </w:r>
        <w:r w:rsidR="003D4F37" w:rsidRPr="00DD0FB2">
          <w:rPr>
            <w:webHidden/>
          </w:rPr>
          <w:fldChar w:fldCharType="end"/>
        </w:r>
      </w:hyperlink>
    </w:p>
    <w:p w:rsidR="001D52CB" w:rsidRPr="00DD0FB2" w:rsidRDefault="00B97C33" w:rsidP="00E12713">
      <w:pPr>
        <w:pStyle w:val="TOC1"/>
        <w:tabs>
          <w:tab w:val="left" w:pos="440"/>
          <w:tab w:val="right" w:leader="dot" w:pos="9017"/>
        </w:tabs>
        <w:spacing w:line="360" w:lineRule="auto"/>
        <w:rPr>
          <w:rFonts w:asciiTheme="minorHAnsi" w:eastAsiaTheme="minorEastAsia" w:hAnsiTheme="minorHAnsi" w:cstheme="minorBidi"/>
        </w:rPr>
      </w:pPr>
      <w:r w:rsidRPr="00DD0FB2">
        <w:fldChar w:fldCharType="end"/>
      </w:r>
    </w:p>
    <w:p w:rsidR="008405A0" w:rsidRPr="00DD0FB2" w:rsidRDefault="008405A0" w:rsidP="00E12713">
      <w:pPr>
        <w:spacing w:line="360" w:lineRule="auto"/>
      </w:pPr>
      <w:r w:rsidRPr="00DD0FB2">
        <w:br w:type="page"/>
      </w:r>
    </w:p>
    <w:p w:rsidR="004E3A5B" w:rsidRPr="00DD0FB2" w:rsidRDefault="004E3A5B" w:rsidP="00E12713">
      <w:pPr>
        <w:spacing w:line="360" w:lineRule="auto"/>
      </w:pPr>
    </w:p>
    <w:p w:rsidR="00387CFB" w:rsidRPr="00DD0FB2" w:rsidRDefault="008405A0" w:rsidP="00E12713">
      <w:pPr>
        <w:spacing w:line="360" w:lineRule="auto"/>
      </w:pPr>
      <w:r w:rsidRPr="00DD0FB2">
        <w:t xml:space="preserve">Täysistuntoon, joka pidettiin 20.–21. tammikuuta 2016 osallistuivat Tunisian ammattiliittojen keskusliiton UGTT:n </w:t>
      </w:r>
      <w:r w:rsidR="00F30E0C" w:rsidRPr="00DD0FB2">
        <w:t>apulais</w:t>
      </w:r>
      <w:r w:rsidRPr="00DD0FB2">
        <w:t xml:space="preserve">pääsihteeri </w:t>
      </w:r>
      <w:r w:rsidR="00F30E0C" w:rsidRPr="00DD0FB2">
        <w:rPr>
          <w:b/>
        </w:rPr>
        <w:t>Kacem</w:t>
      </w:r>
      <w:r w:rsidRPr="00DD0FB2">
        <w:rPr>
          <w:b/>
        </w:rPr>
        <w:t xml:space="preserve"> </w:t>
      </w:r>
      <w:r w:rsidR="00F30E0C" w:rsidRPr="00DD0FB2">
        <w:rPr>
          <w:b/>
        </w:rPr>
        <w:t>Afaya</w:t>
      </w:r>
      <w:r w:rsidRPr="00DD0FB2">
        <w:t xml:space="preserve">, Tunisian ihmisoikeusliiton LTDH:n varapuheenjohtaja </w:t>
      </w:r>
      <w:r w:rsidRPr="00DD0FB2">
        <w:rPr>
          <w:b/>
        </w:rPr>
        <w:t>Ahmed ben Tahar Galai</w:t>
      </w:r>
      <w:r w:rsidRPr="00DD0FB2">
        <w:t xml:space="preserve"> ja Tunisian teollisuuden, kaupan ja käsityöläisten liiton UTICAn johtokunnan jäsen </w:t>
      </w:r>
      <w:r w:rsidRPr="00DD0FB2">
        <w:rPr>
          <w:b/>
        </w:rPr>
        <w:t>Slim Ghorbel</w:t>
      </w:r>
      <w:r w:rsidRPr="00DD0FB2">
        <w:t>.</w:t>
      </w:r>
    </w:p>
    <w:p w:rsidR="008405A0" w:rsidRPr="00DD0FB2" w:rsidRDefault="008405A0" w:rsidP="00E12713">
      <w:pPr>
        <w:spacing w:line="360" w:lineRule="auto"/>
        <w:rPr>
          <w:sz w:val="16"/>
        </w:rPr>
      </w:pPr>
    </w:p>
    <w:p w:rsidR="008405A0" w:rsidRPr="00DD0FB2" w:rsidRDefault="008405A0" w:rsidP="00E12713">
      <w:pPr>
        <w:spacing w:line="360" w:lineRule="auto"/>
        <w:rPr>
          <w:rFonts w:eastAsia="MS Mincho"/>
        </w:rPr>
      </w:pPr>
      <w:r w:rsidRPr="00DD0FB2">
        <w:t>Täysistunnossa hyväksyttiin seuraavat lausunnot:</w:t>
      </w:r>
    </w:p>
    <w:p w:rsidR="008405A0" w:rsidRPr="00DD0FB2" w:rsidRDefault="008405A0" w:rsidP="00E12713">
      <w:pPr>
        <w:spacing w:line="360" w:lineRule="auto"/>
        <w:rPr>
          <w:sz w:val="16"/>
        </w:rPr>
      </w:pPr>
    </w:p>
    <w:p w:rsidR="009F58A3" w:rsidRPr="00DD0FB2" w:rsidRDefault="00900EA0" w:rsidP="00E12713">
      <w:pPr>
        <w:keepNext/>
        <w:numPr>
          <w:ilvl w:val="0"/>
          <w:numId w:val="2"/>
        </w:numPr>
        <w:spacing w:line="360" w:lineRule="auto"/>
        <w:ind w:left="567" w:hanging="578"/>
        <w:outlineLvl w:val="0"/>
        <w:rPr>
          <w:b/>
        </w:rPr>
      </w:pPr>
      <w:bookmarkStart w:id="1" w:name="_Toc442171220"/>
      <w:bookmarkStart w:id="2" w:name="_Toc442171260"/>
      <w:bookmarkStart w:id="3" w:name="_Toc442442156"/>
      <w:r w:rsidRPr="00DD0FB2">
        <w:rPr>
          <w:b/>
        </w:rPr>
        <w:t>RAHOITUSVÄLINEET / VEROTUS</w:t>
      </w:r>
      <w:bookmarkEnd w:id="1"/>
      <w:bookmarkEnd w:id="2"/>
      <w:bookmarkEnd w:id="3"/>
    </w:p>
    <w:p w:rsidR="009F58A3" w:rsidRPr="00DD0FB2" w:rsidRDefault="009F58A3" w:rsidP="00E12713">
      <w:pPr>
        <w:keepNext/>
        <w:spacing w:line="360" w:lineRule="auto"/>
        <w:rPr>
          <w:b/>
          <w:iCs/>
          <w:highlight w:val="yellow"/>
          <w:u w:val="single"/>
        </w:rPr>
      </w:pPr>
    </w:p>
    <w:p w:rsidR="002A3665" w:rsidRPr="00DD0FB2" w:rsidRDefault="002A3665" w:rsidP="00E12713">
      <w:pPr>
        <w:keepNext/>
        <w:spacing w:line="360" w:lineRule="auto"/>
        <w:ind w:left="-567"/>
        <w:rPr>
          <w:b/>
          <w:iCs/>
          <w:highlight w:val="yellow"/>
          <w:u w:val="single"/>
        </w:rPr>
      </w:pPr>
      <w:r w:rsidRPr="00DD0FB2">
        <w:rPr>
          <w:b/>
          <w:iCs/>
          <w:u w:val="single"/>
        </w:rPr>
        <w:fldChar w:fldCharType="begin" w:fldLock="1"/>
      </w:r>
      <w:r w:rsidRPr="00DD0FB2">
        <w:rPr>
          <w:b/>
          <w:iCs/>
          <w:u w:val="single"/>
        </w:rPr>
        <w:instrText>COMMENTS "ECO/385"</w:instrText>
      </w:r>
      <w:r w:rsidRPr="00DD0FB2">
        <w:rPr>
          <w:b/>
          <w:iCs/>
          <w:u w:val="single"/>
        </w:rPr>
        <w:fldChar w:fldCharType="separate"/>
      </w:r>
      <w:r w:rsidRPr="00DD0FB2">
        <w:rPr>
          <w:b/>
          <w:iCs/>
          <w:u w:val="single"/>
        </w:rPr>
        <w:t>ECO/385</w:t>
      </w:r>
      <w:r w:rsidRPr="00DD0FB2">
        <w:fldChar w:fldCharType="end"/>
      </w:r>
    </w:p>
    <w:p w:rsidR="002A3665" w:rsidRPr="00DD0FB2" w:rsidRDefault="002A3665" w:rsidP="00E12713">
      <w:pPr>
        <w:keepNext/>
        <w:spacing w:line="360" w:lineRule="auto"/>
        <w:rPr>
          <w:b/>
          <w:iCs/>
          <w:highlight w:val="yellow"/>
          <w:u w:val="single"/>
        </w:rPr>
      </w:pPr>
    </w:p>
    <w:p w:rsidR="009F58A3" w:rsidRPr="00DD0FB2" w:rsidRDefault="009F58A3" w:rsidP="00E12713">
      <w:pPr>
        <w:widowControl w:val="0"/>
        <w:numPr>
          <w:ilvl w:val="0"/>
          <w:numId w:val="5"/>
        </w:numPr>
        <w:overflowPunct w:val="0"/>
        <w:autoSpaceDE w:val="0"/>
        <w:autoSpaceDN w:val="0"/>
        <w:adjustRightInd w:val="0"/>
        <w:spacing w:line="360" w:lineRule="auto"/>
        <w:ind w:hanging="567"/>
        <w:textAlignment w:val="baseline"/>
        <w:rPr>
          <w:b/>
          <w:bCs/>
          <w:i/>
          <w:iCs/>
        </w:rPr>
      </w:pPr>
      <w:r w:rsidRPr="00DD0FB2">
        <w:rPr>
          <w:b/>
          <w:i/>
        </w:rPr>
        <w:t>Arvopaperisointia koskeva oikeudellinen kehys</w:t>
      </w:r>
    </w:p>
    <w:p w:rsidR="009F58A3" w:rsidRPr="00DD0FB2" w:rsidRDefault="009F58A3" w:rsidP="00E12713">
      <w:pPr>
        <w:spacing w:line="360" w:lineRule="auto"/>
        <w:ind w:firstLine="17"/>
      </w:pPr>
    </w:p>
    <w:p w:rsidR="009F58A3" w:rsidRPr="00DD0FB2" w:rsidRDefault="009F58A3" w:rsidP="00E12713">
      <w:pPr>
        <w:spacing w:line="360" w:lineRule="auto"/>
        <w:ind w:left="1418" w:hanging="1418"/>
      </w:pPr>
      <w:r w:rsidRPr="00DD0FB2">
        <w:rPr>
          <w:b/>
        </w:rPr>
        <w:t>Esittelijä:</w:t>
      </w:r>
      <w:r w:rsidRPr="00DD0FB2">
        <w:tab/>
        <w:t>Daniel Mareels (työnantajat-ryhmä – BE)</w:t>
      </w:r>
    </w:p>
    <w:p w:rsidR="009F58A3" w:rsidRPr="00DD0FB2" w:rsidRDefault="009F58A3" w:rsidP="00E12713">
      <w:pPr>
        <w:spacing w:line="360" w:lineRule="auto"/>
        <w:ind w:left="1418" w:hanging="1418"/>
      </w:pPr>
    </w:p>
    <w:p w:rsidR="009F58A3" w:rsidRPr="00DD0FB2" w:rsidRDefault="009F58A3" w:rsidP="00E12713">
      <w:pPr>
        <w:keepNext/>
        <w:spacing w:line="360" w:lineRule="auto"/>
        <w:ind w:left="1418" w:hanging="1418"/>
      </w:pPr>
      <w:r w:rsidRPr="00DD0FB2">
        <w:rPr>
          <w:b/>
        </w:rPr>
        <w:t>Viite:</w:t>
      </w:r>
      <w:r w:rsidRPr="00DD0FB2">
        <w:tab/>
        <w:t>COM(2015) 473 final ja COM(2015) 472 final</w:t>
      </w:r>
    </w:p>
    <w:p w:rsidR="009F58A3" w:rsidRPr="00DD0FB2" w:rsidRDefault="009F58A3" w:rsidP="00E12713">
      <w:pPr>
        <w:spacing w:line="360" w:lineRule="auto"/>
        <w:ind w:left="1418"/>
      </w:pPr>
      <w:r w:rsidRPr="00DD0FB2">
        <w:t>EESC-2015-04971-00-00-AC-TRA</w:t>
      </w:r>
    </w:p>
    <w:p w:rsidR="009F58A3" w:rsidRPr="00DD0FB2" w:rsidRDefault="009F58A3" w:rsidP="00E12713">
      <w:pPr>
        <w:spacing w:line="360" w:lineRule="auto"/>
      </w:pPr>
    </w:p>
    <w:p w:rsidR="009F58A3" w:rsidRPr="00DD0FB2" w:rsidRDefault="009F58A3" w:rsidP="00E12713">
      <w:pPr>
        <w:keepNext/>
        <w:spacing w:line="360" w:lineRule="auto"/>
        <w:rPr>
          <w:b/>
        </w:rPr>
      </w:pPr>
      <w:r w:rsidRPr="00DD0FB2">
        <w:rPr>
          <w:b/>
        </w:rPr>
        <w:t>Keskeiset kohdat:</w:t>
      </w:r>
    </w:p>
    <w:p w:rsidR="002A3665" w:rsidRPr="00DD0FB2" w:rsidRDefault="002A3665" w:rsidP="00E12713">
      <w:pPr>
        <w:spacing w:line="360" w:lineRule="auto"/>
      </w:pPr>
    </w:p>
    <w:p w:rsidR="009F58A3" w:rsidRPr="00DD0FB2" w:rsidRDefault="009F58A3" w:rsidP="00E12713">
      <w:pPr>
        <w:keepNext/>
        <w:tabs>
          <w:tab w:val="left" w:pos="7797"/>
        </w:tabs>
        <w:spacing w:line="360" w:lineRule="auto"/>
        <w:rPr>
          <w:sz w:val="23"/>
          <w:szCs w:val="23"/>
        </w:rPr>
      </w:pPr>
      <w:r w:rsidRPr="00DD0FB2">
        <w:rPr>
          <w:sz w:val="23"/>
        </w:rPr>
        <w:t>ETSK</w:t>
      </w:r>
    </w:p>
    <w:p w:rsidR="002D750B" w:rsidRPr="00DD0FB2" w:rsidRDefault="002D750B" w:rsidP="00E12713">
      <w:pPr>
        <w:keepNext/>
        <w:tabs>
          <w:tab w:val="left" w:pos="7797"/>
        </w:tabs>
        <w:spacing w:line="360" w:lineRule="auto"/>
        <w:rPr>
          <w:sz w:val="23"/>
          <w:szCs w:val="23"/>
        </w:rPr>
      </w:pPr>
    </w:p>
    <w:p w:rsidR="009F58A3" w:rsidRPr="00DD0FB2" w:rsidRDefault="009F58A3"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t xml:space="preserve">ETSK on tyytyväinen ehdotuksiin, jotka koskevat kehystä "yksinkertaiselle, läpinäkyvälle ja standardoidulle" arvopaperistamiselle (YLS-arvopaperistamiselle) ja luottolaitosten ja sijoituspalveluyritysten vakavaraisuusvaatimusten mukauttamista. </w:t>
      </w:r>
    </w:p>
    <w:p w:rsidR="009F58A3" w:rsidRPr="00DD0FB2" w:rsidRDefault="009F58A3"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t xml:space="preserve">kehottaa lyhyen aikavälin toimiin, joiden tulisi mahdollistaa merkittävien lisävarojen luominen pankkirahoitusta varten. Tämä on erittäin tärkeää pk-yrityksille ja kotitalouksille. </w:t>
      </w:r>
    </w:p>
    <w:p w:rsidR="009F58A3" w:rsidRPr="00DD0FB2" w:rsidRDefault="002D750B"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t xml:space="preserve">katsoo, että pankkirahoitusta ja markkinarahoitusta pitää tarkastella toisiaan täydentävinä eikä keskenään kilpailevina rahoitusmuotoina, ja niitä tulee kehittää yhdessä. </w:t>
      </w:r>
    </w:p>
    <w:p w:rsidR="009F58A3" w:rsidRPr="00DD0FB2" w:rsidRDefault="009F58A3"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t xml:space="preserve">katsoo, että sääntöjen on oltava riittävän väljät ja että YLS-arvopaperistamisen kriteerien tulee olla realistiset ja täytettävissä olevat kaikille luototusta harjoittaville pankeille, niin suurille pankeille kuin pienille paikallispankeille. </w:t>
      </w:r>
    </w:p>
    <w:p w:rsidR="009F58A3" w:rsidRPr="00DD0FB2" w:rsidRDefault="009F58A3"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lastRenderedPageBreak/>
        <w:t xml:space="preserve">katsoo, että arvopaperistamisen pitää olla houkuttelevaa myös investoijille. Pitää tehdä selväksi mahdolliset riskit samoin kuin se, kuka ne kantaa. Tällöin tulee kiinnittää huomiota koko ketjuun: liikkeeseenlaskijasta aina investoijaan asti. </w:t>
      </w:r>
    </w:p>
    <w:p w:rsidR="009F58A3" w:rsidRPr="00DD0FB2" w:rsidRDefault="009F58A3"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t xml:space="preserve">toteaa, että tärkeintä on olla toistamatta aikaisempia virheitä. </w:t>
      </w:r>
    </w:p>
    <w:p w:rsidR="009F58A3" w:rsidRPr="00DD0FB2" w:rsidRDefault="009F58A3" w:rsidP="00E12713">
      <w:pPr>
        <w:numPr>
          <w:ilvl w:val="0"/>
          <w:numId w:val="4"/>
        </w:numPr>
        <w:tabs>
          <w:tab w:val="clear" w:pos="0"/>
        </w:tabs>
        <w:overflowPunct w:val="0"/>
        <w:autoSpaceDE w:val="0"/>
        <w:autoSpaceDN w:val="0"/>
        <w:adjustRightInd w:val="0"/>
        <w:spacing w:line="360" w:lineRule="auto"/>
        <w:ind w:left="283" w:hanging="283"/>
        <w:textAlignment w:val="baseline"/>
      </w:pPr>
      <w:r w:rsidRPr="00DD0FB2">
        <w:t>yhtyy näkemykseen, ettei arvopaperistamista pitäisi avata piensijoittajille ja kuluttajille, koska asia on monimutkainen ja siihen liittyy riskejä. Komitea kehottaa sisällyttämään säädösteksteihin nimenomaisen virallisen kiellon.</w:t>
      </w:r>
    </w:p>
    <w:p w:rsidR="009F58A3" w:rsidRPr="00DD0FB2" w:rsidRDefault="009F58A3" w:rsidP="00E12713">
      <w:pPr>
        <w:tabs>
          <w:tab w:val="left" w:pos="770"/>
        </w:tabs>
        <w:spacing w:line="360" w:lineRule="auto"/>
        <w:ind w:left="1430" w:hanging="1430"/>
        <w:rPr>
          <w:b/>
          <w:bCs/>
          <w:i/>
          <w:iCs/>
        </w:rPr>
      </w:pPr>
    </w:p>
    <w:p w:rsidR="009F58A3" w:rsidRPr="00DD0FB2" w:rsidRDefault="009F58A3" w:rsidP="00E12713">
      <w:pPr>
        <w:keepNext/>
        <w:spacing w:line="360" w:lineRule="auto"/>
        <w:ind w:left="1429" w:hanging="1429"/>
        <w:rPr>
          <w:i/>
          <w:iCs/>
        </w:rPr>
      </w:pPr>
      <w:r w:rsidRPr="00DD0FB2">
        <w:rPr>
          <w:b/>
          <w:i/>
        </w:rPr>
        <w:t>Yhteystiedot:</w:t>
      </w:r>
      <w:r w:rsidRPr="00DD0FB2">
        <w:rPr>
          <w:i/>
        </w:rPr>
        <w:t>Siegfried Jantscher</w:t>
      </w:r>
    </w:p>
    <w:p w:rsidR="009F58A3" w:rsidRPr="00DD0FB2" w:rsidRDefault="009F58A3" w:rsidP="00E12713">
      <w:pPr>
        <w:spacing w:line="360" w:lineRule="auto"/>
        <w:ind w:left="1430" w:hanging="12"/>
        <w:rPr>
          <w:i/>
          <w:iCs/>
        </w:rPr>
      </w:pPr>
      <w:r w:rsidRPr="00DD0FB2">
        <w:rPr>
          <w:i/>
        </w:rPr>
        <w:t xml:space="preserve">(P.: +32 25468287 – sähköposti: </w:t>
      </w:r>
      <w:hyperlink r:id="rId28">
        <w:r w:rsidRPr="00DD0FB2">
          <w:rPr>
            <w:rStyle w:val="Hyperlink"/>
            <w:i/>
            <w:color w:val="auto"/>
          </w:rPr>
          <w:t>siegfried.jantscher@eesc.europa.eu</w:t>
        </w:r>
      </w:hyperlink>
      <w:r w:rsidRPr="00DD0FB2">
        <w:rPr>
          <w:i/>
        </w:rPr>
        <w:t>)</w:t>
      </w:r>
    </w:p>
    <w:p w:rsidR="00A36A65" w:rsidRPr="00DD0FB2" w:rsidRDefault="00A36A65" w:rsidP="00E12713">
      <w:pPr>
        <w:spacing w:line="360" w:lineRule="auto"/>
        <w:rPr>
          <w:b/>
          <w:sz w:val="28"/>
        </w:rPr>
      </w:pPr>
    </w:p>
    <w:p w:rsidR="009F58A3" w:rsidRPr="00DD0FB2" w:rsidRDefault="00136FA8" w:rsidP="00E12713">
      <w:pPr>
        <w:keepNext/>
        <w:numPr>
          <w:ilvl w:val="0"/>
          <w:numId w:val="2"/>
        </w:numPr>
        <w:spacing w:line="360" w:lineRule="auto"/>
        <w:ind w:left="567" w:hanging="578"/>
        <w:outlineLvl w:val="0"/>
        <w:rPr>
          <w:b/>
        </w:rPr>
      </w:pPr>
      <w:bookmarkStart w:id="4" w:name="_Toc442171222"/>
      <w:bookmarkStart w:id="5" w:name="_Toc442171261"/>
      <w:bookmarkStart w:id="6" w:name="_Toc442442157"/>
      <w:r w:rsidRPr="00DD0FB2">
        <w:rPr>
          <w:b/>
        </w:rPr>
        <w:t>ENERGIA</w:t>
      </w:r>
      <w:bookmarkEnd w:id="4"/>
      <w:bookmarkEnd w:id="5"/>
      <w:bookmarkEnd w:id="6"/>
      <w:r w:rsidRPr="00DD0FB2">
        <w:rPr>
          <w:b/>
        </w:rPr>
        <w:t xml:space="preserve"> </w:t>
      </w:r>
    </w:p>
    <w:p w:rsidR="007F15F7" w:rsidRPr="00DD0FB2" w:rsidRDefault="007F15F7" w:rsidP="00E12713">
      <w:pPr>
        <w:keepNext/>
        <w:spacing w:line="360" w:lineRule="auto"/>
        <w:rPr>
          <w:b/>
          <w:iCs/>
          <w:highlight w:val="yellow"/>
          <w:u w:val="single"/>
        </w:rPr>
      </w:pPr>
    </w:p>
    <w:p w:rsidR="002A3665" w:rsidRPr="00DD0FB2" w:rsidRDefault="002A3665" w:rsidP="00E12713">
      <w:pPr>
        <w:keepNext/>
        <w:spacing w:line="360" w:lineRule="auto"/>
        <w:ind w:left="-567"/>
        <w:rPr>
          <w:b/>
          <w:iCs/>
          <w:highlight w:val="yellow"/>
          <w:u w:val="single"/>
        </w:rPr>
      </w:pPr>
      <w:r w:rsidRPr="00DD0FB2">
        <w:rPr>
          <w:b/>
          <w:iCs/>
          <w:u w:val="single"/>
        </w:rPr>
        <w:fldChar w:fldCharType="begin" w:fldLock="1"/>
      </w:r>
      <w:r w:rsidRPr="00DD0FB2">
        <w:rPr>
          <w:b/>
          <w:iCs/>
          <w:u w:val="single"/>
        </w:rPr>
        <w:instrText>COMMENTS "TEN/576"</w:instrText>
      </w:r>
      <w:r w:rsidRPr="00DD0FB2">
        <w:rPr>
          <w:b/>
          <w:iCs/>
          <w:u w:val="single"/>
        </w:rPr>
        <w:fldChar w:fldCharType="separate"/>
      </w:r>
      <w:r w:rsidRPr="00DD0FB2">
        <w:rPr>
          <w:b/>
          <w:iCs/>
          <w:u w:val="single"/>
        </w:rPr>
        <w:t>TEN/576</w:t>
      </w:r>
      <w:r w:rsidRPr="00DD0FB2">
        <w:fldChar w:fldCharType="end"/>
      </w:r>
    </w:p>
    <w:p w:rsidR="002A3665" w:rsidRPr="00DD0FB2" w:rsidRDefault="002A3665" w:rsidP="00E12713">
      <w:pPr>
        <w:keepNext/>
        <w:spacing w:line="360" w:lineRule="auto"/>
        <w:rPr>
          <w:b/>
          <w:iCs/>
          <w:highlight w:val="yellow"/>
          <w:u w:val="single"/>
        </w:rPr>
      </w:pPr>
    </w:p>
    <w:p w:rsidR="007F15F7" w:rsidRPr="00DD0FB2" w:rsidRDefault="007F15F7" w:rsidP="00E12713">
      <w:pPr>
        <w:widowControl w:val="0"/>
        <w:numPr>
          <w:ilvl w:val="0"/>
          <w:numId w:val="5"/>
        </w:numPr>
        <w:overflowPunct w:val="0"/>
        <w:autoSpaceDE w:val="0"/>
        <w:autoSpaceDN w:val="0"/>
        <w:adjustRightInd w:val="0"/>
        <w:spacing w:line="360" w:lineRule="auto"/>
        <w:ind w:hanging="567"/>
        <w:textAlignment w:val="baseline"/>
        <w:rPr>
          <w:b/>
          <w:bCs/>
          <w:i/>
          <w:iCs/>
        </w:rPr>
      </w:pPr>
      <w:r w:rsidRPr="00DD0FB2">
        <w:rPr>
          <w:b/>
          <w:i/>
        </w:rPr>
        <w:t>Energiatehokkuusmerkintää koskeva kehys</w:t>
      </w:r>
    </w:p>
    <w:p w:rsidR="007F15F7" w:rsidRPr="00DD0FB2" w:rsidRDefault="007F15F7" w:rsidP="00E12713">
      <w:pPr>
        <w:widowControl w:val="0"/>
        <w:spacing w:line="360" w:lineRule="auto"/>
        <w:rPr>
          <w:bCs/>
          <w:szCs w:val="20"/>
        </w:rPr>
      </w:pPr>
    </w:p>
    <w:p w:rsidR="007F15F7" w:rsidRPr="00DD0FB2" w:rsidRDefault="007F15F7" w:rsidP="00E12713">
      <w:pPr>
        <w:spacing w:line="360" w:lineRule="auto"/>
        <w:rPr>
          <w:bCs/>
        </w:rPr>
      </w:pPr>
      <w:r w:rsidRPr="00DD0FB2">
        <w:rPr>
          <w:b/>
        </w:rPr>
        <w:t>Esittelijä:</w:t>
      </w:r>
      <w:r w:rsidRPr="00DD0FB2">
        <w:tab/>
        <w:t xml:space="preserve">Emilio Fatovic (työntekijät-ryhmä – IT) </w:t>
      </w:r>
    </w:p>
    <w:p w:rsidR="007F15F7" w:rsidRPr="00DD0FB2" w:rsidRDefault="007F15F7" w:rsidP="00E12713">
      <w:pPr>
        <w:tabs>
          <w:tab w:val="num" w:pos="550"/>
        </w:tabs>
        <w:spacing w:line="360" w:lineRule="auto"/>
        <w:rPr>
          <w:b/>
        </w:rPr>
      </w:pPr>
    </w:p>
    <w:p w:rsidR="007F15F7" w:rsidRPr="00DD0FB2" w:rsidRDefault="007F15F7" w:rsidP="00E12713">
      <w:pPr>
        <w:keepNext/>
        <w:spacing w:line="360" w:lineRule="auto"/>
        <w:ind w:left="1418" w:hanging="1418"/>
        <w:rPr>
          <w:bCs/>
        </w:rPr>
      </w:pPr>
      <w:r w:rsidRPr="00DD0FB2">
        <w:rPr>
          <w:b/>
        </w:rPr>
        <w:t>Viite:</w:t>
      </w:r>
      <w:r w:rsidRPr="00DD0FB2">
        <w:tab/>
        <w:t>COM(2015) 341 final</w:t>
      </w:r>
      <w:r w:rsidRPr="00DD0FB2">
        <w:rPr>
          <w:b/>
        </w:rPr>
        <w:t xml:space="preserve"> </w:t>
      </w:r>
    </w:p>
    <w:p w:rsidR="007F15F7" w:rsidRPr="00DD0FB2" w:rsidRDefault="007F15F7" w:rsidP="00E12713">
      <w:pPr>
        <w:spacing w:line="360" w:lineRule="auto"/>
        <w:ind w:left="1418"/>
        <w:rPr>
          <w:bCs/>
        </w:rPr>
      </w:pPr>
      <w:r w:rsidRPr="00DD0FB2">
        <w:t>EESC-2015-04936-00-00-AS-TRA</w:t>
      </w:r>
    </w:p>
    <w:p w:rsidR="007F15F7" w:rsidRPr="00DD0FB2" w:rsidRDefault="007F15F7" w:rsidP="00E12713">
      <w:pPr>
        <w:spacing w:line="360" w:lineRule="auto"/>
        <w:rPr>
          <w:szCs w:val="20"/>
        </w:rPr>
      </w:pPr>
    </w:p>
    <w:p w:rsidR="007F15F7" w:rsidRPr="00DD0FB2" w:rsidRDefault="007F15F7" w:rsidP="00E12713">
      <w:pPr>
        <w:keepNext/>
        <w:spacing w:line="360" w:lineRule="auto"/>
      </w:pPr>
      <w:r w:rsidRPr="00DD0FB2">
        <w:rPr>
          <w:b/>
        </w:rPr>
        <w:t xml:space="preserve">Keskeiset kohdat: </w:t>
      </w:r>
    </w:p>
    <w:p w:rsidR="002A3665" w:rsidRPr="00DD0FB2" w:rsidRDefault="002A3665" w:rsidP="00E12713">
      <w:pPr>
        <w:keepNext/>
        <w:spacing w:line="360" w:lineRule="auto"/>
      </w:pPr>
    </w:p>
    <w:p w:rsidR="007F15F7" w:rsidRPr="00DD0FB2" w:rsidRDefault="007F15F7" w:rsidP="00E12713">
      <w:pPr>
        <w:spacing w:line="360" w:lineRule="auto"/>
      </w:pPr>
      <w:r w:rsidRPr="00DD0FB2">
        <w:t>ETSK kannattaa komission ehdotusta, sillä siinä tarkastellaan voimassa olevaan lainsäädäntöön liittyviä keskeisiä ongelmia, joita ovat muun muassa lainsäädännön tuloksekas soveltaminen, tehokas markkinavalvonta sekä kuluttajien oikeus saada selkeitä, ymmärrettäviä ja vertailukelpoisia tietoja. Komitea pitää oikeana päätöstä käyttää lainsäädäntävälineenä asetusta direktiivin sijaan. ETSK suhtautuu myönteisesti myös ehdotukseen perustaa tuotetietokanta ja palata aiempaan A:sta G:hen ulottuvaan energiankulutusta osoittavaan asteikkoon. ETSK esittää seuraavat keskeiset suositukset:</w:t>
      </w:r>
    </w:p>
    <w:p w:rsidR="007F15F7" w:rsidRPr="00DD0FB2" w:rsidRDefault="007F15F7" w:rsidP="00E12713">
      <w:pPr>
        <w:spacing w:line="360" w:lineRule="auto"/>
      </w:pP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Vahvistetaan myynnissä olevien tuotteiden valvontaa sen tarkistamiseksi, vastaavatko tuotteen ominaisuudet tosiasiassa merkinnässä ilmoitettuja ominaisuuksia.</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lastRenderedPageBreak/>
        <w:t>Täydennetään uutta merkintää muillakin kuluttajan kannalta merkittävillä tiedoilla, kuten tuotteiden oletettu vähimmäiselinikä ja tuotteen energiankulutus sen elinkaaren aikana.</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 xml:space="preserve">Otetaan käyttöön yhteinen unioninlaajuinen seuraamusjärjestelmä. </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Toteutetaan toimia, jotta uuden merkintäjärjestelmän mahdollisia lisäkustannuksia ei sälytettäisi automaattisesti vähittäismyyjille tai loppukäyttäjille.</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Säännellään niitä verkkokauppapaikkoja, joiden on todettu rikkoneen eniten velvoitetta esittää energiamerkinnät.</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Säännellään uusiokäytössä olevien energiaa käyttävien tuotteiden kaupan pitämistä, jotta lainsäädäntöön ei syntyisi aukkoja ja jotta edistettäisiin energiatehokkuus- ja kiertotalousstrategioiden parempaa yhdentymistä.</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Kiinnitetään erityistä huomiota unionin ulkopuolisista maista tuotuihin tuotteisiin, jotta eurooppalaista tuotantoa suojeltaisiin mahdollisilta vilpillisen kilpailun muodoilta tai merkintöjen väärentämiseltä.</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Järjestäytyneen kansalaisyhteiskunnan olisi toimittava yhteistyössä jäsenvaltioiden hallitustahojen kanssa, jota voidaan toteuttaa tehokkaampia ja entistä laajemmalle ulottuvia tiedotus- ja valveuttamistoimia, joissa otetaan huomioon myös vähittäismyyjät.</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 xml:space="preserve">Siirtymäkauden jälkeistä yhden viikon aikaa olisi pidennettävä 30 päivään, jotta varataan riittävästi aikaa siirtyä lopullisesti uuden järjestelmän mukaisesti merkittyihin tuotteisiin. </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Sovelletaan varovaisempaa ja maltillisempaa lähestymistapaa delegoituihin säädöksiin.</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 xml:space="preserve">Olisi toteutettava vaikutuksenarviointi puolivälissä kahdeksan vuoden määräaikaa, jonka jälkeen energiatehokkuusmerkintää koskevaa kehystä tarkastellaan uudelleen. </w:t>
      </w:r>
    </w:p>
    <w:p w:rsidR="007F15F7" w:rsidRPr="00DD0FB2" w:rsidRDefault="007F15F7" w:rsidP="00E12713">
      <w:pPr>
        <w:numPr>
          <w:ilvl w:val="0"/>
          <w:numId w:val="4"/>
        </w:numPr>
        <w:tabs>
          <w:tab w:val="clear" w:pos="0"/>
        </w:tabs>
        <w:overflowPunct w:val="0"/>
        <w:autoSpaceDE w:val="0"/>
        <w:autoSpaceDN w:val="0"/>
        <w:adjustRightInd w:val="0"/>
        <w:spacing w:line="360" w:lineRule="auto"/>
        <w:ind w:left="363" w:hanging="363"/>
        <w:textAlignment w:val="baseline"/>
      </w:pPr>
      <w:r w:rsidRPr="00DD0FB2">
        <w:t>Tuotteiden automaattisen uudelleenskaalauksen olisi oltava riippuvainen tosiasiallisesta teknologisesta kehityksestä, ja uudelleenskaalaus olisi toteutettava vasta sitten kun energialuokan A tuotteiden markkinaosuus on vähintään 20 prosenttia.</w:t>
      </w:r>
    </w:p>
    <w:p w:rsidR="007F15F7" w:rsidRPr="00DD0FB2" w:rsidRDefault="007F15F7" w:rsidP="00E12713">
      <w:pPr>
        <w:spacing w:line="360" w:lineRule="auto"/>
      </w:pPr>
    </w:p>
    <w:p w:rsidR="007F15F7" w:rsidRPr="00DD0FB2" w:rsidRDefault="007F15F7" w:rsidP="00E12713">
      <w:pPr>
        <w:keepNext/>
        <w:spacing w:line="360" w:lineRule="auto"/>
        <w:ind w:left="1418" w:hanging="1418"/>
        <w:rPr>
          <w:i/>
          <w:szCs w:val="20"/>
        </w:rPr>
      </w:pPr>
      <w:r w:rsidRPr="00DD0FB2">
        <w:rPr>
          <w:b/>
          <w:i/>
        </w:rPr>
        <w:t>Yhteystiedot:</w:t>
      </w:r>
      <w:r w:rsidRPr="00DD0FB2">
        <w:rPr>
          <w:i/>
        </w:rPr>
        <w:t>Andrei Popescu</w:t>
      </w:r>
    </w:p>
    <w:p w:rsidR="007F15F7" w:rsidRPr="00DD0FB2" w:rsidRDefault="007F15F7" w:rsidP="00E12713">
      <w:pPr>
        <w:widowControl w:val="0"/>
        <w:spacing w:line="360" w:lineRule="auto"/>
        <w:ind w:left="1418"/>
        <w:rPr>
          <w:i/>
          <w:iCs/>
        </w:rPr>
      </w:pPr>
      <w:r w:rsidRPr="00DD0FB2">
        <w:rPr>
          <w:i/>
        </w:rPr>
        <w:t xml:space="preserve">(P. +32 25469186 – sähköposti: </w:t>
      </w:r>
      <w:hyperlink r:id="rId29">
        <w:r w:rsidRPr="00DD0FB2">
          <w:rPr>
            <w:rStyle w:val="Hyperlink"/>
            <w:i/>
            <w:color w:val="auto"/>
          </w:rPr>
          <w:t>Andrei.Popescu@eesc.europa.eu</w:t>
        </w:r>
      </w:hyperlink>
      <w:r w:rsidRPr="00DD0FB2">
        <w:rPr>
          <w:i/>
        </w:rPr>
        <w:t>)</w:t>
      </w:r>
    </w:p>
    <w:p w:rsidR="002A3665" w:rsidRPr="00DD0FB2" w:rsidRDefault="002A3665" w:rsidP="00E12713">
      <w:pPr>
        <w:spacing w:line="360" w:lineRule="auto"/>
        <w:jc w:val="left"/>
        <w:rPr>
          <w:iCs/>
        </w:rPr>
      </w:pPr>
    </w:p>
    <w:p w:rsidR="002A3665" w:rsidRPr="00DD0FB2" w:rsidRDefault="002A3665" w:rsidP="00E12713">
      <w:pPr>
        <w:spacing w:line="360" w:lineRule="auto"/>
        <w:ind w:left="-567"/>
        <w:rPr>
          <w:iCs/>
        </w:rPr>
      </w:pPr>
      <w:r w:rsidRPr="00DD0FB2">
        <w:rPr>
          <w:iCs/>
        </w:rPr>
        <w:fldChar w:fldCharType="begin" w:fldLock="1"/>
      </w:r>
      <w:r w:rsidRPr="00DD0FB2">
        <w:rPr>
          <w:iCs/>
        </w:rPr>
        <w:instrText>COMMENTS "TEN/577"</w:instrText>
      </w:r>
      <w:r w:rsidRPr="00DD0FB2">
        <w:rPr>
          <w:iCs/>
        </w:rPr>
        <w:fldChar w:fldCharType="separate"/>
      </w:r>
      <w:r w:rsidRPr="00DD0FB2">
        <w:rPr>
          <w:iCs/>
        </w:rPr>
        <w:t>TEN/577</w:t>
      </w:r>
      <w:r w:rsidRPr="00DD0FB2">
        <w:fldChar w:fldCharType="end"/>
      </w:r>
    </w:p>
    <w:p w:rsidR="007F15F7" w:rsidRPr="00DD0FB2" w:rsidRDefault="007F15F7" w:rsidP="00E12713">
      <w:pPr>
        <w:spacing w:line="360" w:lineRule="auto"/>
        <w:rPr>
          <w:b/>
          <w:iCs/>
          <w:highlight w:val="yellow"/>
          <w:u w:val="single"/>
        </w:rPr>
      </w:pPr>
    </w:p>
    <w:p w:rsidR="007F15F7" w:rsidRPr="00DD0FB2" w:rsidRDefault="007F15F7" w:rsidP="00E12713">
      <w:pPr>
        <w:widowControl w:val="0"/>
        <w:numPr>
          <w:ilvl w:val="0"/>
          <w:numId w:val="5"/>
        </w:numPr>
        <w:overflowPunct w:val="0"/>
        <w:autoSpaceDE w:val="0"/>
        <w:autoSpaceDN w:val="0"/>
        <w:adjustRightInd w:val="0"/>
        <w:spacing w:line="360" w:lineRule="auto"/>
        <w:ind w:hanging="567"/>
        <w:textAlignment w:val="baseline"/>
        <w:rPr>
          <w:b/>
          <w:bCs/>
          <w:i/>
          <w:iCs/>
        </w:rPr>
      </w:pPr>
      <w:r w:rsidRPr="00DD0FB2">
        <w:rPr>
          <w:b/>
          <w:i/>
        </w:rPr>
        <w:t>Energiamarkkinoiden uutta rakennetta koskevan julkisen kuulemisen käynnistäminen</w:t>
      </w:r>
    </w:p>
    <w:p w:rsidR="007F15F7" w:rsidRPr="00DD0FB2" w:rsidRDefault="007F15F7" w:rsidP="00E12713">
      <w:pPr>
        <w:widowControl w:val="0"/>
        <w:spacing w:line="360" w:lineRule="auto"/>
        <w:rPr>
          <w:bCs/>
          <w:szCs w:val="20"/>
        </w:rPr>
      </w:pPr>
    </w:p>
    <w:p w:rsidR="007F15F7" w:rsidRPr="00DD0FB2" w:rsidRDefault="007F15F7" w:rsidP="00E12713">
      <w:pPr>
        <w:spacing w:line="360" w:lineRule="auto"/>
        <w:ind w:left="1418" w:hanging="1418"/>
        <w:rPr>
          <w:bCs/>
        </w:rPr>
      </w:pPr>
      <w:r w:rsidRPr="00DD0FB2">
        <w:rPr>
          <w:b/>
        </w:rPr>
        <w:t xml:space="preserve">Esittelijä: </w:t>
      </w:r>
      <w:r w:rsidRPr="00DD0FB2">
        <w:tab/>
        <w:t xml:space="preserve">Lutz Ribbe (muut eturyhmät – DE) </w:t>
      </w:r>
    </w:p>
    <w:p w:rsidR="007F15F7" w:rsidRPr="00DD0FB2" w:rsidRDefault="007F15F7" w:rsidP="00E12713">
      <w:pPr>
        <w:spacing w:line="360" w:lineRule="auto"/>
        <w:ind w:left="1418" w:hanging="1418"/>
        <w:rPr>
          <w:b/>
        </w:rPr>
      </w:pPr>
    </w:p>
    <w:p w:rsidR="007F15F7" w:rsidRPr="00DD0FB2" w:rsidRDefault="007F15F7" w:rsidP="00E12713">
      <w:pPr>
        <w:keepNext/>
        <w:spacing w:line="360" w:lineRule="auto"/>
        <w:ind w:left="1418" w:hanging="1418"/>
        <w:rPr>
          <w:b/>
        </w:rPr>
      </w:pPr>
      <w:r w:rsidRPr="00DD0FB2">
        <w:rPr>
          <w:b/>
        </w:rPr>
        <w:lastRenderedPageBreak/>
        <w:t>Viite:</w:t>
      </w:r>
      <w:r w:rsidRPr="00DD0FB2">
        <w:t xml:space="preserve"> </w:t>
      </w:r>
      <w:r w:rsidRPr="00DD0FB2">
        <w:tab/>
        <w:t>COM(2015) 340 final</w:t>
      </w:r>
    </w:p>
    <w:p w:rsidR="007F15F7" w:rsidRPr="00DD0FB2" w:rsidRDefault="007F15F7" w:rsidP="00E12713">
      <w:pPr>
        <w:spacing w:line="360" w:lineRule="auto"/>
        <w:ind w:left="1418"/>
        <w:rPr>
          <w:bCs/>
        </w:rPr>
      </w:pPr>
      <w:r w:rsidRPr="00DD0FB2">
        <w:t>EESC-2015-05033-00-00-AS-TRA</w:t>
      </w:r>
    </w:p>
    <w:p w:rsidR="007F15F7" w:rsidRPr="00DD0FB2" w:rsidRDefault="007F15F7" w:rsidP="00E12713">
      <w:pPr>
        <w:spacing w:line="360" w:lineRule="auto"/>
        <w:rPr>
          <w:szCs w:val="20"/>
        </w:rPr>
      </w:pPr>
    </w:p>
    <w:p w:rsidR="007F15F7" w:rsidRPr="00DD0FB2" w:rsidRDefault="007F15F7" w:rsidP="00E12713">
      <w:pPr>
        <w:keepNext/>
        <w:spacing w:line="360" w:lineRule="auto"/>
      </w:pPr>
      <w:r w:rsidRPr="00DD0FB2">
        <w:rPr>
          <w:b/>
        </w:rPr>
        <w:t xml:space="preserve">Keskeiset kohdat: </w:t>
      </w:r>
    </w:p>
    <w:p w:rsidR="002A3665" w:rsidRPr="00DD0FB2" w:rsidRDefault="002A3665" w:rsidP="00E12713">
      <w:pPr>
        <w:keepNext/>
        <w:spacing w:line="360" w:lineRule="auto"/>
      </w:pPr>
    </w:p>
    <w:p w:rsidR="007F15F7" w:rsidRPr="00DD0FB2" w:rsidRDefault="007F15F7" w:rsidP="00E12713">
      <w:pPr>
        <w:spacing w:line="360" w:lineRule="auto"/>
      </w:pPr>
      <w:r w:rsidRPr="00DD0FB2">
        <w:t>ETSK toteaa, että energiamarkkinoiden rakenteen uudistaminen on tärkeää, jotta voidaan saavuttaa Euroopan unionin ilmastonmuutospolitiikan kunnianhimoiset tavoitteet ja erityisesti lisätä uusiutuvan energian käyttöä. Komitea katsoo, että monet Euroopan komission tiedonannossa ehdotetuista toimenpiteistä, kuten päivänsisäisten markkinoiden luominen tai markkinoita vääristävien kansallisten säännösten poistaminen, ovat oikeansuuntaisia. ETSK toivoisi komissiolta kuitenkin vieläkin enemmän kunnianhimoa.</w:t>
      </w:r>
    </w:p>
    <w:p w:rsidR="007F15F7" w:rsidRPr="00DD0FB2" w:rsidRDefault="007F15F7" w:rsidP="00E12713">
      <w:pPr>
        <w:spacing w:line="360" w:lineRule="auto"/>
      </w:pPr>
    </w:p>
    <w:p w:rsidR="007F15F7" w:rsidRPr="00DD0FB2" w:rsidRDefault="007F15F7" w:rsidP="00E12713">
      <w:pPr>
        <w:spacing w:line="360" w:lineRule="auto"/>
      </w:pPr>
      <w:r w:rsidRPr="00DD0FB2">
        <w:t xml:space="preserve">ETSK korostaa, että energiajärjestelmä on lähtökohtaisesti koko yhteiskunnan asia, ja sen toteuttaminen edellyttää asianmukaista tasapainoa markkinoiden ja sääntelyn välillä. </w:t>
      </w:r>
    </w:p>
    <w:p w:rsidR="007F15F7" w:rsidRPr="00DD0FB2" w:rsidRDefault="007F15F7" w:rsidP="00E12713">
      <w:pPr>
        <w:spacing w:line="360" w:lineRule="auto"/>
      </w:pPr>
    </w:p>
    <w:p w:rsidR="007F15F7" w:rsidRPr="00DD0FB2" w:rsidRDefault="007F15F7" w:rsidP="00E12713">
      <w:pPr>
        <w:spacing w:line="360" w:lineRule="auto"/>
      </w:pPr>
      <w:r w:rsidRPr="00DD0FB2">
        <w:t xml:space="preserve">ETSK toteaa, että nykyinen järjestelmä ei tarjoa vaihtoehtoja, jotka antaisivat markkinatoimijoille riittävää joustavuutta (varastointi, kysynnänohjaus, yhteistuotanto) tai tarvittavaa sähkönjakeluinfrastruktuuria. Lisäksi kuluttajilla ei ole riittävästi tietoa uusista mahdollisuuksista energian tuottamiseksi omaan käyttöön ja itse tuotetun energian markkinoimiseksi tai resursseja tähän. </w:t>
      </w:r>
    </w:p>
    <w:p w:rsidR="007F15F7" w:rsidRPr="00DD0FB2" w:rsidRDefault="007F15F7" w:rsidP="00E12713">
      <w:pPr>
        <w:spacing w:line="360" w:lineRule="auto"/>
      </w:pPr>
    </w:p>
    <w:p w:rsidR="007F15F7" w:rsidRPr="00DD0FB2" w:rsidRDefault="007F15F7" w:rsidP="00E12713">
      <w:pPr>
        <w:spacing w:line="360" w:lineRule="auto"/>
      </w:pPr>
      <w:r w:rsidRPr="00DD0FB2">
        <w:t xml:space="preserve">ETSK korostaa, että oikea hinnoittelu on tärkeää. Tällä hetkellä liian alhaiset hinnat eivät pysty tarjoamaan riittäviä kannustimia vähähiiliseen teknologiaan ja infrastruktuuriin investoimiseksi. Alhaiset hinnat johtuvat osittain tuista, säännöksistä ja voimaloista, joiden investointikustannukset on jo kuoletettu. ETSK kehottaa komissiota lisäämään hintojen avoimuutta, varmistamaan, että ulkoisvaikutukset (esim. hiilipäästöt) otetaan hinnoissa täysimääräisesti huomioon ja että nykyinen hintojen sääntely valtiotasolla lakkautetaan, sekä mukauttamaan omaa tukijärjestelmäänsä. </w:t>
      </w:r>
    </w:p>
    <w:p w:rsidR="007F15F7" w:rsidRPr="00DD0FB2" w:rsidRDefault="007F15F7" w:rsidP="00E12713">
      <w:pPr>
        <w:spacing w:line="360" w:lineRule="auto"/>
      </w:pPr>
    </w:p>
    <w:p w:rsidR="007F15F7" w:rsidRPr="00DD0FB2" w:rsidRDefault="007F15F7" w:rsidP="00E12713">
      <w:pPr>
        <w:spacing w:line="360" w:lineRule="auto"/>
      </w:pPr>
      <w:r w:rsidRPr="00DD0FB2">
        <w:t>ETSK kiinnittää huomiota tärkeisiin haasteisiin sekä merkittäviin mahdollisuuksiin, joita liittyy siirtymisestä keskitetystä fossiilisiin polttoaineisiin perustuvasta energiajärjestelmästä hajautettuun, pääasiassa uusiutuvien energiamuotojen voimalla toimivaan järjestelmään, johon kuuluu runsaasti uusia markkinatoimijoita (kuntia, välittäjiä, energiatalouteen liittyviä palveluita jne.). Tätä varten on erittäin tärkeää, että infrastruktuuri ja verkko, säännökset sekä markkinatoimijat (esimerkiksi jakeluverkonhaltijat) mahdollistavat paikallisen ja hajautetun sähköntuotannon ja tällä tavoin tuotetun energian suoran markkinoinnin ilman pörssejä tai myyjiä.</w:t>
      </w:r>
    </w:p>
    <w:p w:rsidR="007F15F7" w:rsidRPr="00DD0FB2" w:rsidRDefault="007F15F7" w:rsidP="00E12713">
      <w:pPr>
        <w:spacing w:line="360" w:lineRule="auto"/>
      </w:pPr>
    </w:p>
    <w:p w:rsidR="007F15F7" w:rsidRPr="00DD0FB2" w:rsidRDefault="007F15F7" w:rsidP="00E12713">
      <w:pPr>
        <w:keepNext/>
        <w:spacing w:line="360" w:lineRule="auto"/>
        <w:ind w:left="1418" w:hanging="1418"/>
        <w:rPr>
          <w:i/>
          <w:szCs w:val="20"/>
        </w:rPr>
      </w:pPr>
      <w:r w:rsidRPr="00DD0FB2">
        <w:rPr>
          <w:b/>
          <w:i/>
        </w:rPr>
        <w:t>Yhteystiedot:</w:t>
      </w:r>
      <w:r w:rsidRPr="00DD0FB2">
        <w:rPr>
          <w:i/>
        </w:rPr>
        <w:t>Kristian Krieger</w:t>
      </w:r>
    </w:p>
    <w:p w:rsidR="007F15F7" w:rsidRPr="00DD0FB2" w:rsidRDefault="007F15F7" w:rsidP="00E12713">
      <w:pPr>
        <w:widowControl w:val="0"/>
        <w:spacing w:line="360" w:lineRule="auto"/>
        <w:ind w:left="1418"/>
        <w:rPr>
          <w:i/>
          <w:iCs/>
        </w:rPr>
      </w:pPr>
      <w:r w:rsidRPr="00DD0FB2">
        <w:rPr>
          <w:i/>
        </w:rPr>
        <w:t xml:space="preserve">(P. +32 25468921 – sähköposti: </w:t>
      </w:r>
      <w:hyperlink r:id="rId30">
        <w:r w:rsidRPr="00DD0FB2">
          <w:rPr>
            <w:rStyle w:val="Hyperlink"/>
            <w:i/>
            <w:color w:val="auto"/>
          </w:rPr>
          <w:t>Kristian.Krieger@eesc.europa.eu</w:t>
        </w:r>
      </w:hyperlink>
      <w:r w:rsidRPr="00DD0FB2">
        <w:rPr>
          <w:i/>
        </w:rPr>
        <w:t>)</w:t>
      </w:r>
    </w:p>
    <w:p w:rsidR="002A3665" w:rsidRPr="00DD0FB2" w:rsidRDefault="002A3665" w:rsidP="00E12713">
      <w:pPr>
        <w:spacing w:line="360" w:lineRule="auto"/>
        <w:jc w:val="left"/>
        <w:rPr>
          <w:i/>
          <w:iCs/>
        </w:rPr>
      </w:pPr>
    </w:p>
    <w:p w:rsidR="002A3665" w:rsidRPr="00DD0FB2" w:rsidRDefault="002A3665" w:rsidP="00E12713">
      <w:pPr>
        <w:spacing w:line="360" w:lineRule="auto"/>
        <w:ind w:left="-567"/>
        <w:rPr>
          <w:iCs/>
        </w:rPr>
      </w:pPr>
      <w:r w:rsidRPr="00DD0FB2">
        <w:rPr>
          <w:iCs/>
        </w:rPr>
        <w:fldChar w:fldCharType="begin" w:fldLock="1"/>
      </w:r>
      <w:r w:rsidRPr="00DD0FB2">
        <w:rPr>
          <w:iCs/>
        </w:rPr>
        <w:instrText>COMMENTS "TEN/578"</w:instrText>
      </w:r>
      <w:r w:rsidRPr="00DD0FB2">
        <w:rPr>
          <w:iCs/>
        </w:rPr>
        <w:fldChar w:fldCharType="separate"/>
      </w:r>
      <w:r w:rsidRPr="00DD0FB2">
        <w:rPr>
          <w:iCs/>
        </w:rPr>
        <w:t>TEN/578</w:t>
      </w:r>
      <w:r w:rsidRPr="00DD0FB2">
        <w:fldChar w:fldCharType="end"/>
      </w:r>
    </w:p>
    <w:p w:rsidR="007F15F7" w:rsidRPr="00DD0FB2" w:rsidRDefault="007F15F7" w:rsidP="00E12713">
      <w:pPr>
        <w:spacing w:line="360" w:lineRule="auto"/>
        <w:rPr>
          <w:iCs/>
          <w:highlight w:val="yellow"/>
          <w:u w:val="single"/>
        </w:rPr>
      </w:pPr>
    </w:p>
    <w:p w:rsidR="007F15F7" w:rsidRPr="00DD0FB2" w:rsidRDefault="007F15F7" w:rsidP="00E12713">
      <w:pPr>
        <w:widowControl w:val="0"/>
        <w:numPr>
          <w:ilvl w:val="0"/>
          <w:numId w:val="5"/>
        </w:numPr>
        <w:overflowPunct w:val="0"/>
        <w:autoSpaceDE w:val="0"/>
        <w:autoSpaceDN w:val="0"/>
        <w:adjustRightInd w:val="0"/>
        <w:spacing w:line="360" w:lineRule="auto"/>
        <w:ind w:hanging="567"/>
        <w:textAlignment w:val="baseline"/>
        <w:rPr>
          <w:b/>
          <w:bCs/>
          <w:i/>
          <w:iCs/>
        </w:rPr>
      </w:pPr>
      <w:r w:rsidRPr="00DD0FB2">
        <w:rPr>
          <w:b/>
          <w:i/>
        </w:rPr>
        <w:t>Energian kuluttajien aseman vahvistaminen</w:t>
      </w:r>
    </w:p>
    <w:p w:rsidR="007F15F7" w:rsidRPr="00DD0FB2" w:rsidRDefault="007F15F7" w:rsidP="00E12713">
      <w:pPr>
        <w:widowControl w:val="0"/>
        <w:spacing w:line="360" w:lineRule="auto"/>
        <w:rPr>
          <w:bCs/>
          <w:szCs w:val="20"/>
        </w:rPr>
      </w:pPr>
    </w:p>
    <w:p w:rsidR="007F15F7" w:rsidRPr="00DD0FB2" w:rsidRDefault="007F15F7" w:rsidP="00E12713">
      <w:pPr>
        <w:spacing w:line="360" w:lineRule="auto"/>
        <w:rPr>
          <w:bCs/>
        </w:rPr>
      </w:pPr>
      <w:r w:rsidRPr="00DD0FB2">
        <w:rPr>
          <w:b/>
        </w:rPr>
        <w:t>Esittelijä:</w:t>
      </w:r>
      <w:r w:rsidRPr="00DD0FB2">
        <w:tab/>
        <w:t xml:space="preserve">Lutz Ribbe (muut eturyhmät – DE) </w:t>
      </w:r>
    </w:p>
    <w:p w:rsidR="007F15F7" w:rsidRPr="00DD0FB2" w:rsidRDefault="007F15F7" w:rsidP="00E12713">
      <w:pPr>
        <w:tabs>
          <w:tab w:val="num" w:pos="550"/>
        </w:tabs>
        <w:spacing w:line="360" w:lineRule="auto"/>
        <w:rPr>
          <w:b/>
        </w:rPr>
      </w:pPr>
    </w:p>
    <w:p w:rsidR="007F15F7" w:rsidRPr="00DD0FB2" w:rsidRDefault="007F15F7" w:rsidP="00E12713">
      <w:pPr>
        <w:keepNext/>
        <w:spacing w:line="360" w:lineRule="auto"/>
        <w:ind w:left="1418" w:hanging="1418"/>
      </w:pPr>
      <w:r w:rsidRPr="00DD0FB2">
        <w:rPr>
          <w:b/>
        </w:rPr>
        <w:t>Viite:</w:t>
      </w:r>
      <w:r w:rsidRPr="00DD0FB2">
        <w:tab/>
        <w:t>COM(2015) 339 final</w:t>
      </w:r>
    </w:p>
    <w:p w:rsidR="007F15F7" w:rsidRPr="00DD0FB2" w:rsidRDefault="007F15F7" w:rsidP="00E12713">
      <w:pPr>
        <w:spacing w:line="360" w:lineRule="auto"/>
        <w:ind w:left="1418"/>
        <w:rPr>
          <w:bCs/>
        </w:rPr>
      </w:pPr>
      <w:r w:rsidRPr="00DD0FB2">
        <w:t>EESC-2015-05067-00-00-AS-TRA</w:t>
      </w:r>
    </w:p>
    <w:p w:rsidR="007F15F7" w:rsidRPr="00DD0FB2" w:rsidRDefault="007F15F7" w:rsidP="00E12713">
      <w:pPr>
        <w:spacing w:line="360" w:lineRule="auto"/>
        <w:rPr>
          <w:szCs w:val="20"/>
        </w:rPr>
      </w:pPr>
    </w:p>
    <w:p w:rsidR="007F15F7" w:rsidRPr="00DD0FB2" w:rsidRDefault="007F15F7" w:rsidP="00E12713">
      <w:pPr>
        <w:keepNext/>
        <w:spacing w:line="360" w:lineRule="auto"/>
      </w:pPr>
      <w:r w:rsidRPr="00DD0FB2">
        <w:rPr>
          <w:b/>
        </w:rPr>
        <w:t xml:space="preserve">Keskeiset kohdat: </w:t>
      </w:r>
    </w:p>
    <w:p w:rsidR="002A3665" w:rsidRPr="00DD0FB2" w:rsidRDefault="002A3665" w:rsidP="00E12713">
      <w:pPr>
        <w:keepNext/>
        <w:spacing w:line="360" w:lineRule="auto"/>
      </w:pPr>
    </w:p>
    <w:p w:rsidR="007F15F7" w:rsidRPr="00DD0FB2" w:rsidRDefault="007F15F7" w:rsidP="00E12713">
      <w:pPr>
        <w:spacing w:line="360" w:lineRule="auto"/>
      </w:pPr>
      <w:r w:rsidRPr="00DD0FB2">
        <w:t>Komission tiedonannon ja energiaunioni-ohjelman mukaisesti ETSK korostaa kuluttajien muuttuvaa ja yhä keskeisempää ja aktiivisempaa roolia energiamarkkinoilla. Se suhtautuu myönteisesti useisiin tiedonantoon sisältyviin säännöksiin. Komitea katsoo kuitenkin, että komission olisi tarkasteltava uudelleen useita energiankuluttajiin liittyviä osa-alueita.</w:t>
      </w:r>
    </w:p>
    <w:p w:rsidR="007F15F7" w:rsidRPr="00DD0FB2" w:rsidRDefault="007F15F7" w:rsidP="00E12713">
      <w:pPr>
        <w:spacing w:line="360" w:lineRule="auto"/>
      </w:pPr>
    </w:p>
    <w:p w:rsidR="007F15F7" w:rsidRPr="00DD0FB2" w:rsidRDefault="007F15F7" w:rsidP="00E12713">
      <w:pPr>
        <w:spacing w:line="360" w:lineRule="auto"/>
      </w:pPr>
      <w:r w:rsidRPr="00DD0FB2">
        <w:t>Komission tiedonannossa tunnustetaan kuluttajien muuttuva rooli, mutta tärkeitä kysymyksiä jää ilman vastausta. Jotta nämä kysymykset voitaisiin yksilöidä ja niihin voitaisiin vastata, ETSK kehottaa komissiota laatimaan järjestelmällisen analyysin esteistä, joita kuluttajat kohtaavat pyrkiessään toimimaan aktiivisesti energiamarkkinoilla.</w:t>
      </w:r>
    </w:p>
    <w:p w:rsidR="007F15F7" w:rsidRPr="00DD0FB2" w:rsidRDefault="007F15F7" w:rsidP="00E12713">
      <w:pPr>
        <w:spacing w:line="360" w:lineRule="auto"/>
      </w:pPr>
    </w:p>
    <w:p w:rsidR="007F15F7" w:rsidRPr="00DD0FB2" w:rsidRDefault="007F15F7" w:rsidP="00E12713">
      <w:pPr>
        <w:spacing w:line="360" w:lineRule="auto"/>
      </w:pPr>
      <w:r w:rsidRPr="00DD0FB2">
        <w:t xml:space="preserve">ETSK korostaa, että kuluttajille on annettava mahdollisuus osallistua aktiivisesti markkinoiden toimintaan. Tämä edellyttää, että kuluttajilla on käytössään keskeistä teknologiaa, kuten älymittareita. Älymittareiden olisi sen vuoksi katsottava olevan osa verkon kehittämistä ja niitä olisi rahoitettava sen mukaisesti. </w:t>
      </w:r>
    </w:p>
    <w:p w:rsidR="007F15F7" w:rsidRPr="00DD0FB2" w:rsidRDefault="007F15F7" w:rsidP="00E12713">
      <w:pPr>
        <w:spacing w:line="360" w:lineRule="auto"/>
      </w:pPr>
    </w:p>
    <w:p w:rsidR="007F15F7" w:rsidRPr="00DD0FB2" w:rsidRDefault="007F15F7" w:rsidP="00E12713">
      <w:pPr>
        <w:spacing w:line="360" w:lineRule="auto"/>
      </w:pPr>
      <w:r w:rsidRPr="00DD0FB2">
        <w:t>Lisäksi ETSK katsoo, että on kehitettävä uusia kannustinjärjestelmiä, joilla palkitaan omaa energiantuotantoa, suoraa energian toimitusta, huippuenergian varastointia ja kysynnänohjausta.</w:t>
      </w:r>
    </w:p>
    <w:p w:rsidR="007F15F7" w:rsidRPr="00DD0FB2" w:rsidRDefault="007F15F7" w:rsidP="00E12713">
      <w:pPr>
        <w:spacing w:line="360" w:lineRule="auto"/>
      </w:pPr>
    </w:p>
    <w:p w:rsidR="007F15F7" w:rsidRPr="00DD0FB2" w:rsidRDefault="007F15F7" w:rsidP="00E12713">
      <w:pPr>
        <w:spacing w:line="360" w:lineRule="auto"/>
      </w:pPr>
      <w:r w:rsidRPr="00DD0FB2">
        <w:t xml:space="preserve">ETSK toteaa, että komission tiedonannossa oman käytön (omavaraisuuden) ja oman tuotannon käsitteitä ei ole määritelty riittävän tarkoin, mikä heijastaa suppeaa käsitystä </w:t>
      </w:r>
      <w:r w:rsidRPr="00DD0FB2">
        <w:lastRenderedPageBreak/>
        <w:t xml:space="preserve">tuottajakuluttajakeskeisestä lähestymistavasta. Oman tuotannon ja käytön ei pidä katsoa viittaavan vain oman kulutuksen kattavaan sähköön, joka on tuotettu itse omin laitteistoin verkon sähkömittarista erillään, vaan ne on ymmärrettävä paljon laajemmin. </w:t>
      </w:r>
    </w:p>
    <w:p w:rsidR="007F15F7" w:rsidRPr="00DD0FB2" w:rsidRDefault="007F15F7" w:rsidP="00E12713">
      <w:pPr>
        <w:spacing w:line="360" w:lineRule="auto"/>
      </w:pPr>
    </w:p>
    <w:p w:rsidR="007F15F7" w:rsidRPr="00DD0FB2" w:rsidRDefault="007F15F7" w:rsidP="00E12713">
      <w:pPr>
        <w:keepNext/>
        <w:spacing w:line="360" w:lineRule="auto"/>
        <w:ind w:left="1429" w:hanging="1429"/>
        <w:rPr>
          <w:i/>
          <w:szCs w:val="20"/>
        </w:rPr>
      </w:pPr>
      <w:r w:rsidRPr="00DD0FB2">
        <w:rPr>
          <w:b/>
          <w:i/>
        </w:rPr>
        <w:t>Yhteystiedot:</w:t>
      </w:r>
      <w:r w:rsidRPr="00DD0FB2">
        <w:rPr>
          <w:i/>
        </w:rPr>
        <w:t>Kristian Krieger</w:t>
      </w:r>
    </w:p>
    <w:p w:rsidR="007F15F7" w:rsidRPr="00DD0FB2" w:rsidRDefault="007F15F7" w:rsidP="00E12713">
      <w:pPr>
        <w:spacing w:line="360" w:lineRule="auto"/>
        <w:ind w:left="1430" w:hanging="12"/>
        <w:rPr>
          <w:i/>
          <w:iCs/>
        </w:rPr>
      </w:pPr>
      <w:r w:rsidRPr="00DD0FB2">
        <w:rPr>
          <w:i/>
        </w:rPr>
        <w:t xml:space="preserve">(P. +32 25468921 – sähköposti: </w:t>
      </w:r>
      <w:hyperlink r:id="rId31">
        <w:r w:rsidRPr="00DD0FB2">
          <w:rPr>
            <w:rStyle w:val="Hyperlink"/>
            <w:i/>
            <w:color w:val="auto"/>
          </w:rPr>
          <w:t>Kristian.Krieger@eesc.europa.eu</w:t>
        </w:r>
      </w:hyperlink>
      <w:r w:rsidRPr="00DD0FB2">
        <w:rPr>
          <w:i/>
        </w:rPr>
        <w:t>)</w:t>
      </w:r>
    </w:p>
    <w:p w:rsidR="007F15F7" w:rsidRPr="00DD0FB2" w:rsidRDefault="007F15F7" w:rsidP="00E12713">
      <w:pPr>
        <w:widowControl w:val="0"/>
        <w:spacing w:line="360" w:lineRule="auto"/>
        <w:rPr>
          <w:iCs/>
        </w:rPr>
      </w:pPr>
    </w:p>
    <w:p w:rsidR="007F15F7" w:rsidRPr="00DD0FB2" w:rsidRDefault="007F15F7" w:rsidP="00E12713">
      <w:pPr>
        <w:widowControl w:val="0"/>
        <w:spacing w:line="360" w:lineRule="auto"/>
        <w:rPr>
          <w:szCs w:val="20"/>
        </w:rPr>
      </w:pPr>
    </w:p>
    <w:p w:rsidR="00900EA0" w:rsidRPr="00DD0FB2" w:rsidRDefault="006F0D9E" w:rsidP="00E12713">
      <w:pPr>
        <w:spacing w:line="360" w:lineRule="auto"/>
        <w:jc w:val="center"/>
      </w:pPr>
      <w:r w:rsidRPr="00DD0FB2">
        <w:t>_____________</w:t>
      </w:r>
    </w:p>
    <w:sectPr w:rsidR="00900EA0" w:rsidRPr="00DD0FB2" w:rsidSect="00504C25">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8" w:rsidRDefault="00A34ED8" w:rsidP="003B283B">
      <w:pPr>
        <w:spacing w:line="240" w:lineRule="auto"/>
      </w:pPr>
      <w:r>
        <w:separator/>
      </w:r>
    </w:p>
  </w:endnote>
  <w:endnote w:type="continuationSeparator" w:id="0">
    <w:p w:rsidR="00A34ED8" w:rsidRDefault="00A34ED8"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25" w:rsidRPr="00504C25" w:rsidRDefault="00504C25" w:rsidP="00504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504C25" w:rsidP="00504C25">
    <w:pPr>
      <w:pStyle w:val="Footer"/>
    </w:pPr>
    <w:r>
      <w:t xml:space="preserve">EESC-2015-06625-00-02-TCD-TRA (FR) </w:t>
    </w:r>
    <w:r>
      <w:fldChar w:fldCharType="begin"/>
    </w:r>
    <w:r>
      <w:instrText xml:space="preserve"> PAGE  \* Arabic  \* MERGEFORMAT </w:instrText>
    </w:r>
    <w:r>
      <w:fldChar w:fldCharType="separate"/>
    </w:r>
    <w:r w:rsidR="00D979CC">
      <w:rPr>
        <w:noProof/>
      </w:rPr>
      <w:t>1</w:t>
    </w:r>
    <w:r>
      <w:fldChar w:fldCharType="end"/>
    </w:r>
    <w:r>
      <w:t>/</w:t>
    </w:r>
    <w:r>
      <w:fldChar w:fldCharType="begin"/>
    </w:r>
    <w:r>
      <w:instrText xml:space="preserve"> = </w:instrText>
    </w:r>
    <w:fldSimple w:instr=" NUMPAGES ">
      <w:r w:rsidR="00D979CC">
        <w:rPr>
          <w:noProof/>
        </w:rPr>
        <w:instrText>8</w:instrText>
      </w:r>
    </w:fldSimple>
    <w:r>
      <w:instrText xml:space="preserve"> -0 </w:instrText>
    </w:r>
    <w:r>
      <w:fldChar w:fldCharType="separate"/>
    </w:r>
    <w:r w:rsidR="00D979CC">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25" w:rsidRPr="00504C25" w:rsidRDefault="00504C25" w:rsidP="00504C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504C25" w:rsidP="00504C25">
    <w:pPr>
      <w:pStyle w:val="Footer"/>
    </w:pPr>
    <w:r>
      <w:t xml:space="preserve">EESC-2015-06625-00-02-TCD-TRA (FR)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504C25" w:rsidP="00504C25">
    <w:pPr>
      <w:pStyle w:val="Footer"/>
    </w:pPr>
    <w:r>
      <w:t xml:space="preserve">EESC-2015-06625-00-02-TCD-TRA (FR) </w:t>
    </w:r>
    <w:r>
      <w:fldChar w:fldCharType="begin"/>
    </w:r>
    <w:r>
      <w:instrText xml:space="preserve"> PAGE  \* Arabic  \* MERGEFORMAT </w:instrText>
    </w:r>
    <w:r>
      <w:fldChar w:fldCharType="separate"/>
    </w:r>
    <w:r w:rsidR="00D979CC">
      <w:rPr>
        <w:noProof/>
      </w:rPr>
      <w:t>8</w:t>
    </w:r>
    <w:r>
      <w:fldChar w:fldCharType="end"/>
    </w:r>
    <w:r>
      <w:t>/</w:t>
    </w:r>
    <w:r>
      <w:fldChar w:fldCharType="begin"/>
    </w:r>
    <w:r>
      <w:instrText xml:space="preserve"> = </w:instrText>
    </w:r>
    <w:fldSimple w:instr=" NUMPAGES ">
      <w:r w:rsidR="00D979CC">
        <w:rPr>
          <w:noProof/>
        </w:rPr>
        <w:instrText>8</w:instrText>
      </w:r>
    </w:fldSimple>
    <w:r>
      <w:instrText xml:space="preserve"> -0 </w:instrText>
    </w:r>
    <w:r>
      <w:fldChar w:fldCharType="separate"/>
    </w:r>
    <w:r w:rsidR="00D979CC">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8" w:rsidRDefault="00A34ED8" w:rsidP="003B283B">
      <w:pPr>
        <w:spacing w:line="240" w:lineRule="auto"/>
      </w:pPr>
      <w:r>
        <w:separator/>
      </w:r>
    </w:p>
  </w:footnote>
  <w:footnote w:type="continuationSeparator" w:id="0">
    <w:p w:rsidR="00A34ED8" w:rsidRDefault="00A34ED8"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25" w:rsidRPr="00504C25" w:rsidRDefault="00504C25" w:rsidP="00504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25" w:rsidRPr="00504C25" w:rsidRDefault="00504C25" w:rsidP="00504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25" w:rsidRPr="00504C25" w:rsidRDefault="00504C25" w:rsidP="00504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504C25" w:rsidRDefault="0019516A" w:rsidP="00504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53B8141E"/>
    <w:multiLevelType w:val="singleLevel"/>
    <w:tmpl w:val="ACD4CDB0"/>
    <w:lvl w:ilvl="0">
      <w:numFmt w:val="decimal"/>
      <w:lvlText w:val="*"/>
      <w:lvlJc w:val="left"/>
      <w:rPr>
        <w:rFonts w:cs="Times New Roman"/>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0">
    <w:nsid w:val="6B5327B5"/>
    <w:multiLevelType w:val="singleLevel"/>
    <w:tmpl w:val="ACD4CDB0"/>
    <w:lvl w:ilvl="0">
      <w:numFmt w:val="decimal"/>
      <w:lvlText w:val="*"/>
      <w:lvlJc w:val="left"/>
      <w:rPr>
        <w:rFonts w:cs="Times New Roman"/>
      </w:rPr>
    </w:lvl>
  </w:abstractNum>
  <w:abstractNum w:abstractNumId="51">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6"/>
  </w:num>
  <w:num w:numId="3">
    <w:abstractNumId w:val="6"/>
  </w:num>
  <w:num w:numId="4">
    <w:abstractNumId w:val="1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2"/>
  </w:num>
  <w:num w:numId="12">
    <w:abstractNumId w:val="55"/>
  </w:num>
  <w:num w:numId="13">
    <w:abstractNumId w:val="12"/>
  </w:num>
  <w:num w:numId="14">
    <w:abstractNumId w:val="50"/>
  </w:num>
  <w:num w:numId="15">
    <w:abstractNumId w:val="45"/>
  </w:num>
  <w:num w:numId="16">
    <w:abstractNumId w:val="3"/>
  </w:num>
  <w:num w:numId="17">
    <w:abstractNumId w:val="34"/>
  </w:num>
  <w:num w:numId="18">
    <w:abstractNumId w:val="44"/>
  </w:num>
  <w:num w:numId="19">
    <w:abstractNumId w:val="33"/>
  </w:num>
  <w:num w:numId="20">
    <w:abstractNumId w:val="53"/>
  </w:num>
  <w:num w:numId="21">
    <w:abstractNumId w:val="35"/>
  </w:num>
  <w:num w:numId="22">
    <w:abstractNumId w:val="31"/>
  </w:num>
  <w:num w:numId="23">
    <w:abstractNumId w:val="18"/>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0"/>
  </w:num>
  <w:num w:numId="33">
    <w:abstractNumId w:val="42"/>
  </w:num>
  <w:num w:numId="34">
    <w:abstractNumId w:val="10"/>
  </w:num>
  <w:num w:numId="35">
    <w:abstractNumId w:val="46"/>
  </w:num>
  <w:num w:numId="36">
    <w:abstractNumId w:val="22"/>
  </w:num>
  <w:num w:numId="37">
    <w:abstractNumId w:val="15"/>
  </w:num>
  <w:num w:numId="38">
    <w:abstractNumId w:val="19"/>
  </w:num>
  <w:num w:numId="39">
    <w:abstractNumId w:val="41"/>
  </w:num>
  <w:num w:numId="40">
    <w:abstractNumId w:val="47"/>
  </w:num>
  <w:num w:numId="41">
    <w:abstractNumId w:val="48"/>
  </w:num>
  <w:num w:numId="42">
    <w:abstractNumId w:val="9"/>
  </w:num>
  <w:num w:numId="43">
    <w:abstractNumId w:val="27"/>
  </w:num>
  <w:num w:numId="44">
    <w:abstractNumId w:val="3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49"/>
  </w:num>
  <w:num w:numId="51">
    <w:abstractNumId w:val="1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6"/>
  </w:num>
  <w:num w:numId="54">
    <w:abstractNumId w:val="4"/>
  </w:num>
  <w:num w:numId="55">
    <w:abstractNumId w:val="28"/>
  </w:num>
  <w:num w:numId="56">
    <w:abstractNumId w:val="38"/>
  </w:num>
  <w:num w:numId="57">
    <w:abstractNumId w:val="44"/>
  </w:num>
  <w:num w:numId="58">
    <w:abstractNumId w:val="8"/>
  </w:num>
  <w:num w:numId="59">
    <w:abstractNumId w:val="20"/>
  </w:num>
  <w:num w:numId="60">
    <w:abstractNumId w:val="13"/>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7AE9"/>
    <w:rsid w:val="00094645"/>
    <w:rsid w:val="000967CA"/>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60DCC"/>
    <w:rsid w:val="001657F4"/>
    <w:rsid w:val="001737B7"/>
    <w:rsid w:val="001768E2"/>
    <w:rsid w:val="00182D03"/>
    <w:rsid w:val="00186D96"/>
    <w:rsid w:val="00191C0B"/>
    <w:rsid w:val="00194447"/>
    <w:rsid w:val="0019516A"/>
    <w:rsid w:val="00195479"/>
    <w:rsid w:val="001B0D26"/>
    <w:rsid w:val="001B18C2"/>
    <w:rsid w:val="001B232C"/>
    <w:rsid w:val="001B4CC9"/>
    <w:rsid w:val="001C0535"/>
    <w:rsid w:val="001C05B2"/>
    <w:rsid w:val="001C6C93"/>
    <w:rsid w:val="001D52CB"/>
    <w:rsid w:val="001D6C48"/>
    <w:rsid w:val="001E2338"/>
    <w:rsid w:val="001F0BC4"/>
    <w:rsid w:val="00200F03"/>
    <w:rsid w:val="00204864"/>
    <w:rsid w:val="00205EFC"/>
    <w:rsid w:val="00212787"/>
    <w:rsid w:val="00214451"/>
    <w:rsid w:val="00220BFB"/>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82997"/>
    <w:rsid w:val="002903CB"/>
    <w:rsid w:val="00291252"/>
    <w:rsid w:val="002915A8"/>
    <w:rsid w:val="00291981"/>
    <w:rsid w:val="00291F64"/>
    <w:rsid w:val="002A0707"/>
    <w:rsid w:val="002A17C4"/>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61CF3"/>
    <w:rsid w:val="00362B7F"/>
    <w:rsid w:val="00372D96"/>
    <w:rsid w:val="00380A9A"/>
    <w:rsid w:val="00387CFB"/>
    <w:rsid w:val="00394196"/>
    <w:rsid w:val="003966B4"/>
    <w:rsid w:val="00397835"/>
    <w:rsid w:val="003B283B"/>
    <w:rsid w:val="003B38AA"/>
    <w:rsid w:val="003B5456"/>
    <w:rsid w:val="003C4AF5"/>
    <w:rsid w:val="003C4EF8"/>
    <w:rsid w:val="003D05FE"/>
    <w:rsid w:val="003D35EF"/>
    <w:rsid w:val="003D3D9E"/>
    <w:rsid w:val="003D4F37"/>
    <w:rsid w:val="003D7FAF"/>
    <w:rsid w:val="003E0B8C"/>
    <w:rsid w:val="003E387D"/>
    <w:rsid w:val="003E6010"/>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64C86"/>
    <w:rsid w:val="00470409"/>
    <w:rsid w:val="00480C50"/>
    <w:rsid w:val="00492EDB"/>
    <w:rsid w:val="004938AF"/>
    <w:rsid w:val="004A7356"/>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7A13"/>
    <w:rsid w:val="005021B6"/>
    <w:rsid w:val="005024F6"/>
    <w:rsid w:val="00504096"/>
    <w:rsid w:val="00504A01"/>
    <w:rsid w:val="00504C25"/>
    <w:rsid w:val="00505516"/>
    <w:rsid w:val="00507B8C"/>
    <w:rsid w:val="005122EE"/>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6CC7"/>
    <w:rsid w:val="005C6FD3"/>
    <w:rsid w:val="005D060D"/>
    <w:rsid w:val="005D460E"/>
    <w:rsid w:val="005D4846"/>
    <w:rsid w:val="005D6008"/>
    <w:rsid w:val="005D652A"/>
    <w:rsid w:val="005E32A3"/>
    <w:rsid w:val="005E531B"/>
    <w:rsid w:val="005F54A5"/>
    <w:rsid w:val="006139AA"/>
    <w:rsid w:val="00622A2D"/>
    <w:rsid w:val="00630FCB"/>
    <w:rsid w:val="0063400F"/>
    <w:rsid w:val="00637052"/>
    <w:rsid w:val="00637DD7"/>
    <w:rsid w:val="00643E56"/>
    <w:rsid w:val="00646EEC"/>
    <w:rsid w:val="00647038"/>
    <w:rsid w:val="006501DC"/>
    <w:rsid w:val="0065504C"/>
    <w:rsid w:val="006552FD"/>
    <w:rsid w:val="0065609C"/>
    <w:rsid w:val="006579F9"/>
    <w:rsid w:val="00657F8D"/>
    <w:rsid w:val="006600DC"/>
    <w:rsid w:val="00671031"/>
    <w:rsid w:val="006763EC"/>
    <w:rsid w:val="0067717C"/>
    <w:rsid w:val="006808D7"/>
    <w:rsid w:val="0068174F"/>
    <w:rsid w:val="00681787"/>
    <w:rsid w:val="00690AFD"/>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72F"/>
    <w:rsid w:val="00794E1C"/>
    <w:rsid w:val="00796D74"/>
    <w:rsid w:val="007B31B6"/>
    <w:rsid w:val="007C07C5"/>
    <w:rsid w:val="007C2D6B"/>
    <w:rsid w:val="007D135C"/>
    <w:rsid w:val="007D2AA2"/>
    <w:rsid w:val="007D31F4"/>
    <w:rsid w:val="007D4275"/>
    <w:rsid w:val="007E6BCE"/>
    <w:rsid w:val="007F00D3"/>
    <w:rsid w:val="007F0D28"/>
    <w:rsid w:val="007F0D84"/>
    <w:rsid w:val="007F15F7"/>
    <w:rsid w:val="007F2174"/>
    <w:rsid w:val="007F556F"/>
    <w:rsid w:val="00802AF7"/>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C6470"/>
    <w:rsid w:val="008D10DE"/>
    <w:rsid w:val="008D3DE9"/>
    <w:rsid w:val="008D54FE"/>
    <w:rsid w:val="008D639A"/>
    <w:rsid w:val="008E212A"/>
    <w:rsid w:val="008E4FE2"/>
    <w:rsid w:val="008E5F8B"/>
    <w:rsid w:val="008E79DB"/>
    <w:rsid w:val="008F199D"/>
    <w:rsid w:val="008F1D0A"/>
    <w:rsid w:val="008F3933"/>
    <w:rsid w:val="00900EA0"/>
    <w:rsid w:val="0090367E"/>
    <w:rsid w:val="00906027"/>
    <w:rsid w:val="009110F8"/>
    <w:rsid w:val="00915EB8"/>
    <w:rsid w:val="00927AA9"/>
    <w:rsid w:val="00930D55"/>
    <w:rsid w:val="00933610"/>
    <w:rsid w:val="0096362C"/>
    <w:rsid w:val="00963FE9"/>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31921"/>
    <w:rsid w:val="00A34ED8"/>
    <w:rsid w:val="00A36A65"/>
    <w:rsid w:val="00A372EE"/>
    <w:rsid w:val="00A45CD8"/>
    <w:rsid w:val="00A56B6D"/>
    <w:rsid w:val="00A65DD2"/>
    <w:rsid w:val="00A71A8D"/>
    <w:rsid w:val="00A71EF4"/>
    <w:rsid w:val="00A76812"/>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F66"/>
    <w:rsid w:val="00D00275"/>
    <w:rsid w:val="00D033AB"/>
    <w:rsid w:val="00D0422F"/>
    <w:rsid w:val="00D06776"/>
    <w:rsid w:val="00D14053"/>
    <w:rsid w:val="00D15664"/>
    <w:rsid w:val="00D160F1"/>
    <w:rsid w:val="00D215F3"/>
    <w:rsid w:val="00D23740"/>
    <w:rsid w:val="00D32E3B"/>
    <w:rsid w:val="00D33B62"/>
    <w:rsid w:val="00D345E7"/>
    <w:rsid w:val="00D350C8"/>
    <w:rsid w:val="00D40BA4"/>
    <w:rsid w:val="00D4227C"/>
    <w:rsid w:val="00D502B8"/>
    <w:rsid w:val="00D606E2"/>
    <w:rsid w:val="00D62387"/>
    <w:rsid w:val="00D62A5F"/>
    <w:rsid w:val="00D67C7B"/>
    <w:rsid w:val="00D83969"/>
    <w:rsid w:val="00D92D5B"/>
    <w:rsid w:val="00D93206"/>
    <w:rsid w:val="00D95007"/>
    <w:rsid w:val="00D979CC"/>
    <w:rsid w:val="00D97EA9"/>
    <w:rsid w:val="00DA0BA0"/>
    <w:rsid w:val="00DA6571"/>
    <w:rsid w:val="00DB4A7C"/>
    <w:rsid w:val="00DB564E"/>
    <w:rsid w:val="00DB69D2"/>
    <w:rsid w:val="00DC543D"/>
    <w:rsid w:val="00DC7FAC"/>
    <w:rsid w:val="00DD0FB2"/>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713"/>
    <w:rsid w:val="00E12B0C"/>
    <w:rsid w:val="00E17B8F"/>
    <w:rsid w:val="00E2126D"/>
    <w:rsid w:val="00E30A3C"/>
    <w:rsid w:val="00E32722"/>
    <w:rsid w:val="00E3526B"/>
    <w:rsid w:val="00E37047"/>
    <w:rsid w:val="00E44B09"/>
    <w:rsid w:val="00E45BEF"/>
    <w:rsid w:val="00E46012"/>
    <w:rsid w:val="00E53230"/>
    <w:rsid w:val="00E53AE5"/>
    <w:rsid w:val="00E54FA7"/>
    <w:rsid w:val="00E602DF"/>
    <w:rsid w:val="00E62608"/>
    <w:rsid w:val="00E65473"/>
    <w:rsid w:val="00E66299"/>
    <w:rsid w:val="00E70827"/>
    <w:rsid w:val="00E70DF7"/>
    <w:rsid w:val="00E71C7E"/>
    <w:rsid w:val="00E752BD"/>
    <w:rsid w:val="00E80D97"/>
    <w:rsid w:val="00E81A13"/>
    <w:rsid w:val="00E82F78"/>
    <w:rsid w:val="00E83F3B"/>
    <w:rsid w:val="00E855C2"/>
    <w:rsid w:val="00E94287"/>
    <w:rsid w:val="00EB6E7A"/>
    <w:rsid w:val="00EC1BD8"/>
    <w:rsid w:val="00EC2AB1"/>
    <w:rsid w:val="00EC423F"/>
    <w:rsid w:val="00EC69E1"/>
    <w:rsid w:val="00EC6D2D"/>
    <w:rsid w:val="00ED65ED"/>
    <w:rsid w:val="00EE278E"/>
    <w:rsid w:val="00EE3AEB"/>
    <w:rsid w:val="00EE4363"/>
    <w:rsid w:val="00EF2BED"/>
    <w:rsid w:val="00EF64A8"/>
    <w:rsid w:val="00F01EBA"/>
    <w:rsid w:val="00F024B3"/>
    <w:rsid w:val="00F051B3"/>
    <w:rsid w:val="00F06136"/>
    <w:rsid w:val="00F21A6E"/>
    <w:rsid w:val="00F226CE"/>
    <w:rsid w:val="00F24CCC"/>
    <w:rsid w:val="00F3080D"/>
    <w:rsid w:val="00F30E0C"/>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3F52"/>
    <w:rsid w:val="00F84C0F"/>
    <w:rsid w:val="00F87901"/>
    <w:rsid w:val="00F955CF"/>
    <w:rsid w:val="00FA0AD4"/>
    <w:rsid w:val="00FA27F5"/>
    <w:rsid w:val="00FA7B89"/>
    <w:rsid w:val="00FB4732"/>
    <w:rsid w:val="00FC3325"/>
    <w:rsid w:val="00FD1A5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i-FI" w:eastAsia="fi-FI" w:bidi="fi-FI"/>
    </w:rPr>
  </w:style>
  <w:style w:type="character" w:customStyle="1" w:styleId="Heading2Char">
    <w:name w:val="Heading 2 Char"/>
    <w:link w:val="Heading2"/>
    <w:locked/>
    <w:rsid w:val="003B283B"/>
    <w:rPr>
      <w:rFonts w:ascii="Times New Roman" w:eastAsia="Times New Roman" w:hAnsi="Times New Roman"/>
      <w:sz w:val="22"/>
      <w:szCs w:val="22"/>
      <w:lang w:val="fi-FI" w:eastAsia="fi-FI" w:bidi="fi-FI"/>
    </w:rPr>
  </w:style>
  <w:style w:type="character" w:customStyle="1" w:styleId="Heading3Char">
    <w:name w:val="Heading 3 Char"/>
    <w:link w:val="Heading3"/>
    <w:locked/>
    <w:rsid w:val="003B283B"/>
    <w:rPr>
      <w:rFonts w:ascii="Times New Roman" w:eastAsia="Times New Roman" w:hAnsi="Times New Roman"/>
      <w:sz w:val="22"/>
      <w:szCs w:val="22"/>
      <w:lang w:val="fi-FI" w:eastAsia="fi-FI" w:bidi="fi-FI"/>
    </w:rPr>
  </w:style>
  <w:style w:type="character" w:customStyle="1" w:styleId="Heading4Char">
    <w:name w:val="Heading 4 Char"/>
    <w:link w:val="Heading4"/>
    <w:locked/>
    <w:rsid w:val="003B283B"/>
    <w:rPr>
      <w:rFonts w:ascii="Times New Roman" w:eastAsia="Times New Roman" w:hAnsi="Times New Roman"/>
      <w:sz w:val="22"/>
      <w:szCs w:val="22"/>
      <w:lang w:val="fi-FI" w:eastAsia="fi-FI" w:bidi="fi-FI"/>
    </w:rPr>
  </w:style>
  <w:style w:type="character" w:customStyle="1" w:styleId="Heading5Char">
    <w:name w:val="Heading 5 Char"/>
    <w:link w:val="Heading5"/>
    <w:locked/>
    <w:rsid w:val="003B283B"/>
    <w:rPr>
      <w:rFonts w:ascii="Times New Roman" w:eastAsia="Times New Roman" w:hAnsi="Times New Roman"/>
      <w:sz w:val="22"/>
      <w:szCs w:val="22"/>
      <w:lang w:val="fi-FI" w:eastAsia="fi-FI" w:bidi="fi-FI"/>
    </w:rPr>
  </w:style>
  <w:style w:type="character" w:customStyle="1" w:styleId="Heading6Char">
    <w:name w:val="Heading 6 Char"/>
    <w:link w:val="Heading6"/>
    <w:locked/>
    <w:rsid w:val="003B283B"/>
    <w:rPr>
      <w:rFonts w:ascii="Times New Roman" w:eastAsia="Times New Roman" w:hAnsi="Times New Roman"/>
      <w:sz w:val="22"/>
      <w:szCs w:val="22"/>
      <w:lang w:val="fi-FI" w:eastAsia="fi-FI" w:bidi="fi-FI"/>
    </w:rPr>
  </w:style>
  <w:style w:type="character" w:customStyle="1" w:styleId="Heading7Char">
    <w:name w:val="Heading 7 Char"/>
    <w:link w:val="Heading7"/>
    <w:locked/>
    <w:rsid w:val="003B283B"/>
    <w:rPr>
      <w:rFonts w:ascii="Times New Roman" w:eastAsia="Times New Roman" w:hAnsi="Times New Roman"/>
      <w:sz w:val="22"/>
      <w:szCs w:val="22"/>
      <w:lang w:val="fi-FI" w:eastAsia="fi-FI" w:bidi="fi-FI"/>
    </w:rPr>
  </w:style>
  <w:style w:type="character" w:customStyle="1" w:styleId="Heading8Char">
    <w:name w:val="Heading 8 Char"/>
    <w:link w:val="Heading8"/>
    <w:locked/>
    <w:rsid w:val="003B283B"/>
    <w:rPr>
      <w:rFonts w:ascii="Times New Roman" w:eastAsia="Times New Roman" w:hAnsi="Times New Roman"/>
      <w:sz w:val="22"/>
      <w:szCs w:val="22"/>
      <w:lang w:val="fi-FI" w:eastAsia="fi-FI" w:bidi="fi-FI"/>
    </w:rPr>
  </w:style>
  <w:style w:type="character" w:customStyle="1" w:styleId="Heading9Char">
    <w:name w:val="Heading 9 Char"/>
    <w:link w:val="Heading9"/>
    <w:locked/>
    <w:rsid w:val="003B283B"/>
    <w:rPr>
      <w:rFonts w:ascii="Times New Roman" w:eastAsia="Times New Roman" w:hAnsi="Times New Roman"/>
      <w:sz w:val="22"/>
      <w:szCs w:val="22"/>
      <w:lang w:val="fi-FI" w:eastAsia="fi-FI" w:bidi="fi-FI"/>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fi-FI" w:bidi="fi-FI"/>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i-FI" w:eastAsia="fi-FI" w:bidi="fi-FI"/>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i-FI" w:bidi="fi-FI"/>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fi-FI" w:bidi="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i-FI" w:eastAsia="fi-FI" w:bidi="fi-FI"/>
    </w:rPr>
  </w:style>
  <w:style w:type="character" w:customStyle="1" w:styleId="Heading2Char">
    <w:name w:val="Heading 2 Char"/>
    <w:link w:val="Heading2"/>
    <w:locked/>
    <w:rsid w:val="003B283B"/>
    <w:rPr>
      <w:rFonts w:ascii="Times New Roman" w:eastAsia="Times New Roman" w:hAnsi="Times New Roman"/>
      <w:sz w:val="22"/>
      <w:szCs w:val="22"/>
      <w:lang w:val="fi-FI" w:eastAsia="fi-FI" w:bidi="fi-FI"/>
    </w:rPr>
  </w:style>
  <w:style w:type="character" w:customStyle="1" w:styleId="Heading3Char">
    <w:name w:val="Heading 3 Char"/>
    <w:link w:val="Heading3"/>
    <w:locked/>
    <w:rsid w:val="003B283B"/>
    <w:rPr>
      <w:rFonts w:ascii="Times New Roman" w:eastAsia="Times New Roman" w:hAnsi="Times New Roman"/>
      <w:sz w:val="22"/>
      <w:szCs w:val="22"/>
      <w:lang w:val="fi-FI" w:eastAsia="fi-FI" w:bidi="fi-FI"/>
    </w:rPr>
  </w:style>
  <w:style w:type="character" w:customStyle="1" w:styleId="Heading4Char">
    <w:name w:val="Heading 4 Char"/>
    <w:link w:val="Heading4"/>
    <w:locked/>
    <w:rsid w:val="003B283B"/>
    <w:rPr>
      <w:rFonts w:ascii="Times New Roman" w:eastAsia="Times New Roman" w:hAnsi="Times New Roman"/>
      <w:sz w:val="22"/>
      <w:szCs w:val="22"/>
      <w:lang w:val="fi-FI" w:eastAsia="fi-FI" w:bidi="fi-FI"/>
    </w:rPr>
  </w:style>
  <w:style w:type="character" w:customStyle="1" w:styleId="Heading5Char">
    <w:name w:val="Heading 5 Char"/>
    <w:link w:val="Heading5"/>
    <w:locked/>
    <w:rsid w:val="003B283B"/>
    <w:rPr>
      <w:rFonts w:ascii="Times New Roman" w:eastAsia="Times New Roman" w:hAnsi="Times New Roman"/>
      <w:sz w:val="22"/>
      <w:szCs w:val="22"/>
      <w:lang w:val="fi-FI" w:eastAsia="fi-FI" w:bidi="fi-FI"/>
    </w:rPr>
  </w:style>
  <w:style w:type="character" w:customStyle="1" w:styleId="Heading6Char">
    <w:name w:val="Heading 6 Char"/>
    <w:link w:val="Heading6"/>
    <w:locked/>
    <w:rsid w:val="003B283B"/>
    <w:rPr>
      <w:rFonts w:ascii="Times New Roman" w:eastAsia="Times New Roman" w:hAnsi="Times New Roman"/>
      <w:sz w:val="22"/>
      <w:szCs w:val="22"/>
      <w:lang w:val="fi-FI" w:eastAsia="fi-FI" w:bidi="fi-FI"/>
    </w:rPr>
  </w:style>
  <w:style w:type="character" w:customStyle="1" w:styleId="Heading7Char">
    <w:name w:val="Heading 7 Char"/>
    <w:link w:val="Heading7"/>
    <w:locked/>
    <w:rsid w:val="003B283B"/>
    <w:rPr>
      <w:rFonts w:ascii="Times New Roman" w:eastAsia="Times New Roman" w:hAnsi="Times New Roman"/>
      <w:sz w:val="22"/>
      <w:szCs w:val="22"/>
      <w:lang w:val="fi-FI" w:eastAsia="fi-FI" w:bidi="fi-FI"/>
    </w:rPr>
  </w:style>
  <w:style w:type="character" w:customStyle="1" w:styleId="Heading8Char">
    <w:name w:val="Heading 8 Char"/>
    <w:link w:val="Heading8"/>
    <w:locked/>
    <w:rsid w:val="003B283B"/>
    <w:rPr>
      <w:rFonts w:ascii="Times New Roman" w:eastAsia="Times New Roman" w:hAnsi="Times New Roman"/>
      <w:sz w:val="22"/>
      <w:szCs w:val="22"/>
      <w:lang w:val="fi-FI" w:eastAsia="fi-FI" w:bidi="fi-FI"/>
    </w:rPr>
  </w:style>
  <w:style w:type="character" w:customStyle="1" w:styleId="Heading9Char">
    <w:name w:val="Heading 9 Char"/>
    <w:link w:val="Heading9"/>
    <w:locked/>
    <w:rsid w:val="003B283B"/>
    <w:rPr>
      <w:rFonts w:ascii="Times New Roman" w:eastAsia="Times New Roman" w:hAnsi="Times New Roman"/>
      <w:sz w:val="22"/>
      <w:szCs w:val="22"/>
      <w:lang w:val="fi-FI" w:eastAsia="fi-FI" w:bidi="fi-FI"/>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fi-FI" w:bidi="fi-FI"/>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i-FI" w:eastAsia="fi-FI" w:bidi="fi-FI"/>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i-FI" w:bidi="fi-FI"/>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fi-FI"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en.opinions-search"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documents" TargetMode="External"/><Relationship Id="rId29" Type="http://schemas.openxmlformats.org/officeDocument/2006/relationships/hyperlink" Target="mailto:Andrei.Popescu@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Kristian.Krieg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Kristian.Krieger@eesc.europa.eu" TargetMode="Externa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SNS6YXTC77FS-9-5065</_dlc_DocId>
    <_dlc_DocIdUrl xmlns="9f264e46-9252-4f01-a3b2-4cb67eb6fc3c">
      <Url>http://dm/EESC/2015/_layouts/DocIdRedir.aspx?ID=SNS6YXTC77FS-9-5065</Url>
      <Description>SNS6YXTC77FS-9-5065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2016-02-05T12:00:00+00:00</ProductionDate>
    <FicheYear xmlns="9f264e46-9252-4f01-a3b2-4cb67eb6fc3c">2016</FicheYear>
    <DocumentNumber xmlns="ae52afa4-c322-454e-8472-1d2b1900674c">6625</DocumentNumbe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9f264e46-9252-4f01-a3b2-4cb67eb6fc3c">
      <Value>43</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1423</FicheNumber>
    <DocumentPart xmlns="9f264e46-9252-4f01-a3b2-4cb67eb6fc3c">0</DocumentPart>
    <AdoptionDate xmlns="9f264e46-9252-4f01-a3b2-4cb67eb6fc3c">2016-01-21T12:00:00+00:00</AdoptionDate>
    <MeetingName_0 xmlns="http://schemas.microsoft.com/sharepoint/v3/fields">
      <Terms xmlns="http://schemas.microsoft.com/office/infopath/2007/PartnerControl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C24D-3FA6-4670-B033-78814B5E9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purl.org/dc/elements/1.1/"/>
    <ds:schemaRef ds:uri="http://schemas.microsoft.com/office/2006/metadata/properties"/>
    <ds:schemaRef ds:uri="9f264e46-9252-4f01-a3b2-4cb67eb6fc3c"/>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e52afa4-c322-454e-8472-1d2b1900674c"/>
    <ds:schemaRef ds:uri="http://schemas.microsoft.com/sharepoint/v3/fields"/>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B7559290-02E6-4F18-A6EA-843A395F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8</Pages>
  <Words>1643</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Annetut lausunnot 513. täysistunto</vt:lpstr>
      <vt:lpstr> </vt:lpstr>
    </vt:vector>
  </TitlesOfParts>
  <Company>CESE-CdR</Company>
  <LinksUpToDate>false</LinksUpToDate>
  <CharactersWithSpaces>10663</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Annetut lausunnot 513. täysistunto</dc:title>
  <dc:subject>lausuntotyö, muut</dc:subject>
  <dc:creator>Stuart Shelley</dc:creator>
  <cp:keywords>EESC-2015-06625-00-02-TCD-TRA-FI</cp:keywords>
  <dc:description>Esittelijä: -_x000d_
Alkukieli: FR_x000d_
Asiakirjan päivämäärä: 05/02/2016_x000d_
Kokouksen päivämäärä: _x000d_
Muut asiakirjat: -_x000d_
Vastaava virkamies: Cosmai Domenico, puhelin: +32 (0)2 546 9041_x000d_
_x000d_
Tiivistelmä:</dc:description>
  <cp:lastModifiedBy>Stuart Shelley</cp:lastModifiedBy>
  <cp:revision>2</cp:revision>
  <cp:lastPrinted>2016-02-03T13:50:00Z</cp:lastPrinted>
  <dcterms:created xsi:type="dcterms:W3CDTF">2016-02-22T15:09:00Z</dcterms:created>
  <dcterms:modified xsi:type="dcterms:W3CDTF">2016-02-22T15:09:00Z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03/02/2016, 03/02/2016, 14/01/2016, 14/01/2016, 17/12/2015, 17/12/2015, 17/09/2015, 17/09/2015, 02/07/2015, 02/07/2015, 26/05/2015, 26/05/2015, 26/05/2015, 28/04/2015, 28/04/2015, 16/04/2015, 16/04/2015, 17/03/2015, 17/03/2015</vt:lpwstr>
  </property>
  <property fmtid="{D5CDD505-2E9C-101B-9397-08002B2CF9AE}" pid="4" name="Pref_Time">
    <vt:lpwstr>17:26:57, 16:09:02, 17:58:07, 17:32:44, 15:05:42, 11:13:53, 16:35:31, 16:17:21, 11:06:52, 09:02:14, 11:36:17, 10:24:48, 10:08:29, 10:48:07, 08:46:16, 16:41:11, 09:47:16, 17:45:27, 14:54:56</vt:lpwstr>
  </property>
  <property fmtid="{D5CDD505-2E9C-101B-9397-08002B2CF9AE}" pid="5" name="Pref_User">
    <vt:lpwstr>tvoc, nmcg, vvos, ssex, vvos, vvos, mkop, nmcg, amett, htoo, tvoc, dtai, nmcg, amett, ymur, amett, YMUR, jhvi, gharr</vt:lpwstr>
  </property>
  <property fmtid="{D5CDD505-2E9C-101B-9397-08002B2CF9AE}" pid="6" name="Pref_FileName">
    <vt:lpwstr>EESC-2015-06625-00-01-TCD-TRA-EN-CRR.docx, EESC-2015-06625-00-01-TCD-CRR-EN.docx, EESC-2015-06625-00-00-TCD-TRA-EN-CRR.docx, EESC-2015-06625-00-00-TCD-CRR-EN.docx, EESC-2015-05366-00-00-TCD-ORI.docx, EESC-2015-03529-00-00-TCD-ORI.docx, EESC-2015-04700-00-</vt:lpwstr>
  </property>
  <property fmtid="{D5CDD505-2E9C-101B-9397-08002B2CF9AE}" pid="7" name="ContentTypeId">
    <vt:lpwstr>0x010100EA97B91038054C99906057A708A1480A00E7D2B1FD55A9544EB8E25229FA72FDDF</vt:lpwstr>
  </property>
  <property fmtid="{D5CDD505-2E9C-101B-9397-08002B2CF9AE}" pid="8" name="_dlc_DocIdItemGuid">
    <vt:lpwstr>9d045fce-5d80-4912-8e73-36117799beac</vt:lpwstr>
  </property>
  <property fmtid="{D5CDD505-2E9C-101B-9397-08002B2CF9AE}" pid="9" name="AvailableTranslations">
    <vt:lpwstr>38;#IT|0774613c-01ed-4e5d-a25d-11d2388de825;#41;#NL|55c6556c-b4f4-441d-9acf-c498d4f838bd;#24;#PT|50ccc04a-eadd-42ae-a0cb-acaf45f812ba;#11;#EL|6d4f4d51-af9b-4650-94b4-4276bee85c91;#22;#LV|46f7e311-5d9f-4663-b433-18aeccb7ace7;#35;#ET|ff6c3f4c-b02c-4c3c-ab07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36;#FI|87606a43-d45f-42d6-b8c9-e1a3457db5b7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DocumentLanguage_0">
    <vt:lpwstr>FR|d2afafd3-4c81-4f60-8f52-ee33f2f54ff3</vt:lpwstr>
  </property>
  <property fmtid="{D5CDD505-2E9C-101B-9397-08002B2CF9AE}" pid="27" name="TaxCatchAll">
    <vt:lpwstr>41;#NL|55c6556c-b4f4-441d-9acf-c498d4f838bd;#38;#IT|0774613c-01ed-4e5d-a25d-11d2388de825;#37;#BG|1a1b3951-7821-4e6a-85f5-5673fc08bd2c;#120;#Final|ea5e6674-7b27-4bac-b091-73adbb394efe;#25;#RO|feb747a2-64cd-4299-af12-4833ddc30497;#21;#HR|2f555653-ed1a-4fe6-</vt:lpwstr>
  </property>
  <property fmtid="{D5CDD505-2E9C-101B-9397-08002B2CF9AE}" pid="28" name="AvailableTranslations_0">
    <vt:lpwstr>IT|0774613c-01ed-4e5d-a25d-11d2388de825;NL|55c6556c-b4f4-441d-9acf-c498d4f838bd;EL|6d4f4d51-af9b-4650-94b4-4276bee85c91;HR|2f555653-ed1a-4fe6-8362-9082d95989e5;ES|e7a6b05b-ae16-40c8-add9-68b64b03aeba;DE|f6b31e5a-26fa-4935-b661-318e46daf27e;RO|feb747a2-64c</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6625</vt:i4>
  </property>
  <property fmtid="{D5CDD505-2E9C-101B-9397-08002B2CF9AE}" pid="33" name="DocumentVersion">
    <vt:i4>2</vt:i4>
  </property>
  <property fmtid="{D5CDD505-2E9C-101B-9397-08002B2CF9AE}" pid="34" name="DocumentYear">
    <vt:i4>2015</vt:i4>
  </property>
  <property fmtid="{D5CDD505-2E9C-101B-9397-08002B2CF9AE}" pid="35" name="FicheNumber">
    <vt:i4>1423</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AdoptionDate">
    <vt:filetime>2016-01-21T12:00:00Z</vt:filetime>
  </property>
</Properties>
</file>