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D48E9" w:rsidRDefault="008405A0" w:rsidP="00000CE8">
      <w:pPr>
        <w:snapToGrid w:val="0"/>
        <w:jc w:val="center"/>
      </w:pPr>
      <w:bookmarkStart w:id="0" w:name="_GoBack"/>
      <w:bookmarkEnd w:id="0"/>
      <w:r w:rsidRPr="009D48E9">
        <w:rPr>
          <w:noProof/>
          <w:lang w:val="fr-BE" w:eastAsia="fr-BE" w:bidi="ar-SA"/>
        </w:rPr>
        <w:drawing>
          <wp:inline distT="0" distB="0" distL="0" distR="0" wp14:anchorId="04009A60" wp14:editId="262F0BCD">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9D48E9">
        <w:rPr>
          <w:noProof/>
          <w:lang w:val="fr-BE" w:eastAsia="fr-BE" w:bidi="ar-SA"/>
        </w:rPr>
        <mc:AlternateContent>
          <mc:Choice Requires="wps">
            <w:drawing>
              <wp:anchor distT="0" distB="0" distL="114300" distR="114300" simplePos="0" relativeHeight="251659264" behindDoc="1" locked="0" layoutInCell="0" allowOverlap="1" wp14:anchorId="75E4706A" wp14:editId="57B99482">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472F" w:rsidRDefault="0019516A" w:rsidP="00000CE8">
                            <w:pPr>
                              <w:snapToGrid w:val="0"/>
                              <w:jc w:val="center"/>
                              <w:rPr>
                                <w:rFonts w:ascii="Arial" w:hAnsi="Arial" w:cs="Arial"/>
                                <w:b/>
                                <w:sz w:val="48"/>
                              </w:rPr>
                            </w:pPr>
                            <w:r>
                              <w:rPr>
                                <w:rFonts w:ascii="Arial" w:hAnsi="Arial"/>
                                <w:b/>
                                <w:noProof/>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9516A" w:rsidRPr="0079472F" w:rsidRDefault="0019516A" w:rsidP="00000CE8">
                      <w:pPr>
                        <w:snapToGrid w:val="0"/>
                        <w:jc w:val="center"/>
                        <w:rPr>
                          <w:rFonts w:ascii="Arial" w:hAnsi="Arial" w:cs="Arial"/>
                          <w:b/>
                          <w:sz w:val="48"/>
                        </w:rPr>
                      </w:pPr>
                      <w:r>
                        <w:rPr>
                          <w:rFonts w:ascii="Arial" w:hAnsi="Arial"/>
                          <w:b/>
                          <w:noProof/>
                          <w:sz w:val="48"/>
                        </w:rPr>
                        <w:t>EL</w:t>
                      </w:r>
                    </w:p>
                  </w:txbxContent>
                </v:textbox>
                <w10:wrap anchorx="page" anchory="page"/>
              </v:shape>
            </w:pict>
          </mc:Fallback>
        </mc:AlternateContent>
      </w:r>
    </w:p>
    <w:p w:rsidR="008405A0" w:rsidRPr="009D48E9" w:rsidRDefault="008405A0" w:rsidP="00000CE8">
      <w:pPr>
        <w:snapToGrid w:val="0"/>
        <w:spacing w:line="280" w:lineRule="auto"/>
        <w:jc w:val="center"/>
        <w:rPr>
          <w:rFonts w:ascii="Arial" w:eastAsia="MS Mincho" w:hAnsi="Arial" w:cs="Arial"/>
          <w:b/>
          <w:i/>
          <w:sz w:val="20"/>
        </w:rPr>
      </w:pPr>
      <w:r w:rsidRPr="009D48E9">
        <w:rPr>
          <w:rFonts w:ascii="Arial" w:hAnsi="Arial"/>
          <w:b/>
          <w:i/>
          <w:sz w:val="20"/>
        </w:rPr>
        <w:t>Ευρωπαϊκή Οικονομική και Κοινωνική Επιτροπή</w:t>
      </w:r>
    </w:p>
    <w:p w:rsidR="008405A0" w:rsidRPr="009D48E9" w:rsidRDefault="008405A0" w:rsidP="0079472F">
      <w:pPr>
        <w:rPr>
          <w:rFonts w:ascii="Arial" w:eastAsia="SimSun" w:hAnsi="Arial" w:cs="Arial"/>
          <w:b/>
          <w:i/>
          <w:sz w:val="20"/>
        </w:rPr>
        <w:sectPr w:rsidR="008405A0" w:rsidRPr="009D48E9" w:rsidSect="00E30A12">
          <w:headerReference w:type="even" r:id="rId14"/>
          <w:headerReference w:type="default" r:id="rId15"/>
          <w:footerReference w:type="even" r:id="rId16"/>
          <w:footerReference w:type="default" r:id="rId17"/>
          <w:headerReference w:type="first" r:id="rId18"/>
          <w:footerReference w:type="first" r:id="rId19"/>
          <w:pgSz w:w="11907" w:h="16839" w:code="9"/>
          <w:pgMar w:top="567" w:right="1440" w:bottom="1928" w:left="1440" w:header="284" w:footer="1134" w:gutter="0"/>
          <w:pgNumType w:start="1"/>
          <w:cols w:space="708"/>
          <w:docGrid w:linePitch="360"/>
        </w:sectPr>
      </w:pPr>
    </w:p>
    <w:p w:rsidR="008405A0" w:rsidRPr="009D48E9" w:rsidRDefault="008405A0" w:rsidP="00000CE8">
      <w:pPr>
        <w:snapToGrid w:val="0"/>
        <w:jc w:val="center"/>
      </w:pPr>
    </w:p>
    <w:p w:rsidR="008405A0" w:rsidRPr="009D48E9" w:rsidRDefault="008405A0" w:rsidP="00000CE8">
      <w:pPr>
        <w:snapToGrid w:val="0"/>
      </w:pPr>
    </w:p>
    <w:p w:rsidR="008405A0" w:rsidRPr="009D48E9" w:rsidRDefault="008405A0" w:rsidP="00000CE8">
      <w:pPr>
        <w:snapToGrid w:val="0"/>
      </w:pPr>
    </w:p>
    <w:p w:rsidR="008405A0" w:rsidRPr="009D48E9" w:rsidRDefault="008405A0" w:rsidP="00000CE8">
      <w:pPr>
        <w:snapToGrid w:val="0"/>
        <w:spacing w:line="280" w:lineRule="auto"/>
        <w:jc w:val="right"/>
        <w:rPr>
          <w:rFonts w:eastAsia="MS Mincho"/>
        </w:rPr>
      </w:pPr>
      <w:r w:rsidRPr="009D48E9">
        <w:t>Βρυξέλλες, 4 Φεβρουαρίου 2016</w:t>
      </w:r>
    </w:p>
    <w:p w:rsidR="008405A0" w:rsidRPr="009D48E9" w:rsidRDefault="008405A0" w:rsidP="00000CE8">
      <w:pPr>
        <w:snapToGrid w:val="0"/>
      </w:pPr>
    </w:p>
    <w:p w:rsidR="008405A0" w:rsidRPr="009D48E9" w:rsidRDefault="008405A0" w:rsidP="00000CE8">
      <w:pPr>
        <w:snapToGrid w:val="0"/>
      </w:pPr>
    </w:p>
    <w:p w:rsidR="008405A0" w:rsidRPr="009D48E9" w:rsidRDefault="008405A0" w:rsidP="00000CE8">
      <w:pPr>
        <w:snapToGrid w:val="0"/>
      </w:pPr>
    </w:p>
    <w:p w:rsidR="008405A0" w:rsidRPr="009D48E9" w:rsidRDefault="008405A0" w:rsidP="00000CE8">
      <w:pPr>
        <w:snapToGrid w:val="0"/>
      </w:pPr>
    </w:p>
    <w:p w:rsidR="008405A0" w:rsidRPr="009D48E9" w:rsidRDefault="008405A0" w:rsidP="00000CE8">
      <w:pPr>
        <w:snapToGrid w:val="0"/>
      </w:pPr>
    </w:p>
    <w:tbl>
      <w:tblPr>
        <w:tblW w:w="0" w:type="auto"/>
        <w:tblLayout w:type="fixed"/>
        <w:tblLook w:val="0000" w:firstRow="0" w:lastRow="0" w:firstColumn="0" w:lastColumn="0" w:noHBand="0" w:noVBand="0"/>
      </w:tblPr>
      <w:tblGrid>
        <w:gridCol w:w="9243"/>
      </w:tblGrid>
      <w:tr w:rsidR="008405A0" w:rsidRPr="009D48E9" w:rsidTr="008405A0">
        <w:tc>
          <w:tcPr>
            <w:tcW w:w="9243" w:type="dxa"/>
            <w:tcBorders>
              <w:top w:val="nil"/>
              <w:left w:val="nil"/>
              <w:bottom w:val="double" w:sz="4" w:space="0" w:color="auto"/>
              <w:right w:val="nil"/>
            </w:tcBorders>
          </w:tcPr>
          <w:p w:rsidR="008405A0" w:rsidRPr="009D48E9" w:rsidRDefault="008405A0" w:rsidP="00000CE8">
            <w:pPr>
              <w:snapToGrid w:val="0"/>
              <w:spacing w:line="280" w:lineRule="auto"/>
              <w:jc w:val="center"/>
              <w:rPr>
                <w:rFonts w:eastAsia="MS Mincho"/>
                <w:b/>
                <w:sz w:val="32"/>
              </w:rPr>
            </w:pPr>
            <w:r w:rsidRPr="009D48E9">
              <w:rPr>
                <w:b/>
                <w:sz w:val="32"/>
              </w:rPr>
              <w:t xml:space="preserve">ΣΥΝΟΔΟΣ ΟΛΟΜΕΛΕΙΑΣ  </w:t>
            </w:r>
            <w:r w:rsidRPr="009D48E9">
              <w:rPr>
                <w:b/>
                <w:sz w:val="32"/>
              </w:rPr>
              <w:br/>
              <w:t xml:space="preserve"> </w:t>
            </w:r>
            <w:r w:rsidRPr="009D48E9">
              <w:rPr>
                <w:b/>
                <w:sz w:val="32"/>
              </w:rPr>
              <w:br/>
              <w:t xml:space="preserve">ΤΗΣ 20ής ΚΑΙ 21ης ΙΑΝΟΥΑΡΙΟΥ 2016 </w:t>
            </w:r>
            <w:r w:rsidRPr="009D48E9">
              <w:rPr>
                <w:b/>
                <w:sz w:val="32"/>
              </w:rPr>
              <w:br/>
              <w:t xml:space="preserve"> </w:t>
            </w:r>
            <w:r w:rsidRPr="009D48E9">
              <w:rPr>
                <w:b/>
                <w:sz w:val="32"/>
              </w:rPr>
              <w:br/>
              <w:t>ΣΥΝΟΨΗ ΤΩΝ ΓΝΩΜΟΔΟΤΗΣΕΩΝ ΠΟΥ ΥΙΟΘΕΤΗΘΗΚΑΝ</w:t>
            </w:r>
          </w:p>
          <w:p w:rsidR="008405A0" w:rsidRPr="009D48E9" w:rsidRDefault="008405A0" w:rsidP="00000CE8">
            <w:pPr>
              <w:snapToGrid w:val="0"/>
              <w:jc w:val="center"/>
              <w:rPr>
                <w:b/>
                <w:sz w:val="32"/>
              </w:rPr>
            </w:pPr>
          </w:p>
          <w:p w:rsidR="008405A0" w:rsidRPr="009D48E9" w:rsidRDefault="008405A0" w:rsidP="00000CE8">
            <w:pPr>
              <w:snapToGrid w:val="0"/>
              <w:jc w:val="center"/>
              <w:rPr>
                <w:rFonts w:eastAsia="Calibri"/>
                <w:b/>
                <w:bCs/>
              </w:rPr>
            </w:pPr>
          </w:p>
        </w:tc>
      </w:tr>
      <w:tr w:rsidR="008405A0" w:rsidRPr="009D48E9" w:rsidTr="008405A0">
        <w:tc>
          <w:tcPr>
            <w:tcW w:w="9243" w:type="dxa"/>
            <w:tcBorders>
              <w:top w:val="double" w:sz="4" w:space="0" w:color="auto"/>
              <w:left w:val="double" w:sz="4" w:space="0" w:color="auto"/>
              <w:bottom w:val="double" w:sz="4" w:space="0" w:color="auto"/>
              <w:right w:val="double" w:sz="4" w:space="0" w:color="auto"/>
            </w:tcBorders>
          </w:tcPr>
          <w:p w:rsidR="008405A0" w:rsidRPr="009D48E9" w:rsidRDefault="00A31921" w:rsidP="00000CE8">
            <w:pPr>
              <w:snapToGrid w:val="0"/>
              <w:spacing w:line="280" w:lineRule="auto"/>
              <w:jc w:val="center"/>
              <w:rPr>
                <w:rFonts w:eastAsia="MS Mincho"/>
                <w:b/>
              </w:rPr>
            </w:pPr>
            <w:r w:rsidRPr="009D48E9">
              <w:rPr>
                <w:b/>
              </w:rPr>
              <w:t xml:space="preserve">Το παρόν έγγραφο αυτό είναι διαθέσιμο στις επίσημες γλώσσες στον </w:t>
            </w:r>
            <w:proofErr w:type="spellStart"/>
            <w:r w:rsidRPr="009D48E9">
              <w:rPr>
                <w:b/>
              </w:rPr>
              <w:t>ιστότοπο</w:t>
            </w:r>
            <w:proofErr w:type="spellEnd"/>
            <w:r w:rsidRPr="009D48E9">
              <w:rPr>
                <w:b/>
              </w:rPr>
              <w:t xml:space="preserve"> της ΕΟΚΕ στην ακόλουθη διεύθυνση:</w:t>
            </w:r>
          </w:p>
          <w:p w:rsidR="008405A0" w:rsidRPr="009D48E9" w:rsidRDefault="008405A0" w:rsidP="00000CE8">
            <w:pPr>
              <w:snapToGrid w:val="0"/>
              <w:jc w:val="center"/>
              <w:rPr>
                <w:b/>
              </w:rPr>
            </w:pPr>
          </w:p>
          <w:p w:rsidR="008405A0" w:rsidRPr="009D48E9" w:rsidRDefault="006F55F2" w:rsidP="00000CE8">
            <w:pPr>
              <w:spacing w:line="280" w:lineRule="auto"/>
              <w:jc w:val="center"/>
              <w:rPr>
                <w:rFonts w:eastAsia="MS Mincho"/>
                <w:u w:val="single"/>
              </w:rPr>
            </w:pPr>
            <w:hyperlink r:id="rId20" w:anchor="/boxTab1-2">
              <w:r w:rsidR="00646EEC" w:rsidRPr="009D48E9">
                <w:rPr>
                  <w:rStyle w:val="Hyperlink"/>
                  <w:b/>
                  <w:color w:val="auto"/>
                </w:rPr>
                <w:t>http://www.eesc.europa.eu/?i=portal.en.documents#/boxTab1-2</w:t>
              </w:r>
            </w:hyperlink>
          </w:p>
          <w:p w:rsidR="008405A0" w:rsidRPr="009D48E9" w:rsidRDefault="008405A0" w:rsidP="00000CE8">
            <w:pPr>
              <w:snapToGrid w:val="0"/>
              <w:jc w:val="center"/>
            </w:pPr>
          </w:p>
          <w:p w:rsidR="008405A0" w:rsidRPr="009D48E9" w:rsidRDefault="008405A0" w:rsidP="00000CE8">
            <w:pPr>
              <w:snapToGrid w:val="0"/>
              <w:jc w:val="center"/>
              <w:rPr>
                <w:rFonts w:eastAsia="SimSun"/>
                <w:b/>
              </w:rPr>
            </w:pPr>
          </w:p>
          <w:p w:rsidR="008405A0" w:rsidRPr="009D48E9" w:rsidRDefault="008405A0" w:rsidP="00000CE8">
            <w:pPr>
              <w:snapToGrid w:val="0"/>
              <w:spacing w:line="280" w:lineRule="auto"/>
              <w:jc w:val="center"/>
              <w:rPr>
                <w:rFonts w:eastAsia="MS Mincho"/>
                <w:b/>
              </w:rPr>
            </w:pPr>
            <w:r w:rsidRPr="009D48E9">
              <w:rPr>
                <w:b/>
              </w:rPr>
              <w:t>Μπορείτε να συμβουλευθείτε τις εν λόγω γνωμοδοτήσεις μέσω της μηχανής αναζήτησης της ΕΟΚΕ:</w:t>
            </w:r>
          </w:p>
          <w:p w:rsidR="008405A0" w:rsidRPr="009D48E9" w:rsidRDefault="008405A0" w:rsidP="00000CE8">
            <w:pPr>
              <w:snapToGrid w:val="0"/>
              <w:jc w:val="center"/>
              <w:rPr>
                <w:b/>
              </w:rPr>
            </w:pPr>
          </w:p>
          <w:p w:rsidR="008405A0" w:rsidRPr="009D48E9" w:rsidRDefault="006F55F2" w:rsidP="00000CE8">
            <w:pPr>
              <w:snapToGrid w:val="0"/>
              <w:spacing w:line="280" w:lineRule="auto"/>
              <w:jc w:val="center"/>
              <w:rPr>
                <w:rFonts w:eastAsia="MS Mincho"/>
                <w:b/>
              </w:rPr>
            </w:pPr>
            <w:hyperlink r:id="rId21">
              <w:r w:rsidR="00646EEC" w:rsidRPr="009D48E9">
                <w:rPr>
                  <w:rStyle w:val="Hyperlink"/>
                  <w:b/>
                  <w:color w:val="auto"/>
                </w:rPr>
                <w:t>http://www.eesc.europa.eu/?i=portal.en.opinions-search</w:t>
              </w:r>
            </w:hyperlink>
          </w:p>
          <w:p w:rsidR="008405A0" w:rsidRPr="009D48E9" w:rsidRDefault="008405A0" w:rsidP="00000CE8">
            <w:pPr>
              <w:snapToGrid w:val="0"/>
              <w:jc w:val="center"/>
              <w:rPr>
                <w:rFonts w:eastAsia="Calibri"/>
                <w:b/>
                <w:bCs/>
              </w:rPr>
            </w:pPr>
          </w:p>
        </w:tc>
      </w:tr>
    </w:tbl>
    <w:p w:rsidR="008405A0" w:rsidRPr="009D48E9" w:rsidRDefault="008405A0" w:rsidP="00000CE8"/>
    <w:p w:rsidR="008405A0" w:rsidRPr="009D48E9" w:rsidRDefault="008405A0" w:rsidP="00000CE8">
      <w:pPr>
        <w:snapToGrid w:val="0"/>
      </w:pPr>
    </w:p>
    <w:p w:rsidR="008405A0" w:rsidRPr="009D48E9" w:rsidRDefault="008405A0" w:rsidP="0079472F">
      <w:pPr>
        <w:rPr>
          <w:rFonts w:eastAsia="SimSun"/>
          <w:b/>
          <w:sz w:val="28"/>
          <w:u w:val="single"/>
        </w:rPr>
        <w:sectPr w:rsidR="008405A0" w:rsidRPr="009D48E9" w:rsidSect="00E30A12">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701" w:right="1440" w:bottom="1928" w:left="1440" w:header="1020" w:footer="1247" w:gutter="0"/>
          <w:cols w:space="720"/>
          <w:docGrid w:linePitch="299"/>
        </w:sectPr>
      </w:pPr>
    </w:p>
    <w:p w:rsidR="008405A0" w:rsidRPr="009D48E9" w:rsidRDefault="008405A0" w:rsidP="00000CE8">
      <w:pPr>
        <w:snapToGrid w:val="0"/>
        <w:rPr>
          <w:b/>
          <w:sz w:val="28"/>
          <w:u w:val="single"/>
        </w:rPr>
      </w:pPr>
    </w:p>
    <w:p w:rsidR="008405A0" w:rsidRPr="009D48E9" w:rsidRDefault="008405A0" w:rsidP="00000CE8">
      <w:pPr>
        <w:snapToGrid w:val="0"/>
        <w:spacing w:line="280" w:lineRule="auto"/>
        <w:rPr>
          <w:rFonts w:eastAsia="MS Mincho"/>
          <w:b/>
          <w:sz w:val="28"/>
          <w:u w:val="single"/>
        </w:rPr>
      </w:pPr>
      <w:r w:rsidRPr="009D48E9">
        <w:rPr>
          <w:b/>
        </w:rPr>
        <w:t>Περιεχόμενα:</w:t>
      </w:r>
    </w:p>
    <w:p w:rsidR="00B939A6" w:rsidRPr="009D48E9" w:rsidRDefault="00B939A6" w:rsidP="00000CE8">
      <w:pPr>
        <w:snapToGrid w:val="0"/>
        <w:rPr>
          <w:b/>
          <w:sz w:val="28"/>
          <w:u w:val="single"/>
        </w:rPr>
      </w:pPr>
    </w:p>
    <w:p w:rsidR="00E30A12" w:rsidRPr="009D48E9" w:rsidRDefault="00B97C33">
      <w:pPr>
        <w:pStyle w:val="TOC1"/>
        <w:tabs>
          <w:tab w:val="left" w:pos="440"/>
          <w:tab w:val="right" w:leader="dot" w:pos="9017"/>
        </w:tabs>
        <w:rPr>
          <w:rFonts w:asciiTheme="minorHAnsi" w:eastAsiaTheme="minorEastAsia" w:hAnsiTheme="minorHAnsi" w:cstheme="minorBidi"/>
          <w:lang w:eastAsia="en-US" w:bidi="ar-SA"/>
        </w:rPr>
      </w:pPr>
      <w:r w:rsidRPr="009D48E9">
        <w:fldChar w:fldCharType="begin"/>
      </w:r>
      <w:r w:rsidRPr="009D48E9">
        <w:instrText xml:space="preserve"> TOC \o "1-3" \h \z \u </w:instrText>
      </w:r>
      <w:r w:rsidRPr="009D48E9">
        <w:fldChar w:fldCharType="separate"/>
      </w:r>
      <w:hyperlink w:anchor="_Toc442348516" w:history="1">
        <w:r w:rsidR="00E30A12" w:rsidRPr="009D48E9">
          <w:rPr>
            <w:rStyle w:val="Hyperlink"/>
          </w:rPr>
          <w:t>1.</w:t>
        </w:r>
        <w:r w:rsidR="00E30A12" w:rsidRPr="009D48E9">
          <w:rPr>
            <w:rFonts w:asciiTheme="minorHAnsi" w:eastAsiaTheme="minorEastAsia" w:hAnsiTheme="minorHAnsi" w:cstheme="minorBidi"/>
            <w:lang w:eastAsia="en-US" w:bidi="ar-SA"/>
          </w:rPr>
          <w:tab/>
        </w:r>
        <w:r w:rsidR="00E30A12" w:rsidRPr="009D48E9">
          <w:rPr>
            <w:rStyle w:val="Hyperlink"/>
            <w:b/>
          </w:rPr>
          <w:t>ΧΡΗΜΑΤΟΟΙΚΟΝΟΜΙΚΑ ΜΕΣΑ / ΦΟΡΟΛΟΓΙΑ</w:t>
        </w:r>
        <w:r w:rsidR="00E30A12" w:rsidRPr="009D48E9">
          <w:rPr>
            <w:webHidden/>
          </w:rPr>
          <w:tab/>
        </w:r>
        <w:r w:rsidR="00E30A12" w:rsidRPr="009D48E9">
          <w:rPr>
            <w:webHidden/>
          </w:rPr>
          <w:fldChar w:fldCharType="begin"/>
        </w:r>
        <w:r w:rsidR="00E30A12" w:rsidRPr="009D48E9">
          <w:rPr>
            <w:webHidden/>
          </w:rPr>
          <w:instrText xml:space="preserve"> PAGEREF _Toc442348516 \h </w:instrText>
        </w:r>
        <w:r w:rsidR="00E30A12" w:rsidRPr="009D48E9">
          <w:rPr>
            <w:webHidden/>
          </w:rPr>
        </w:r>
        <w:r w:rsidR="00E30A12" w:rsidRPr="009D48E9">
          <w:rPr>
            <w:webHidden/>
          </w:rPr>
          <w:fldChar w:fldCharType="separate"/>
        </w:r>
        <w:r w:rsidR="00E30A12" w:rsidRPr="009D48E9">
          <w:rPr>
            <w:webHidden/>
          </w:rPr>
          <w:t>3</w:t>
        </w:r>
        <w:r w:rsidR="00E30A12" w:rsidRPr="009D48E9">
          <w:rPr>
            <w:webHidden/>
          </w:rPr>
          <w:fldChar w:fldCharType="end"/>
        </w:r>
      </w:hyperlink>
    </w:p>
    <w:p w:rsidR="00E30A12" w:rsidRPr="009D48E9" w:rsidRDefault="006F55F2">
      <w:pPr>
        <w:pStyle w:val="TOC1"/>
        <w:tabs>
          <w:tab w:val="left" w:pos="440"/>
          <w:tab w:val="right" w:leader="dot" w:pos="9017"/>
        </w:tabs>
        <w:rPr>
          <w:rFonts w:asciiTheme="minorHAnsi" w:eastAsiaTheme="minorEastAsia" w:hAnsiTheme="minorHAnsi" w:cstheme="minorBidi"/>
          <w:lang w:eastAsia="en-US" w:bidi="ar-SA"/>
        </w:rPr>
      </w:pPr>
      <w:hyperlink w:anchor="_Toc442348517" w:history="1">
        <w:r w:rsidR="00E30A12" w:rsidRPr="009D48E9">
          <w:rPr>
            <w:rStyle w:val="Hyperlink"/>
          </w:rPr>
          <w:t>2.</w:t>
        </w:r>
        <w:r w:rsidR="00E30A12" w:rsidRPr="009D48E9">
          <w:rPr>
            <w:rFonts w:asciiTheme="minorHAnsi" w:eastAsiaTheme="minorEastAsia" w:hAnsiTheme="minorHAnsi" w:cstheme="minorBidi"/>
            <w:lang w:eastAsia="en-US" w:bidi="ar-SA"/>
          </w:rPr>
          <w:tab/>
        </w:r>
        <w:r w:rsidR="00E30A12" w:rsidRPr="009D48E9">
          <w:rPr>
            <w:rStyle w:val="Hyperlink"/>
            <w:b/>
          </w:rPr>
          <w:t>ΕΝΕΡΓΕΙΑ</w:t>
        </w:r>
        <w:r w:rsidR="00E30A12" w:rsidRPr="009D48E9">
          <w:rPr>
            <w:webHidden/>
          </w:rPr>
          <w:tab/>
        </w:r>
        <w:r w:rsidR="00E30A12" w:rsidRPr="009D48E9">
          <w:rPr>
            <w:webHidden/>
          </w:rPr>
          <w:fldChar w:fldCharType="begin"/>
        </w:r>
        <w:r w:rsidR="00E30A12" w:rsidRPr="009D48E9">
          <w:rPr>
            <w:webHidden/>
          </w:rPr>
          <w:instrText xml:space="preserve"> PAGEREF _Toc442348517 \h </w:instrText>
        </w:r>
        <w:r w:rsidR="00E30A12" w:rsidRPr="009D48E9">
          <w:rPr>
            <w:webHidden/>
          </w:rPr>
        </w:r>
        <w:r w:rsidR="00E30A12" w:rsidRPr="009D48E9">
          <w:rPr>
            <w:webHidden/>
          </w:rPr>
          <w:fldChar w:fldCharType="separate"/>
        </w:r>
        <w:r w:rsidR="00E30A12" w:rsidRPr="009D48E9">
          <w:rPr>
            <w:webHidden/>
          </w:rPr>
          <w:t>4</w:t>
        </w:r>
        <w:r w:rsidR="00E30A12" w:rsidRPr="009D48E9">
          <w:rPr>
            <w:webHidden/>
          </w:rPr>
          <w:fldChar w:fldCharType="end"/>
        </w:r>
      </w:hyperlink>
    </w:p>
    <w:p w:rsidR="001D52CB" w:rsidRPr="009D48E9" w:rsidRDefault="00B97C33">
      <w:pPr>
        <w:pStyle w:val="TOC1"/>
        <w:tabs>
          <w:tab w:val="left" w:pos="440"/>
          <w:tab w:val="right" w:leader="dot" w:pos="9017"/>
        </w:tabs>
        <w:rPr>
          <w:rFonts w:asciiTheme="minorHAnsi" w:eastAsiaTheme="minorEastAsia" w:hAnsiTheme="minorHAnsi" w:cstheme="minorBidi"/>
        </w:rPr>
      </w:pPr>
      <w:r w:rsidRPr="009D48E9">
        <w:fldChar w:fldCharType="end"/>
      </w:r>
    </w:p>
    <w:p w:rsidR="008405A0" w:rsidRPr="009D48E9" w:rsidRDefault="008405A0" w:rsidP="0079472F">
      <w:r w:rsidRPr="009D48E9">
        <w:br w:type="page"/>
      </w:r>
    </w:p>
    <w:p w:rsidR="004E3A5B" w:rsidRPr="009D48E9" w:rsidRDefault="004E3A5B" w:rsidP="004E3A5B"/>
    <w:p w:rsidR="00387CFB" w:rsidRPr="009D48E9" w:rsidRDefault="008405A0" w:rsidP="004E3A5B">
      <w:r w:rsidRPr="009D48E9">
        <w:t xml:space="preserve">Η σύνοδος ολομέλειας της 20ής και 21ης Ιανουαρίου 2016 σημαδεύτηκε από τη συμμετοχή του κ. </w:t>
      </w:r>
      <w:proofErr w:type="spellStart"/>
      <w:r w:rsidRPr="009D48E9">
        <w:rPr>
          <w:b/>
        </w:rPr>
        <w:t>Houcine</w:t>
      </w:r>
      <w:proofErr w:type="spellEnd"/>
      <w:r w:rsidRPr="009D48E9">
        <w:rPr>
          <w:b/>
        </w:rPr>
        <w:t> ABASSΙ</w:t>
      </w:r>
      <w:r w:rsidRPr="009D48E9">
        <w:t xml:space="preserve">, Γενικού Γραμματέα της Γενικής Ένωσης Εργασίας της Τυνησίας (UGTT), του κ. </w:t>
      </w:r>
      <w:proofErr w:type="spellStart"/>
      <w:r w:rsidRPr="009D48E9">
        <w:rPr>
          <w:b/>
        </w:rPr>
        <w:t>Ahmed</w:t>
      </w:r>
      <w:proofErr w:type="spellEnd"/>
      <w:r w:rsidRPr="009D48E9">
        <w:rPr>
          <w:b/>
        </w:rPr>
        <w:t> </w:t>
      </w:r>
      <w:proofErr w:type="spellStart"/>
      <w:r w:rsidRPr="009D48E9">
        <w:rPr>
          <w:b/>
        </w:rPr>
        <w:t>ben</w:t>
      </w:r>
      <w:proofErr w:type="spellEnd"/>
      <w:r w:rsidRPr="009D48E9">
        <w:rPr>
          <w:b/>
        </w:rPr>
        <w:t> </w:t>
      </w:r>
      <w:proofErr w:type="spellStart"/>
      <w:r w:rsidRPr="009D48E9">
        <w:rPr>
          <w:b/>
        </w:rPr>
        <w:t>Tahar</w:t>
      </w:r>
      <w:proofErr w:type="spellEnd"/>
      <w:r w:rsidRPr="009D48E9">
        <w:rPr>
          <w:b/>
        </w:rPr>
        <w:t> GALAI</w:t>
      </w:r>
      <w:r w:rsidRPr="009D48E9">
        <w:t xml:space="preserve">, Αντιπροέδρου του Τυνησιακού Συνδέσμου για τα Ανθρώπινα Δικαιώματα (LTDH) και του κ. </w:t>
      </w:r>
      <w:proofErr w:type="spellStart"/>
      <w:r w:rsidRPr="009D48E9">
        <w:rPr>
          <w:b/>
        </w:rPr>
        <w:t>Slim</w:t>
      </w:r>
      <w:proofErr w:type="spellEnd"/>
      <w:r w:rsidRPr="009D48E9">
        <w:rPr>
          <w:b/>
        </w:rPr>
        <w:t> GHORBEL</w:t>
      </w:r>
      <w:r w:rsidRPr="009D48E9">
        <w:t>, μέλους του προεδρείου της Ένωσης για τη Βιομηχανία, το Εμπόριο και τη Βιοτεχνία της Τυνησίας (UTICA):</w:t>
      </w:r>
    </w:p>
    <w:p w:rsidR="008405A0" w:rsidRPr="009D48E9" w:rsidRDefault="008405A0" w:rsidP="004E3A5B">
      <w:pPr>
        <w:rPr>
          <w:sz w:val="16"/>
        </w:rPr>
      </w:pPr>
    </w:p>
    <w:p w:rsidR="008405A0" w:rsidRPr="009D48E9" w:rsidRDefault="008405A0" w:rsidP="004E3A5B">
      <w:pPr>
        <w:rPr>
          <w:rFonts w:eastAsia="MS Mincho"/>
        </w:rPr>
      </w:pPr>
      <w:r w:rsidRPr="009D48E9">
        <w:t>Οι γνωμοδοτήσεις που υιοθετήθηκαν κατά τη σύνοδο ολομέλειας είναι οι ακόλουθες:</w:t>
      </w:r>
    </w:p>
    <w:p w:rsidR="008405A0" w:rsidRPr="009D48E9" w:rsidRDefault="008405A0" w:rsidP="004E3A5B">
      <w:pPr>
        <w:rPr>
          <w:sz w:val="16"/>
        </w:rPr>
      </w:pPr>
    </w:p>
    <w:p w:rsidR="009F58A3" w:rsidRPr="009D48E9" w:rsidRDefault="00900EA0" w:rsidP="00B104E7">
      <w:pPr>
        <w:keepNext/>
        <w:numPr>
          <w:ilvl w:val="0"/>
          <w:numId w:val="2"/>
        </w:numPr>
        <w:ind w:left="567" w:hanging="578"/>
        <w:outlineLvl w:val="0"/>
        <w:rPr>
          <w:b/>
        </w:rPr>
      </w:pPr>
      <w:bookmarkStart w:id="1" w:name="_Toc442171220"/>
      <w:bookmarkStart w:id="2" w:name="_Toc442171260"/>
      <w:bookmarkStart w:id="3" w:name="_Toc442348516"/>
      <w:r w:rsidRPr="009D48E9">
        <w:rPr>
          <w:b/>
        </w:rPr>
        <w:t>ΧΡΗΜΑΤΟΟΙΚΟΝΟΜΙΚΑ ΜΕΣΑ / ΦΟΡΟΛΟΓΙΑ</w:t>
      </w:r>
      <w:bookmarkEnd w:id="1"/>
      <w:bookmarkEnd w:id="2"/>
      <w:bookmarkEnd w:id="3"/>
    </w:p>
    <w:p w:rsidR="009F58A3" w:rsidRPr="009D48E9" w:rsidRDefault="009F58A3" w:rsidP="00B104E7">
      <w:pPr>
        <w:keepNext/>
        <w:rPr>
          <w:b/>
          <w:iCs/>
          <w:highlight w:val="yellow"/>
          <w:u w:val="single"/>
        </w:rPr>
      </w:pPr>
    </w:p>
    <w:p w:rsidR="009F58A3" w:rsidRPr="009D48E9" w:rsidRDefault="009F58A3" w:rsidP="004E3A5B">
      <w:pPr>
        <w:widowControl w:val="0"/>
        <w:numPr>
          <w:ilvl w:val="0"/>
          <w:numId w:val="5"/>
        </w:numPr>
        <w:overflowPunct w:val="0"/>
        <w:autoSpaceDE w:val="0"/>
        <w:autoSpaceDN w:val="0"/>
        <w:adjustRightInd w:val="0"/>
        <w:ind w:hanging="567"/>
        <w:textAlignment w:val="baseline"/>
        <w:rPr>
          <w:b/>
          <w:bCs/>
          <w:i/>
          <w:iCs/>
        </w:rPr>
      </w:pPr>
      <w:r w:rsidRPr="009D48E9">
        <w:rPr>
          <w:b/>
          <w:i/>
        </w:rPr>
        <w:t xml:space="preserve">Νομικό πλαίσιο για θέματα </w:t>
      </w:r>
      <w:proofErr w:type="spellStart"/>
      <w:r w:rsidRPr="009D48E9">
        <w:rPr>
          <w:b/>
          <w:i/>
        </w:rPr>
        <w:t>τιτλοποίησης</w:t>
      </w:r>
      <w:proofErr w:type="spellEnd"/>
    </w:p>
    <w:p w:rsidR="009F58A3" w:rsidRPr="009D48E9" w:rsidRDefault="009F58A3" w:rsidP="004E3A5B">
      <w:pPr>
        <w:ind w:firstLine="17"/>
      </w:pPr>
    </w:p>
    <w:p w:rsidR="009F58A3" w:rsidRPr="009D48E9" w:rsidRDefault="009F58A3" w:rsidP="00B104E7">
      <w:pPr>
        <w:ind w:left="1418" w:hanging="1418"/>
      </w:pPr>
      <w:r w:rsidRPr="009D48E9">
        <w:rPr>
          <w:b/>
        </w:rPr>
        <w:t>Εισηγητής:</w:t>
      </w:r>
      <w:r w:rsidRPr="009D48E9">
        <w:tab/>
        <w:t xml:space="preserve">ο κ. </w:t>
      </w:r>
      <w:proofErr w:type="spellStart"/>
      <w:r w:rsidRPr="009D48E9">
        <w:t>Daniel</w:t>
      </w:r>
      <w:proofErr w:type="spellEnd"/>
      <w:r w:rsidRPr="009D48E9">
        <w:t xml:space="preserve"> </w:t>
      </w:r>
      <w:proofErr w:type="spellStart"/>
      <w:r w:rsidRPr="009D48E9">
        <w:t>Marells</w:t>
      </w:r>
      <w:proofErr w:type="spellEnd"/>
      <w:r w:rsidRPr="009D48E9">
        <w:t xml:space="preserve"> (BE-Ι)</w:t>
      </w:r>
    </w:p>
    <w:p w:rsidR="009F58A3" w:rsidRPr="009D48E9" w:rsidRDefault="009F58A3" w:rsidP="00B104E7">
      <w:pPr>
        <w:ind w:left="1418" w:hanging="1418"/>
      </w:pPr>
    </w:p>
    <w:p w:rsidR="009F58A3" w:rsidRPr="009D48E9" w:rsidRDefault="009F58A3" w:rsidP="00B104E7">
      <w:pPr>
        <w:keepNext/>
        <w:ind w:left="1418" w:hanging="1418"/>
      </w:pPr>
      <w:r w:rsidRPr="009D48E9">
        <w:rPr>
          <w:b/>
        </w:rPr>
        <w:t>Έγγραφο αναφοράς:</w:t>
      </w:r>
      <w:r w:rsidRPr="009D48E9">
        <w:tab/>
        <w:t xml:space="preserve">COM(2015) 473 </w:t>
      </w:r>
      <w:proofErr w:type="spellStart"/>
      <w:r w:rsidRPr="009D48E9">
        <w:t>final</w:t>
      </w:r>
      <w:proofErr w:type="spellEnd"/>
      <w:r w:rsidRPr="009D48E9">
        <w:t xml:space="preserve"> και COM(2015) 472 </w:t>
      </w:r>
      <w:proofErr w:type="spellStart"/>
      <w:r w:rsidRPr="009D48E9">
        <w:t>final</w:t>
      </w:r>
      <w:proofErr w:type="spellEnd"/>
    </w:p>
    <w:p w:rsidR="009F58A3" w:rsidRPr="009D48E9" w:rsidRDefault="00E30A12" w:rsidP="00B104E7">
      <w:pPr>
        <w:ind w:left="1418"/>
      </w:pPr>
      <w:r w:rsidRPr="009D48E9">
        <w:tab/>
      </w:r>
      <w:r w:rsidRPr="009D48E9">
        <w:tab/>
      </w:r>
      <w:r w:rsidR="009F58A3" w:rsidRPr="009D48E9">
        <w:t>EESC-2015-04971-00-00-AC-TRA</w:t>
      </w:r>
    </w:p>
    <w:p w:rsidR="009F58A3" w:rsidRPr="009D48E9" w:rsidRDefault="009F58A3" w:rsidP="00B104E7"/>
    <w:p w:rsidR="009F58A3" w:rsidRPr="009D48E9" w:rsidRDefault="009F58A3" w:rsidP="00B104E7">
      <w:pPr>
        <w:keepNext/>
        <w:rPr>
          <w:b/>
        </w:rPr>
      </w:pPr>
      <w:r w:rsidRPr="009D48E9">
        <w:rPr>
          <w:b/>
        </w:rPr>
        <w:t>Κύρια σημεία:</w:t>
      </w:r>
    </w:p>
    <w:p w:rsidR="009F58A3" w:rsidRPr="009D48E9" w:rsidRDefault="009F58A3" w:rsidP="00282997"/>
    <w:p w:rsidR="009F58A3" w:rsidRPr="009D48E9" w:rsidRDefault="009F58A3" w:rsidP="00B104E7">
      <w:pPr>
        <w:keepNext/>
        <w:tabs>
          <w:tab w:val="left" w:pos="7797"/>
        </w:tabs>
        <w:rPr>
          <w:sz w:val="23"/>
          <w:szCs w:val="23"/>
        </w:rPr>
      </w:pPr>
      <w:r w:rsidRPr="009D48E9">
        <w:rPr>
          <w:sz w:val="23"/>
        </w:rPr>
        <w:t>Η ΕΟΚΕ:</w:t>
      </w:r>
    </w:p>
    <w:p w:rsidR="002D750B" w:rsidRPr="009D48E9" w:rsidRDefault="002D750B" w:rsidP="00B104E7">
      <w:pPr>
        <w:keepNext/>
        <w:tabs>
          <w:tab w:val="left" w:pos="7797"/>
        </w:tabs>
        <w:rPr>
          <w:sz w:val="23"/>
          <w:szCs w:val="23"/>
        </w:rPr>
      </w:pPr>
    </w:p>
    <w:p w:rsidR="009F58A3" w:rsidRPr="009D48E9" w:rsidRDefault="009F58A3" w:rsidP="00B104E7">
      <w:pPr>
        <w:numPr>
          <w:ilvl w:val="0"/>
          <w:numId w:val="4"/>
        </w:numPr>
        <w:tabs>
          <w:tab w:val="clear" w:pos="0"/>
        </w:tabs>
        <w:overflowPunct w:val="0"/>
        <w:autoSpaceDE w:val="0"/>
        <w:autoSpaceDN w:val="0"/>
        <w:adjustRightInd w:val="0"/>
        <w:ind w:left="283" w:hanging="283"/>
        <w:textAlignment w:val="baseline"/>
      </w:pPr>
      <w:r w:rsidRPr="009D48E9">
        <w:t xml:space="preserve">επικροτεί τις προτάσεις για τη θέσπιση καθεστώτος «απλής, διαφανούς και τυποποιημένης </w:t>
      </w:r>
      <w:proofErr w:type="spellStart"/>
      <w:r w:rsidRPr="009D48E9">
        <w:t>τιτλοποίησης</w:t>
      </w:r>
      <w:proofErr w:type="spellEnd"/>
      <w:r w:rsidRPr="009D48E9">
        <w:t>» (</w:t>
      </w:r>
      <w:proofErr w:type="spellStart"/>
      <w:r w:rsidRPr="009D48E9">
        <w:t>τιτλοποιήσεις</w:t>
      </w:r>
      <w:proofErr w:type="spellEnd"/>
      <w:r w:rsidRPr="009D48E9">
        <w:t xml:space="preserve"> STS), καθώς και την προσαρμογή των απαιτήσεων προληπτικής εποπτείας για τα πιστωτικά ιδρύματα και τις επιχειρήσεις επενδύσεων,</w:t>
      </w:r>
    </w:p>
    <w:p w:rsidR="009F58A3" w:rsidRPr="009D48E9" w:rsidRDefault="009F58A3" w:rsidP="00B104E7">
      <w:pPr>
        <w:numPr>
          <w:ilvl w:val="0"/>
          <w:numId w:val="4"/>
        </w:numPr>
        <w:tabs>
          <w:tab w:val="clear" w:pos="0"/>
        </w:tabs>
        <w:overflowPunct w:val="0"/>
        <w:autoSpaceDE w:val="0"/>
        <w:autoSpaceDN w:val="0"/>
        <w:adjustRightInd w:val="0"/>
        <w:ind w:left="283" w:hanging="283"/>
        <w:textAlignment w:val="baseline"/>
      </w:pPr>
      <w:r w:rsidRPr="009D48E9">
        <w:t>ζητεί τη βραχυπρόθεσμη ανάληψη δράσης που θα επιτρέψει να κινητοποιηθούν πρόσθετοι πόροι για την τραπεζική χρηματοδότηση, πράγμα που έχει ζωτική σημασία, ιδίως για τις ΜΜΕ και τα νοικοκυριά,</w:t>
      </w:r>
    </w:p>
    <w:p w:rsidR="009F58A3" w:rsidRPr="009D48E9" w:rsidRDefault="002D750B" w:rsidP="00B104E7">
      <w:pPr>
        <w:numPr>
          <w:ilvl w:val="0"/>
          <w:numId w:val="4"/>
        </w:numPr>
        <w:tabs>
          <w:tab w:val="clear" w:pos="0"/>
        </w:tabs>
        <w:overflowPunct w:val="0"/>
        <w:autoSpaceDE w:val="0"/>
        <w:autoSpaceDN w:val="0"/>
        <w:adjustRightInd w:val="0"/>
        <w:ind w:left="283" w:hanging="283"/>
        <w:textAlignment w:val="baseline"/>
      </w:pPr>
      <w:r w:rsidRPr="009D48E9">
        <w:t>φρονεί πως η τραπεζική χρηματοδότηση και η χρηματοδότηση από την αγορά δεν πρέπει να θεωρούνται ανταγωνιστικές αλλά συμπληρωματικές και να αναπτύσσονται παράλληλα,</w:t>
      </w:r>
    </w:p>
    <w:p w:rsidR="009F58A3" w:rsidRPr="009D48E9" w:rsidRDefault="009F58A3" w:rsidP="00B104E7">
      <w:pPr>
        <w:numPr>
          <w:ilvl w:val="0"/>
          <w:numId w:val="4"/>
        </w:numPr>
        <w:tabs>
          <w:tab w:val="clear" w:pos="0"/>
        </w:tabs>
        <w:overflowPunct w:val="0"/>
        <w:autoSpaceDE w:val="0"/>
        <w:autoSpaceDN w:val="0"/>
        <w:adjustRightInd w:val="0"/>
        <w:ind w:left="283" w:hanging="283"/>
        <w:textAlignment w:val="baseline"/>
      </w:pPr>
      <w:r w:rsidRPr="009D48E9">
        <w:t>επιθυμεί οι διατάξεις να είναι επαρκώς ευρείες και τα κριτήρια STS να είναι ρεαλιστικά και εφικτά για το σύνολο των τραπεζών που δραστηριοποιούνται στον τομέα της χρηματοδότησης, είτε είναι μεγάλες είτε μικρές και τοπικές,</w:t>
      </w:r>
    </w:p>
    <w:p w:rsidR="009F58A3" w:rsidRPr="009D48E9" w:rsidRDefault="009F58A3" w:rsidP="00B104E7">
      <w:pPr>
        <w:numPr>
          <w:ilvl w:val="0"/>
          <w:numId w:val="4"/>
        </w:numPr>
        <w:tabs>
          <w:tab w:val="clear" w:pos="0"/>
        </w:tabs>
        <w:overflowPunct w:val="0"/>
        <w:autoSpaceDE w:val="0"/>
        <w:autoSpaceDN w:val="0"/>
        <w:adjustRightInd w:val="0"/>
        <w:ind w:left="283" w:hanging="283"/>
        <w:textAlignment w:val="baseline"/>
      </w:pPr>
      <w:r w:rsidRPr="009D48E9">
        <w:t xml:space="preserve">επιθυμεί οι πράξεις </w:t>
      </w:r>
      <w:proofErr w:type="spellStart"/>
      <w:r w:rsidRPr="009D48E9">
        <w:t>τιτλοποίησης</w:t>
      </w:r>
      <w:proofErr w:type="spellEnd"/>
      <w:r w:rsidRPr="009D48E9">
        <w:t xml:space="preserve"> να είναι ελκυστικές για τους επενδυτές. Πρέπει να προσδιοριστούν σαφώς οι κίνδυνοι που θα προκύψουν και να ξεκαθαριστεί ποιοι θα πρέπει να τους αναλάβουν, λαμβάνοντας υπόψη όλο το φάσμα της αλυσίδας, από τον εκδότη έως τον επενδυτή,</w:t>
      </w:r>
    </w:p>
    <w:p w:rsidR="009F58A3" w:rsidRPr="009D48E9" w:rsidRDefault="009F58A3" w:rsidP="00B104E7">
      <w:pPr>
        <w:numPr>
          <w:ilvl w:val="0"/>
          <w:numId w:val="4"/>
        </w:numPr>
        <w:tabs>
          <w:tab w:val="clear" w:pos="0"/>
        </w:tabs>
        <w:overflowPunct w:val="0"/>
        <w:autoSpaceDE w:val="0"/>
        <w:autoSpaceDN w:val="0"/>
        <w:adjustRightInd w:val="0"/>
        <w:ind w:left="283" w:hanging="283"/>
        <w:textAlignment w:val="baseline"/>
      </w:pPr>
      <w:r w:rsidRPr="009D48E9">
        <w:t>φρονεί πως είναι πλέον απαραίτητο να μην επαναληφθούν τα λάθη του παρελθόντος,</w:t>
      </w:r>
    </w:p>
    <w:p w:rsidR="009F58A3" w:rsidRPr="009D48E9" w:rsidRDefault="009F58A3" w:rsidP="00B104E7">
      <w:pPr>
        <w:numPr>
          <w:ilvl w:val="0"/>
          <w:numId w:val="4"/>
        </w:numPr>
        <w:tabs>
          <w:tab w:val="clear" w:pos="0"/>
        </w:tabs>
        <w:overflowPunct w:val="0"/>
        <w:autoSpaceDE w:val="0"/>
        <w:autoSpaceDN w:val="0"/>
        <w:adjustRightInd w:val="0"/>
        <w:ind w:left="283" w:hanging="283"/>
        <w:textAlignment w:val="baseline"/>
      </w:pPr>
      <w:r w:rsidRPr="009D48E9">
        <w:t xml:space="preserve"> συμμερίζεται την άποψη ότι η </w:t>
      </w:r>
      <w:proofErr w:type="spellStart"/>
      <w:r w:rsidRPr="009D48E9">
        <w:t>τιτλοποίηση</w:t>
      </w:r>
      <w:proofErr w:type="spellEnd"/>
      <w:r w:rsidRPr="009D48E9">
        <w:t xml:space="preserve"> δεν μπορεί να είναι διαθέσιμη στους μικροεπενδυτές και στους καταναλωτές, δεδομένης της πολυπλοκότητας του θέματος και των συναφών κινδύνων. Η ΕΟΚΕ ζητεί να συμπεριληφθεί ρητή απαγόρευση στα κείμενα.</w:t>
      </w:r>
    </w:p>
    <w:p w:rsidR="009F58A3" w:rsidRPr="009D48E9" w:rsidRDefault="009F58A3" w:rsidP="004E3A5B">
      <w:pPr>
        <w:tabs>
          <w:tab w:val="left" w:pos="770"/>
        </w:tabs>
        <w:ind w:left="1430" w:hanging="1430"/>
        <w:rPr>
          <w:b/>
          <w:bCs/>
          <w:i/>
          <w:iCs/>
        </w:rPr>
      </w:pPr>
    </w:p>
    <w:p w:rsidR="009F58A3" w:rsidRPr="009D48E9" w:rsidRDefault="009F58A3" w:rsidP="00B104E7">
      <w:pPr>
        <w:keepNext/>
        <w:ind w:left="1429" w:hanging="1429"/>
        <w:rPr>
          <w:i/>
          <w:iCs/>
        </w:rPr>
      </w:pPr>
      <w:proofErr w:type="spellStart"/>
      <w:r w:rsidRPr="009D48E9">
        <w:rPr>
          <w:b/>
          <w:i/>
        </w:rPr>
        <w:lastRenderedPageBreak/>
        <w:t>Επικοινωνία</w:t>
      </w:r>
      <w:r w:rsidRPr="009D48E9">
        <w:t>:</w:t>
      </w:r>
      <w:r w:rsidRPr="009D48E9">
        <w:rPr>
          <w:i/>
        </w:rPr>
        <w:t>Siegfried</w:t>
      </w:r>
      <w:proofErr w:type="spellEnd"/>
      <w:r w:rsidRPr="009D48E9">
        <w:rPr>
          <w:i/>
        </w:rPr>
        <w:t xml:space="preserve"> </w:t>
      </w:r>
      <w:proofErr w:type="spellStart"/>
      <w:r w:rsidRPr="009D48E9">
        <w:rPr>
          <w:i/>
        </w:rPr>
        <w:t>Jantscher</w:t>
      </w:r>
      <w:proofErr w:type="spellEnd"/>
    </w:p>
    <w:p w:rsidR="009F58A3" w:rsidRPr="009D48E9" w:rsidRDefault="009F58A3" w:rsidP="00B104E7">
      <w:pPr>
        <w:ind w:left="1430" w:hanging="12"/>
        <w:rPr>
          <w:i/>
          <w:iCs/>
        </w:rPr>
      </w:pPr>
      <w:r w:rsidRPr="009D48E9">
        <w:rPr>
          <w:i/>
        </w:rPr>
        <w:t>(</w:t>
      </w:r>
      <w:proofErr w:type="spellStart"/>
      <w:r w:rsidRPr="009D48E9">
        <w:rPr>
          <w:i/>
        </w:rPr>
        <w:t>Τηλ</w:t>
      </w:r>
      <w:proofErr w:type="spellEnd"/>
      <w:r w:rsidRPr="009D48E9">
        <w:rPr>
          <w:i/>
        </w:rPr>
        <w:t xml:space="preserve">.: 00 32 2 546 82 87 — </w:t>
      </w:r>
      <w:proofErr w:type="spellStart"/>
      <w:r w:rsidRPr="009D48E9">
        <w:rPr>
          <w:i/>
        </w:rPr>
        <w:t>email</w:t>
      </w:r>
      <w:proofErr w:type="spellEnd"/>
      <w:r w:rsidRPr="009D48E9">
        <w:rPr>
          <w:i/>
        </w:rPr>
        <w:t xml:space="preserve">: </w:t>
      </w:r>
      <w:hyperlink r:id="rId28">
        <w:r w:rsidRPr="009D48E9">
          <w:rPr>
            <w:rStyle w:val="Hyperlink"/>
            <w:i/>
            <w:color w:val="auto"/>
          </w:rPr>
          <w:t>siegfried.jantscher@eesc.europa.eu</w:t>
        </w:r>
      </w:hyperlink>
      <w:r w:rsidRPr="009D48E9">
        <w:rPr>
          <w:i/>
        </w:rPr>
        <w:t>)</w:t>
      </w:r>
    </w:p>
    <w:p w:rsidR="00A36A65" w:rsidRPr="009D48E9" w:rsidRDefault="00A36A65" w:rsidP="0079472F">
      <w:pPr>
        <w:rPr>
          <w:b/>
          <w:sz w:val="28"/>
        </w:rPr>
      </w:pPr>
    </w:p>
    <w:p w:rsidR="009F58A3" w:rsidRPr="009D48E9" w:rsidRDefault="00136FA8" w:rsidP="00B104E7">
      <w:pPr>
        <w:keepNext/>
        <w:numPr>
          <w:ilvl w:val="0"/>
          <w:numId w:val="2"/>
        </w:numPr>
        <w:ind w:left="567" w:hanging="578"/>
        <w:outlineLvl w:val="0"/>
        <w:rPr>
          <w:b/>
        </w:rPr>
      </w:pPr>
      <w:bookmarkStart w:id="4" w:name="_Toc442171222"/>
      <w:bookmarkStart w:id="5" w:name="_Toc442171261"/>
      <w:bookmarkStart w:id="6" w:name="_Toc442348517"/>
      <w:r w:rsidRPr="009D48E9">
        <w:rPr>
          <w:b/>
        </w:rPr>
        <w:t>ΕΝΕΡΓΕΙΑ</w:t>
      </w:r>
      <w:bookmarkEnd w:id="4"/>
      <w:bookmarkEnd w:id="5"/>
      <w:bookmarkEnd w:id="6"/>
    </w:p>
    <w:p w:rsidR="007F15F7" w:rsidRPr="009D48E9" w:rsidRDefault="007F15F7" w:rsidP="00B104E7">
      <w:pPr>
        <w:keepNext/>
        <w:rPr>
          <w:b/>
          <w:iCs/>
          <w:highlight w:val="yellow"/>
          <w:u w:val="single"/>
        </w:rPr>
      </w:pPr>
    </w:p>
    <w:p w:rsidR="007F15F7" w:rsidRPr="009D48E9" w:rsidRDefault="007F15F7" w:rsidP="004E3A5B">
      <w:pPr>
        <w:widowControl w:val="0"/>
        <w:numPr>
          <w:ilvl w:val="0"/>
          <w:numId w:val="5"/>
        </w:numPr>
        <w:overflowPunct w:val="0"/>
        <w:autoSpaceDE w:val="0"/>
        <w:autoSpaceDN w:val="0"/>
        <w:adjustRightInd w:val="0"/>
        <w:ind w:hanging="567"/>
        <w:textAlignment w:val="baseline"/>
        <w:rPr>
          <w:b/>
          <w:bCs/>
          <w:i/>
          <w:iCs/>
        </w:rPr>
      </w:pPr>
      <w:r w:rsidRPr="009D48E9">
        <w:rPr>
          <w:b/>
          <w:i/>
        </w:rPr>
        <w:t>Πλαίσιο για την επισήμανση της ενεργειακής απόδοσης</w:t>
      </w:r>
    </w:p>
    <w:p w:rsidR="007F15F7" w:rsidRPr="009D48E9" w:rsidRDefault="007F15F7" w:rsidP="004E3A5B">
      <w:pPr>
        <w:widowControl w:val="0"/>
        <w:rPr>
          <w:bCs/>
          <w:szCs w:val="20"/>
        </w:rPr>
      </w:pPr>
    </w:p>
    <w:p w:rsidR="007F15F7" w:rsidRPr="009D48E9" w:rsidRDefault="007F15F7" w:rsidP="004E3A5B">
      <w:pPr>
        <w:rPr>
          <w:bCs/>
        </w:rPr>
      </w:pPr>
      <w:r w:rsidRPr="009D48E9">
        <w:rPr>
          <w:b/>
        </w:rPr>
        <w:t>Εισηγητής:</w:t>
      </w:r>
      <w:r w:rsidRPr="009D48E9">
        <w:tab/>
        <w:t xml:space="preserve">ο κ. </w:t>
      </w:r>
      <w:proofErr w:type="spellStart"/>
      <w:r w:rsidRPr="009D48E9">
        <w:t>Emilio</w:t>
      </w:r>
      <w:proofErr w:type="spellEnd"/>
      <w:r w:rsidRPr="009D48E9">
        <w:t xml:space="preserve"> </w:t>
      </w:r>
      <w:proofErr w:type="spellStart"/>
      <w:r w:rsidRPr="009D48E9">
        <w:t>Fatovic</w:t>
      </w:r>
      <w:proofErr w:type="spellEnd"/>
      <w:r w:rsidRPr="009D48E9">
        <w:t xml:space="preserve"> (IT-ΙΙ)</w:t>
      </w:r>
    </w:p>
    <w:p w:rsidR="007F15F7" w:rsidRPr="009D48E9" w:rsidRDefault="007F15F7" w:rsidP="004E3A5B">
      <w:pPr>
        <w:tabs>
          <w:tab w:val="num" w:pos="550"/>
        </w:tabs>
        <w:rPr>
          <w:b/>
        </w:rPr>
      </w:pPr>
    </w:p>
    <w:p w:rsidR="007F15F7" w:rsidRPr="009D48E9" w:rsidRDefault="007F15F7" w:rsidP="00B104E7">
      <w:pPr>
        <w:keepNext/>
        <w:ind w:left="1418" w:hanging="1418"/>
        <w:rPr>
          <w:bCs/>
        </w:rPr>
      </w:pPr>
      <w:r w:rsidRPr="009D48E9">
        <w:rPr>
          <w:b/>
        </w:rPr>
        <w:t>Έγγραφο αναφοράς:</w:t>
      </w:r>
      <w:r w:rsidRPr="009D48E9">
        <w:tab/>
        <w:t xml:space="preserve">COM(2015) 341 </w:t>
      </w:r>
      <w:proofErr w:type="spellStart"/>
      <w:r w:rsidRPr="009D48E9">
        <w:t>final</w:t>
      </w:r>
      <w:proofErr w:type="spellEnd"/>
      <w:r w:rsidRPr="009D48E9">
        <w:rPr>
          <w:b/>
        </w:rPr>
        <w:t xml:space="preserve"> </w:t>
      </w:r>
    </w:p>
    <w:p w:rsidR="007F15F7" w:rsidRPr="009D48E9" w:rsidRDefault="00E30A12" w:rsidP="00B104E7">
      <w:pPr>
        <w:ind w:left="1418"/>
        <w:rPr>
          <w:bCs/>
        </w:rPr>
      </w:pPr>
      <w:r w:rsidRPr="009D48E9">
        <w:tab/>
      </w:r>
      <w:r w:rsidRPr="009D48E9">
        <w:tab/>
      </w:r>
      <w:r w:rsidR="007F15F7" w:rsidRPr="009D48E9">
        <w:t>EESC-2015-04936-00-00-AS-TRA</w:t>
      </w:r>
    </w:p>
    <w:p w:rsidR="007F15F7" w:rsidRPr="009D48E9" w:rsidRDefault="007F15F7" w:rsidP="0079472F">
      <w:pPr>
        <w:rPr>
          <w:szCs w:val="20"/>
        </w:rPr>
      </w:pPr>
    </w:p>
    <w:p w:rsidR="007F15F7" w:rsidRPr="009D48E9" w:rsidRDefault="007F15F7" w:rsidP="00B104E7">
      <w:pPr>
        <w:keepNext/>
      </w:pPr>
      <w:r w:rsidRPr="009D48E9">
        <w:rPr>
          <w:b/>
        </w:rPr>
        <w:t>Κύρια σημεία:</w:t>
      </w:r>
    </w:p>
    <w:p w:rsidR="007F15F7" w:rsidRPr="009D48E9" w:rsidRDefault="007F15F7" w:rsidP="00B104E7">
      <w:pPr>
        <w:keepNext/>
      </w:pPr>
    </w:p>
    <w:p w:rsidR="007F15F7" w:rsidRPr="009D48E9" w:rsidRDefault="007F15F7" w:rsidP="004E3A5B">
      <w:r w:rsidRPr="009D48E9">
        <w:t>Η ΕΟΚΕ στηρίζει την πρόταση κανονισμού, καθότι σε αυτήν αναζητείται μια λύση στα κύρια προβλήματα της ισχύουσας νομοθεσίας, όπως η αποτελεσματική εφαρμογή της, η ουσιαστική εποπτεία της αγοράς και το δικαίωμα του καταναλωτή σε μια σαφή, εύληπτη και συγκρίσιμη πληροφόρηση. Η ΕΟΚΕ κρίνει ορθή την επιλογή του κανονισμού αντί της οδηγίας ως νομοθετικής πράξης. Επίσης, συμφωνεί με την πρόταση συγκρότησης βάσης δεδομένων με προϊόντα και με την επαναφορά της ενεργειακής κλίμακας A-G. Επίσης, η ΕΟΚΕ διατυπώνει τις ακόλουθες κύριες συστάσεις:</w:t>
      </w:r>
    </w:p>
    <w:p w:rsidR="007F15F7" w:rsidRPr="009D48E9" w:rsidRDefault="007F15F7" w:rsidP="004E3A5B"/>
    <w:p w:rsidR="007F15F7" w:rsidRPr="009D48E9" w:rsidRDefault="007F15F7" w:rsidP="00B104E7">
      <w:pPr>
        <w:numPr>
          <w:ilvl w:val="0"/>
          <w:numId w:val="4"/>
        </w:numPr>
        <w:tabs>
          <w:tab w:val="clear" w:pos="0"/>
        </w:tabs>
        <w:overflowPunct w:val="0"/>
        <w:autoSpaceDE w:val="0"/>
        <w:autoSpaceDN w:val="0"/>
        <w:adjustRightInd w:val="0"/>
        <w:ind w:left="363" w:hanging="363"/>
        <w:textAlignment w:val="baseline"/>
      </w:pPr>
      <w:r w:rsidRPr="009D48E9">
        <w:t>Επιβολή αυστηρότερων ελέγχων στα προς πώληση προϊόντα και στα χαρακτηριστικά τους, έτσι ώστε να διασφαλίζεται ότι αυτά αντιστοιχούν πραγματικά σε όσα αναγράφονται στην ετικέτα.</w:t>
      </w:r>
    </w:p>
    <w:p w:rsidR="007F15F7" w:rsidRPr="009D48E9" w:rsidRDefault="007F15F7" w:rsidP="00B104E7">
      <w:pPr>
        <w:numPr>
          <w:ilvl w:val="0"/>
          <w:numId w:val="4"/>
        </w:numPr>
        <w:tabs>
          <w:tab w:val="clear" w:pos="0"/>
        </w:tabs>
        <w:overflowPunct w:val="0"/>
        <w:autoSpaceDE w:val="0"/>
        <w:autoSpaceDN w:val="0"/>
        <w:adjustRightInd w:val="0"/>
        <w:ind w:left="363" w:hanging="363"/>
        <w:textAlignment w:val="baseline"/>
      </w:pPr>
      <w:r w:rsidRPr="009D48E9">
        <w:t>Συμπερίληψη άλλων χρήσιμων για τους καταναλωτές πληροφοριών στη νέα επισήμανση, όπως η ελάχιστη εκτιμούμενη διάρκεια ζωής και η ενεργειακή κατανάλωση του προϊόντος.</w:t>
      </w:r>
    </w:p>
    <w:p w:rsidR="007F15F7" w:rsidRPr="009D48E9" w:rsidRDefault="007F15F7" w:rsidP="00B104E7">
      <w:pPr>
        <w:numPr>
          <w:ilvl w:val="0"/>
          <w:numId w:val="4"/>
        </w:numPr>
        <w:tabs>
          <w:tab w:val="clear" w:pos="0"/>
        </w:tabs>
        <w:overflowPunct w:val="0"/>
        <w:autoSpaceDE w:val="0"/>
        <w:autoSpaceDN w:val="0"/>
        <w:adjustRightInd w:val="0"/>
        <w:ind w:left="363" w:hanging="363"/>
        <w:textAlignment w:val="baseline"/>
      </w:pPr>
      <w:r w:rsidRPr="009D48E9">
        <w:t xml:space="preserve">Καθιέρωση ενός κοινού </w:t>
      </w:r>
      <w:proofErr w:type="spellStart"/>
      <w:r w:rsidRPr="009D48E9">
        <w:t>πανενωσιακού</w:t>
      </w:r>
      <w:proofErr w:type="spellEnd"/>
      <w:r w:rsidRPr="009D48E9">
        <w:t xml:space="preserve"> συστήματος κυρώσεων.</w:t>
      </w:r>
    </w:p>
    <w:p w:rsidR="007F15F7" w:rsidRPr="009D48E9" w:rsidRDefault="007F15F7" w:rsidP="00B104E7">
      <w:pPr>
        <w:numPr>
          <w:ilvl w:val="0"/>
          <w:numId w:val="4"/>
        </w:numPr>
        <w:tabs>
          <w:tab w:val="clear" w:pos="0"/>
        </w:tabs>
        <w:overflowPunct w:val="0"/>
        <w:autoSpaceDE w:val="0"/>
        <w:autoSpaceDN w:val="0"/>
        <w:adjustRightInd w:val="0"/>
        <w:ind w:left="363" w:hanging="363"/>
        <w:textAlignment w:val="baseline"/>
      </w:pPr>
      <w:r w:rsidRPr="009D48E9">
        <w:t xml:space="preserve">Λήψη μέτρων για να μην </w:t>
      </w:r>
      <w:proofErr w:type="spellStart"/>
      <w:r w:rsidRPr="009D48E9">
        <w:t>μετακυλίεται</w:t>
      </w:r>
      <w:proofErr w:type="spellEnd"/>
      <w:r w:rsidRPr="009D48E9">
        <w:t xml:space="preserve"> αυτομάτως στους </w:t>
      </w:r>
      <w:proofErr w:type="spellStart"/>
      <w:r w:rsidRPr="009D48E9">
        <w:t>λιανεμπόρους</w:t>
      </w:r>
      <w:proofErr w:type="spellEnd"/>
      <w:r w:rsidRPr="009D48E9">
        <w:t xml:space="preserve"> ή τους τελικούς χρήστες τυχόν επιπρόσθετο κόστος λόγω της εφαρμογής του νέου συστήματος επισήμανσης.</w:t>
      </w:r>
    </w:p>
    <w:p w:rsidR="007F15F7" w:rsidRPr="009D48E9" w:rsidRDefault="007F15F7" w:rsidP="00B104E7">
      <w:pPr>
        <w:numPr>
          <w:ilvl w:val="0"/>
          <w:numId w:val="4"/>
        </w:numPr>
        <w:tabs>
          <w:tab w:val="clear" w:pos="0"/>
        </w:tabs>
        <w:overflowPunct w:val="0"/>
        <w:autoSpaceDE w:val="0"/>
        <w:autoSpaceDN w:val="0"/>
        <w:adjustRightInd w:val="0"/>
        <w:ind w:left="363" w:hanging="363"/>
        <w:textAlignment w:val="baseline"/>
      </w:pPr>
      <w:r w:rsidRPr="009D48E9">
        <w:t>Μέτρα ρύθμισης των διαδικτυακών αγορών, εκεί δηλαδή όπου διαπιστώνονται οι σοβαρότερες παραβιάσεις της υποχρεωτικής επισήμανσης της ενεργειακής απόδοσης.</w:t>
      </w:r>
    </w:p>
    <w:p w:rsidR="007F15F7" w:rsidRPr="009D48E9" w:rsidRDefault="007F15F7" w:rsidP="00B104E7">
      <w:pPr>
        <w:numPr>
          <w:ilvl w:val="0"/>
          <w:numId w:val="4"/>
        </w:numPr>
        <w:tabs>
          <w:tab w:val="clear" w:pos="0"/>
        </w:tabs>
        <w:overflowPunct w:val="0"/>
        <w:autoSpaceDE w:val="0"/>
        <w:autoSpaceDN w:val="0"/>
        <w:adjustRightInd w:val="0"/>
        <w:ind w:left="363" w:hanging="363"/>
        <w:textAlignment w:val="baseline"/>
      </w:pPr>
      <w:r w:rsidRPr="009D48E9">
        <w:t>Ρύθμιση της εμπορίας των «μεταποιημένων» ενεργειακών προϊόντων προς αποφυγή νομικών κενών και για λόγους καλύτερης σύζευξης των στρατηγικών υπέρ της ενεργειακής απόδοσης και της κυκλικής οικονομίας.</w:t>
      </w:r>
    </w:p>
    <w:p w:rsidR="007F15F7" w:rsidRPr="009D48E9" w:rsidRDefault="007F15F7" w:rsidP="00B104E7">
      <w:pPr>
        <w:numPr>
          <w:ilvl w:val="0"/>
          <w:numId w:val="4"/>
        </w:numPr>
        <w:tabs>
          <w:tab w:val="clear" w:pos="0"/>
        </w:tabs>
        <w:overflowPunct w:val="0"/>
        <w:autoSpaceDE w:val="0"/>
        <w:autoSpaceDN w:val="0"/>
        <w:adjustRightInd w:val="0"/>
        <w:ind w:left="363" w:hanging="363"/>
        <w:textAlignment w:val="baseline"/>
      </w:pPr>
      <w:r w:rsidRPr="009D48E9">
        <w:t>Ιδιαίτερη προσοχή στα εισαγόμενα από τρίτες χώρες προϊόντα για λόγους προστασίας της παραγωγής στην ΕΕ από μορφές αθέμιτου ανταγωνισμού ή απάτης.</w:t>
      </w:r>
    </w:p>
    <w:p w:rsidR="007F15F7" w:rsidRPr="009D48E9" w:rsidRDefault="007F15F7" w:rsidP="00B104E7">
      <w:pPr>
        <w:numPr>
          <w:ilvl w:val="0"/>
          <w:numId w:val="4"/>
        </w:numPr>
        <w:tabs>
          <w:tab w:val="clear" w:pos="0"/>
        </w:tabs>
        <w:overflowPunct w:val="0"/>
        <w:autoSpaceDE w:val="0"/>
        <w:autoSpaceDN w:val="0"/>
        <w:adjustRightInd w:val="0"/>
        <w:ind w:left="363" w:hanging="363"/>
        <w:textAlignment w:val="baseline"/>
      </w:pPr>
      <w:r w:rsidRPr="009D48E9">
        <w:t xml:space="preserve">Επίσης, πρέπει η οργανωμένη κοινωνία πολιτών να συνεργαστεί με τις εθνικές κυβερνήσεις με σκοπό την προαγωγή αποτελεσματικότερης και ευρύτερης πληροφόρησης και ευαισθητοποίησης των καταναλωτών, συμπεριλαμβανομένων των </w:t>
      </w:r>
      <w:proofErr w:type="spellStart"/>
      <w:r w:rsidRPr="009D48E9">
        <w:t>λιανεμπόρων</w:t>
      </w:r>
      <w:proofErr w:type="spellEnd"/>
      <w:r w:rsidRPr="009D48E9">
        <w:t>.</w:t>
      </w:r>
    </w:p>
    <w:p w:rsidR="007F15F7" w:rsidRPr="009D48E9" w:rsidRDefault="007F15F7" w:rsidP="00B104E7">
      <w:pPr>
        <w:numPr>
          <w:ilvl w:val="0"/>
          <w:numId w:val="4"/>
        </w:numPr>
        <w:tabs>
          <w:tab w:val="clear" w:pos="0"/>
        </w:tabs>
        <w:overflowPunct w:val="0"/>
        <w:autoSpaceDE w:val="0"/>
        <w:autoSpaceDN w:val="0"/>
        <w:adjustRightInd w:val="0"/>
        <w:ind w:left="363" w:hanging="363"/>
        <w:textAlignment w:val="baseline"/>
      </w:pPr>
      <w:r w:rsidRPr="009D48E9">
        <w:t>Πρέπει η περίοδος μετά τη λήξη της μεταβατικής περιόδου να επεκταθεί στις 30 ημέρες, έτσι ώστε να υπάρχει αρκετός χρόνος για την οριστική μεταπήδηση στο νέο καθεστώς επισήμανσης των προϊόντων.</w:t>
      </w:r>
    </w:p>
    <w:p w:rsidR="007F15F7" w:rsidRPr="009D48E9" w:rsidRDefault="007F15F7" w:rsidP="00B104E7">
      <w:pPr>
        <w:numPr>
          <w:ilvl w:val="0"/>
          <w:numId w:val="4"/>
        </w:numPr>
        <w:tabs>
          <w:tab w:val="clear" w:pos="0"/>
        </w:tabs>
        <w:overflowPunct w:val="0"/>
        <w:autoSpaceDE w:val="0"/>
        <w:autoSpaceDN w:val="0"/>
        <w:adjustRightInd w:val="0"/>
        <w:ind w:left="363" w:hanging="363"/>
        <w:textAlignment w:val="baseline"/>
      </w:pPr>
      <w:r w:rsidRPr="009D48E9">
        <w:lastRenderedPageBreak/>
        <w:t>Πρέπει η Ευρωπαϊκή Επιτροπή να επιδείξει μεγαλύτερη σύνεση και μέτρο στις κατ’ εξουσιοδότηση πράξεις.</w:t>
      </w:r>
    </w:p>
    <w:p w:rsidR="007F15F7" w:rsidRPr="009D48E9" w:rsidRDefault="007F15F7" w:rsidP="00B104E7">
      <w:pPr>
        <w:numPr>
          <w:ilvl w:val="0"/>
          <w:numId w:val="4"/>
        </w:numPr>
        <w:tabs>
          <w:tab w:val="clear" w:pos="0"/>
        </w:tabs>
        <w:overflowPunct w:val="0"/>
        <w:autoSpaceDE w:val="0"/>
        <w:autoSpaceDN w:val="0"/>
        <w:adjustRightInd w:val="0"/>
        <w:ind w:left="363" w:hanging="363"/>
        <w:textAlignment w:val="baseline"/>
      </w:pPr>
      <w:r w:rsidRPr="009D48E9">
        <w:t xml:space="preserve">Πρέπει να διεξαχθεί μια μεσοπρόθεσμη εκτίμηση </w:t>
      </w:r>
      <w:proofErr w:type="spellStart"/>
      <w:r w:rsidRPr="009D48E9">
        <w:t>αντικτύπου</w:t>
      </w:r>
      <w:proofErr w:type="spellEnd"/>
      <w:r w:rsidRPr="009D48E9">
        <w:t xml:space="preserve"> του πλαισίου επισήμανσης κατά την προβλεπόμενη οκταετή περίοδο.</w:t>
      </w:r>
    </w:p>
    <w:p w:rsidR="007F15F7" w:rsidRPr="009D48E9" w:rsidRDefault="007F15F7" w:rsidP="00B104E7">
      <w:pPr>
        <w:numPr>
          <w:ilvl w:val="0"/>
          <w:numId w:val="4"/>
        </w:numPr>
        <w:tabs>
          <w:tab w:val="clear" w:pos="0"/>
        </w:tabs>
        <w:overflowPunct w:val="0"/>
        <w:autoSpaceDE w:val="0"/>
        <w:autoSpaceDN w:val="0"/>
        <w:adjustRightInd w:val="0"/>
        <w:ind w:left="363" w:hanging="363"/>
        <w:textAlignment w:val="baseline"/>
      </w:pPr>
      <w:r w:rsidRPr="009D48E9">
        <w:t>Τέλος, πρέπει η αναπροσαρμογή της κλίμακας να γίνεται σε συνάρτηση με την τεχνολογική πρόοδο, δηλαδή μόνο όταν θα έχουμε φθάσει στο σημείο τα προϊόντα ενεργειακής κατηγορίας Α να αντιστοιχούν τουλάχιστον στο 20% της αγοράς.</w:t>
      </w:r>
    </w:p>
    <w:p w:rsidR="007F15F7" w:rsidRPr="009D48E9" w:rsidRDefault="007F15F7" w:rsidP="004E3A5B"/>
    <w:p w:rsidR="007F15F7" w:rsidRPr="009D48E9" w:rsidRDefault="007F15F7" w:rsidP="00B104E7">
      <w:pPr>
        <w:keepNext/>
        <w:ind w:left="1418" w:hanging="1418"/>
        <w:rPr>
          <w:i/>
          <w:szCs w:val="20"/>
        </w:rPr>
      </w:pPr>
      <w:proofErr w:type="spellStart"/>
      <w:r w:rsidRPr="009D48E9">
        <w:rPr>
          <w:b/>
          <w:i/>
        </w:rPr>
        <w:t>Επικοινωνία</w:t>
      </w:r>
      <w:r w:rsidRPr="009D48E9">
        <w:t>:</w:t>
      </w:r>
      <w:r w:rsidRPr="009D48E9">
        <w:rPr>
          <w:i/>
        </w:rPr>
        <w:t>Andrei</w:t>
      </w:r>
      <w:proofErr w:type="spellEnd"/>
      <w:r w:rsidRPr="009D48E9">
        <w:rPr>
          <w:i/>
        </w:rPr>
        <w:t xml:space="preserve"> Popescu</w:t>
      </w:r>
    </w:p>
    <w:p w:rsidR="007F15F7" w:rsidRPr="009D48E9" w:rsidRDefault="007F15F7" w:rsidP="00B104E7">
      <w:pPr>
        <w:widowControl w:val="0"/>
        <w:ind w:left="1418"/>
        <w:rPr>
          <w:i/>
          <w:iCs/>
        </w:rPr>
      </w:pPr>
      <w:r w:rsidRPr="009D48E9">
        <w:rPr>
          <w:i/>
        </w:rPr>
        <w:t>(</w:t>
      </w:r>
      <w:proofErr w:type="spellStart"/>
      <w:r w:rsidRPr="009D48E9">
        <w:rPr>
          <w:i/>
        </w:rPr>
        <w:t>Τηλ</w:t>
      </w:r>
      <w:proofErr w:type="spellEnd"/>
      <w:r w:rsidRPr="009D48E9">
        <w:rPr>
          <w:i/>
        </w:rPr>
        <w:t>.: 00 32 2 546 9186 – e-</w:t>
      </w:r>
      <w:proofErr w:type="spellStart"/>
      <w:r w:rsidRPr="009D48E9">
        <w:rPr>
          <w:i/>
        </w:rPr>
        <w:t>mail</w:t>
      </w:r>
      <w:proofErr w:type="spellEnd"/>
      <w:r w:rsidRPr="009D48E9">
        <w:rPr>
          <w:i/>
        </w:rPr>
        <w:t xml:space="preserve">: </w:t>
      </w:r>
      <w:hyperlink r:id="rId29">
        <w:r w:rsidRPr="009D48E9">
          <w:rPr>
            <w:rStyle w:val="Hyperlink"/>
            <w:i/>
            <w:color w:val="auto"/>
          </w:rPr>
          <w:t>Andrei.Popescu@eesc.europa.eu</w:t>
        </w:r>
      </w:hyperlink>
      <w:r w:rsidRPr="009D48E9">
        <w:rPr>
          <w:i/>
        </w:rPr>
        <w:t>)</w:t>
      </w:r>
    </w:p>
    <w:p w:rsidR="002A3665" w:rsidRPr="009D48E9" w:rsidRDefault="002A3665" w:rsidP="00B104E7">
      <w:pPr>
        <w:spacing w:line="240" w:lineRule="auto"/>
        <w:jc w:val="left"/>
        <w:rPr>
          <w:iCs/>
        </w:rPr>
      </w:pPr>
    </w:p>
    <w:p w:rsidR="007F15F7" w:rsidRPr="009D48E9" w:rsidRDefault="007F15F7" w:rsidP="004E3A5B">
      <w:pPr>
        <w:rPr>
          <w:b/>
          <w:iCs/>
          <w:highlight w:val="yellow"/>
          <w:u w:val="single"/>
        </w:rPr>
      </w:pPr>
    </w:p>
    <w:p w:rsidR="007F15F7" w:rsidRPr="009D48E9" w:rsidRDefault="007F15F7" w:rsidP="004E3A5B">
      <w:pPr>
        <w:widowControl w:val="0"/>
        <w:numPr>
          <w:ilvl w:val="0"/>
          <w:numId w:val="5"/>
        </w:numPr>
        <w:overflowPunct w:val="0"/>
        <w:autoSpaceDE w:val="0"/>
        <w:autoSpaceDN w:val="0"/>
        <w:adjustRightInd w:val="0"/>
        <w:ind w:hanging="567"/>
        <w:textAlignment w:val="baseline"/>
        <w:rPr>
          <w:b/>
          <w:bCs/>
          <w:i/>
          <w:iCs/>
        </w:rPr>
      </w:pPr>
      <w:r w:rsidRPr="009D48E9">
        <w:rPr>
          <w:b/>
          <w:i/>
        </w:rPr>
        <w:t>Έναρξη της διαδικασίας δημόσιας διαβούλευσης σχετικά με τον ανασχεδιασμό της αγοράς ενέργειας</w:t>
      </w:r>
    </w:p>
    <w:p w:rsidR="007F15F7" w:rsidRPr="009D48E9" w:rsidRDefault="007F15F7" w:rsidP="004E3A5B">
      <w:pPr>
        <w:widowControl w:val="0"/>
        <w:rPr>
          <w:bCs/>
          <w:szCs w:val="20"/>
        </w:rPr>
      </w:pPr>
    </w:p>
    <w:p w:rsidR="007F15F7" w:rsidRPr="009D48E9" w:rsidRDefault="007F15F7" w:rsidP="002A4A76">
      <w:pPr>
        <w:ind w:left="1418" w:hanging="1418"/>
        <w:rPr>
          <w:bCs/>
        </w:rPr>
      </w:pPr>
      <w:r w:rsidRPr="009D48E9">
        <w:rPr>
          <w:b/>
        </w:rPr>
        <w:t>Εισηγητής:</w:t>
      </w:r>
      <w:r w:rsidRPr="009D48E9">
        <w:tab/>
        <w:t xml:space="preserve">ο κ. </w:t>
      </w:r>
      <w:proofErr w:type="spellStart"/>
      <w:r w:rsidRPr="009D48E9">
        <w:t>Lutz</w:t>
      </w:r>
      <w:proofErr w:type="spellEnd"/>
      <w:r w:rsidRPr="009D48E9">
        <w:t xml:space="preserve"> </w:t>
      </w:r>
      <w:proofErr w:type="spellStart"/>
      <w:r w:rsidRPr="009D48E9">
        <w:t>Ribbe</w:t>
      </w:r>
      <w:proofErr w:type="spellEnd"/>
      <w:r w:rsidRPr="009D48E9">
        <w:t xml:space="preserve"> (DE-ΙΙΙ)</w:t>
      </w:r>
    </w:p>
    <w:p w:rsidR="007F15F7" w:rsidRPr="009D48E9" w:rsidRDefault="007F15F7" w:rsidP="00B104E7">
      <w:pPr>
        <w:ind w:left="1418" w:hanging="1418"/>
        <w:rPr>
          <w:b/>
        </w:rPr>
      </w:pPr>
    </w:p>
    <w:p w:rsidR="007F15F7" w:rsidRPr="009D48E9" w:rsidRDefault="007F15F7" w:rsidP="00B104E7">
      <w:pPr>
        <w:keepNext/>
        <w:ind w:left="1418" w:hanging="1418"/>
        <w:rPr>
          <w:b/>
        </w:rPr>
      </w:pPr>
      <w:r w:rsidRPr="009D48E9">
        <w:rPr>
          <w:b/>
        </w:rPr>
        <w:t>Έγγραφο αναφοράς:</w:t>
      </w:r>
      <w:r w:rsidRPr="009D48E9">
        <w:t xml:space="preserve"> </w:t>
      </w:r>
      <w:r w:rsidRPr="009D48E9">
        <w:tab/>
        <w:t xml:space="preserve">COM(2015) 340 </w:t>
      </w:r>
      <w:proofErr w:type="spellStart"/>
      <w:r w:rsidRPr="009D48E9">
        <w:t>final</w:t>
      </w:r>
      <w:proofErr w:type="spellEnd"/>
    </w:p>
    <w:p w:rsidR="007F15F7" w:rsidRPr="009D48E9" w:rsidRDefault="00E30A12" w:rsidP="00B104E7">
      <w:pPr>
        <w:ind w:left="1418"/>
        <w:rPr>
          <w:bCs/>
        </w:rPr>
      </w:pPr>
      <w:r w:rsidRPr="009D48E9">
        <w:tab/>
      </w:r>
      <w:r w:rsidRPr="009D48E9">
        <w:tab/>
      </w:r>
      <w:r w:rsidR="007F15F7" w:rsidRPr="009D48E9">
        <w:t>EESC-2015-05033-00-00-AS-TRA</w:t>
      </w:r>
    </w:p>
    <w:p w:rsidR="007F15F7" w:rsidRPr="009D48E9" w:rsidRDefault="007F15F7" w:rsidP="0079472F">
      <w:pPr>
        <w:rPr>
          <w:szCs w:val="20"/>
        </w:rPr>
      </w:pPr>
    </w:p>
    <w:p w:rsidR="007F15F7" w:rsidRPr="009D48E9" w:rsidRDefault="007F15F7" w:rsidP="00B104E7">
      <w:pPr>
        <w:keepNext/>
      </w:pPr>
      <w:r w:rsidRPr="009D48E9">
        <w:rPr>
          <w:b/>
        </w:rPr>
        <w:t>Κύρια σημεία:</w:t>
      </w:r>
    </w:p>
    <w:p w:rsidR="007F15F7" w:rsidRPr="009D48E9" w:rsidRDefault="007F15F7" w:rsidP="00B104E7">
      <w:pPr>
        <w:keepNext/>
      </w:pPr>
    </w:p>
    <w:p w:rsidR="007F15F7" w:rsidRPr="009D48E9" w:rsidRDefault="007F15F7" w:rsidP="004E3A5B">
      <w:r w:rsidRPr="009D48E9">
        <w:t xml:space="preserve">Η ΕΟΚΕ αντιλαμβάνεται τη σημασία ενός νέου σχεδιασμού της ενεργειακής αγοράς για την επίτευξη των φιλόδοξων πολιτικών στόχων της Ευρωπαϊκής Ένωσης για το κλίμα, και ιδίως την εξάπλωση των ανανεώσιμων μορφών ενέργειας. Η ΕΟΚΕ αναγνωρίζει ότι πολλά από τα μέτρα που προτείνει η Ευρωπαϊκή Επιτροπή στην Ανακοίνωσή της, όπως η θέσπιση αγορών </w:t>
      </w:r>
      <w:proofErr w:type="spellStart"/>
      <w:r w:rsidRPr="009D48E9">
        <w:t>ενδοημερησίων</w:t>
      </w:r>
      <w:proofErr w:type="spellEnd"/>
      <w:r w:rsidRPr="009D48E9">
        <w:t xml:space="preserve"> συναλλαγών ή η εξάλειψη εθνικών διατάξεων που στρεβλώνουν την αγορά αποτελούν βήματα προς τη σωστή κατεύθυνση. Ωστόσο, η ΕΟΚΕ θα προτιμούσε η Επιτροπή να επεδείκνυε μεγαλύτερη φιλοδοξία.</w:t>
      </w:r>
    </w:p>
    <w:p w:rsidR="007F15F7" w:rsidRPr="009D48E9" w:rsidRDefault="007F15F7" w:rsidP="004E3A5B"/>
    <w:p w:rsidR="007F15F7" w:rsidRPr="009D48E9" w:rsidRDefault="007F15F7" w:rsidP="004E3A5B">
      <w:r w:rsidRPr="009D48E9">
        <w:t>Η ΕΟΚΕ τονίζει ότι το ενεργειακό σύστημα αποτελεί πρωτίστως ζήτημα που αφορά το σύνολο της κοινωνίας, η διαχείριση και εξέλιξη του οποίου απαιτεί προσεκτική ισορροπία μεταξύ αγοράς και ρύθμισης.</w:t>
      </w:r>
    </w:p>
    <w:p w:rsidR="007F15F7" w:rsidRPr="009D48E9" w:rsidRDefault="007F15F7" w:rsidP="004E3A5B"/>
    <w:p w:rsidR="007F15F7" w:rsidRPr="009D48E9" w:rsidRDefault="007F15F7" w:rsidP="004E3A5B">
      <w:r w:rsidRPr="009D48E9">
        <w:t xml:space="preserve">Η ΕΟΚΕ επισημαίνει πως το υφιστάμενο σύστημα δεν παρέχει ούτε επιλογές με ικανή ευελιξία (αποθήκευση, διαχείριση της ζήτησης, συμπαραγωγή) στους παράγοντες της αγοράς ούτε τις αναγκαίες υποδομές διανομής της ενέργειας. Επιπλέον, οι καταναλωτές στερούνται πρόσβασης στην ενημέρωση και τους πόρους όσον αφορά αναδυόμενες ευκαιρίες στον τομέα της </w:t>
      </w:r>
      <w:proofErr w:type="spellStart"/>
      <w:r w:rsidRPr="009D48E9">
        <w:t>αυτοπαραγωγής</w:t>
      </w:r>
      <w:proofErr w:type="spellEnd"/>
      <w:r w:rsidRPr="009D48E9">
        <w:t>, της αυτοκατανάλωσης και της εμπορικής διάθεσης της δικής τους ηλεκτρικής ενέργειας.</w:t>
      </w:r>
    </w:p>
    <w:p w:rsidR="007F15F7" w:rsidRPr="009D48E9" w:rsidRDefault="007F15F7" w:rsidP="004E3A5B"/>
    <w:p w:rsidR="007F15F7" w:rsidRPr="009D48E9" w:rsidRDefault="007F15F7" w:rsidP="004E3A5B">
      <w:r w:rsidRPr="009D48E9">
        <w:t xml:space="preserve">Η ΕΟΚΕ υπογραμμίζει τη σημασία της σωστής τιμολόγησης. Σήμερα, οι (υπερβολικά χαμηλές) τιμές δεν παρέχουν ικανά κίνητρα για επενδύσεις σε τεχνολογία και υποδομές χαμηλών ανθρακούχων εκπομπών. Οι χαμηλές τιμές διαμορφώνονται εν μέρει από επιδοτήσεις, ρυθμίσεις και μονάδες παραγωγής ενέργειας που έχει αποφασιστεί να κλείσουν. Η ΕΟΚΕ καλεί την Επιτροπή να προωθήσει </w:t>
      </w:r>
      <w:r w:rsidRPr="009D48E9">
        <w:lastRenderedPageBreak/>
        <w:t>μεγαλύτερη διαφάνεια στις τιμές, να εξασφαλίσει την πλήρη ενσωμάτωση των εξωτερικών παραγόντων (π.χ. ανθρακούχες εκπομπές) στην τιμή και την κατάργηση της υφιστάμενης κρατικής παρέμβασης στη ρύθμιση των τιμών και να προσαρμόσει το δικό της σύστημα επιδοτήσεων.</w:t>
      </w:r>
    </w:p>
    <w:p w:rsidR="007F15F7" w:rsidRPr="009D48E9" w:rsidRDefault="007F15F7" w:rsidP="004E3A5B"/>
    <w:p w:rsidR="007F15F7" w:rsidRPr="009D48E9" w:rsidRDefault="007F15F7" w:rsidP="004E3A5B">
      <w:r w:rsidRPr="009D48E9">
        <w:t>Η ΕΟΚΕ εφιστά την προσοχή στις μείζονες προκλήσεις αλλά και τις σημαντικές ευκαιρίες που δημιουργεί η μετατροπή ενός κεντρικού ενεργειακού συστήματος βασισμένου στα ορυκτά καύσιμα σε αποκεντρωμένο σύστημα βασισμένο στις ανανεώσιμες πηγές ενέργειας και στο οποίο θα συμμετέχει ευρύ φάσμα νέων παραγόντων της αγοράς (δήμων, μεσαζόντων, ενεργειακών υπηρεσιών κ.ά.). Προς τούτο, είναι καθοριστικής σημασίας οι υποδομές και τα δίκτυα, οι κανονισμοί και οι άλλοι παράγοντες της αγοράς (όπως οι διαχειριστές συστημάτων διανομής) να επιτρέπουν την τοπική και αποκεντρωμένη παραγωγή ενέργειας και την άμεση εμπορική της διάθεση χωρίς τη διαμεσολάβηση αγορών ή μεσαζόντων.</w:t>
      </w:r>
    </w:p>
    <w:p w:rsidR="007F15F7" w:rsidRPr="009D48E9" w:rsidRDefault="007F15F7" w:rsidP="004E3A5B"/>
    <w:p w:rsidR="007F15F7" w:rsidRPr="009D48E9" w:rsidRDefault="007F15F7" w:rsidP="00B104E7">
      <w:pPr>
        <w:keepNext/>
        <w:ind w:left="1418" w:hanging="1418"/>
        <w:rPr>
          <w:i/>
          <w:szCs w:val="20"/>
        </w:rPr>
      </w:pPr>
      <w:proofErr w:type="spellStart"/>
      <w:r w:rsidRPr="009D48E9">
        <w:rPr>
          <w:b/>
          <w:i/>
        </w:rPr>
        <w:t>Επικοινωνία</w:t>
      </w:r>
      <w:r w:rsidRPr="009D48E9">
        <w:t>:</w:t>
      </w:r>
      <w:r w:rsidRPr="009D48E9">
        <w:rPr>
          <w:i/>
        </w:rPr>
        <w:t>Kristian</w:t>
      </w:r>
      <w:proofErr w:type="spellEnd"/>
      <w:r w:rsidRPr="009D48E9">
        <w:rPr>
          <w:i/>
        </w:rPr>
        <w:t xml:space="preserve"> </w:t>
      </w:r>
      <w:proofErr w:type="spellStart"/>
      <w:r w:rsidRPr="009D48E9">
        <w:rPr>
          <w:i/>
        </w:rPr>
        <w:t>Krieger</w:t>
      </w:r>
      <w:proofErr w:type="spellEnd"/>
    </w:p>
    <w:p w:rsidR="007F15F7" w:rsidRPr="009D48E9" w:rsidRDefault="007F15F7" w:rsidP="00B104E7">
      <w:pPr>
        <w:widowControl w:val="0"/>
        <w:ind w:left="1418"/>
        <w:rPr>
          <w:i/>
          <w:iCs/>
        </w:rPr>
      </w:pPr>
      <w:r w:rsidRPr="009D48E9">
        <w:rPr>
          <w:i/>
        </w:rPr>
        <w:t>(</w:t>
      </w:r>
      <w:proofErr w:type="spellStart"/>
      <w:r w:rsidRPr="009D48E9">
        <w:rPr>
          <w:i/>
        </w:rPr>
        <w:t>Τηλ</w:t>
      </w:r>
      <w:proofErr w:type="spellEnd"/>
      <w:r w:rsidRPr="009D48E9">
        <w:rPr>
          <w:i/>
        </w:rPr>
        <w:t>.: 00 32 2 546 89 21 — e-</w:t>
      </w:r>
      <w:proofErr w:type="spellStart"/>
      <w:r w:rsidRPr="009D48E9">
        <w:rPr>
          <w:i/>
        </w:rPr>
        <w:t>mail</w:t>
      </w:r>
      <w:proofErr w:type="spellEnd"/>
      <w:r w:rsidRPr="009D48E9">
        <w:rPr>
          <w:i/>
        </w:rPr>
        <w:t xml:space="preserve">: </w:t>
      </w:r>
      <w:hyperlink r:id="rId30">
        <w:r w:rsidRPr="009D48E9">
          <w:rPr>
            <w:rStyle w:val="Hyperlink"/>
            <w:i/>
            <w:color w:val="auto"/>
          </w:rPr>
          <w:t>Kristian.Krieger@eesc.europa.eu</w:t>
        </w:r>
      </w:hyperlink>
      <w:r w:rsidRPr="009D48E9">
        <w:rPr>
          <w:i/>
        </w:rPr>
        <w:t>)</w:t>
      </w:r>
    </w:p>
    <w:p w:rsidR="002A3665" w:rsidRPr="009D48E9" w:rsidRDefault="002A3665" w:rsidP="00B104E7">
      <w:pPr>
        <w:spacing w:line="240" w:lineRule="auto"/>
        <w:jc w:val="left"/>
        <w:rPr>
          <w:i/>
          <w:iCs/>
        </w:rPr>
      </w:pPr>
    </w:p>
    <w:p w:rsidR="007F15F7" w:rsidRPr="009D48E9" w:rsidRDefault="007F15F7" w:rsidP="004E3A5B">
      <w:pPr>
        <w:widowControl w:val="0"/>
        <w:numPr>
          <w:ilvl w:val="0"/>
          <w:numId w:val="5"/>
        </w:numPr>
        <w:overflowPunct w:val="0"/>
        <w:autoSpaceDE w:val="0"/>
        <w:autoSpaceDN w:val="0"/>
        <w:adjustRightInd w:val="0"/>
        <w:ind w:hanging="567"/>
        <w:textAlignment w:val="baseline"/>
        <w:rPr>
          <w:b/>
          <w:bCs/>
          <w:i/>
          <w:iCs/>
        </w:rPr>
      </w:pPr>
      <w:r w:rsidRPr="009D48E9">
        <w:rPr>
          <w:b/>
          <w:i/>
        </w:rPr>
        <w:t>Νέα Συμφωνία για τους καταναλωτές ενέργειας</w:t>
      </w:r>
    </w:p>
    <w:p w:rsidR="007F15F7" w:rsidRPr="009D48E9" w:rsidRDefault="007F15F7" w:rsidP="004E3A5B">
      <w:pPr>
        <w:widowControl w:val="0"/>
        <w:rPr>
          <w:bCs/>
          <w:szCs w:val="20"/>
        </w:rPr>
      </w:pPr>
    </w:p>
    <w:p w:rsidR="007F15F7" w:rsidRPr="009D48E9" w:rsidRDefault="007F15F7" w:rsidP="004E3A5B">
      <w:pPr>
        <w:rPr>
          <w:bCs/>
        </w:rPr>
      </w:pPr>
      <w:r w:rsidRPr="009D48E9">
        <w:rPr>
          <w:b/>
        </w:rPr>
        <w:t>Εισηγητής:</w:t>
      </w:r>
      <w:r w:rsidRPr="009D48E9">
        <w:tab/>
        <w:t xml:space="preserve">ο κ. </w:t>
      </w:r>
      <w:proofErr w:type="spellStart"/>
      <w:r w:rsidRPr="009D48E9">
        <w:t>Lutz</w:t>
      </w:r>
      <w:proofErr w:type="spellEnd"/>
      <w:r w:rsidRPr="009D48E9">
        <w:t xml:space="preserve"> </w:t>
      </w:r>
      <w:proofErr w:type="spellStart"/>
      <w:r w:rsidRPr="009D48E9">
        <w:t>Ribbe</w:t>
      </w:r>
      <w:proofErr w:type="spellEnd"/>
      <w:r w:rsidRPr="009D48E9">
        <w:t xml:space="preserve"> (DE-ΙΙΙ)</w:t>
      </w:r>
    </w:p>
    <w:p w:rsidR="007F15F7" w:rsidRPr="009D48E9" w:rsidRDefault="007F15F7" w:rsidP="004E3A5B">
      <w:pPr>
        <w:tabs>
          <w:tab w:val="num" w:pos="550"/>
        </w:tabs>
        <w:rPr>
          <w:b/>
        </w:rPr>
      </w:pPr>
    </w:p>
    <w:p w:rsidR="007F15F7" w:rsidRPr="009D48E9" w:rsidRDefault="007F15F7" w:rsidP="00B104E7">
      <w:pPr>
        <w:keepNext/>
        <w:ind w:left="1418" w:hanging="1418"/>
      </w:pPr>
      <w:r w:rsidRPr="009D48E9">
        <w:rPr>
          <w:b/>
        </w:rPr>
        <w:t>Έγγραφο αναφοράς:</w:t>
      </w:r>
      <w:r w:rsidRPr="009D48E9">
        <w:tab/>
        <w:t xml:space="preserve">COM(2015) 339 </w:t>
      </w:r>
      <w:proofErr w:type="spellStart"/>
      <w:r w:rsidRPr="009D48E9">
        <w:t>final</w:t>
      </w:r>
      <w:proofErr w:type="spellEnd"/>
    </w:p>
    <w:p w:rsidR="007F15F7" w:rsidRPr="009D48E9" w:rsidRDefault="00E30A12" w:rsidP="00B104E7">
      <w:pPr>
        <w:ind w:left="1418"/>
        <w:rPr>
          <w:bCs/>
        </w:rPr>
      </w:pPr>
      <w:r w:rsidRPr="009D48E9">
        <w:tab/>
      </w:r>
      <w:r w:rsidRPr="009D48E9">
        <w:tab/>
      </w:r>
      <w:r w:rsidR="007F15F7" w:rsidRPr="009D48E9">
        <w:t>EESC-2015-05067-00-00-AS-TRA</w:t>
      </w:r>
    </w:p>
    <w:p w:rsidR="007F15F7" w:rsidRPr="009D48E9" w:rsidRDefault="007F15F7" w:rsidP="0079472F">
      <w:pPr>
        <w:rPr>
          <w:szCs w:val="20"/>
        </w:rPr>
      </w:pPr>
    </w:p>
    <w:p w:rsidR="007F15F7" w:rsidRPr="009D48E9" w:rsidRDefault="007F15F7" w:rsidP="00B104E7">
      <w:pPr>
        <w:keepNext/>
      </w:pPr>
      <w:r w:rsidRPr="009D48E9">
        <w:rPr>
          <w:b/>
        </w:rPr>
        <w:t>Κύρια σημεία:</w:t>
      </w:r>
    </w:p>
    <w:p w:rsidR="007F15F7" w:rsidRPr="009D48E9" w:rsidRDefault="007F15F7" w:rsidP="00B104E7">
      <w:pPr>
        <w:keepNext/>
      </w:pPr>
    </w:p>
    <w:p w:rsidR="007F15F7" w:rsidRPr="009D48E9" w:rsidRDefault="007F15F7" w:rsidP="004E3A5B">
      <w:r w:rsidRPr="009D48E9">
        <w:t>Η ΕΟΚΕ - σε συμφωνία με την ανακοίνωση και το Πρόγραμμα Ενεργειακής Ένωσης της Επιτροπής - τονίζει το μεταβαλλόμενο, ολοένα κεντρικότερο και προορατικό ρόλο των καταναλωτών στις ενεργειακές αγορές. Επιδοκιμάζει πολλές από τις διατάξεις της ανακοίνωσης «Νέα Συμφωνία για τους καταναλωτές ενέργειας». Ωστόσο, εντοπίζει επίσης σειρά τομέων που η Επιτροπή θα πρέπει να επανεξετάσει στις μελλοντικές της εργασίες για τους καταναλωτές ενέργειας.</w:t>
      </w:r>
    </w:p>
    <w:p w:rsidR="007F15F7" w:rsidRPr="009D48E9" w:rsidRDefault="007F15F7" w:rsidP="004E3A5B"/>
    <w:p w:rsidR="007F15F7" w:rsidRPr="009D48E9" w:rsidRDefault="007F15F7" w:rsidP="004E3A5B">
      <w:r w:rsidRPr="009D48E9">
        <w:t>Παρότι αναγνωρίζει το μεταβαλλόμενο ρόλο των καταναλωτών, η ανακοίνωση της Επιτροπής αφήνει αναπάντητα σημαντικά ερωτήματα. Για να προσδιοριστούν και να απαντηθούν αυτά, η ΕΟΚΕ ζητεί από την Επιτροπή να εκπονήσει συστηματική ανάλυση των εμποδίων που αντιμετωπίζουν οι καταναλωτές στην ενεργή τους συμμετοχή στις αγορές ενέργειας.</w:t>
      </w:r>
    </w:p>
    <w:p w:rsidR="007F15F7" w:rsidRPr="009D48E9" w:rsidRDefault="007F15F7" w:rsidP="004E3A5B"/>
    <w:p w:rsidR="007F15F7" w:rsidRPr="009D48E9" w:rsidRDefault="007F15F7" w:rsidP="004E3A5B">
      <w:r w:rsidRPr="009D48E9">
        <w:t>Η ΕΟΚΕ επισημαίνει την ανάγκη να επιτραπεί στους καταναλωτές να καταστούν ενεργοί παράγοντες στην αγορά. Για αυτό πρέπει οι καταναλωτές να έχουν πρόσβαση σε βασικές τεχνολογίες, όπως οι έξυπνη μετρητές. Οι έξυπνοι μετρητές πρέπει συνεπώς να αναγνωρίζονται και να χρηματοδοτούνται ως μέρος της ανάπτυξη δικτύων.</w:t>
      </w:r>
    </w:p>
    <w:p w:rsidR="007F15F7" w:rsidRPr="009D48E9" w:rsidRDefault="007F15F7" w:rsidP="004E3A5B"/>
    <w:p w:rsidR="007F15F7" w:rsidRPr="009D48E9" w:rsidRDefault="007F15F7" w:rsidP="004E3A5B">
      <w:r w:rsidRPr="009D48E9">
        <w:lastRenderedPageBreak/>
        <w:t>Η ΕΟΚΕ θεωρεί επίσης σημαντική την ανάπτυξη νέων προγραμμάτων κινήτρων που θα επιβραβεύουν την αυτοκατανάλωση, την απευθείας προμήθεια, την αποθήκευση του ενεργειακού πλεονάσματος και τη διαχείριση της ζήτησης.</w:t>
      </w:r>
    </w:p>
    <w:p w:rsidR="007F15F7" w:rsidRPr="009D48E9" w:rsidRDefault="007F15F7" w:rsidP="004E3A5B"/>
    <w:p w:rsidR="007F15F7" w:rsidRPr="009D48E9" w:rsidRDefault="007F15F7" w:rsidP="004E3A5B">
      <w:r w:rsidRPr="009D48E9">
        <w:t xml:space="preserve">Η ΕΟΚΕ επισημαίνει επίσης πως οι έννοιες της </w:t>
      </w:r>
      <w:proofErr w:type="spellStart"/>
      <w:r w:rsidRPr="009D48E9">
        <w:t>αυτοπρομήθειας</w:t>
      </w:r>
      <w:proofErr w:type="spellEnd"/>
      <w:r w:rsidRPr="009D48E9">
        <w:t xml:space="preserve"> και της </w:t>
      </w:r>
      <w:proofErr w:type="spellStart"/>
      <w:r w:rsidRPr="009D48E9">
        <w:t>αυτοπαραγωγής</w:t>
      </w:r>
      <w:proofErr w:type="spellEnd"/>
      <w:r w:rsidRPr="009D48E9">
        <w:t xml:space="preserve"> δεν ορίζονται επαρκώς στην ανακοίνωση της Επιτροπής, πράγμα που αντικατοπτρίζει την περιορισμένη κατανόηση της προσέγγισης του «παραγωγού-</w:t>
      </w:r>
      <w:proofErr w:type="spellStart"/>
      <w:r w:rsidRPr="009D48E9">
        <w:t>καταναλωτ</w:t>
      </w:r>
      <w:proofErr w:type="spellEnd"/>
      <w:r w:rsidRPr="009D48E9">
        <w:t xml:space="preserve">ή». Η </w:t>
      </w:r>
      <w:proofErr w:type="spellStart"/>
      <w:r w:rsidRPr="009D48E9">
        <w:t>αυτοπαραγωγή</w:t>
      </w:r>
      <w:proofErr w:type="spellEnd"/>
      <w:r w:rsidRPr="009D48E9">
        <w:t xml:space="preserve"> και η </w:t>
      </w:r>
      <w:proofErr w:type="spellStart"/>
      <w:r w:rsidRPr="009D48E9">
        <w:t>αυτοπρομήθεια</w:t>
      </w:r>
      <w:proofErr w:type="spellEnd"/>
      <w:r w:rsidRPr="009D48E9">
        <w:t xml:space="preserve"> θα πρέπει να ερμηνευθούν με πολύ ευρύτερο τρόπο χωρίς να περιορίζονται στην περιγραφή της </w:t>
      </w:r>
      <w:proofErr w:type="spellStart"/>
      <w:r w:rsidRPr="009D48E9">
        <w:t>αυτοπαραγόμενης</w:t>
      </w:r>
      <w:proofErr w:type="spellEnd"/>
      <w:r w:rsidRPr="009D48E9">
        <w:t xml:space="preserve"> και της </w:t>
      </w:r>
      <w:proofErr w:type="spellStart"/>
      <w:r w:rsidRPr="009D48E9">
        <w:t>αυτοκαταναλωθείσας</w:t>
      </w:r>
      <w:proofErr w:type="spellEnd"/>
      <w:r w:rsidRPr="009D48E9">
        <w:t xml:space="preserve"> ηλεκτρικής ενέργειας, η οποία παράγεται από μια μεμονωμένη ιδιωτική εγκατάσταση μη συνδεδεμένη με τον μετρητή του δικτύου ηλεκτροδότησης.</w:t>
      </w:r>
    </w:p>
    <w:p w:rsidR="007F15F7" w:rsidRPr="009D48E9" w:rsidRDefault="007F15F7" w:rsidP="004E3A5B"/>
    <w:p w:rsidR="007F15F7" w:rsidRPr="009D48E9" w:rsidRDefault="007F15F7" w:rsidP="00B104E7">
      <w:pPr>
        <w:keepNext/>
        <w:ind w:left="1429" w:hanging="1429"/>
        <w:rPr>
          <w:i/>
          <w:szCs w:val="20"/>
        </w:rPr>
      </w:pPr>
      <w:r w:rsidRPr="009D48E9">
        <w:rPr>
          <w:b/>
          <w:i/>
        </w:rPr>
        <w:t>Επικοινωνία</w:t>
      </w:r>
      <w:r w:rsidRPr="009D48E9">
        <w:t>:</w:t>
      </w:r>
      <w:r w:rsidR="007A793E" w:rsidRPr="009D48E9">
        <w:t xml:space="preserve"> </w:t>
      </w:r>
      <w:proofErr w:type="spellStart"/>
      <w:r w:rsidRPr="009D48E9">
        <w:rPr>
          <w:i/>
        </w:rPr>
        <w:t>Kristian</w:t>
      </w:r>
      <w:proofErr w:type="spellEnd"/>
      <w:r w:rsidRPr="009D48E9">
        <w:rPr>
          <w:i/>
        </w:rPr>
        <w:t xml:space="preserve"> </w:t>
      </w:r>
      <w:proofErr w:type="spellStart"/>
      <w:r w:rsidRPr="009D48E9">
        <w:rPr>
          <w:i/>
        </w:rPr>
        <w:t>Krieger</w:t>
      </w:r>
      <w:proofErr w:type="spellEnd"/>
    </w:p>
    <w:p w:rsidR="007F15F7" w:rsidRPr="009D48E9" w:rsidRDefault="007F15F7" w:rsidP="00B104E7">
      <w:pPr>
        <w:ind w:left="1430" w:hanging="12"/>
        <w:rPr>
          <w:i/>
          <w:iCs/>
        </w:rPr>
      </w:pPr>
      <w:r w:rsidRPr="009D48E9">
        <w:rPr>
          <w:i/>
        </w:rPr>
        <w:t>(</w:t>
      </w:r>
      <w:proofErr w:type="spellStart"/>
      <w:r w:rsidRPr="009D48E9">
        <w:rPr>
          <w:i/>
        </w:rPr>
        <w:t>Τηλ</w:t>
      </w:r>
      <w:proofErr w:type="spellEnd"/>
      <w:r w:rsidRPr="009D48E9">
        <w:rPr>
          <w:i/>
        </w:rPr>
        <w:t>.: 00 32 2 546 89 21 — e-</w:t>
      </w:r>
      <w:proofErr w:type="spellStart"/>
      <w:r w:rsidRPr="009D48E9">
        <w:rPr>
          <w:i/>
        </w:rPr>
        <w:t>mail</w:t>
      </w:r>
      <w:proofErr w:type="spellEnd"/>
      <w:r w:rsidRPr="009D48E9">
        <w:rPr>
          <w:i/>
        </w:rPr>
        <w:t xml:space="preserve">: </w:t>
      </w:r>
      <w:hyperlink r:id="rId31">
        <w:r w:rsidRPr="009D48E9">
          <w:rPr>
            <w:rStyle w:val="Hyperlink"/>
            <w:i/>
            <w:color w:val="auto"/>
          </w:rPr>
          <w:t>Kristian.Krieger@eesc.europa.eu</w:t>
        </w:r>
      </w:hyperlink>
      <w:r w:rsidRPr="009D48E9">
        <w:rPr>
          <w:i/>
        </w:rPr>
        <w:t>)</w:t>
      </w:r>
    </w:p>
    <w:p w:rsidR="007F15F7" w:rsidRPr="009D48E9" w:rsidRDefault="007F15F7" w:rsidP="004E3A5B">
      <w:pPr>
        <w:widowControl w:val="0"/>
        <w:rPr>
          <w:iCs/>
        </w:rPr>
      </w:pPr>
    </w:p>
    <w:p w:rsidR="007F15F7" w:rsidRPr="009D48E9" w:rsidRDefault="007F15F7" w:rsidP="004E3A5B">
      <w:pPr>
        <w:widowControl w:val="0"/>
        <w:rPr>
          <w:szCs w:val="20"/>
        </w:rPr>
      </w:pPr>
    </w:p>
    <w:p w:rsidR="00900EA0" w:rsidRPr="009D48E9" w:rsidRDefault="006F0D9E" w:rsidP="00000CE8">
      <w:pPr>
        <w:jc w:val="center"/>
      </w:pPr>
      <w:r w:rsidRPr="009D48E9">
        <w:t>___________</w:t>
      </w:r>
    </w:p>
    <w:sectPr w:rsidR="00900EA0" w:rsidRPr="009D48E9" w:rsidSect="00E30A12">
      <w:headerReference w:type="even" r:id="rId32"/>
      <w:headerReference w:type="default" r:id="rId33"/>
      <w:footerReference w:type="even" r:id="rId34"/>
      <w:footerReference w:type="default" r:id="rId35"/>
      <w:headerReference w:type="first" r:id="rId36"/>
      <w:footerReference w:type="first" r:id="rId37"/>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D8" w:rsidRDefault="00A34ED8" w:rsidP="003B283B">
      <w:pPr>
        <w:spacing w:line="240" w:lineRule="auto"/>
      </w:pPr>
      <w:r>
        <w:separator/>
      </w:r>
    </w:p>
  </w:endnote>
  <w:endnote w:type="continuationSeparator" w:id="0">
    <w:p w:rsidR="00A34ED8" w:rsidRDefault="00A34ED8"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10" w:rsidRPr="00E30A12" w:rsidRDefault="003E6010" w:rsidP="00E30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E30A12" w:rsidRDefault="00E30A12" w:rsidP="00E30A12">
    <w:pPr>
      <w:pStyle w:val="Footer"/>
    </w:pPr>
    <w:r>
      <w:t>EESC-2015-06625-00-0</w:t>
    </w:r>
    <w:r w:rsidR="006B3922">
      <w:t>2</w:t>
    </w:r>
    <w:r>
      <w:t xml:space="preserve">-TCD-TRA (FR/EN) </w:t>
    </w:r>
    <w:r>
      <w:fldChar w:fldCharType="begin"/>
    </w:r>
    <w:r>
      <w:instrText xml:space="preserve"> PAGE  \* Arabic  \* MERGEFORMAT </w:instrText>
    </w:r>
    <w:r>
      <w:fldChar w:fldCharType="separate"/>
    </w:r>
    <w:r w:rsidR="006F55F2">
      <w:rPr>
        <w:noProof/>
      </w:rPr>
      <w:t>1</w:t>
    </w:r>
    <w:r>
      <w:fldChar w:fldCharType="end"/>
    </w:r>
    <w:r>
      <w:t>/</w:t>
    </w:r>
    <w:r>
      <w:fldChar w:fldCharType="begin"/>
    </w:r>
    <w:r>
      <w:instrText xml:space="preserve"> = </w:instrText>
    </w:r>
    <w:r w:rsidR="006F55F2">
      <w:fldChar w:fldCharType="begin"/>
    </w:r>
    <w:r w:rsidR="006F55F2">
      <w:instrText xml:space="preserve"> NUMPAGES </w:instrText>
    </w:r>
    <w:r w:rsidR="006F55F2">
      <w:fldChar w:fldCharType="separate"/>
    </w:r>
    <w:r w:rsidR="006F55F2">
      <w:rPr>
        <w:noProof/>
      </w:rPr>
      <w:instrText>7</w:instrText>
    </w:r>
    <w:r w:rsidR="006F55F2">
      <w:rPr>
        <w:noProof/>
      </w:rPr>
      <w:fldChar w:fldCharType="end"/>
    </w:r>
    <w:r>
      <w:instrText xml:space="preserve"> -0 </w:instrText>
    </w:r>
    <w:r>
      <w:fldChar w:fldCharType="separate"/>
    </w:r>
    <w:r w:rsidR="006F55F2">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10" w:rsidRPr="00E30A12" w:rsidRDefault="003E6010" w:rsidP="00E30A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E30A12" w:rsidRDefault="0019516A" w:rsidP="00E30A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E30A12" w:rsidRDefault="00E30A12" w:rsidP="00E30A12">
    <w:pPr>
      <w:pStyle w:val="Footer"/>
    </w:pPr>
    <w:r>
      <w:t xml:space="preserve">EESC-2015-06625-00-01-TCD-TRA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6F55F2">
      <w:fldChar w:fldCharType="begin"/>
    </w:r>
    <w:r w:rsidR="006F55F2">
      <w:instrText xml:space="preserve"> NUMPAGES </w:instrText>
    </w:r>
    <w:r w:rsidR="006F55F2">
      <w:fldChar w:fldCharType="separate"/>
    </w:r>
    <w:r>
      <w:rPr>
        <w:noProof/>
      </w:rPr>
      <w:instrText>1</w:instrText>
    </w:r>
    <w:r w:rsidR="006F55F2">
      <w:rPr>
        <w:noProof/>
      </w:rPr>
      <w:fldChar w:fldCharType="end"/>
    </w:r>
    <w:r>
      <w:instrText xml:space="preserve"> -0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E30A12" w:rsidRDefault="0019516A" w:rsidP="00E30A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E30A12" w:rsidRDefault="0019516A" w:rsidP="00E30A1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E30A12" w:rsidRDefault="00E30A12" w:rsidP="00E30A12">
    <w:pPr>
      <w:pStyle w:val="Footer"/>
    </w:pPr>
    <w:r>
      <w:t>EESC-2015-06625-00-0</w:t>
    </w:r>
    <w:r w:rsidR="006B3922">
      <w:t>2</w:t>
    </w:r>
    <w:r>
      <w:t xml:space="preserve">-TCD-TRA (FR/EN) </w:t>
    </w:r>
    <w:r>
      <w:fldChar w:fldCharType="begin"/>
    </w:r>
    <w:r>
      <w:instrText xml:space="preserve"> PAGE  \* Arabic  \* MERGEFORMAT </w:instrText>
    </w:r>
    <w:r>
      <w:fldChar w:fldCharType="separate"/>
    </w:r>
    <w:r w:rsidR="006F55F2">
      <w:rPr>
        <w:noProof/>
      </w:rPr>
      <w:t>7</w:t>
    </w:r>
    <w:r>
      <w:fldChar w:fldCharType="end"/>
    </w:r>
    <w:r>
      <w:t>/</w:t>
    </w:r>
    <w:r>
      <w:fldChar w:fldCharType="begin"/>
    </w:r>
    <w:r>
      <w:instrText xml:space="preserve"> = </w:instrText>
    </w:r>
    <w:r w:rsidR="006F55F2">
      <w:fldChar w:fldCharType="begin"/>
    </w:r>
    <w:r w:rsidR="006F55F2">
      <w:instrText xml:space="preserve"> NUMPAGES </w:instrText>
    </w:r>
    <w:r w:rsidR="006F55F2">
      <w:fldChar w:fldCharType="separate"/>
    </w:r>
    <w:r w:rsidR="006F55F2">
      <w:rPr>
        <w:noProof/>
      </w:rPr>
      <w:instrText>7</w:instrText>
    </w:r>
    <w:r w:rsidR="006F55F2">
      <w:rPr>
        <w:noProof/>
      </w:rPr>
      <w:fldChar w:fldCharType="end"/>
    </w:r>
    <w:r>
      <w:instrText xml:space="preserve"> -0 </w:instrText>
    </w:r>
    <w:r>
      <w:fldChar w:fldCharType="separate"/>
    </w:r>
    <w:r w:rsidR="006F55F2">
      <w:rPr>
        <w:noProof/>
      </w:rPr>
      <w:t>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E30A12" w:rsidRDefault="0019516A" w:rsidP="00E30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D8" w:rsidRDefault="00A34ED8" w:rsidP="003B283B">
      <w:pPr>
        <w:spacing w:line="240" w:lineRule="auto"/>
      </w:pPr>
      <w:r>
        <w:separator/>
      </w:r>
    </w:p>
  </w:footnote>
  <w:footnote w:type="continuationSeparator" w:id="0">
    <w:p w:rsidR="00A34ED8" w:rsidRDefault="00A34ED8"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10" w:rsidRPr="00E30A12" w:rsidRDefault="003E6010" w:rsidP="00E30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10" w:rsidRPr="00E30A12" w:rsidRDefault="003E6010" w:rsidP="00E30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10" w:rsidRPr="00E30A12" w:rsidRDefault="003E6010" w:rsidP="00E30A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E30A12" w:rsidRDefault="0019516A" w:rsidP="00E30A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E30A12" w:rsidRDefault="0019516A" w:rsidP="00E30A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E30A12" w:rsidRDefault="0019516A" w:rsidP="00E30A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E30A12" w:rsidRDefault="0019516A" w:rsidP="00E30A1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E30A12" w:rsidRDefault="0019516A" w:rsidP="00E30A1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E30A12" w:rsidRDefault="0019516A" w:rsidP="00E30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3">
    <w:nsid w:val="05530337"/>
    <w:multiLevelType w:val="singleLevel"/>
    <w:tmpl w:val="ACD4CDB0"/>
    <w:lvl w:ilvl="0">
      <w:numFmt w:val="decimal"/>
      <w:lvlText w:val="*"/>
      <w:lvlJc w:val="left"/>
      <w:rPr>
        <w:rFonts w:cs="Times New Roman"/>
      </w:rPr>
    </w:lvl>
  </w:abstractNum>
  <w:abstractNum w:abstractNumId="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E4FB1"/>
    <w:multiLevelType w:val="singleLevel"/>
    <w:tmpl w:val="ACD4CDB0"/>
    <w:lvl w:ilvl="0">
      <w:numFmt w:val="decimal"/>
      <w:lvlText w:val="*"/>
      <w:lvlJc w:val="left"/>
      <w:rPr>
        <w:rFonts w:cs="Times New Roman"/>
      </w:rPr>
    </w:lvl>
  </w:abstractNum>
  <w:abstractNum w:abstractNumId="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8">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0">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nsid w:val="15FE7426"/>
    <w:multiLevelType w:val="singleLevel"/>
    <w:tmpl w:val="ACD4CDB0"/>
    <w:lvl w:ilvl="0">
      <w:numFmt w:val="decimal"/>
      <w:lvlText w:val="*"/>
      <w:lvlJc w:val="left"/>
      <w:rPr>
        <w:rFonts w:cs="Times New Roman"/>
      </w:rPr>
    </w:lvl>
  </w:abstractNum>
  <w:abstractNum w:abstractNumId="13">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7">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7">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29">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30">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1">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nsid w:val="53B8141E"/>
    <w:multiLevelType w:val="singleLevel"/>
    <w:tmpl w:val="ACD4CDB0"/>
    <w:lvl w:ilvl="0">
      <w:numFmt w:val="decimal"/>
      <w:lvlText w:val="*"/>
      <w:lvlJc w:val="left"/>
      <w:rPr>
        <w:rFonts w:cs="Times New Roman"/>
      </w:rPr>
    </w:lvl>
  </w:abstractNum>
  <w:abstractNum w:abstractNumId="35">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0">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1">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4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45">
    <w:nsid w:val="60BA7C7D"/>
    <w:multiLevelType w:val="singleLevel"/>
    <w:tmpl w:val="ACD4CDB0"/>
    <w:lvl w:ilvl="0">
      <w:numFmt w:val="decimal"/>
      <w:lvlText w:val="*"/>
      <w:lvlJc w:val="left"/>
      <w:rPr>
        <w:rFonts w:cs="Times New Roman"/>
      </w:rPr>
    </w:lvl>
  </w:abstractNum>
  <w:abstractNum w:abstractNumId="4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7">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50">
    <w:nsid w:val="6B5327B5"/>
    <w:multiLevelType w:val="singleLevel"/>
    <w:tmpl w:val="ACD4CDB0"/>
    <w:lvl w:ilvl="0">
      <w:numFmt w:val="decimal"/>
      <w:lvlText w:val="*"/>
      <w:lvlJc w:val="left"/>
      <w:rPr>
        <w:rFonts w:cs="Times New Roman"/>
      </w:rPr>
    </w:lvl>
  </w:abstractNum>
  <w:abstractNum w:abstractNumId="51">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2">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6"/>
  </w:num>
  <w:num w:numId="3">
    <w:abstractNumId w:val="6"/>
  </w:num>
  <w:num w:numId="4">
    <w:abstractNumId w:val="17"/>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1"/>
  </w:num>
  <w:num w:numId="7">
    <w:abstractNumId w:val="26"/>
  </w:num>
  <w:num w:numId="8">
    <w:abstractNumId w:val="5"/>
  </w:num>
  <w:num w:numId="9">
    <w:abstractNumId w:val="54"/>
  </w:num>
  <w:num w:numId="10">
    <w:abstractNumId w:val="11"/>
  </w:num>
  <w:num w:numId="11">
    <w:abstractNumId w:val="32"/>
  </w:num>
  <w:num w:numId="12">
    <w:abstractNumId w:val="55"/>
  </w:num>
  <w:num w:numId="13">
    <w:abstractNumId w:val="12"/>
  </w:num>
  <w:num w:numId="14">
    <w:abstractNumId w:val="50"/>
  </w:num>
  <w:num w:numId="15">
    <w:abstractNumId w:val="45"/>
  </w:num>
  <w:num w:numId="16">
    <w:abstractNumId w:val="3"/>
  </w:num>
  <w:num w:numId="17">
    <w:abstractNumId w:val="34"/>
  </w:num>
  <w:num w:numId="18">
    <w:abstractNumId w:val="44"/>
  </w:num>
  <w:num w:numId="19">
    <w:abstractNumId w:val="33"/>
  </w:num>
  <w:num w:numId="20">
    <w:abstractNumId w:val="53"/>
  </w:num>
  <w:num w:numId="21">
    <w:abstractNumId w:val="35"/>
  </w:num>
  <w:num w:numId="22">
    <w:abstractNumId w:val="31"/>
  </w:num>
  <w:num w:numId="23">
    <w:abstractNumId w:val="18"/>
  </w:num>
  <w:num w:numId="24">
    <w:abstractNumId w:val="52"/>
  </w:num>
  <w:num w:numId="25">
    <w:abstractNumId w:val="24"/>
  </w:num>
  <w:num w:numId="26">
    <w:abstractNumId w:val="23"/>
  </w:num>
  <w:num w:numId="27">
    <w:abstractNumId w:val="43"/>
  </w:num>
  <w:num w:numId="28">
    <w:abstractNumId w:val="39"/>
  </w:num>
  <w:num w:numId="29">
    <w:abstractNumId w:val="25"/>
  </w:num>
  <w:num w:numId="30">
    <w:abstractNumId w:val="56"/>
  </w:num>
  <w:num w:numId="31">
    <w:abstractNumId w:val="40"/>
  </w:num>
  <w:num w:numId="32">
    <w:abstractNumId w:val="30"/>
  </w:num>
  <w:num w:numId="33">
    <w:abstractNumId w:val="42"/>
  </w:num>
  <w:num w:numId="34">
    <w:abstractNumId w:val="10"/>
  </w:num>
  <w:num w:numId="35">
    <w:abstractNumId w:val="46"/>
  </w:num>
  <w:num w:numId="36">
    <w:abstractNumId w:val="22"/>
  </w:num>
  <w:num w:numId="37">
    <w:abstractNumId w:val="15"/>
  </w:num>
  <w:num w:numId="38">
    <w:abstractNumId w:val="19"/>
  </w:num>
  <w:num w:numId="39">
    <w:abstractNumId w:val="41"/>
  </w:num>
  <w:num w:numId="40">
    <w:abstractNumId w:val="47"/>
  </w:num>
  <w:num w:numId="41">
    <w:abstractNumId w:val="48"/>
  </w:num>
  <w:num w:numId="42">
    <w:abstractNumId w:val="9"/>
  </w:num>
  <w:num w:numId="43">
    <w:abstractNumId w:val="27"/>
  </w:num>
  <w:num w:numId="44">
    <w:abstractNumId w:val="37"/>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7"/>
  </w:num>
  <w:num w:numId="47">
    <w:abstractNumId w:val="29"/>
  </w:num>
  <w:num w:numId="48">
    <w:abstractNumId w:val="6"/>
  </w:num>
  <w:num w:numId="49">
    <w:abstractNumId w:val="2"/>
  </w:num>
  <w:num w:numId="50">
    <w:abstractNumId w:val="49"/>
  </w:num>
  <w:num w:numId="51">
    <w:abstractNumId w:val="14"/>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36"/>
  </w:num>
  <w:num w:numId="54">
    <w:abstractNumId w:val="4"/>
  </w:num>
  <w:num w:numId="55">
    <w:abstractNumId w:val="28"/>
  </w:num>
  <w:num w:numId="56">
    <w:abstractNumId w:val="38"/>
  </w:num>
  <w:num w:numId="57">
    <w:abstractNumId w:val="44"/>
  </w:num>
  <w:num w:numId="58">
    <w:abstractNumId w:val="8"/>
  </w:num>
  <w:num w:numId="59">
    <w:abstractNumId w:val="20"/>
  </w:num>
  <w:num w:numId="60">
    <w:abstractNumId w:val="13"/>
  </w:num>
  <w:num w:numId="6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2E4F"/>
    <w:rsid w:val="00004D0F"/>
    <w:rsid w:val="000115A9"/>
    <w:rsid w:val="000138A1"/>
    <w:rsid w:val="00020A28"/>
    <w:rsid w:val="000215A9"/>
    <w:rsid w:val="000244F9"/>
    <w:rsid w:val="00030B04"/>
    <w:rsid w:val="000316FF"/>
    <w:rsid w:val="000338E8"/>
    <w:rsid w:val="00033DA8"/>
    <w:rsid w:val="000349EE"/>
    <w:rsid w:val="00034A75"/>
    <w:rsid w:val="00035EF4"/>
    <w:rsid w:val="000378CC"/>
    <w:rsid w:val="00041EB7"/>
    <w:rsid w:val="00051C81"/>
    <w:rsid w:val="0005250A"/>
    <w:rsid w:val="00054E26"/>
    <w:rsid w:val="000562AF"/>
    <w:rsid w:val="00071E53"/>
    <w:rsid w:val="00073A46"/>
    <w:rsid w:val="000814F6"/>
    <w:rsid w:val="00081813"/>
    <w:rsid w:val="000818D4"/>
    <w:rsid w:val="00087AE9"/>
    <w:rsid w:val="00094645"/>
    <w:rsid w:val="000967CA"/>
    <w:rsid w:val="00096999"/>
    <w:rsid w:val="000A62E2"/>
    <w:rsid w:val="000C2679"/>
    <w:rsid w:val="000C3DF6"/>
    <w:rsid w:val="000D28F0"/>
    <w:rsid w:val="000D50A8"/>
    <w:rsid w:val="000D7F5A"/>
    <w:rsid w:val="000E4C16"/>
    <w:rsid w:val="000F16CE"/>
    <w:rsid w:val="000F3BA7"/>
    <w:rsid w:val="000F42C4"/>
    <w:rsid w:val="000F77C3"/>
    <w:rsid w:val="0010339F"/>
    <w:rsid w:val="0010391E"/>
    <w:rsid w:val="00103CC0"/>
    <w:rsid w:val="00104975"/>
    <w:rsid w:val="00110344"/>
    <w:rsid w:val="001138B0"/>
    <w:rsid w:val="001158DF"/>
    <w:rsid w:val="00116CFB"/>
    <w:rsid w:val="00127660"/>
    <w:rsid w:val="0013146D"/>
    <w:rsid w:val="00136F53"/>
    <w:rsid w:val="00136FA8"/>
    <w:rsid w:val="00142A4E"/>
    <w:rsid w:val="00160DCC"/>
    <w:rsid w:val="001657F4"/>
    <w:rsid w:val="001737B7"/>
    <w:rsid w:val="001768E2"/>
    <w:rsid w:val="00182D03"/>
    <w:rsid w:val="00186D96"/>
    <w:rsid w:val="00191C0B"/>
    <w:rsid w:val="00194447"/>
    <w:rsid w:val="0019516A"/>
    <w:rsid w:val="00195479"/>
    <w:rsid w:val="001B0D26"/>
    <w:rsid w:val="001B18C2"/>
    <w:rsid w:val="001B232C"/>
    <w:rsid w:val="001B4CC9"/>
    <w:rsid w:val="001C0535"/>
    <w:rsid w:val="001C05B2"/>
    <w:rsid w:val="001C6C93"/>
    <w:rsid w:val="001D52CB"/>
    <w:rsid w:val="001D6C48"/>
    <w:rsid w:val="001E2338"/>
    <w:rsid w:val="001F0BC4"/>
    <w:rsid w:val="00200F03"/>
    <w:rsid w:val="00204864"/>
    <w:rsid w:val="00205EFC"/>
    <w:rsid w:val="00212787"/>
    <w:rsid w:val="00214451"/>
    <w:rsid w:val="00221123"/>
    <w:rsid w:val="00226823"/>
    <w:rsid w:val="0023002B"/>
    <w:rsid w:val="00242408"/>
    <w:rsid w:val="00242890"/>
    <w:rsid w:val="00243514"/>
    <w:rsid w:val="002469F7"/>
    <w:rsid w:val="002563ED"/>
    <w:rsid w:val="0026049D"/>
    <w:rsid w:val="00263B55"/>
    <w:rsid w:val="002653BB"/>
    <w:rsid w:val="00267AB2"/>
    <w:rsid w:val="0027137C"/>
    <w:rsid w:val="00281365"/>
    <w:rsid w:val="00282997"/>
    <w:rsid w:val="002903CB"/>
    <w:rsid w:val="00291252"/>
    <w:rsid w:val="002915A8"/>
    <w:rsid w:val="00291981"/>
    <w:rsid w:val="00291F64"/>
    <w:rsid w:val="002A0707"/>
    <w:rsid w:val="002A17C4"/>
    <w:rsid w:val="002A3665"/>
    <w:rsid w:val="002A4A76"/>
    <w:rsid w:val="002A5F58"/>
    <w:rsid w:val="002B4372"/>
    <w:rsid w:val="002C1999"/>
    <w:rsid w:val="002C3DCC"/>
    <w:rsid w:val="002D0F32"/>
    <w:rsid w:val="002D41B7"/>
    <w:rsid w:val="002D750B"/>
    <w:rsid w:val="003002D3"/>
    <w:rsid w:val="003079A2"/>
    <w:rsid w:val="00307A61"/>
    <w:rsid w:val="003111F0"/>
    <w:rsid w:val="00314E67"/>
    <w:rsid w:val="003160F4"/>
    <w:rsid w:val="00322BCE"/>
    <w:rsid w:val="00326F48"/>
    <w:rsid w:val="00361CF3"/>
    <w:rsid w:val="00362B7F"/>
    <w:rsid w:val="00372D96"/>
    <w:rsid w:val="00380A9A"/>
    <w:rsid w:val="00387CFB"/>
    <w:rsid w:val="00394196"/>
    <w:rsid w:val="003966B4"/>
    <w:rsid w:val="00397835"/>
    <w:rsid w:val="003B283B"/>
    <w:rsid w:val="003B38AA"/>
    <w:rsid w:val="003B5456"/>
    <w:rsid w:val="003C4AF5"/>
    <w:rsid w:val="003C4EF8"/>
    <w:rsid w:val="003D05FE"/>
    <w:rsid w:val="003D35EF"/>
    <w:rsid w:val="003D3D9E"/>
    <w:rsid w:val="003D7FAF"/>
    <w:rsid w:val="003E0B8C"/>
    <w:rsid w:val="003E387D"/>
    <w:rsid w:val="003E6010"/>
    <w:rsid w:val="003E693F"/>
    <w:rsid w:val="003F2CD5"/>
    <w:rsid w:val="003F2F97"/>
    <w:rsid w:val="003F4FF6"/>
    <w:rsid w:val="003F59AD"/>
    <w:rsid w:val="003F65E2"/>
    <w:rsid w:val="004221CC"/>
    <w:rsid w:val="00425526"/>
    <w:rsid w:val="00426306"/>
    <w:rsid w:val="00427C97"/>
    <w:rsid w:val="00434C77"/>
    <w:rsid w:val="00440808"/>
    <w:rsid w:val="00444C4C"/>
    <w:rsid w:val="00444D44"/>
    <w:rsid w:val="004452E3"/>
    <w:rsid w:val="00461E3E"/>
    <w:rsid w:val="00464C86"/>
    <w:rsid w:val="00470409"/>
    <w:rsid w:val="00480C50"/>
    <w:rsid w:val="00492EDB"/>
    <w:rsid w:val="00492F79"/>
    <w:rsid w:val="004A7356"/>
    <w:rsid w:val="004A7AEE"/>
    <w:rsid w:val="004B7790"/>
    <w:rsid w:val="004C0FE5"/>
    <w:rsid w:val="004C4138"/>
    <w:rsid w:val="004C4D7B"/>
    <w:rsid w:val="004C6E55"/>
    <w:rsid w:val="004D1F3E"/>
    <w:rsid w:val="004E0268"/>
    <w:rsid w:val="004E16EC"/>
    <w:rsid w:val="004E21A8"/>
    <w:rsid w:val="004E2B3E"/>
    <w:rsid w:val="004E3528"/>
    <w:rsid w:val="004E3A5B"/>
    <w:rsid w:val="004E46A8"/>
    <w:rsid w:val="004F7A13"/>
    <w:rsid w:val="005021B6"/>
    <w:rsid w:val="005024F6"/>
    <w:rsid w:val="00504096"/>
    <w:rsid w:val="00504A01"/>
    <w:rsid w:val="00505516"/>
    <w:rsid w:val="00507B8C"/>
    <w:rsid w:val="0051243D"/>
    <w:rsid w:val="00515BC0"/>
    <w:rsid w:val="00523686"/>
    <w:rsid w:val="00523996"/>
    <w:rsid w:val="00531900"/>
    <w:rsid w:val="00534CC2"/>
    <w:rsid w:val="00535FFB"/>
    <w:rsid w:val="0054017F"/>
    <w:rsid w:val="005434EE"/>
    <w:rsid w:val="0054508A"/>
    <w:rsid w:val="005508F5"/>
    <w:rsid w:val="00560AD6"/>
    <w:rsid w:val="00561C94"/>
    <w:rsid w:val="005632D7"/>
    <w:rsid w:val="0056359E"/>
    <w:rsid w:val="00567A1B"/>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5D2D"/>
    <w:rsid w:val="005B7EAD"/>
    <w:rsid w:val="005C0D2A"/>
    <w:rsid w:val="005C6CC7"/>
    <w:rsid w:val="005C6FD3"/>
    <w:rsid w:val="005D060D"/>
    <w:rsid w:val="005D460E"/>
    <w:rsid w:val="005D4846"/>
    <w:rsid w:val="005D6008"/>
    <w:rsid w:val="005D652A"/>
    <w:rsid w:val="005E32A3"/>
    <w:rsid w:val="005E531B"/>
    <w:rsid w:val="005F54A5"/>
    <w:rsid w:val="006139AA"/>
    <w:rsid w:val="00622A2D"/>
    <w:rsid w:val="00630FCB"/>
    <w:rsid w:val="0063400F"/>
    <w:rsid w:val="00637052"/>
    <w:rsid w:val="00637DD7"/>
    <w:rsid w:val="00643E56"/>
    <w:rsid w:val="00646EEC"/>
    <w:rsid w:val="00647038"/>
    <w:rsid w:val="006501DC"/>
    <w:rsid w:val="0065504C"/>
    <w:rsid w:val="006552FD"/>
    <w:rsid w:val="0065609C"/>
    <w:rsid w:val="006579F9"/>
    <w:rsid w:val="00657F8D"/>
    <w:rsid w:val="006600DC"/>
    <w:rsid w:val="00671031"/>
    <w:rsid w:val="006763EC"/>
    <w:rsid w:val="0067717C"/>
    <w:rsid w:val="006808D7"/>
    <w:rsid w:val="0068174F"/>
    <w:rsid w:val="00681787"/>
    <w:rsid w:val="00690AFD"/>
    <w:rsid w:val="006A4EAA"/>
    <w:rsid w:val="006A6090"/>
    <w:rsid w:val="006B02D0"/>
    <w:rsid w:val="006B3922"/>
    <w:rsid w:val="006B4FD1"/>
    <w:rsid w:val="006B7240"/>
    <w:rsid w:val="006E07C3"/>
    <w:rsid w:val="006E28A4"/>
    <w:rsid w:val="006E4A32"/>
    <w:rsid w:val="006F0D9E"/>
    <w:rsid w:val="006F289E"/>
    <w:rsid w:val="006F2CA5"/>
    <w:rsid w:val="006F396D"/>
    <w:rsid w:val="006F55F2"/>
    <w:rsid w:val="007008B5"/>
    <w:rsid w:val="00701383"/>
    <w:rsid w:val="00701551"/>
    <w:rsid w:val="007056EF"/>
    <w:rsid w:val="007112FB"/>
    <w:rsid w:val="007200A7"/>
    <w:rsid w:val="007274A7"/>
    <w:rsid w:val="00732A09"/>
    <w:rsid w:val="00742995"/>
    <w:rsid w:val="0074514B"/>
    <w:rsid w:val="007460DB"/>
    <w:rsid w:val="00746BC1"/>
    <w:rsid w:val="0075179F"/>
    <w:rsid w:val="00754C10"/>
    <w:rsid w:val="00757CF0"/>
    <w:rsid w:val="007605C0"/>
    <w:rsid w:val="00771B7B"/>
    <w:rsid w:val="007738AC"/>
    <w:rsid w:val="00774ED8"/>
    <w:rsid w:val="00782FDA"/>
    <w:rsid w:val="00793CC7"/>
    <w:rsid w:val="0079472F"/>
    <w:rsid w:val="00794E1C"/>
    <w:rsid w:val="00796D74"/>
    <w:rsid w:val="007A793E"/>
    <w:rsid w:val="007B31B6"/>
    <w:rsid w:val="007C07C5"/>
    <w:rsid w:val="007C2D6B"/>
    <w:rsid w:val="007D135C"/>
    <w:rsid w:val="007D2AA2"/>
    <w:rsid w:val="007D31F4"/>
    <w:rsid w:val="007D4275"/>
    <w:rsid w:val="007E6BCE"/>
    <w:rsid w:val="007F00D3"/>
    <w:rsid w:val="007F0D28"/>
    <w:rsid w:val="007F0D84"/>
    <w:rsid w:val="007F15F7"/>
    <w:rsid w:val="007F2174"/>
    <w:rsid w:val="007F556F"/>
    <w:rsid w:val="00802AF7"/>
    <w:rsid w:val="008031D6"/>
    <w:rsid w:val="00805F7C"/>
    <w:rsid w:val="00810910"/>
    <w:rsid w:val="0081158D"/>
    <w:rsid w:val="00811CDA"/>
    <w:rsid w:val="00821A37"/>
    <w:rsid w:val="00822E71"/>
    <w:rsid w:val="008314D7"/>
    <w:rsid w:val="00831C5E"/>
    <w:rsid w:val="0083618B"/>
    <w:rsid w:val="008367AC"/>
    <w:rsid w:val="008405A0"/>
    <w:rsid w:val="00843DF6"/>
    <w:rsid w:val="008524D0"/>
    <w:rsid w:val="00860B63"/>
    <w:rsid w:val="008634DC"/>
    <w:rsid w:val="00863940"/>
    <w:rsid w:val="008741DB"/>
    <w:rsid w:val="00875E52"/>
    <w:rsid w:val="00881E5F"/>
    <w:rsid w:val="008829A4"/>
    <w:rsid w:val="00883FCB"/>
    <w:rsid w:val="008874F5"/>
    <w:rsid w:val="0089503E"/>
    <w:rsid w:val="008A0BF5"/>
    <w:rsid w:val="008A2046"/>
    <w:rsid w:val="008A2A2F"/>
    <w:rsid w:val="008A6D95"/>
    <w:rsid w:val="008B5152"/>
    <w:rsid w:val="008B5EA0"/>
    <w:rsid w:val="008B6EE1"/>
    <w:rsid w:val="008C0CA5"/>
    <w:rsid w:val="008C6470"/>
    <w:rsid w:val="008D10DE"/>
    <w:rsid w:val="008D3DE9"/>
    <w:rsid w:val="008D54FE"/>
    <w:rsid w:val="008D639A"/>
    <w:rsid w:val="008E212A"/>
    <w:rsid w:val="008E4FE2"/>
    <w:rsid w:val="008E5F8B"/>
    <w:rsid w:val="008E79DB"/>
    <w:rsid w:val="008F06C2"/>
    <w:rsid w:val="008F199D"/>
    <w:rsid w:val="008F1D0A"/>
    <w:rsid w:val="008F3933"/>
    <w:rsid w:val="00900EA0"/>
    <w:rsid w:val="0090367E"/>
    <w:rsid w:val="00906027"/>
    <w:rsid w:val="009110F8"/>
    <w:rsid w:val="00915EB8"/>
    <w:rsid w:val="00927AA9"/>
    <w:rsid w:val="00930D55"/>
    <w:rsid w:val="00933610"/>
    <w:rsid w:val="0096362C"/>
    <w:rsid w:val="00963FE9"/>
    <w:rsid w:val="009650BD"/>
    <w:rsid w:val="00967E69"/>
    <w:rsid w:val="00974757"/>
    <w:rsid w:val="00977579"/>
    <w:rsid w:val="00977961"/>
    <w:rsid w:val="00983C32"/>
    <w:rsid w:val="00992591"/>
    <w:rsid w:val="0099424C"/>
    <w:rsid w:val="009967CB"/>
    <w:rsid w:val="009A0DEA"/>
    <w:rsid w:val="009A1F1D"/>
    <w:rsid w:val="009A24AD"/>
    <w:rsid w:val="009A51F0"/>
    <w:rsid w:val="009B0BC4"/>
    <w:rsid w:val="009B3504"/>
    <w:rsid w:val="009B4402"/>
    <w:rsid w:val="009B5536"/>
    <w:rsid w:val="009C4B4E"/>
    <w:rsid w:val="009D3AE0"/>
    <w:rsid w:val="009D48E9"/>
    <w:rsid w:val="009D6AF9"/>
    <w:rsid w:val="009F02EC"/>
    <w:rsid w:val="009F09F1"/>
    <w:rsid w:val="009F40D9"/>
    <w:rsid w:val="009F475D"/>
    <w:rsid w:val="009F58A3"/>
    <w:rsid w:val="00A02258"/>
    <w:rsid w:val="00A0670F"/>
    <w:rsid w:val="00A07E52"/>
    <w:rsid w:val="00A108CC"/>
    <w:rsid w:val="00A1766C"/>
    <w:rsid w:val="00A17F1A"/>
    <w:rsid w:val="00A22001"/>
    <w:rsid w:val="00A222A7"/>
    <w:rsid w:val="00A31921"/>
    <w:rsid w:val="00A34ED8"/>
    <w:rsid w:val="00A36A65"/>
    <w:rsid w:val="00A372EE"/>
    <w:rsid w:val="00A45CD8"/>
    <w:rsid w:val="00A56B6D"/>
    <w:rsid w:val="00A65DD2"/>
    <w:rsid w:val="00A71A8D"/>
    <w:rsid w:val="00A71EF4"/>
    <w:rsid w:val="00A76812"/>
    <w:rsid w:val="00A86D47"/>
    <w:rsid w:val="00A944F3"/>
    <w:rsid w:val="00A97E15"/>
    <w:rsid w:val="00AA179C"/>
    <w:rsid w:val="00AA18AE"/>
    <w:rsid w:val="00AA2776"/>
    <w:rsid w:val="00AB4252"/>
    <w:rsid w:val="00AD2465"/>
    <w:rsid w:val="00AD6554"/>
    <w:rsid w:val="00AE22F2"/>
    <w:rsid w:val="00AE2392"/>
    <w:rsid w:val="00AE24DF"/>
    <w:rsid w:val="00AF328F"/>
    <w:rsid w:val="00B04ACF"/>
    <w:rsid w:val="00B104E7"/>
    <w:rsid w:val="00B33A06"/>
    <w:rsid w:val="00B34AF2"/>
    <w:rsid w:val="00B419F8"/>
    <w:rsid w:val="00B44DE2"/>
    <w:rsid w:val="00B50DEE"/>
    <w:rsid w:val="00B52FBD"/>
    <w:rsid w:val="00B54D58"/>
    <w:rsid w:val="00B60D9B"/>
    <w:rsid w:val="00B61251"/>
    <w:rsid w:val="00B614E6"/>
    <w:rsid w:val="00B6214E"/>
    <w:rsid w:val="00B65F77"/>
    <w:rsid w:val="00B72929"/>
    <w:rsid w:val="00B75A56"/>
    <w:rsid w:val="00B82F3D"/>
    <w:rsid w:val="00B92979"/>
    <w:rsid w:val="00B929A5"/>
    <w:rsid w:val="00B939A6"/>
    <w:rsid w:val="00B94955"/>
    <w:rsid w:val="00B97C33"/>
    <w:rsid w:val="00BA020D"/>
    <w:rsid w:val="00BA0C8A"/>
    <w:rsid w:val="00BA4901"/>
    <w:rsid w:val="00BA5F2A"/>
    <w:rsid w:val="00BB026F"/>
    <w:rsid w:val="00BB210B"/>
    <w:rsid w:val="00BB5370"/>
    <w:rsid w:val="00BB65C4"/>
    <w:rsid w:val="00BC4431"/>
    <w:rsid w:val="00BC6E2E"/>
    <w:rsid w:val="00BD2639"/>
    <w:rsid w:val="00BD4CC9"/>
    <w:rsid w:val="00BD4EB5"/>
    <w:rsid w:val="00BD5B6F"/>
    <w:rsid w:val="00BE364C"/>
    <w:rsid w:val="00BF2010"/>
    <w:rsid w:val="00BF4BCD"/>
    <w:rsid w:val="00BF688B"/>
    <w:rsid w:val="00C01120"/>
    <w:rsid w:val="00C04273"/>
    <w:rsid w:val="00C044F5"/>
    <w:rsid w:val="00C07936"/>
    <w:rsid w:val="00C1160A"/>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835B2"/>
    <w:rsid w:val="00C85AC8"/>
    <w:rsid w:val="00C87EFC"/>
    <w:rsid w:val="00C90C12"/>
    <w:rsid w:val="00C937E3"/>
    <w:rsid w:val="00CA1941"/>
    <w:rsid w:val="00CB10E5"/>
    <w:rsid w:val="00CB5CC4"/>
    <w:rsid w:val="00CC0E6A"/>
    <w:rsid w:val="00CC4171"/>
    <w:rsid w:val="00CC4385"/>
    <w:rsid w:val="00CD4639"/>
    <w:rsid w:val="00CD5F76"/>
    <w:rsid w:val="00CD6411"/>
    <w:rsid w:val="00CE27BF"/>
    <w:rsid w:val="00CE653A"/>
    <w:rsid w:val="00CF35FC"/>
    <w:rsid w:val="00CF5F66"/>
    <w:rsid w:val="00D00275"/>
    <w:rsid w:val="00D033AB"/>
    <w:rsid w:val="00D0422F"/>
    <w:rsid w:val="00D06776"/>
    <w:rsid w:val="00D14053"/>
    <w:rsid w:val="00D15664"/>
    <w:rsid w:val="00D160F1"/>
    <w:rsid w:val="00D215F3"/>
    <w:rsid w:val="00D23740"/>
    <w:rsid w:val="00D32E3B"/>
    <w:rsid w:val="00D33B62"/>
    <w:rsid w:val="00D345E7"/>
    <w:rsid w:val="00D350C8"/>
    <w:rsid w:val="00D40BA4"/>
    <w:rsid w:val="00D4227C"/>
    <w:rsid w:val="00D502B8"/>
    <w:rsid w:val="00D606E2"/>
    <w:rsid w:val="00D62387"/>
    <w:rsid w:val="00D62A5F"/>
    <w:rsid w:val="00D67C7B"/>
    <w:rsid w:val="00D83969"/>
    <w:rsid w:val="00D92D5B"/>
    <w:rsid w:val="00D93206"/>
    <w:rsid w:val="00D95007"/>
    <w:rsid w:val="00D97EA9"/>
    <w:rsid w:val="00DA0BA0"/>
    <w:rsid w:val="00DA6571"/>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2B0C"/>
    <w:rsid w:val="00E17B8F"/>
    <w:rsid w:val="00E2126D"/>
    <w:rsid w:val="00E30A12"/>
    <w:rsid w:val="00E30A3C"/>
    <w:rsid w:val="00E32722"/>
    <w:rsid w:val="00E3526B"/>
    <w:rsid w:val="00E37047"/>
    <w:rsid w:val="00E44B09"/>
    <w:rsid w:val="00E45BEF"/>
    <w:rsid w:val="00E46012"/>
    <w:rsid w:val="00E53230"/>
    <w:rsid w:val="00E53AE5"/>
    <w:rsid w:val="00E54FA7"/>
    <w:rsid w:val="00E602DF"/>
    <w:rsid w:val="00E62608"/>
    <w:rsid w:val="00E65473"/>
    <w:rsid w:val="00E66299"/>
    <w:rsid w:val="00E70827"/>
    <w:rsid w:val="00E70DF7"/>
    <w:rsid w:val="00E71C7E"/>
    <w:rsid w:val="00E752BD"/>
    <w:rsid w:val="00E80D97"/>
    <w:rsid w:val="00E81A13"/>
    <w:rsid w:val="00E82F78"/>
    <w:rsid w:val="00E83F3B"/>
    <w:rsid w:val="00E855C2"/>
    <w:rsid w:val="00E94287"/>
    <w:rsid w:val="00EB6E7A"/>
    <w:rsid w:val="00EC1BD8"/>
    <w:rsid w:val="00EC2AB1"/>
    <w:rsid w:val="00EC423F"/>
    <w:rsid w:val="00EC69E1"/>
    <w:rsid w:val="00EC6D2D"/>
    <w:rsid w:val="00ED65ED"/>
    <w:rsid w:val="00EE278E"/>
    <w:rsid w:val="00EE3AEB"/>
    <w:rsid w:val="00EE4363"/>
    <w:rsid w:val="00EF2BED"/>
    <w:rsid w:val="00EF64A8"/>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71B2"/>
    <w:rsid w:val="00F673C4"/>
    <w:rsid w:val="00F7022D"/>
    <w:rsid w:val="00F70FF1"/>
    <w:rsid w:val="00F73B1E"/>
    <w:rsid w:val="00F74BB3"/>
    <w:rsid w:val="00F81B41"/>
    <w:rsid w:val="00F83F52"/>
    <w:rsid w:val="00F84C0F"/>
    <w:rsid w:val="00F87901"/>
    <w:rsid w:val="00F955CF"/>
    <w:rsid w:val="00FA0AD4"/>
    <w:rsid w:val="00FA27F5"/>
    <w:rsid w:val="00FA7B89"/>
    <w:rsid w:val="00FB4732"/>
    <w:rsid w:val="00FC3325"/>
    <w:rsid w:val="00FD1A59"/>
    <w:rsid w:val="00FD7E01"/>
    <w:rsid w:val="00FF1B46"/>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l-GR" w:eastAsia="el-GR" w:bidi="el-GR"/>
    </w:rPr>
  </w:style>
  <w:style w:type="character" w:customStyle="1" w:styleId="Heading2Char">
    <w:name w:val="Heading 2 Char"/>
    <w:link w:val="Heading2"/>
    <w:locked/>
    <w:rsid w:val="003B283B"/>
    <w:rPr>
      <w:rFonts w:ascii="Times New Roman" w:eastAsia="Times New Roman" w:hAnsi="Times New Roman"/>
      <w:sz w:val="22"/>
      <w:szCs w:val="22"/>
      <w:lang w:val="el-GR" w:eastAsia="el-GR" w:bidi="el-GR"/>
    </w:rPr>
  </w:style>
  <w:style w:type="character" w:customStyle="1" w:styleId="Heading3Char">
    <w:name w:val="Heading 3 Char"/>
    <w:link w:val="Heading3"/>
    <w:locked/>
    <w:rsid w:val="003B283B"/>
    <w:rPr>
      <w:rFonts w:ascii="Times New Roman" w:eastAsia="Times New Roman" w:hAnsi="Times New Roman"/>
      <w:sz w:val="22"/>
      <w:szCs w:val="22"/>
      <w:lang w:val="el-GR" w:eastAsia="el-GR" w:bidi="el-GR"/>
    </w:rPr>
  </w:style>
  <w:style w:type="character" w:customStyle="1" w:styleId="Heading4Char">
    <w:name w:val="Heading 4 Char"/>
    <w:link w:val="Heading4"/>
    <w:locked/>
    <w:rsid w:val="003B283B"/>
    <w:rPr>
      <w:rFonts w:ascii="Times New Roman" w:eastAsia="Times New Roman" w:hAnsi="Times New Roman"/>
      <w:sz w:val="22"/>
      <w:szCs w:val="22"/>
      <w:lang w:val="el-GR" w:eastAsia="el-GR" w:bidi="el-GR"/>
    </w:rPr>
  </w:style>
  <w:style w:type="character" w:customStyle="1" w:styleId="Heading5Char">
    <w:name w:val="Heading 5 Char"/>
    <w:link w:val="Heading5"/>
    <w:locked/>
    <w:rsid w:val="003B283B"/>
    <w:rPr>
      <w:rFonts w:ascii="Times New Roman" w:eastAsia="Times New Roman" w:hAnsi="Times New Roman"/>
      <w:sz w:val="22"/>
      <w:szCs w:val="22"/>
      <w:lang w:val="el-GR" w:eastAsia="el-GR" w:bidi="el-GR"/>
    </w:rPr>
  </w:style>
  <w:style w:type="character" w:customStyle="1" w:styleId="Heading6Char">
    <w:name w:val="Heading 6 Char"/>
    <w:link w:val="Heading6"/>
    <w:locked/>
    <w:rsid w:val="003B283B"/>
    <w:rPr>
      <w:rFonts w:ascii="Times New Roman" w:eastAsia="Times New Roman" w:hAnsi="Times New Roman"/>
      <w:sz w:val="22"/>
      <w:szCs w:val="22"/>
      <w:lang w:val="el-GR" w:eastAsia="el-GR" w:bidi="el-GR"/>
    </w:rPr>
  </w:style>
  <w:style w:type="character" w:customStyle="1" w:styleId="Heading7Char">
    <w:name w:val="Heading 7 Char"/>
    <w:link w:val="Heading7"/>
    <w:locked/>
    <w:rsid w:val="003B283B"/>
    <w:rPr>
      <w:rFonts w:ascii="Times New Roman" w:eastAsia="Times New Roman" w:hAnsi="Times New Roman"/>
      <w:sz w:val="22"/>
      <w:szCs w:val="22"/>
      <w:lang w:val="el-GR" w:eastAsia="el-GR" w:bidi="el-GR"/>
    </w:rPr>
  </w:style>
  <w:style w:type="character" w:customStyle="1" w:styleId="Heading8Char">
    <w:name w:val="Heading 8 Char"/>
    <w:link w:val="Heading8"/>
    <w:locked/>
    <w:rsid w:val="003B283B"/>
    <w:rPr>
      <w:rFonts w:ascii="Times New Roman" w:eastAsia="Times New Roman" w:hAnsi="Times New Roman"/>
      <w:sz w:val="22"/>
      <w:szCs w:val="22"/>
      <w:lang w:val="el-GR" w:eastAsia="el-GR" w:bidi="el-GR"/>
    </w:rPr>
  </w:style>
  <w:style w:type="character" w:customStyle="1" w:styleId="Heading9Char">
    <w:name w:val="Heading 9 Char"/>
    <w:link w:val="Heading9"/>
    <w:locked/>
    <w:rsid w:val="003B283B"/>
    <w:rPr>
      <w:rFonts w:ascii="Times New Roman" w:eastAsia="Times New Roman" w:hAnsi="Times New Roman"/>
      <w:sz w:val="22"/>
      <w:szCs w:val="22"/>
      <w:lang w:val="el-GR" w:eastAsia="el-GR" w:bidi="el-GR"/>
    </w:rPr>
  </w:style>
  <w:style w:type="paragraph" w:styleId="Footer">
    <w:name w:val="footer"/>
    <w:basedOn w:val="Normal"/>
    <w:link w:val="FooterChar"/>
    <w:qFormat/>
    <w:rsid w:val="0079472F"/>
  </w:style>
  <w:style w:type="character" w:customStyle="1" w:styleId="FooterChar">
    <w:name w:val="Footer Char"/>
    <w:link w:val="Footer"/>
    <w:locked/>
    <w:rsid w:val="003B283B"/>
    <w:rPr>
      <w:rFonts w:ascii="Times New Roman" w:eastAsia="Times New Roman" w:hAnsi="Times New Roman"/>
      <w:sz w:val="22"/>
      <w:szCs w:val="22"/>
      <w:lang w:eastAsia="el-GR" w:bidi="el-GR"/>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l-GR" w:eastAsia="el-GR" w:bidi="el-GR"/>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el-GR" w:bidi="el-GR"/>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styleId="BalloonText">
    <w:name w:val="Balloon Text"/>
    <w:basedOn w:val="Normal"/>
    <w:link w:val="BalloonTextChar"/>
    <w:rsid w:val="002829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2997"/>
    <w:rPr>
      <w:rFonts w:ascii="Tahoma" w:eastAsia="Times New Roman" w:hAnsi="Tahoma" w:cs="Tahoma"/>
      <w:sz w:val="16"/>
      <w:szCs w:val="16"/>
      <w:lang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l-GR" w:eastAsia="el-GR" w:bidi="el-GR"/>
    </w:rPr>
  </w:style>
  <w:style w:type="character" w:customStyle="1" w:styleId="Heading2Char">
    <w:name w:val="Heading 2 Char"/>
    <w:link w:val="Heading2"/>
    <w:locked/>
    <w:rsid w:val="003B283B"/>
    <w:rPr>
      <w:rFonts w:ascii="Times New Roman" w:eastAsia="Times New Roman" w:hAnsi="Times New Roman"/>
      <w:sz w:val="22"/>
      <w:szCs w:val="22"/>
      <w:lang w:val="el-GR" w:eastAsia="el-GR" w:bidi="el-GR"/>
    </w:rPr>
  </w:style>
  <w:style w:type="character" w:customStyle="1" w:styleId="Heading3Char">
    <w:name w:val="Heading 3 Char"/>
    <w:link w:val="Heading3"/>
    <w:locked/>
    <w:rsid w:val="003B283B"/>
    <w:rPr>
      <w:rFonts w:ascii="Times New Roman" w:eastAsia="Times New Roman" w:hAnsi="Times New Roman"/>
      <w:sz w:val="22"/>
      <w:szCs w:val="22"/>
      <w:lang w:val="el-GR" w:eastAsia="el-GR" w:bidi="el-GR"/>
    </w:rPr>
  </w:style>
  <w:style w:type="character" w:customStyle="1" w:styleId="Heading4Char">
    <w:name w:val="Heading 4 Char"/>
    <w:link w:val="Heading4"/>
    <w:locked/>
    <w:rsid w:val="003B283B"/>
    <w:rPr>
      <w:rFonts w:ascii="Times New Roman" w:eastAsia="Times New Roman" w:hAnsi="Times New Roman"/>
      <w:sz w:val="22"/>
      <w:szCs w:val="22"/>
      <w:lang w:val="el-GR" w:eastAsia="el-GR" w:bidi="el-GR"/>
    </w:rPr>
  </w:style>
  <w:style w:type="character" w:customStyle="1" w:styleId="Heading5Char">
    <w:name w:val="Heading 5 Char"/>
    <w:link w:val="Heading5"/>
    <w:locked/>
    <w:rsid w:val="003B283B"/>
    <w:rPr>
      <w:rFonts w:ascii="Times New Roman" w:eastAsia="Times New Roman" w:hAnsi="Times New Roman"/>
      <w:sz w:val="22"/>
      <w:szCs w:val="22"/>
      <w:lang w:val="el-GR" w:eastAsia="el-GR" w:bidi="el-GR"/>
    </w:rPr>
  </w:style>
  <w:style w:type="character" w:customStyle="1" w:styleId="Heading6Char">
    <w:name w:val="Heading 6 Char"/>
    <w:link w:val="Heading6"/>
    <w:locked/>
    <w:rsid w:val="003B283B"/>
    <w:rPr>
      <w:rFonts w:ascii="Times New Roman" w:eastAsia="Times New Roman" w:hAnsi="Times New Roman"/>
      <w:sz w:val="22"/>
      <w:szCs w:val="22"/>
      <w:lang w:val="el-GR" w:eastAsia="el-GR" w:bidi="el-GR"/>
    </w:rPr>
  </w:style>
  <w:style w:type="character" w:customStyle="1" w:styleId="Heading7Char">
    <w:name w:val="Heading 7 Char"/>
    <w:link w:val="Heading7"/>
    <w:locked/>
    <w:rsid w:val="003B283B"/>
    <w:rPr>
      <w:rFonts w:ascii="Times New Roman" w:eastAsia="Times New Roman" w:hAnsi="Times New Roman"/>
      <w:sz w:val="22"/>
      <w:szCs w:val="22"/>
      <w:lang w:val="el-GR" w:eastAsia="el-GR" w:bidi="el-GR"/>
    </w:rPr>
  </w:style>
  <w:style w:type="character" w:customStyle="1" w:styleId="Heading8Char">
    <w:name w:val="Heading 8 Char"/>
    <w:link w:val="Heading8"/>
    <w:locked/>
    <w:rsid w:val="003B283B"/>
    <w:rPr>
      <w:rFonts w:ascii="Times New Roman" w:eastAsia="Times New Roman" w:hAnsi="Times New Roman"/>
      <w:sz w:val="22"/>
      <w:szCs w:val="22"/>
      <w:lang w:val="el-GR" w:eastAsia="el-GR" w:bidi="el-GR"/>
    </w:rPr>
  </w:style>
  <w:style w:type="character" w:customStyle="1" w:styleId="Heading9Char">
    <w:name w:val="Heading 9 Char"/>
    <w:link w:val="Heading9"/>
    <w:locked/>
    <w:rsid w:val="003B283B"/>
    <w:rPr>
      <w:rFonts w:ascii="Times New Roman" w:eastAsia="Times New Roman" w:hAnsi="Times New Roman"/>
      <w:sz w:val="22"/>
      <w:szCs w:val="22"/>
      <w:lang w:val="el-GR" w:eastAsia="el-GR" w:bidi="el-GR"/>
    </w:rPr>
  </w:style>
  <w:style w:type="paragraph" w:styleId="Footer">
    <w:name w:val="footer"/>
    <w:basedOn w:val="Normal"/>
    <w:link w:val="FooterChar"/>
    <w:qFormat/>
    <w:rsid w:val="0079472F"/>
  </w:style>
  <w:style w:type="character" w:customStyle="1" w:styleId="FooterChar">
    <w:name w:val="Footer Char"/>
    <w:link w:val="Footer"/>
    <w:locked/>
    <w:rsid w:val="003B283B"/>
    <w:rPr>
      <w:rFonts w:ascii="Times New Roman" w:eastAsia="Times New Roman" w:hAnsi="Times New Roman"/>
      <w:sz w:val="22"/>
      <w:szCs w:val="22"/>
      <w:lang w:eastAsia="el-GR" w:bidi="el-GR"/>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l-GR" w:eastAsia="el-GR" w:bidi="el-GR"/>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el-GR" w:bidi="el-GR"/>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styleId="BalloonText">
    <w:name w:val="Balloon Text"/>
    <w:basedOn w:val="Normal"/>
    <w:link w:val="BalloonTextChar"/>
    <w:rsid w:val="002829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2997"/>
    <w:rPr>
      <w:rFonts w:ascii="Tahoma" w:eastAsia="Times New Roman" w:hAnsi="Tahoma" w:cs="Tahoma"/>
      <w:sz w:val="16"/>
      <w:szCs w:val="16"/>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esc.europa.eu/?i=portal.en.opinions-search" TargetMode="Externa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en.documents" TargetMode="External"/><Relationship Id="rId29" Type="http://schemas.openxmlformats.org/officeDocument/2006/relationships/hyperlink" Target="mailto:Andrei.Popescu@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siegfried.jantscher@eesc.europa.eu" TargetMode="External"/><Relationship Id="rId36"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Kristian.Krieger@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Kristian.Krieger@eesc.europa.eu" TargetMode="External"/><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SNS6YXTC77FS-9-5041</_dlc_DocId>
    <_dlc_DocIdUrl xmlns="9f264e46-9252-4f01-a3b2-4cb67eb6fc3c">
      <Url>http://dm/EESC/2015/_layouts/DocIdRedir.aspx?ID=SNS6YXTC77FS-9-5041</Url>
      <Description>SNS6YXTC77FS-9-5041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2016-02-05T12:00:00+00:00</ProductionDate>
    <FicheYear xmlns="9f264e46-9252-4f01-a3b2-4cb67eb6fc3c">2016</FicheYear>
    <DocumentNumber xmlns="ae52afa4-c322-454e-8472-1d2b1900674c">6625</DocumentNumber>
    <DocumentVersion xmlns="9f264e46-9252-4f01-a3b2-4cb67eb6fc3c">2</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9f264e46-9252-4f01-a3b2-4cb67eb6fc3c">
      <Value>43</Value>
      <Value>41</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1423</FicheNumber>
    <DocumentPart xmlns="9f264e46-9252-4f01-a3b2-4cb67eb6fc3c">0</DocumentPart>
    <AdoptionDate xmlns="9f264e46-9252-4f01-a3b2-4cb67eb6fc3c">2016-01-21T12:00:00+00:00</AdoptionDate>
    <MeetingName_0 xmlns="http://schemas.microsoft.com/sharepoint/v3/fields">
      <Terms xmlns="http://schemas.microsoft.com/office/infopath/2007/PartnerControl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8801-268E-4014-8639-F9597E211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2C6D-F210-4BCC-96B9-D59A42C1E6F5}">
  <ds:schemaRefs>
    <ds:schemaRef ds:uri="http://schemas.microsoft.com/sharepoint/v3/fields"/>
    <ds:schemaRef ds:uri="ae52afa4-c322-454e-8472-1d2b1900674c"/>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f264e46-9252-4f01-a3b2-4cb67eb6fc3c"/>
    <ds:schemaRef ds:uri="http://www.w3.org/XML/1998/namespace"/>
  </ds:schemaRefs>
</ds:datastoreItem>
</file>

<file path=customXml/itemProps3.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5D2D9B27-233D-46F7-A79F-B1624E7D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7</Pages>
  <Words>1418</Words>
  <Characters>9603</Characters>
  <Application>Microsoft Office Word</Application>
  <DocSecurity>0</DocSecurity>
  <Lines>80</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Σύνοψη των γνωμοδοτήσεων που υιοθετήθηκαν κατά την 513η σύνοδο ολομέλειας</vt:lpstr>
      <vt:lpstr> </vt:lpstr>
    </vt:vector>
  </TitlesOfParts>
  <Company>CESE-CdR</Company>
  <LinksUpToDate>false</LinksUpToDate>
  <CharactersWithSpaces>11000</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Σύνοψη των γνωμοδοτήσεων που υιοθετήθηκαν κατά την 513η σύνοδο ολομέλειας</dc:title>
  <dc:subject>Διάφορες συμβουλευτικές εργασίες</dc:subject>
  <dc:creator>Stuart Shelley</dc:creator>
  <cp:keywords>EESC-2015-06625-00-02-TCD-TRA-EL</cp:keywords>
  <dc:description>Eisigitís: -_x000d_
Glóssa prototypou: FR_x000d_
Hmerominía tou eggráfou: 05/02/2016_x000d_
Hmerominía tis synedríasis: _x000d_
Exoteriká éggrafa: -_x000d_
Armódios ypállilos: Cosmai Domenico, tiléfono: +32 (0)2 546 9041_x000d_
_x000d_
Perílipsi:</dc:description>
  <cp:lastModifiedBy>Stuart Shelley</cp:lastModifiedBy>
  <cp:revision>2</cp:revision>
  <cp:lastPrinted>2016-02-03T13:50:00Z</cp:lastPrinted>
  <dcterms:created xsi:type="dcterms:W3CDTF">2016-02-22T15:09:00Z</dcterms:created>
  <dcterms:modified xsi:type="dcterms:W3CDTF">2016-02-22T15:09:00Z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03/02/2016, 03/02/2016, 14/01/2016, 14/01/2016, 17/12/2015, 17/12/2015, 17/09/2015, 17/09/2015, 02/07/2015, 02/07/2015, 26/05/2015, 26/05/2015, 26/05/2015, 28/04/2015, 28/04/2015, 16/04/2015, 16/04/2015, 17/03/2015, 17/03/2015</vt:lpwstr>
  </property>
  <property fmtid="{D5CDD505-2E9C-101B-9397-08002B2CF9AE}" pid="4" name="Pref_Time">
    <vt:lpwstr>17:26:57, 16:09:02, 17:58:07, 17:32:44, 15:05:42, 11:13:53, 16:35:31, 16:17:21, 11:06:52, 09:02:14, 11:36:17, 10:24:48, 10:08:29, 10:48:07, 08:46:16, 16:41:11, 09:47:16, 17:45:27, 14:54:56</vt:lpwstr>
  </property>
  <property fmtid="{D5CDD505-2E9C-101B-9397-08002B2CF9AE}" pid="5" name="Pref_User">
    <vt:lpwstr>tvoc, nmcg, vvos, ssex, vvos, vvos, mkop, nmcg, amett, htoo, tvoc, dtai, nmcg, amett, ymur, amett, YMUR, jhvi, gharr</vt:lpwstr>
  </property>
  <property fmtid="{D5CDD505-2E9C-101B-9397-08002B2CF9AE}" pid="6" name="Pref_FileName">
    <vt:lpwstr>EESC-2015-06625-00-01-TCD-TRA-EN-CRR.docx, EESC-2015-06625-00-01-TCD-CRR-EN.docx, EESC-2015-06625-00-00-TCD-TRA-EN-CRR.docx, EESC-2015-06625-00-00-TCD-CRR-EN.docx, EESC-2015-05366-00-00-TCD-ORI.docx, EESC-2015-03529-00-00-TCD-ORI.docx, EESC-2015-04700-00-</vt:lpwstr>
  </property>
  <property fmtid="{D5CDD505-2E9C-101B-9397-08002B2CF9AE}" pid="7" name="ContentTypeId">
    <vt:lpwstr>0x010100EA97B91038054C99906057A708A1480A00E7D2B1FD55A9544EB8E25229FA72FDDF</vt:lpwstr>
  </property>
  <property fmtid="{D5CDD505-2E9C-101B-9397-08002B2CF9AE}" pid="8" name="_dlc_DocIdItemGuid">
    <vt:lpwstr>923750af-8e1a-409b-909f-1ea1834ef4b6</vt:lpwstr>
  </property>
  <property fmtid="{D5CDD505-2E9C-101B-9397-08002B2CF9AE}" pid="9" name="AvailableTranslations">
    <vt:lpwstr>38;#IT|0774613c-01ed-4e5d-a25d-11d2388de825;#41;#NL|55c6556c-b4f4-441d-9acf-c498d4f838bd;#24;#PT|50ccc04a-eadd-42ae-a0cb-acaf45f812ba;#11;#EL|6d4f4d51-af9b-4650-94b4-4276bee85c91;#22;#LV|46f7e311-5d9f-4663-b433-18aeccb7ace7;#35;#ET|ff6c3f4c-b02c-4c3c-ab07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11;#EL|6d4f4d51-af9b-4650-94b4-4276bee85c91</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FR|d2afafd3-4c81-4f60-8f52-ee33f2f54ff3</vt:lpwstr>
  </property>
  <property fmtid="{D5CDD505-2E9C-101B-9397-08002B2CF9AE}" pid="26" name="DocumentLanguage_0">
    <vt:lpwstr>FR|d2afafd3-4c81-4f60-8f52-ee33f2f54ff3</vt:lpwstr>
  </property>
  <property fmtid="{D5CDD505-2E9C-101B-9397-08002B2CF9AE}" pid="27" name="TaxCatchAll">
    <vt:lpwstr>38;#IT|0774613c-01ed-4e5d-a25d-11d2388de825;#120;#Final|ea5e6674-7b27-4bac-b091-73adbb394efe;#8;#TCD|cd9d6eb6-3f4f-424a-b2d1-57c9d450eaaf;#4;#FR|d2afafd3-4c81-4f60-8f52-ee33f2f54ff3;#5;#Unrestricted|826e22d7-d029-4ec0-a450-0c28ff673572;#25;#RO|feb747a2-64</vt:lpwstr>
  </property>
  <property fmtid="{D5CDD505-2E9C-101B-9397-08002B2CF9AE}" pid="28" name="AvailableTranslations_0">
    <vt:lpwstr>IT|0774613c-01ed-4e5d-a25d-11d2388de825;RO|feb747a2-64cd-4299-af12-4833ddc30497;FR|d2afafd3-4c81-4f60-8f52-ee33f2f54ff3</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6625</vt:i4>
  </property>
  <property fmtid="{D5CDD505-2E9C-101B-9397-08002B2CF9AE}" pid="33" name="DocumentVersion">
    <vt:i4>2</vt:i4>
  </property>
  <property fmtid="{D5CDD505-2E9C-101B-9397-08002B2CF9AE}" pid="34" name="DocumentYear">
    <vt:i4>2015</vt:i4>
  </property>
  <property fmtid="{D5CDD505-2E9C-101B-9397-08002B2CF9AE}" pid="35" name="FicheNumber">
    <vt:i4>1423</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AdoptionDate">
    <vt:filetime>2016-01-21T12:00:00Z</vt:filetime>
  </property>
</Properties>
</file>