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C731FB" w:rsidRDefault="008405A0" w:rsidP="008C018E">
      <w:pPr>
        <w:snapToGrid w:val="0"/>
        <w:jc w:val="center"/>
      </w:pPr>
      <w:bookmarkStart w:id="0" w:name="_GoBack"/>
      <w:bookmarkEnd w:id="0"/>
      <w:r w:rsidRPr="00C731FB">
        <w:rPr>
          <w:noProof/>
          <w:lang w:val="fr-BE" w:eastAsia="fr-BE"/>
        </w:rPr>
        <w:drawing>
          <wp:inline distT="0" distB="0" distL="0" distR="0" wp14:anchorId="2D16A303" wp14:editId="587880EE">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C731FB">
        <w:rPr>
          <w:noProof/>
          <w:lang w:val="fr-BE" w:eastAsia="fr-BE"/>
        </w:rPr>
        <mc:AlternateContent>
          <mc:Choice Requires="wps">
            <w:drawing>
              <wp:anchor distT="0" distB="0" distL="114300" distR="114300" simplePos="0" relativeHeight="251659264" behindDoc="1" locked="0" layoutInCell="0" allowOverlap="1" wp14:anchorId="21F7184F" wp14:editId="1F6C4D1E">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16A" w:rsidRPr="008C018E" w:rsidRDefault="0019516A" w:rsidP="006D1357">
                            <w:pPr>
                              <w:snapToGrid w:val="0"/>
                              <w:jc w:val="center"/>
                              <w:rPr>
                                <w:rFonts w:ascii="Arial" w:hAnsi="Arial" w:cs="Arial"/>
                                <w:b/>
                                <w:sz w:val="48"/>
                              </w:rPr>
                            </w:pPr>
                            <w:r w:rsidRPr="008C018E">
                              <w:rPr>
                                <w:rFonts w:ascii="Arial" w:hAnsi="Arial" w:cs="Arial"/>
                                <w:b/>
                                <w:noProof/>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19516A" w:rsidRPr="008C018E" w:rsidRDefault="0019516A" w:rsidP="006D1357">
                      <w:pPr>
                        <w:snapToGrid w:val="0"/>
                        <w:jc w:val="center"/>
                        <w:rPr>
                          <w:rFonts w:ascii="Arial" w:hAnsi="Arial" w:cs="Arial"/>
                          <w:b/>
                          <w:sz w:val="48"/>
                        </w:rPr>
                      </w:pPr>
                      <w:r w:rsidRPr="008C018E">
                        <w:rPr>
                          <w:rFonts w:ascii="Arial" w:hAnsi="Arial" w:cs="Arial"/>
                          <w:b/>
                          <w:noProof/>
                          <w:sz w:val="48"/>
                        </w:rPr>
                        <w:t>BG</w:t>
                      </w:r>
                    </w:p>
                  </w:txbxContent>
                </v:textbox>
                <w10:wrap anchorx="page" anchory="page"/>
              </v:shape>
            </w:pict>
          </mc:Fallback>
        </mc:AlternateContent>
      </w:r>
    </w:p>
    <w:p w:rsidR="008405A0" w:rsidRPr="00C731FB" w:rsidRDefault="008405A0" w:rsidP="006D1357">
      <w:pPr>
        <w:snapToGrid w:val="0"/>
        <w:spacing w:line="280" w:lineRule="auto"/>
        <w:jc w:val="center"/>
        <w:rPr>
          <w:rFonts w:ascii="Arial" w:eastAsia="MS Mincho" w:hAnsi="Arial" w:cs="Arial"/>
          <w:b/>
          <w:i/>
          <w:sz w:val="20"/>
        </w:rPr>
      </w:pPr>
      <w:r w:rsidRPr="00C731FB">
        <w:rPr>
          <w:rFonts w:ascii="Arial" w:hAnsi="Arial" w:cs="Arial"/>
          <w:b/>
          <w:i/>
          <w:sz w:val="20"/>
        </w:rPr>
        <w:t>Европейски икономически и социален комитет</w:t>
      </w:r>
    </w:p>
    <w:p w:rsidR="008405A0" w:rsidRPr="00C731FB" w:rsidRDefault="008405A0" w:rsidP="006D1357">
      <w:pPr>
        <w:rPr>
          <w:rFonts w:ascii="Arial" w:eastAsia="SimSun" w:hAnsi="Arial" w:cs="Arial"/>
          <w:b/>
          <w:i/>
          <w:sz w:val="20"/>
        </w:rPr>
        <w:sectPr w:rsidR="008405A0" w:rsidRPr="00C731FB" w:rsidSect="008C018E">
          <w:footerReference w:type="default" r:id="rId14"/>
          <w:pgSz w:w="11907" w:h="16839" w:code="9"/>
          <w:pgMar w:top="567" w:right="1440" w:bottom="1928" w:left="1440" w:header="284" w:footer="1134" w:gutter="0"/>
          <w:pgNumType w:start="1"/>
          <w:cols w:space="708"/>
          <w:docGrid w:linePitch="360"/>
        </w:sectPr>
      </w:pPr>
    </w:p>
    <w:p w:rsidR="008405A0" w:rsidRPr="00C731FB" w:rsidRDefault="008405A0" w:rsidP="006D1357">
      <w:pPr>
        <w:snapToGrid w:val="0"/>
        <w:jc w:val="center"/>
      </w:pPr>
    </w:p>
    <w:p w:rsidR="008405A0" w:rsidRPr="00C731FB" w:rsidRDefault="008405A0" w:rsidP="006D1357">
      <w:pPr>
        <w:snapToGrid w:val="0"/>
      </w:pPr>
    </w:p>
    <w:p w:rsidR="008405A0" w:rsidRPr="00C731FB" w:rsidRDefault="008405A0" w:rsidP="006D1357">
      <w:pPr>
        <w:snapToGrid w:val="0"/>
      </w:pPr>
    </w:p>
    <w:p w:rsidR="008405A0" w:rsidRPr="00C731FB" w:rsidRDefault="008405A0" w:rsidP="006D1357">
      <w:pPr>
        <w:snapToGrid w:val="0"/>
        <w:spacing w:line="280" w:lineRule="auto"/>
        <w:jc w:val="right"/>
        <w:rPr>
          <w:rFonts w:eastAsia="MS Mincho"/>
        </w:rPr>
      </w:pPr>
      <w:r w:rsidRPr="00C731FB">
        <w:t>Брюксел, 4 февруари 2016 г.</w:t>
      </w:r>
    </w:p>
    <w:p w:rsidR="008405A0" w:rsidRPr="00C731FB" w:rsidRDefault="008405A0" w:rsidP="006D1357">
      <w:pPr>
        <w:snapToGrid w:val="0"/>
      </w:pPr>
    </w:p>
    <w:p w:rsidR="008405A0" w:rsidRPr="00C731FB" w:rsidRDefault="008405A0" w:rsidP="006D1357">
      <w:pPr>
        <w:snapToGrid w:val="0"/>
      </w:pPr>
    </w:p>
    <w:p w:rsidR="008405A0" w:rsidRPr="00C731FB" w:rsidRDefault="008405A0" w:rsidP="006D1357">
      <w:pPr>
        <w:snapToGrid w:val="0"/>
      </w:pPr>
    </w:p>
    <w:p w:rsidR="008405A0" w:rsidRPr="00C731FB" w:rsidRDefault="008405A0" w:rsidP="006D1357">
      <w:pPr>
        <w:snapToGrid w:val="0"/>
      </w:pPr>
    </w:p>
    <w:p w:rsidR="008405A0" w:rsidRPr="00C731FB" w:rsidRDefault="008405A0" w:rsidP="006D1357">
      <w:pPr>
        <w:snapToGrid w:val="0"/>
      </w:pPr>
    </w:p>
    <w:tbl>
      <w:tblPr>
        <w:tblW w:w="0" w:type="auto"/>
        <w:tblLayout w:type="fixed"/>
        <w:tblLook w:val="0000" w:firstRow="0" w:lastRow="0" w:firstColumn="0" w:lastColumn="0" w:noHBand="0" w:noVBand="0"/>
      </w:tblPr>
      <w:tblGrid>
        <w:gridCol w:w="9243"/>
      </w:tblGrid>
      <w:tr w:rsidR="008405A0" w:rsidRPr="00C731FB" w:rsidTr="008405A0">
        <w:tc>
          <w:tcPr>
            <w:tcW w:w="9243" w:type="dxa"/>
            <w:tcBorders>
              <w:top w:val="nil"/>
              <w:left w:val="nil"/>
              <w:bottom w:val="double" w:sz="4" w:space="0" w:color="auto"/>
              <w:right w:val="nil"/>
            </w:tcBorders>
          </w:tcPr>
          <w:p w:rsidR="008405A0" w:rsidRPr="00C731FB" w:rsidRDefault="002C199A" w:rsidP="006D1357">
            <w:pPr>
              <w:snapToGrid w:val="0"/>
              <w:spacing w:line="280" w:lineRule="auto"/>
              <w:jc w:val="center"/>
              <w:rPr>
                <w:rFonts w:eastAsia="MS Mincho"/>
                <w:b/>
                <w:sz w:val="32"/>
              </w:rPr>
            </w:pPr>
            <w:r w:rsidRPr="00C731FB">
              <w:rPr>
                <w:b/>
                <w:sz w:val="32"/>
              </w:rPr>
              <w:t>ПЛЕНАРНА СЕСИЯ</w:t>
            </w:r>
            <w:r w:rsidRPr="00C731FB">
              <w:rPr>
                <w:b/>
                <w:sz w:val="32"/>
              </w:rPr>
              <w:br/>
            </w:r>
            <w:r w:rsidR="008405A0" w:rsidRPr="00C731FB">
              <w:rPr>
                <w:b/>
                <w:sz w:val="32"/>
              </w:rPr>
              <w:br/>
              <w:t>ПРОВЕД</w:t>
            </w:r>
            <w:r w:rsidRPr="00C731FB">
              <w:rPr>
                <w:b/>
                <w:sz w:val="32"/>
              </w:rPr>
              <w:t>ЕНА НА 20 и 21 ЯНУАРИ 2016 г.</w:t>
            </w:r>
            <w:r w:rsidRPr="00C731FB">
              <w:rPr>
                <w:b/>
                <w:sz w:val="32"/>
              </w:rPr>
              <w:br/>
            </w:r>
            <w:r w:rsidR="008405A0" w:rsidRPr="00C731FB">
              <w:rPr>
                <w:b/>
                <w:sz w:val="32"/>
              </w:rPr>
              <w:br/>
              <w:t>ОБОБЩЕНИЕ НА ПРИЕТИТЕ СТАНОВИЩА</w:t>
            </w:r>
          </w:p>
          <w:p w:rsidR="008405A0" w:rsidRPr="00C731FB" w:rsidRDefault="008405A0" w:rsidP="006D1357">
            <w:pPr>
              <w:snapToGrid w:val="0"/>
              <w:jc w:val="center"/>
              <w:rPr>
                <w:b/>
                <w:sz w:val="32"/>
              </w:rPr>
            </w:pPr>
          </w:p>
          <w:p w:rsidR="008405A0" w:rsidRPr="00C731FB" w:rsidRDefault="008405A0" w:rsidP="006D1357">
            <w:pPr>
              <w:snapToGrid w:val="0"/>
              <w:jc w:val="center"/>
              <w:rPr>
                <w:rFonts w:eastAsia="Calibri"/>
                <w:b/>
                <w:bCs/>
                <w:lang w:eastAsia="bg-BG" w:bidi="bg-BG"/>
              </w:rPr>
            </w:pPr>
          </w:p>
        </w:tc>
      </w:tr>
      <w:tr w:rsidR="008405A0" w:rsidRPr="00C731FB" w:rsidTr="008405A0">
        <w:tc>
          <w:tcPr>
            <w:tcW w:w="9243" w:type="dxa"/>
            <w:tcBorders>
              <w:top w:val="double" w:sz="4" w:space="0" w:color="auto"/>
              <w:left w:val="double" w:sz="4" w:space="0" w:color="auto"/>
              <w:bottom w:val="double" w:sz="4" w:space="0" w:color="auto"/>
              <w:right w:val="double" w:sz="4" w:space="0" w:color="auto"/>
            </w:tcBorders>
          </w:tcPr>
          <w:p w:rsidR="008405A0" w:rsidRPr="00C731FB" w:rsidRDefault="00A31921" w:rsidP="006D1357">
            <w:pPr>
              <w:snapToGrid w:val="0"/>
              <w:spacing w:line="280" w:lineRule="auto"/>
              <w:jc w:val="center"/>
              <w:rPr>
                <w:rFonts w:eastAsia="MS Mincho"/>
                <w:b/>
              </w:rPr>
            </w:pPr>
            <w:r w:rsidRPr="00C731FB">
              <w:rPr>
                <w:b/>
              </w:rPr>
              <w:t>Настоящият документ е достъпен на официалните езици на интернет сайта на Комитета на следния адрес:</w:t>
            </w:r>
          </w:p>
          <w:p w:rsidR="008405A0" w:rsidRPr="00C731FB" w:rsidRDefault="008405A0" w:rsidP="006D1357">
            <w:pPr>
              <w:snapToGrid w:val="0"/>
              <w:jc w:val="center"/>
              <w:rPr>
                <w:b/>
              </w:rPr>
            </w:pPr>
          </w:p>
          <w:p w:rsidR="008405A0" w:rsidRPr="00C731FB" w:rsidRDefault="005C6BDA" w:rsidP="006D1357">
            <w:pPr>
              <w:spacing w:line="280" w:lineRule="auto"/>
              <w:jc w:val="center"/>
              <w:rPr>
                <w:rFonts w:eastAsia="MS Mincho"/>
                <w:color w:val="3333FF"/>
                <w:u w:val="single"/>
              </w:rPr>
            </w:pPr>
            <w:hyperlink r:id="rId15" w:anchor="/boxTab1-2">
              <w:r w:rsidR="00646EEC" w:rsidRPr="00C731FB">
                <w:rPr>
                  <w:rStyle w:val="Hyperlink"/>
                  <w:b/>
                  <w:color w:val="3333FF"/>
                </w:rPr>
                <w:t>http://www.eesc.europa.eu/?i=portal.bg.documents#/boxTab1-2</w:t>
              </w:r>
            </w:hyperlink>
          </w:p>
          <w:p w:rsidR="008405A0" w:rsidRPr="00C731FB" w:rsidRDefault="008405A0" w:rsidP="006D1357">
            <w:pPr>
              <w:snapToGrid w:val="0"/>
              <w:jc w:val="center"/>
            </w:pPr>
          </w:p>
          <w:p w:rsidR="008405A0" w:rsidRPr="00C731FB" w:rsidRDefault="008405A0" w:rsidP="006D1357">
            <w:pPr>
              <w:snapToGrid w:val="0"/>
              <w:jc w:val="center"/>
              <w:rPr>
                <w:rFonts w:eastAsia="SimSun"/>
                <w:b/>
              </w:rPr>
            </w:pPr>
          </w:p>
          <w:p w:rsidR="008405A0" w:rsidRPr="00C731FB" w:rsidRDefault="008405A0" w:rsidP="006D1357">
            <w:pPr>
              <w:snapToGrid w:val="0"/>
              <w:spacing w:line="280" w:lineRule="auto"/>
              <w:jc w:val="center"/>
              <w:rPr>
                <w:rFonts w:eastAsia="MS Mincho"/>
                <w:b/>
              </w:rPr>
            </w:pPr>
            <w:r w:rsidRPr="00C731FB">
              <w:rPr>
                <w:b/>
              </w:rPr>
              <w:t>Посочените становища могат да бъдат намерени онлайн чрез търсачката на Комитета:</w:t>
            </w:r>
          </w:p>
          <w:p w:rsidR="008405A0" w:rsidRPr="00C731FB" w:rsidRDefault="008405A0" w:rsidP="006D1357">
            <w:pPr>
              <w:snapToGrid w:val="0"/>
              <w:jc w:val="center"/>
              <w:rPr>
                <w:b/>
              </w:rPr>
            </w:pPr>
          </w:p>
          <w:p w:rsidR="008405A0" w:rsidRPr="00C731FB" w:rsidRDefault="005C6BDA" w:rsidP="006D1357">
            <w:pPr>
              <w:snapToGrid w:val="0"/>
              <w:spacing w:line="280" w:lineRule="auto"/>
              <w:jc w:val="center"/>
              <w:rPr>
                <w:rFonts w:eastAsia="MS Mincho"/>
                <w:b/>
              </w:rPr>
            </w:pPr>
            <w:hyperlink r:id="rId16">
              <w:r w:rsidR="00646EEC" w:rsidRPr="00C731FB">
                <w:rPr>
                  <w:rStyle w:val="Hyperlink"/>
                  <w:b/>
                  <w:color w:val="3333FF"/>
                </w:rPr>
                <w:t>http://www.eesc.europa.eu/?i=portal.bg.opinions-search</w:t>
              </w:r>
            </w:hyperlink>
          </w:p>
          <w:p w:rsidR="008405A0" w:rsidRPr="00C731FB" w:rsidRDefault="008405A0" w:rsidP="006D1357">
            <w:pPr>
              <w:snapToGrid w:val="0"/>
              <w:jc w:val="center"/>
              <w:rPr>
                <w:rFonts w:eastAsia="Calibri"/>
                <w:b/>
                <w:bCs/>
                <w:lang w:eastAsia="bg-BG" w:bidi="bg-BG"/>
              </w:rPr>
            </w:pPr>
          </w:p>
        </w:tc>
      </w:tr>
    </w:tbl>
    <w:p w:rsidR="008405A0" w:rsidRPr="00C731FB" w:rsidRDefault="008405A0" w:rsidP="006D1357"/>
    <w:p w:rsidR="008405A0" w:rsidRPr="00C731FB" w:rsidRDefault="008405A0" w:rsidP="006D1357">
      <w:pPr>
        <w:snapToGrid w:val="0"/>
      </w:pPr>
    </w:p>
    <w:p w:rsidR="008405A0" w:rsidRPr="00C731FB" w:rsidRDefault="008405A0" w:rsidP="006D1357">
      <w:pPr>
        <w:rPr>
          <w:rFonts w:eastAsia="SimSun"/>
          <w:b/>
          <w:sz w:val="28"/>
          <w:u w:val="single"/>
        </w:rPr>
        <w:sectPr w:rsidR="008405A0" w:rsidRPr="00C731FB" w:rsidSect="008C018E">
          <w:headerReference w:type="even" r:id="rId17"/>
          <w:headerReference w:type="default" r:id="rId18"/>
          <w:footerReference w:type="even" r:id="rId19"/>
          <w:footerReference w:type="default" r:id="rId20"/>
          <w:headerReference w:type="first" r:id="rId21"/>
          <w:footerReference w:type="first" r:id="rId22"/>
          <w:type w:val="continuous"/>
          <w:pgSz w:w="11907" w:h="16839"/>
          <w:pgMar w:top="1701" w:right="1440" w:bottom="1928" w:left="1440" w:header="1020" w:footer="1247" w:gutter="0"/>
          <w:cols w:space="720"/>
          <w:docGrid w:linePitch="299"/>
        </w:sectPr>
      </w:pPr>
    </w:p>
    <w:p w:rsidR="008405A0" w:rsidRPr="00C731FB" w:rsidRDefault="008405A0" w:rsidP="006D1357">
      <w:pPr>
        <w:snapToGrid w:val="0"/>
        <w:rPr>
          <w:b/>
          <w:sz w:val="28"/>
          <w:u w:val="single"/>
        </w:rPr>
      </w:pPr>
    </w:p>
    <w:p w:rsidR="008405A0" w:rsidRPr="00C731FB" w:rsidRDefault="008405A0" w:rsidP="006D1357">
      <w:pPr>
        <w:snapToGrid w:val="0"/>
        <w:spacing w:line="280" w:lineRule="auto"/>
        <w:rPr>
          <w:rFonts w:eastAsia="MS Mincho"/>
          <w:b/>
          <w:sz w:val="28"/>
          <w:u w:val="single"/>
        </w:rPr>
      </w:pPr>
      <w:r w:rsidRPr="00C731FB">
        <w:rPr>
          <w:b/>
        </w:rPr>
        <w:t>Обобщение:</w:t>
      </w:r>
    </w:p>
    <w:p w:rsidR="00451194" w:rsidRPr="00C731FB" w:rsidRDefault="00B97C33" w:rsidP="006D1357">
      <w:pPr>
        <w:tabs>
          <w:tab w:val="left" w:pos="440"/>
          <w:tab w:val="right" w:leader="dot" w:pos="9017"/>
        </w:tabs>
        <w:spacing w:after="100"/>
      </w:pPr>
      <w:r w:rsidRPr="00C731FB">
        <w:fldChar w:fldCharType="begin"/>
      </w:r>
      <w:r w:rsidRPr="00C731FB">
        <w:instrText xml:space="preserve"> TOC \o "1-3" \h \z \u </w:instrText>
      </w:r>
      <w:r w:rsidRPr="00C731FB">
        <w:fldChar w:fldCharType="separate"/>
      </w:r>
    </w:p>
    <w:p w:rsidR="00451194" w:rsidRPr="00C731FB" w:rsidRDefault="005C6BDA">
      <w:pPr>
        <w:pStyle w:val="TOC1"/>
        <w:tabs>
          <w:tab w:val="left" w:pos="440"/>
          <w:tab w:val="right" w:leader="dot" w:pos="9017"/>
        </w:tabs>
      </w:pPr>
      <w:hyperlink w:anchor="_Toc442438740" w:history="1">
        <w:r w:rsidR="00451194" w:rsidRPr="00C731FB">
          <w:rPr>
            <w:rStyle w:val="Hyperlink"/>
          </w:rPr>
          <w:t>1.</w:t>
        </w:r>
        <w:r w:rsidR="00451194" w:rsidRPr="00C731FB">
          <w:tab/>
        </w:r>
        <w:r w:rsidR="00451194" w:rsidRPr="00C731FB">
          <w:rPr>
            <w:rStyle w:val="Hyperlink"/>
            <w:b/>
          </w:rPr>
          <w:t>ФИНАНСОВИ ИНСТРУМЕНТИ / ДАНЪЧНО ОБЛАГАНЕ</w:t>
        </w:r>
        <w:r w:rsidR="00451194" w:rsidRPr="00C731FB">
          <w:rPr>
            <w:webHidden/>
          </w:rPr>
          <w:tab/>
        </w:r>
        <w:r w:rsidR="00451194" w:rsidRPr="00C731FB">
          <w:rPr>
            <w:webHidden/>
          </w:rPr>
          <w:fldChar w:fldCharType="begin"/>
        </w:r>
        <w:r w:rsidR="00451194" w:rsidRPr="00C731FB">
          <w:rPr>
            <w:webHidden/>
          </w:rPr>
          <w:instrText xml:space="preserve"> PAGEREF _Toc442438740 \h </w:instrText>
        </w:r>
        <w:r w:rsidR="00451194" w:rsidRPr="00C731FB">
          <w:rPr>
            <w:webHidden/>
          </w:rPr>
        </w:r>
        <w:r w:rsidR="00451194" w:rsidRPr="00C731FB">
          <w:rPr>
            <w:webHidden/>
          </w:rPr>
          <w:fldChar w:fldCharType="separate"/>
        </w:r>
        <w:r w:rsidR="00451194" w:rsidRPr="00C731FB">
          <w:rPr>
            <w:webHidden/>
          </w:rPr>
          <w:t>3</w:t>
        </w:r>
        <w:r w:rsidR="00451194" w:rsidRPr="00C731FB">
          <w:rPr>
            <w:webHidden/>
          </w:rPr>
          <w:fldChar w:fldCharType="end"/>
        </w:r>
      </w:hyperlink>
    </w:p>
    <w:p w:rsidR="00451194" w:rsidRPr="00C731FB" w:rsidRDefault="005C6BDA">
      <w:pPr>
        <w:pStyle w:val="TOC1"/>
        <w:tabs>
          <w:tab w:val="left" w:pos="440"/>
          <w:tab w:val="right" w:leader="dot" w:pos="9017"/>
        </w:tabs>
      </w:pPr>
      <w:hyperlink w:anchor="_Toc442438741" w:history="1">
        <w:r w:rsidR="00451194" w:rsidRPr="00C731FB">
          <w:rPr>
            <w:rStyle w:val="Hyperlink"/>
          </w:rPr>
          <w:t>2.</w:t>
        </w:r>
        <w:r w:rsidR="00451194" w:rsidRPr="00C731FB">
          <w:tab/>
        </w:r>
        <w:r w:rsidR="00451194" w:rsidRPr="00C731FB">
          <w:rPr>
            <w:rStyle w:val="Hyperlink"/>
            <w:b/>
          </w:rPr>
          <w:t>ЕНЕРГЕТИКА</w:t>
        </w:r>
        <w:r w:rsidR="00451194" w:rsidRPr="00C731FB">
          <w:rPr>
            <w:webHidden/>
          </w:rPr>
          <w:tab/>
        </w:r>
        <w:r w:rsidR="00451194" w:rsidRPr="00C731FB">
          <w:rPr>
            <w:webHidden/>
          </w:rPr>
          <w:fldChar w:fldCharType="begin"/>
        </w:r>
        <w:r w:rsidR="00451194" w:rsidRPr="00C731FB">
          <w:rPr>
            <w:webHidden/>
          </w:rPr>
          <w:instrText xml:space="preserve"> PAGEREF _Toc442438741 \h </w:instrText>
        </w:r>
        <w:r w:rsidR="00451194" w:rsidRPr="00C731FB">
          <w:rPr>
            <w:webHidden/>
          </w:rPr>
        </w:r>
        <w:r w:rsidR="00451194" w:rsidRPr="00C731FB">
          <w:rPr>
            <w:webHidden/>
          </w:rPr>
          <w:fldChar w:fldCharType="separate"/>
        </w:r>
        <w:r w:rsidR="00451194" w:rsidRPr="00C731FB">
          <w:rPr>
            <w:webHidden/>
          </w:rPr>
          <w:t>4</w:t>
        </w:r>
        <w:r w:rsidR="00451194" w:rsidRPr="00C731FB">
          <w:rPr>
            <w:webHidden/>
          </w:rPr>
          <w:fldChar w:fldCharType="end"/>
        </w:r>
      </w:hyperlink>
    </w:p>
    <w:p w:rsidR="001D52CB" w:rsidRPr="00C731FB" w:rsidRDefault="00B97C33" w:rsidP="006D1357">
      <w:pPr>
        <w:tabs>
          <w:tab w:val="left" w:pos="440"/>
          <w:tab w:val="right" w:leader="dot" w:pos="9017"/>
        </w:tabs>
        <w:spacing w:after="100"/>
        <w:rPr>
          <w:rFonts w:eastAsiaTheme="minorEastAsia"/>
        </w:rPr>
      </w:pPr>
      <w:r w:rsidRPr="00C731FB">
        <w:fldChar w:fldCharType="end"/>
      </w:r>
    </w:p>
    <w:p w:rsidR="008405A0" w:rsidRPr="00C731FB" w:rsidRDefault="008405A0" w:rsidP="006D1357">
      <w:r w:rsidRPr="00C731FB">
        <w:br w:type="page"/>
      </w:r>
    </w:p>
    <w:p w:rsidR="004E3A5B" w:rsidRPr="00C731FB" w:rsidRDefault="004E3A5B" w:rsidP="006D1357"/>
    <w:p w:rsidR="00387CFB" w:rsidRPr="00C731FB" w:rsidRDefault="008405A0" w:rsidP="006D1357">
      <w:r w:rsidRPr="00C731FB">
        <w:t xml:space="preserve">В пленарната сесия на 20 и 21 януари 2016 г. взеха участие: </w:t>
      </w:r>
      <w:r w:rsidRPr="00C731FB">
        <w:rPr>
          <w:b/>
        </w:rPr>
        <w:t xml:space="preserve">г-н </w:t>
      </w:r>
      <w:r w:rsidR="00082BDD" w:rsidRPr="00C731FB">
        <w:rPr>
          <w:b/>
        </w:rPr>
        <w:t>Kacem Afaya</w:t>
      </w:r>
      <w:r w:rsidRPr="00C731FB">
        <w:t xml:space="preserve">, </w:t>
      </w:r>
      <w:r w:rsidR="00082BDD" w:rsidRPr="00C731FB">
        <w:t>заместник</w:t>
      </w:r>
      <w:r w:rsidR="00451194" w:rsidRPr="00C731FB">
        <w:rPr>
          <w:spacing w:val="-20"/>
        </w:rPr>
        <w:noBreakHyphen/>
      </w:r>
      <w:r w:rsidRPr="00C731FB">
        <w:t xml:space="preserve">генерален секретар на Тунизийския общ съюз на труда (UGTT), </w:t>
      </w:r>
      <w:r w:rsidR="00451194" w:rsidRPr="00C731FB">
        <w:rPr>
          <w:b/>
        </w:rPr>
        <w:t>г</w:t>
      </w:r>
      <w:r w:rsidR="00451194" w:rsidRPr="00C731FB">
        <w:rPr>
          <w:rFonts w:ascii="Times New Roman Bold" w:hAnsi="Times New Roman Bold"/>
          <w:b/>
          <w:spacing w:val="-20"/>
        </w:rPr>
        <w:noBreakHyphen/>
      </w:r>
      <w:r w:rsidR="00451194" w:rsidRPr="00C731FB">
        <w:rPr>
          <w:b/>
        </w:rPr>
        <w:t>н </w:t>
      </w:r>
      <w:r w:rsidRPr="00C731FB">
        <w:rPr>
          <w:b/>
        </w:rPr>
        <w:t>Ahmed ben Tahar Galai,</w:t>
      </w:r>
      <w:r w:rsidRPr="00C731FB">
        <w:t xml:space="preserve"> заместник-председател на Тунизийската лига за защита на правата на човека (LTDH) и </w:t>
      </w:r>
      <w:r w:rsidRPr="00C731FB">
        <w:rPr>
          <w:b/>
        </w:rPr>
        <w:t>г-н Slim Ghorbel</w:t>
      </w:r>
      <w:r w:rsidRPr="00C731FB">
        <w:t>, член на Изпълнителното бюро на Тунизийския съюз за промишленост, търговия и занаятчийство (UTICA).</w:t>
      </w:r>
    </w:p>
    <w:p w:rsidR="008405A0" w:rsidRPr="00C731FB" w:rsidRDefault="008405A0" w:rsidP="006D1357">
      <w:pPr>
        <w:rPr>
          <w:sz w:val="16"/>
        </w:rPr>
      </w:pPr>
    </w:p>
    <w:p w:rsidR="008405A0" w:rsidRPr="00C731FB" w:rsidRDefault="008405A0" w:rsidP="006D1357">
      <w:pPr>
        <w:rPr>
          <w:rFonts w:eastAsia="MS Mincho"/>
        </w:rPr>
      </w:pPr>
      <w:r w:rsidRPr="00C731FB">
        <w:t>На пленарната сесия бяха приети следните становища:</w:t>
      </w:r>
    </w:p>
    <w:p w:rsidR="008405A0" w:rsidRPr="00C731FB" w:rsidRDefault="008405A0" w:rsidP="006D1357">
      <w:pPr>
        <w:rPr>
          <w:sz w:val="16"/>
        </w:rPr>
      </w:pPr>
    </w:p>
    <w:p w:rsidR="009F58A3" w:rsidRPr="00C731FB" w:rsidRDefault="00900EA0" w:rsidP="006D1357">
      <w:pPr>
        <w:keepNext/>
        <w:numPr>
          <w:ilvl w:val="0"/>
          <w:numId w:val="2"/>
        </w:numPr>
        <w:ind w:left="567" w:hanging="578"/>
        <w:outlineLvl w:val="0"/>
        <w:rPr>
          <w:b/>
        </w:rPr>
      </w:pPr>
      <w:bookmarkStart w:id="1" w:name="_Toc442171220"/>
      <w:bookmarkStart w:id="2" w:name="_Toc442171260"/>
      <w:bookmarkStart w:id="3" w:name="_Toc442438740"/>
      <w:r w:rsidRPr="00C731FB">
        <w:rPr>
          <w:b/>
        </w:rPr>
        <w:t>ФИНАНСОВИ ИНСТРУМЕНТИ / ДАНЪЧНО ОБЛАГАНЕ</w:t>
      </w:r>
      <w:bookmarkEnd w:id="1"/>
      <w:bookmarkEnd w:id="2"/>
      <w:bookmarkEnd w:id="3"/>
    </w:p>
    <w:p w:rsidR="002A3665" w:rsidRPr="00C731FB" w:rsidRDefault="002A3665" w:rsidP="006D1357">
      <w:pPr>
        <w:keepNext/>
        <w:rPr>
          <w:b/>
          <w:highlight w:val="yellow"/>
          <w:u w:val="single"/>
        </w:rPr>
      </w:pPr>
    </w:p>
    <w:p w:rsidR="009F58A3" w:rsidRPr="00C731FB" w:rsidRDefault="009F58A3" w:rsidP="006D1357">
      <w:pPr>
        <w:widowControl w:val="0"/>
        <w:numPr>
          <w:ilvl w:val="0"/>
          <w:numId w:val="5"/>
        </w:numPr>
        <w:overflowPunct w:val="0"/>
        <w:autoSpaceDE w:val="0"/>
        <w:autoSpaceDN w:val="0"/>
        <w:adjustRightInd w:val="0"/>
        <w:ind w:hanging="567"/>
        <w:textAlignment w:val="baseline"/>
        <w:rPr>
          <w:b/>
          <w:i/>
        </w:rPr>
      </w:pPr>
      <w:r w:rsidRPr="00C731FB">
        <w:rPr>
          <w:b/>
          <w:i/>
        </w:rPr>
        <w:t>Правна рамка за секюритизацията</w:t>
      </w:r>
    </w:p>
    <w:p w:rsidR="009F58A3" w:rsidRPr="00C731FB" w:rsidRDefault="009F58A3" w:rsidP="006D1357">
      <w:pPr>
        <w:ind w:firstLine="17"/>
      </w:pPr>
    </w:p>
    <w:p w:rsidR="009F58A3" w:rsidRPr="00C731FB" w:rsidRDefault="009F58A3" w:rsidP="006D1357">
      <w:pPr>
        <w:ind w:left="1418" w:hanging="1418"/>
      </w:pPr>
      <w:r w:rsidRPr="00C731FB">
        <w:rPr>
          <w:b/>
        </w:rPr>
        <w:t>Докладчик:</w:t>
      </w:r>
      <w:r w:rsidRPr="00C731FB">
        <w:tab/>
        <w:t>Daniel Marеels (група „Работодатели“ – BE)</w:t>
      </w:r>
    </w:p>
    <w:p w:rsidR="009F58A3" w:rsidRPr="00C731FB" w:rsidRDefault="009F58A3" w:rsidP="006D1357">
      <w:pPr>
        <w:ind w:left="1418" w:hanging="1418"/>
      </w:pPr>
    </w:p>
    <w:p w:rsidR="009F58A3" w:rsidRPr="00C731FB" w:rsidRDefault="009F58A3" w:rsidP="006D1357">
      <w:pPr>
        <w:keepNext/>
        <w:ind w:left="1418" w:hanging="1418"/>
      </w:pPr>
      <w:r w:rsidRPr="00C731FB">
        <w:rPr>
          <w:b/>
        </w:rPr>
        <w:t>Отправни документи:</w:t>
      </w:r>
      <w:r w:rsidRPr="00C731FB">
        <w:tab/>
        <w:t>COM(2015) 473 final и COM(2015) 472 final</w:t>
      </w:r>
    </w:p>
    <w:p w:rsidR="009F58A3" w:rsidRPr="00C731FB" w:rsidRDefault="009F58A3" w:rsidP="006D1357">
      <w:pPr>
        <w:ind w:left="2880"/>
      </w:pPr>
      <w:r w:rsidRPr="00C731FB">
        <w:t>EESC-2015-04971-00-00-AC-TRA</w:t>
      </w:r>
    </w:p>
    <w:p w:rsidR="009F58A3" w:rsidRPr="00C731FB" w:rsidRDefault="009F58A3" w:rsidP="006D1357"/>
    <w:p w:rsidR="009F58A3" w:rsidRPr="00C731FB" w:rsidRDefault="009F58A3" w:rsidP="006D1357">
      <w:pPr>
        <w:keepNext/>
        <w:rPr>
          <w:b/>
        </w:rPr>
      </w:pPr>
      <w:r w:rsidRPr="00C731FB">
        <w:rPr>
          <w:b/>
        </w:rPr>
        <w:t>Основни аспекти:</w:t>
      </w:r>
    </w:p>
    <w:p w:rsidR="002A3665" w:rsidRPr="00C731FB" w:rsidRDefault="002A3665" w:rsidP="006D1357"/>
    <w:p w:rsidR="009F58A3" w:rsidRPr="00C731FB" w:rsidRDefault="009F58A3" w:rsidP="006D1357">
      <w:pPr>
        <w:keepNext/>
        <w:tabs>
          <w:tab w:val="left" w:pos="7797"/>
        </w:tabs>
        <w:rPr>
          <w:sz w:val="23"/>
        </w:rPr>
      </w:pPr>
      <w:r w:rsidRPr="00C731FB">
        <w:rPr>
          <w:sz w:val="23"/>
        </w:rPr>
        <w:t>ЕИСК:</w:t>
      </w:r>
    </w:p>
    <w:p w:rsidR="002D750B" w:rsidRPr="00C731FB" w:rsidRDefault="002D750B" w:rsidP="006D1357">
      <w:pPr>
        <w:keepNext/>
        <w:tabs>
          <w:tab w:val="left" w:pos="7797"/>
        </w:tabs>
        <w:rPr>
          <w:sz w:val="23"/>
        </w:rPr>
      </w:pPr>
    </w:p>
    <w:p w:rsidR="009F58A3" w:rsidRPr="00C731FB" w:rsidRDefault="009F58A3" w:rsidP="006D1357">
      <w:pPr>
        <w:numPr>
          <w:ilvl w:val="0"/>
          <w:numId w:val="4"/>
        </w:numPr>
        <w:tabs>
          <w:tab w:val="clear" w:pos="0"/>
        </w:tabs>
        <w:overflowPunct w:val="0"/>
        <w:autoSpaceDE w:val="0"/>
        <w:autoSpaceDN w:val="0"/>
        <w:adjustRightInd w:val="0"/>
        <w:ind w:left="283" w:hanging="283"/>
        <w:textAlignment w:val="baseline"/>
      </w:pPr>
      <w:r w:rsidRPr="00C731FB">
        <w:t>приветства предложенията за създаване на система от „опростена, прозрачна и стандартизирана секюритизация“ (ОПС секюритизации), както и приспособяването на пруденциалните изисквания за кредитните институции и инвестиционните посредници;</w:t>
      </w:r>
    </w:p>
    <w:p w:rsidR="009F58A3" w:rsidRPr="00C731FB" w:rsidRDefault="009F58A3" w:rsidP="006D1357">
      <w:pPr>
        <w:numPr>
          <w:ilvl w:val="0"/>
          <w:numId w:val="4"/>
        </w:numPr>
        <w:tabs>
          <w:tab w:val="clear" w:pos="0"/>
        </w:tabs>
        <w:overflowPunct w:val="0"/>
        <w:autoSpaceDE w:val="0"/>
        <w:autoSpaceDN w:val="0"/>
        <w:adjustRightInd w:val="0"/>
        <w:ind w:left="283" w:hanging="283"/>
        <w:textAlignment w:val="baseline"/>
      </w:pPr>
      <w:r w:rsidRPr="00C731FB">
        <w:t>призовава за предприемане на действия в краткосрочен план, което би трябвало да позволи да се генерират значителни допълнителни ресурси за финансиране на банките. Това е много важно, по-специално за МСП и домакинствата;</w:t>
      </w:r>
    </w:p>
    <w:p w:rsidR="009F58A3" w:rsidRPr="00C731FB" w:rsidRDefault="002D750B" w:rsidP="006D1357">
      <w:pPr>
        <w:numPr>
          <w:ilvl w:val="0"/>
          <w:numId w:val="4"/>
        </w:numPr>
        <w:tabs>
          <w:tab w:val="clear" w:pos="0"/>
        </w:tabs>
        <w:overflowPunct w:val="0"/>
        <w:autoSpaceDE w:val="0"/>
        <w:autoSpaceDN w:val="0"/>
        <w:adjustRightInd w:val="0"/>
        <w:ind w:left="283" w:hanging="283"/>
        <w:textAlignment w:val="baseline"/>
      </w:pPr>
      <w:r w:rsidRPr="00C731FB">
        <w:t>счита, че банковото финансиране и финансирането от капиталовите пазари би трябвало да се разглеждат като взаимно допълващи се, а не като конкурентни и да бъдат развивани успоредно;</w:t>
      </w:r>
    </w:p>
    <w:p w:rsidR="009F58A3" w:rsidRPr="00C731FB" w:rsidRDefault="009F58A3" w:rsidP="006D1357">
      <w:pPr>
        <w:numPr>
          <w:ilvl w:val="0"/>
          <w:numId w:val="4"/>
        </w:numPr>
        <w:tabs>
          <w:tab w:val="clear" w:pos="0"/>
        </w:tabs>
        <w:overflowPunct w:val="0"/>
        <w:autoSpaceDE w:val="0"/>
        <w:autoSpaceDN w:val="0"/>
        <w:adjustRightInd w:val="0"/>
        <w:ind w:left="283" w:hanging="283"/>
        <w:textAlignment w:val="baseline"/>
      </w:pPr>
      <w:r w:rsidRPr="00C731FB">
        <w:t>би желал правилата да бъдат достатъчно широкообхватни и критериите за ОПС секюритизации да бъдат реалистични и изпълними за всички банки, които осъществяват дейност по кредитно финансиране, без значение дали са големи или малки и местни;</w:t>
      </w:r>
    </w:p>
    <w:p w:rsidR="009F58A3" w:rsidRPr="00C731FB" w:rsidRDefault="009F58A3" w:rsidP="006D1357">
      <w:pPr>
        <w:numPr>
          <w:ilvl w:val="0"/>
          <w:numId w:val="4"/>
        </w:numPr>
        <w:tabs>
          <w:tab w:val="clear" w:pos="0"/>
        </w:tabs>
        <w:overflowPunct w:val="0"/>
        <w:autoSpaceDE w:val="0"/>
        <w:autoSpaceDN w:val="0"/>
        <w:adjustRightInd w:val="0"/>
        <w:ind w:left="283" w:hanging="283"/>
        <w:textAlignment w:val="baseline"/>
      </w:pPr>
      <w:r w:rsidRPr="00C731FB">
        <w:t>счита, че секюритизациите трябва също така да бъдат привлекателни за инвеститорите. Би трябвало да се определят ясно присъщите рискове и да се посочи кой ще ги поеме, като се вземе под внимание цялата верига – от емитентите до инвеститорите;</w:t>
      </w:r>
    </w:p>
    <w:p w:rsidR="009F58A3" w:rsidRPr="00C731FB" w:rsidRDefault="009F58A3" w:rsidP="006D1357">
      <w:pPr>
        <w:numPr>
          <w:ilvl w:val="0"/>
          <w:numId w:val="4"/>
        </w:numPr>
        <w:tabs>
          <w:tab w:val="clear" w:pos="0"/>
        </w:tabs>
        <w:overflowPunct w:val="0"/>
        <w:autoSpaceDE w:val="0"/>
        <w:autoSpaceDN w:val="0"/>
        <w:adjustRightInd w:val="0"/>
        <w:ind w:left="283" w:hanging="283"/>
        <w:textAlignment w:val="baseline"/>
      </w:pPr>
      <w:r w:rsidRPr="00C731FB">
        <w:t>смята, че важното сега е да не се повтарят грешките от миналото;</w:t>
      </w:r>
    </w:p>
    <w:p w:rsidR="009F58A3" w:rsidRPr="00C731FB" w:rsidRDefault="009F58A3" w:rsidP="006D1357">
      <w:pPr>
        <w:numPr>
          <w:ilvl w:val="0"/>
          <w:numId w:val="4"/>
        </w:numPr>
        <w:tabs>
          <w:tab w:val="clear" w:pos="0"/>
        </w:tabs>
        <w:overflowPunct w:val="0"/>
        <w:autoSpaceDE w:val="0"/>
        <w:autoSpaceDN w:val="0"/>
        <w:adjustRightInd w:val="0"/>
        <w:ind w:left="283" w:hanging="283"/>
        <w:textAlignment w:val="baseline"/>
      </w:pPr>
      <w:r w:rsidRPr="00C731FB">
        <w:t>споделя гледната точка, че секюритизацията не може да бъде достъпна за малките инвеститори и за потребителите предвид сложността и присъщите рискове. Комитетът призовава за изрично включване на категорична забрана в текстовете.</w:t>
      </w:r>
    </w:p>
    <w:p w:rsidR="009F58A3" w:rsidRPr="00C731FB" w:rsidRDefault="009F58A3" w:rsidP="006D1357">
      <w:pPr>
        <w:tabs>
          <w:tab w:val="left" w:pos="770"/>
        </w:tabs>
        <w:ind w:left="1430" w:hanging="1430"/>
        <w:rPr>
          <w:b/>
          <w:i/>
        </w:rPr>
      </w:pPr>
    </w:p>
    <w:p w:rsidR="009F58A3" w:rsidRPr="00C731FB" w:rsidRDefault="009F58A3" w:rsidP="006D1357">
      <w:pPr>
        <w:keepNext/>
        <w:ind w:left="1429" w:hanging="1429"/>
        <w:rPr>
          <w:i/>
        </w:rPr>
      </w:pPr>
      <w:r w:rsidRPr="00C731FB">
        <w:rPr>
          <w:b/>
          <w:i/>
        </w:rPr>
        <w:t>За контакт:</w:t>
      </w:r>
      <w:r w:rsidRPr="00C731FB">
        <w:tab/>
      </w:r>
      <w:r w:rsidRPr="00C731FB">
        <w:rPr>
          <w:i/>
        </w:rPr>
        <w:t>Siegfried Jantscher</w:t>
      </w:r>
    </w:p>
    <w:p w:rsidR="009F58A3" w:rsidRPr="00C731FB" w:rsidRDefault="009F58A3" w:rsidP="006D1357">
      <w:pPr>
        <w:ind w:left="1430" w:hanging="12"/>
        <w:rPr>
          <w:i/>
        </w:rPr>
      </w:pPr>
      <w:r w:rsidRPr="00C731FB">
        <w:rPr>
          <w:i/>
        </w:rPr>
        <w:t xml:space="preserve">(Тел.: 00 32 2 546 82 87 – електронен адрес: </w:t>
      </w:r>
      <w:hyperlink r:id="rId23" w:history="1">
        <w:r w:rsidRPr="00C731FB">
          <w:rPr>
            <w:rStyle w:val="Hyperlink"/>
            <w:i/>
          </w:rPr>
          <w:t>siegfried.jantscher@eesc.europa.eu</w:t>
        </w:r>
      </w:hyperlink>
      <w:r w:rsidRPr="00C731FB">
        <w:rPr>
          <w:i/>
        </w:rPr>
        <w:t>)</w:t>
      </w:r>
    </w:p>
    <w:p w:rsidR="00A36A65" w:rsidRPr="00C731FB" w:rsidRDefault="00A36A65" w:rsidP="006D1357">
      <w:pPr>
        <w:rPr>
          <w:b/>
          <w:sz w:val="28"/>
        </w:rPr>
      </w:pPr>
    </w:p>
    <w:p w:rsidR="009F58A3" w:rsidRPr="00C731FB" w:rsidRDefault="00136FA8" w:rsidP="006D1357">
      <w:pPr>
        <w:keepNext/>
        <w:numPr>
          <w:ilvl w:val="0"/>
          <w:numId w:val="2"/>
        </w:numPr>
        <w:ind w:left="567" w:hanging="578"/>
        <w:outlineLvl w:val="0"/>
        <w:rPr>
          <w:b/>
        </w:rPr>
      </w:pPr>
      <w:bookmarkStart w:id="4" w:name="_Toc442171222"/>
      <w:bookmarkStart w:id="5" w:name="_Toc442171261"/>
      <w:bookmarkStart w:id="6" w:name="_Toc442438741"/>
      <w:r w:rsidRPr="00C731FB">
        <w:rPr>
          <w:b/>
        </w:rPr>
        <w:t>ЕНЕРГЕТИКА</w:t>
      </w:r>
      <w:bookmarkEnd w:id="4"/>
      <w:bookmarkEnd w:id="5"/>
      <w:bookmarkEnd w:id="6"/>
    </w:p>
    <w:p w:rsidR="002A3665" w:rsidRPr="00C731FB" w:rsidRDefault="002A3665" w:rsidP="006D1357">
      <w:pPr>
        <w:keepNext/>
        <w:rPr>
          <w:b/>
          <w:highlight w:val="yellow"/>
          <w:u w:val="single"/>
        </w:rPr>
      </w:pPr>
    </w:p>
    <w:p w:rsidR="007F15F7" w:rsidRPr="00C731FB" w:rsidRDefault="007F15F7" w:rsidP="006D1357">
      <w:pPr>
        <w:widowControl w:val="0"/>
        <w:numPr>
          <w:ilvl w:val="0"/>
          <w:numId w:val="5"/>
        </w:numPr>
        <w:overflowPunct w:val="0"/>
        <w:autoSpaceDE w:val="0"/>
        <w:autoSpaceDN w:val="0"/>
        <w:adjustRightInd w:val="0"/>
        <w:ind w:hanging="567"/>
        <w:textAlignment w:val="baseline"/>
        <w:rPr>
          <w:b/>
          <w:i/>
        </w:rPr>
      </w:pPr>
      <w:r w:rsidRPr="00C731FB">
        <w:rPr>
          <w:b/>
          <w:i/>
        </w:rPr>
        <w:t>Нормативна рамка за етикетиране на енергийната ефективност</w:t>
      </w:r>
    </w:p>
    <w:p w:rsidR="007F15F7" w:rsidRPr="00C731FB" w:rsidRDefault="007F15F7" w:rsidP="006D1357">
      <w:pPr>
        <w:widowControl w:val="0"/>
      </w:pPr>
    </w:p>
    <w:p w:rsidR="007F15F7" w:rsidRPr="00C731FB" w:rsidRDefault="007F15F7" w:rsidP="006D1357">
      <w:r w:rsidRPr="00C731FB">
        <w:rPr>
          <w:b/>
        </w:rPr>
        <w:t>Докладчик:</w:t>
      </w:r>
      <w:r w:rsidRPr="00C731FB">
        <w:tab/>
        <w:t>Emilio Fatovic (група „Работници“ – IT)</w:t>
      </w:r>
    </w:p>
    <w:p w:rsidR="007F15F7" w:rsidRPr="00C731FB" w:rsidRDefault="007F15F7" w:rsidP="006D1357">
      <w:pPr>
        <w:tabs>
          <w:tab w:val="num" w:pos="550"/>
        </w:tabs>
        <w:rPr>
          <w:b/>
        </w:rPr>
      </w:pPr>
    </w:p>
    <w:p w:rsidR="00F4188C" w:rsidRPr="00C731FB" w:rsidRDefault="007F15F7" w:rsidP="006D1357">
      <w:pPr>
        <w:keepNext/>
        <w:ind w:left="1418" w:hanging="1418"/>
        <w:rPr>
          <w:b/>
        </w:rPr>
      </w:pPr>
      <w:r w:rsidRPr="00C731FB">
        <w:rPr>
          <w:b/>
        </w:rPr>
        <w:t>Отправен документ:</w:t>
      </w:r>
      <w:r w:rsidRPr="00C731FB">
        <w:tab/>
        <w:t>COM(2015) 341 final</w:t>
      </w:r>
    </w:p>
    <w:p w:rsidR="007F15F7" w:rsidRPr="00C731FB" w:rsidRDefault="007F15F7" w:rsidP="006D1357">
      <w:pPr>
        <w:ind w:left="2160"/>
      </w:pPr>
      <w:r w:rsidRPr="00C731FB">
        <w:t>EESC-2015-04936-00-00-AS-TRA</w:t>
      </w:r>
    </w:p>
    <w:p w:rsidR="007F15F7" w:rsidRPr="00C731FB" w:rsidRDefault="007F15F7" w:rsidP="006D1357"/>
    <w:p w:rsidR="007F15F7" w:rsidRPr="00C731FB" w:rsidRDefault="007F15F7" w:rsidP="006D1357">
      <w:pPr>
        <w:keepNext/>
      </w:pPr>
      <w:r w:rsidRPr="00C731FB">
        <w:rPr>
          <w:b/>
        </w:rPr>
        <w:t>Основни аспекти:</w:t>
      </w:r>
    </w:p>
    <w:p w:rsidR="002A3665" w:rsidRPr="00C731FB" w:rsidRDefault="002A3665" w:rsidP="006D1357">
      <w:pPr>
        <w:keepNext/>
      </w:pPr>
    </w:p>
    <w:p w:rsidR="007F15F7" w:rsidRPr="00C731FB" w:rsidRDefault="007F15F7" w:rsidP="006D1357">
      <w:r w:rsidRPr="00C731FB">
        <w:t>ЕИСК подкрепя предложението на Комисията, тъй като то обръща внимание на основните проблеми, свързани с действащото законодателство, включително неговото ефективно прилагане, ефикасното наблюдение на пазара и правото на потребителите да получават ясна, разбираема и съпоставима информация. Комитетът счита,че изборът на правен инструмент – регламент вместо директива, е правилен. ЕИСК счита за уместно и решението за създаване на „продуктова база данни“ и за връщане към предишната енергийна скала от А до G. Освен това ЕИСК отправи следните основни препоръки:</w:t>
      </w:r>
    </w:p>
    <w:p w:rsidR="007F15F7" w:rsidRPr="00C731FB" w:rsidRDefault="007F15F7" w:rsidP="006D1357"/>
    <w:p w:rsidR="007F15F7" w:rsidRPr="00C731FB" w:rsidRDefault="007F15F7" w:rsidP="006D1357">
      <w:pPr>
        <w:numPr>
          <w:ilvl w:val="0"/>
          <w:numId w:val="4"/>
        </w:numPr>
        <w:tabs>
          <w:tab w:val="clear" w:pos="0"/>
        </w:tabs>
        <w:overflowPunct w:val="0"/>
        <w:autoSpaceDE w:val="0"/>
        <w:autoSpaceDN w:val="0"/>
        <w:adjustRightInd w:val="0"/>
        <w:ind w:left="363" w:hanging="363"/>
        <w:textAlignment w:val="baseline"/>
      </w:pPr>
      <w:r w:rsidRPr="00C731FB">
        <w:t>въвеждане на по-строг контрол върху продуктите за продажба, за да се проверява дали характеристиките на продукта действително съответстват на посочените на етикета;</w:t>
      </w:r>
    </w:p>
    <w:p w:rsidR="007F15F7" w:rsidRPr="00C731FB" w:rsidRDefault="007F15F7" w:rsidP="006D1357">
      <w:pPr>
        <w:numPr>
          <w:ilvl w:val="0"/>
          <w:numId w:val="4"/>
        </w:numPr>
        <w:tabs>
          <w:tab w:val="clear" w:pos="0"/>
        </w:tabs>
        <w:overflowPunct w:val="0"/>
        <w:autoSpaceDE w:val="0"/>
        <w:autoSpaceDN w:val="0"/>
        <w:adjustRightInd w:val="0"/>
        <w:ind w:left="363" w:hanging="363"/>
        <w:textAlignment w:val="baseline"/>
      </w:pPr>
      <w:r w:rsidRPr="00C731FB">
        <w:t>включване на друга важна информация за потребителите, като например „минимална продължителност на живота на продуктите“ и „потребление на енергия през целия живот на продукта“;</w:t>
      </w:r>
    </w:p>
    <w:p w:rsidR="007F15F7" w:rsidRPr="00C731FB" w:rsidRDefault="007F15F7" w:rsidP="006D1357">
      <w:pPr>
        <w:numPr>
          <w:ilvl w:val="0"/>
          <w:numId w:val="4"/>
        </w:numPr>
        <w:tabs>
          <w:tab w:val="clear" w:pos="0"/>
        </w:tabs>
        <w:overflowPunct w:val="0"/>
        <w:autoSpaceDE w:val="0"/>
        <w:autoSpaceDN w:val="0"/>
        <w:adjustRightInd w:val="0"/>
        <w:ind w:left="363" w:hanging="363"/>
        <w:textAlignment w:val="baseline"/>
      </w:pPr>
      <w:r w:rsidRPr="00C731FB">
        <w:t>въвеждане на общ режим за налагане на санкции на европейско равнище;</w:t>
      </w:r>
    </w:p>
    <w:p w:rsidR="007F15F7" w:rsidRPr="00C731FB" w:rsidRDefault="007F15F7" w:rsidP="006D1357">
      <w:pPr>
        <w:numPr>
          <w:ilvl w:val="0"/>
          <w:numId w:val="4"/>
        </w:numPr>
        <w:tabs>
          <w:tab w:val="clear" w:pos="0"/>
        </w:tabs>
        <w:overflowPunct w:val="0"/>
        <w:autoSpaceDE w:val="0"/>
        <w:autoSpaceDN w:val="0"/>
        <w:adjustRightInd w:val="0"/>
        <w:ind w:left="363" w:hanging="363"/>
        <w:textAlignment w:val="baseline"/>
      </w:pPr>
      <w:r w:rsidRPr="00C731FB">
        <w:t>предприемане на действия, които да предотвратят автоматичното прехвърляне на евентуалните допълнителни разходи, предвидени в новата система за етикетиране, върху търговците на дребно или върху крайните потребители;</w:t>
      </w:r>
    </w:p>
    <w:p w:rsidR="007F15F7" w:rsidRPr="00C731FB" w:rsidRDefault="007F15F7" w:rsidP="006D1357">
      <w:pPr>
        <w:numPr>
          <w:ilvl w:val="0"/>
          <w:numId w:val="4"/>
        </w:numPr>
        <w:tabs>
          <w:tab w:val="clear" w:pos="0"/>
        </w:tabs>
        <w:overflowPunct w:val="0"/>
        <w:autoSpaceDE w:val="0"/>
        <w:autoSpaceDN w:val="0"/>
        <w:adjustRightInd w:val="0"/>
        <w:ind w:left="363" w:hanging="363"/>
        <w:textAlignment w:val="baseline"/>
      </w:pPr>
      <w:r w:rsidRPr="00C731FB">
        <w:t>регламентиране на сайтовете за онлайн пазаруване, където се констатират най-големите нарушения на задължението за поставяне на енергийни етикети;</w:t>
      </w:r>
    </w:p>
    <w:p w:rsidR="007F15F7" w:rsidRPr="00C731FB" w:rsidRDefault="007F15F7" w:rsidP="006D1357">
      <w:pPr>
        <w:numPr>
          <w:ilvl w:val="0"/>
          <w:numId w:val="4"/>
        </w:numPr>
        <w:tabs>
          <w:tab w:val="clear" w:pos="0"/>
        </w:tabs>
        <w:overflowPunct w:val="0"/>
        <w:autoSpaceDE w:val="0"/>
        <w:autoSpaceDN w:val="0"/>
        <w:adjustRightInd w:val="0"/>
        <w:ind w:left="363" w:hanging="363"/>
        <w:textAlignment w:val="baseline"/>
      </w:pPr>
      <w:r w:rsidRPr="00C731FB">
        <w:t>регламентиране на търговската реализация на „регенерирани“ енергийни продукти, за да не се създават регулаторни пропуски и за да се насърчи по-добрата интеграция между стратегиите за енергийна ефективност и за кръгова икономика;</w:t>
      </w:r>
    </w:p>
    <w:p w:rsidR="007F15F7" w:rsidRPr="00C731FB" w:rsidRDefault="007F15F7" w:rsidP="006D1357">
      <w:pPr>
        <w:numPr>
          <w:ilvl w:val="0"/>
          <w:numId w:val="4"/>
        </w:numPr>
        <w:tabs>
          <w:tab w:val="clear" w:pos="0"/>
        </w:tabs>
        <w:overflowPunct w:val="0"/>
        <w:autoSpaceDE w:val="0"/>
        <w:autoSpaceDN w:val="0"/>
        <w:adjustRightInd w:val="0"/>
        <w:ind w:left="363" w:hanging="363"/>
        <w:textAlignment w:val="baseline"/>
      </w:pPr>
      <w:r w:rsidRPr="00C731FB">
        <w:t>обръщане на специално внимание на внасяните от трети държави продукти с цел защита на европейското производство от евентуални форми на нелоялна конкуренция или измама;</w:t>
      </w:r>
    </w:p>
    <w:p w:rsidR="007F15F7" w:rsidRPr="00C731FB" w:rsidRDefault="007F15F7" w:rsidP="006D1357">
      <w:pPr>
        <w:numPr>
          <w:ilvl w:val="0"/>
          <w:numId w:val="4"/>
        </w:numPr>
        <w:tabs>
          <w:tab w:val="clear" w:pos="0"/>
        </w:tabs>
        <w:overflowPunct w:val="0"/>
        <w:autoSpaceDE w:val="0"/>
        <w:autoSpaceDN w:val="0"/>
        <w:adjustRightInd w:val="0"/>
        <w:ind w:left="363" w:hanging="363"/>
        <w:textAlignment w:val="baseline"/>
      </w:pPr>
      <w:r w:rsidRPr="00C731FB">
        <w:t>организираното гражданско общество следва да работи заедно с националните правителства за провеждането на по-ефективни и повсеместни дейности за информиране и повишаване на осведомеността, които да включват и търговците на дребно;</w:t>
      </w:r>
    </w:p>
    <w:p w:rsidR="007F15F7" w:rsidRPr="00C731FB" w:rsidRDefault="007F15F7" w:rsidP="006D1357">
      <w:pPr>
        <w:numPr>
          <w:ilvl w:val="0"/>
          <w:numId w:val="4"/>
        </w:numPr>
        <w:tabs>
          <w:tab w:val="clear" w:pos="0"/>
        </w:tabs>
        <w:overflowPunct w:val="0"/>
        <w:autoSpaceDE w:val="0"/>
        <w:autoSpaceDN w:val="0"/>
        <w:adjustRightInd w:val="0"/>
        <w:ind w:left="363" w:hanging="363"/>
        <w:textAlignment w:val="baseline"/>
      </w:pPr>
      <w:r w:rsidRPr="00C731FB">
        <w:t>срокът в края на преходния период следва да бъде удължен на 30 дни с цел да се предостави достатъчно време за окончателно преминаване към продукти, етикетирани съгласно новата система;</w:t>
      </w:r>
    </w:p>
    <w:p w:rsidR="007F15F7" w:rsidRPr="00C731FB" w:rsidRDefault="007F15F7" w:rsidP="006D1357">
      <w:pPr>
        <w:numPr>
          <w:ilvl w:val="0"/>
          <w:numId w:val="4"/>
        </w:numPr>
        <w:tabs>
          <w:tab w:val="clear" w:pos="0"/>
        </w:tabs>
        <w:overflowPunct w:val="0"/>
        <w:autoSpaceDE w:val="0"/>
        <w:autoSpaceDN w:val="0"/>
        <w:adjustRightInd w:val="0"/>
        <w:ind w:left="363" w:hanging="363"/>
        <w:textAlignment w:val="baseline"/>
      </w:pPr>
      <w:r w:rsidRPr="00C731FB">
        <w:t>възприемане на по-предпазлив и умерен подход по отношение на делегираните актове;</w:t>
      </w:r>
    </w:p>
    <w:p w:rsidR="007F15F7" w:rsidRPr="00C731FB" w:rsidRDefault="007F15F7" w:rsidP="006D1357">
      <w:pPr>
        <w:numPr>
          <w:ilvl w:val="0"/>
          <w:numId w:val="4"/>
        </w:numPr>
        <w:tabs>
          <w:tab w:val="clear" w:pos="0"/>
        </w:tabs>
        <w:overflowPunct w:val="0"/>
        <w:autoSpaceDE w:val="0"/>
        <w:autoSpaceDN w:val="0"/>
        <w:adjustRightInd w:val="0"/>
        <w:ind w:left="363" w:hanging="363"/>
        <w:textAlignment w:val="baseline"/>
      </w:pPr>
      <w:r w:rsidRPr="00C731FB">
        <w:t>извършване на междинна оценка на въздействието по време на 8-годишния период за преразглеждане на нормативната рамка за етикетирането;</w:t>
      </w:r>
    </w:p>
    <w:p w:rsidR="007F15F7" w:rsidRPr="00C731FB" w:rsidRDefault="007F15F7" w:rsidP="006D1357">
      <w:pPr>
        <w:numPr>
          <w:ilvl w:val="0"/>
          <w:numId w:val="4"/>
        </w:numPr>
        <w:tabs>
          <w:tab w:val="clear" w:pos="0"/>
        </w:tabs>
        <w:overflowPunct w:val="0"/>
        <w:autoSpaceDE w:val="0"/>
        <w:autoSpaceDN w:val="0"/>
        <w:adjustRightInd w:val="0"/>
        <w:ind w:left="363" w:hanging="363"/>
        <w:textAlignment w:val="baseline"/>
      </w:pPr>
      <w:r w:rsidRPr="00C731FB">
        <w:t>автоматичната промяна на енергийния клас на продуктите следва да се извършва, ако и когато е необходимо, съобразно действителното технологично развитие; следва да се пристъпи към прекласиране едва в момента, когато продуктите от енергиен клас А станат най-малко 20 % от пазара.</w:t>
      </w:r>
    </w:p>
    <w:p w:rsidR="007F15F7" w:rsidRPr="00C731FB" w:rsidRDefault="007F15F7" w:rsidP="006D1357"/>
    <w:p w:rsidR="007F15F7" w:rsidRPr="00C731FB" w:rsidRDefault="007F15F7" w:rsidP="006D1357">
      <w:pPr>
        <w:keepNext/>
        <w:ind w:left="1418" w:hanging="1418"/>
        <w:rPr>
          <w:i/>
        </w:rPr>
      </w:pPr>
      <w:r w:rsidRPr="00C731FB">
        <w:rPr>
          <w:b/>
          <w:i/>
        </w:rPr>
        <w:t>За контакт:</w:t>
      </w:r>
      <w:r w:rsidRPr="00C731FB">
        <w:tab/>
      </w:r>
      <w:r w:rsidRPr="00C731FB">
        <w:rPr>
          <w:i/>
        </w:rPr>
        <w:t>Andrei Popescu</w:t>
      </w:r>
    </w:p>
    <w:p w:rsidR="007F15F7" w:rsidRPr="00C731FB" w:rsidRDefault="007F15F7" w:rsidP="006D1357">
      <w:pPr>
        <w:widowControl w:val="0"/>
        <w:ind w:left="1418"/>
        <w:rPr>
          <w:i/>
        </w:rPr>
      </w:pPr>
      <w:r w:rsidRPr="00C731FB">
        <w:rPr>
          <w:i/>
        </w:rPr>
        <w:t xml:space="preserve">(Тел.: 00 32 2 546 9186 – електронен адрес: </w:t>
      </w:r>
      <w:hyperlink r:id="rId24" w:history="1">
        <w:r w:rsidRPr="00C731FB">
          <w:rPr>
            <w:rStyle w:val="Hyperlink"/>
            <w:i/>
          </w:rPr>
          <w:t>Andrei.Popescu@eesc.europa.eu</w:t>
        </w:r>
      </w:hyperlink>
      <w:r w:rsidRPr="00C731FB">
        <w:rPr>
          <w:i/>
        </w:rPr>
        <w:t>)</w:t>
      </w:r>
    </w:p>
    <w:p w:rsidR="007F15F7" w:rsidRPr="00C731FB" w:rsidRDefault="007F15F7" w:rsidP="006D1357">
      <w:pPr>
        <w:rPr>
          <w:b/>
          <w:highlight w:val="yellow"/>
          <w:u w:val="single"/>
        </w:rPr>
      </w:pPr>
    </w:p>
    <w:p w:rsidR="007F15F7" w:rsidRPr="00C731FB" w:rsidRDefault="007F15F7" w:rsidP="006D1357">
      <w:pPr>
        <w:widowControl w:val="0"/>
        <w:numPr>
          <w:ilvl w:val="0"/>
          <w:numId w:val="5"/>
        </w:numPr>
        <w:overflowPunct w:val="0"/>
        <w:autoSpaceDE w:val="0"/>
        <w:autoSpaceDN w:val="0"/>
        <w:adjustRightInd w:val="0"/>
        <w:ind w:hanging="567"/>
        <w:textAlignment w:val="baseline"/>
        <w:rPr>
          <w:b/>
          <w:i/>
        </w:rPr>
      </w:pPr>
      <w:r w:rsidRPr="00C731FB">
        <w:rPr>
          <w:b/>
          <w:i/>
        </w:rPr>
        <w:t>Започване на процеса на обществени консултации относно новата структура на енергийния пазар</w:t>
      </w:r>
    </w:p>
    <w:p w:rsidR="007F15F7" w:rsidRPr="00C731FB" w:rsidRDefault="007F15F7" w:rsidP="006D1357">
      <w:pPr>
        <w:widowControl w:val="0"/>
      </w:pPr>
    </w:p>
    <w:p w:rsidR="007F15F7" w:rsidRPr="00C731FB" w:rsidRDefault="007F15F7" w:rsidP="006D1357">
      <w:pPr>
        <w:ind w:left="1418" w:hanging="1418"/>
      </w:pPr>
      <w:r w:rsidRPr="00C731FB">
        <w:rPr>
          <w:b/>
        </w:rPr>
        <w:t>Докладчик:</w:t>
      </w:r>
      <w:r w:rsidRPr="00C731FB">
        <w:tab/>
        <w:t>Lutz Ribbe (група „Други интереси“ – DE)</w:t>
      </w:r>
    </w:p>
    <w:p w:rsidR="007F15F7" w:rsidRPr="00C731FB" w:rsidRDefault="007F15F7" w:rsidP="006D1357">
      <w:pPr>
        <w:ind w:left="1418" w:hanging="1418"/>
        <w:rPr>
          <w:b/>
        </w:rPr>
      </w:pPr>
    </w:p>
    <w:p w:rsidR="007F15F7" w:rsidRPr="00C731FB" w:rsidRDefault="007F15F7" w:rsidP="006D1357">
      <w:pPr>
        <w:keepNext/>
        <w:ind w:left="1418" w:hanging="1418"/>
        <w:rPr>
          <w:b/>
        </w:rPr>
      </w:pPr>
      <w:r w:rsidRPr="00C731FB">
        <w:rPr>
          <w:b/>
        </w:rPr>
        <w:t>Отправен документ:</w:t>
      </w:r>
      <w:r w:rsidRPr="00C731FB">
        <w:t xml:space="preserve"> </w:t>
      </w:r>
      <w:r w:rsidRPr="00C731FB">
        <w:tab/>
        <w:t>COM(2015) 340 final</w:t>
      </w:r>
    </w:p>
    <w:p w:rsidR="007F15F7" w:rsidRPr="00C731FB" w:rsidRDefault="007F15F7" w:rsidP="006D1357">
      <w:pPr>
        <w:ind w:left="2160"/>
      </w:pPr>
      <w:r w:rsidRPr="00C731FB">
        <w:t>EESC-2015-05033-00-00-AS-TRA</w:t>
      </w:r>
    </w:p>
    <w:p w:rsidR="007F15F7" w:rsidRPr="00C731FB" w:rsidRDefault="007F15F7" w:rsidP="006D1357"/>
    <w:p w:rsidR="007F15F7" w:rsidRPr="00C731FB" w:rsidRDefault="007F15F7" w:rsidP="006D1357">
      <w:pPr>
        <w:keepNext/>
      </w:pPr>
      <w:r w:rsidRPr="00C731FB">
        <w:rPr>
          <w:b/>
        </w:rPr>
        <w:t>Основни аспекти:</w:t>
      </w:r>
    </w:p>
    <w:p w:rsidR="002A3665" w:rsidRPr="00C731FB" w:rsidRDefault="002A3665" w:rsidP="006D1357">
      <w:pPr>
        <w:keepNext/>
      </w:pPr>
    </w:p>
    <w:p w:rsidR="007F15F7" w:rsidRPr="00C731FB" w:rsidRDefault="007F15F7" w:rsidP="006D1357">
      <w:r w:rsidRPr="00C731FB">
        <w:t>ЕИСК признава значението на ново планиране на енергийния пазар за постигане на амбициозните цели на политиката на Европейския съюз в областта на климата, най-вече що се отнася до увеличаването на производството на енергия от възобновяеми източници. Комитетът отчита факта, че много от мерките, предложени от Европейската комисия в нейното съобщение, като например създаването на пазари в рамките на деня или премахването на нарушаващи пазара национални разпоредби, са стъпки в правилната посока. ЕИСК обаче би желал Комисията да прояви по-голяма амбиция.</w:t>
      </w:r>
    </w:p>
    <w:p w:rsidR="007F15F7" w:rsidRPr="00C731FB" w:rsidRDefault="007F15F7" w:rsidP="006D1357"/>
    <w:p w:rsidR="007F15F7" w:rsidRPr="00C731FB" w:rsidRDefault="007F15F7" w:rsidP="006D1357">
      <w:r w:rsidRPr="00C731FB">
        <w:t>Той изтъква факта, че енергийната система по начало е въпрос, който засяга цялото общество, и за чието управление и развитие ѝ е необходим добър баланс между пазара и регулирането.</w:t>
      </w:r>
    </w:p>
    <w:p w:rsidR="007F15F7" w:rsidRPr="00C731FB" w:rsidRDefault="007F15F7" w:rsidP="006D1357"/>
    <w:p w:rsidR="007F15F7" w:rsidRPr="00C731FB" w:rsidRDefault="007F15F7" w:rsidP="006D1357">
      <w:r w:rsidRPr="00C731FB">
        <w:t>ЕИСК посочва, че настоящата система не предлага възможности за необходимата гъвкавост (съхраняване, управление на търсенето, комбинирано производство) на участниците на пазара нито необходимата инфраструктура за разпределение на електроенергията. Освен това потребителите нямат достъп до информация и ресурси за нововъзникващи възможности относно автономното производство, потребление и продажба на собствена електроенергия.</w:t>
      </w:r>
    </w:p>
    <w:p w:rsidR="007F15F7" w:rsidRPr="00C731FB" w:rsidRDefault="007F15F7" w:rsidP="006D1357"/>
    <w:p w:rsidR="007F15F7" w:rsidRPr="00C731FB" w:rsidRDefault="007F15F7" w:rsidP="006D1357">
      <w:pPr>
        <w:keepLines/>
      </w:pPr>
      <w:r w:rsidRPr="00C731FB">
        <w:t>ЕИСК изтъква значението на правилното определяне на цените. Понастоящем цените (твърде ниски) не осигуряват достатъчно стимули за инвестиции в нисковъглеродни технологии и инфраструктури. Ниските цени отчасти се дължат на субсидиите, нормативните уредби и някои електроцентрали, които са вече амортизирани. ЕИСК отправя искане към Комисията да насърчи по-голяма прозрачност на цените, да гарантира цялостно включване в цените на всички външни фактори (напр. въглеродните емисии) и премахване на действащото държавно регулиране на цените, както и да коригира собствената си схема за субсидии.</w:t>
      </w:r>
    </w:p>
    <w:p w:rsidR="007F15F7" w:rsidRPr="00C731FB" w:rsidRDefault="007F15F7" w:rsidP="006D1357"/>
    <w:p w:rsidR="007F15F7" w:rsidRPr="00C731FB" w:rsidRDefault="007F15F7" w:rsidP="006D1357">
      <w:r w:rsidRPr="00C731FB">
        <w:t>ЕИСК привлича вниманието към големите предизвикателства, но също така и към значителните възможности, свързани с преобразуването на една централизирана система, основаваща се на изкопаеми горива, в децентрализирана система, в която преобладава енергията, произвеждана от възобновяеми източници и която включва широк кръг нови участници на пазара (общини, посредници, услуги, свързани с енергията, и др.). За тази цел от решаващо значение е инфраструктурата и мрежите, нормативните уредби и другите участници на пазара (като например операторите на разпределителни системи) да дават възможност за местно децентрализирано производство на електроенергия и прякото ѝ предлагане на пазара без да се налага прибягване до търговия и търговски посредници.</w:t>
      </w:r>
    </w:p>
    <w:p w:rsidR="007F15F7" w:rsidRPr="00C731FB" w:rsidRDefault="007F15F7" w:rsidP="006D1357"/>
    <w:p w:rsidR="007F15F7" w:rsidRPr="00C731FB" w:rsidRDefault="007F15F7" w:rsidP="006D1357">
      <w:pPr>
        <w:keepNext/>
        <w:ind w:left="1418" w:hanging="1418"/>
        <w:rPr>
          <w:i/>
        </w:rPr>
      </w:pPr>
      <w:r w:rsidRPr="00C731FB">
        <w:rPr>
          <w:b/>
          <w:i/>
        </w:rPr>
        <w:t>За контакт:</w:t>
      </w:r>
      <w:r w:rsidRPr="00C731FB">
        <w:tab/>
      </w:r>
      <w:r w:rsidRPr="00C731FB">
        <w:rPr>
          <w:i/>
        </w:rPr>
        <w:t>Kristian Krieger</w:t>
      </w:r>
    </w:p>
    <w:p w:rsidR="007F15F7" w:rsidRPr="00C731FB" w:rsidRDefault="007F15F7" w:rsidP="006D1357">
      <w:pPr>
        <w:widowControl w:val="0"/>
        <w:ind w:left="1418"/>
        <w:rPr>
          <w:i/>
        </w:rPr>
      </w:pPr>
      <w:r w:rsidRPr="00C731FB">
        <w:rPr>
          <w:i/>
        </w:rPr>
        <w:t xml:space="preserve">(Тел.: 00 32 2 546 89 21 – електронен адрес: </w:t>
      </w:r>
      <w:hyperlink r:id="rId25" w:history="1">
        <w:r w:rsidRPr="00C731FB">
          <w:rPr>
            <w:rStyle w:val="Hyperlink"/>
            <w:i/>
          </w:rPr>
          <w:t>Kristian.Krieger@eesc.europa.eu</w:t>
        </w:r>
      </w:hyperlink>
      <w:r w:rsidRPr="00C731FB">
        <w:rPr>
          <w:i/>
        </w:rPr>
        <w:t>)</w:t>
      </w:r>
    </w:p>
    <w:p w:rsidR="007F15F7" w:rsidRPr="00C731FB" w:rsidRDefault="007F15F7" w:rsidP="006D1357">
      <w:pPr>
        <w:rPr>
          <w:highlight w:val="yellow"/>
          <w:u w:val="single"/>
        </w:rPr>
      </w:pPr>
    </w:p>
    <w:p w:rsidR="007F15F7" w:rsidRPr="00C731FB" w:rsidRDefault="007F15F7" w:rsidP="006D1357">
      <w:pPr>
        <w:widowControl w:val="0"/>
        <w:numPr>
          <w:ilvl w:val="0"/>
          <w:numId w:val="5"/>
        </w:numPr>
        <w:overflowPunct w:val="0"/>
        <w:autoSpaceDE w:val="0"/>
        <w:autoSpaceDN w:val="0"/>
        <w:adjustRightInd w:val="0"/>
        <w:ind w:hanging="567"/>
        <w:textAlignment w:val="baseline"/>
        <w:rPr>
          <w:b/>
          <w:i/>
        </w:rPr>
      </w:pPr>
      <w:r w:rsidRPr="00C731FB">
        <w:rPr>
          <w:b/>
          <w:i/>
        </w:rPr>
        <w:t>Предоставяне на нов търговски механизъм за потребителите на енергия</w:t>
      </w:r>
    </w:p>
    <w:p w:rsidR="007F15F7" w:rsidRPr="00C731FB" w:rsidRDefault="007F15F7" w:rsidP="006D1357">
      <w:pPr>
        <w:widowControl w:val="0"/>
      </w:pPr>
    </w:p>
    <w:p w:rsidR="007F15F7" w:rsidRPr="00C731FB" w:rsidRDefault="007F15F7" w:rsidP="006D1357">
      <w:r w:rsidRPr="00C731FB">
        <w:rPr>
          <w:b/>
        </w:rPr>
        <w:t>Докладчик:</w:t>
      </w:r>
      <w:r w:rsidRPr="00C731FB">
        <w:tab/>
        <w:t>Lutz Ribbe (група „Други интереси“ – DE)</w:t>
      </w:r>
    </w:p>
    <w:p w:rsidR="007F15F7" w:rsidRPr="00C731FB" w:rsidRDefault="007F15F7" w:rsidP="006D1357">
      <w:pPr>
        <w:tabs>
          <w:tab w:val="num" w:pos="550"/>
        </w:tabs>
        <w:rPr>
          <w:b/>
        </w:rPr>
      </w:pPr>
    </w:p>
    <w:p w:rsidR="007F15F7" w:rsidRPr="00C731FB" w:rsidRDefault="007F15F7" w:rsidP="006D1357">
      <w:pPr>
        <w:keepNext/>
        <w:ind w:left="1418" w:hanging="1418"/>
      </w:pPr>
      <w:r w:rsidRPr="00C731FB">
        <w:rPr>
          <w:b/>
        </w:rPr>
        <w:t>Отправен документ:</w:t>
      </w:r>
      <w:r w:rsidRPr="00C731FB">
        <w:tab/>
        <w:t>COM(2015) 339 final</w:t>
      </w:r>
    </w:p>
    <w:p w:rsidR="007F15F7" w:rsidRPr="00C731FB" w:rsidRDefault="007F15F7" w:rsidP="006D1357">
      <w:pPr>
        <w:ind w:left="2160"/>
      </w:pPr>
      <w:r w:rsidRPr="00C731FB">
        <w:t>EESC-2015-05067-00-00-AS-TRA</w:t>
      </w:r>
    </w:p>
    <w:p w:rsidR="007F15F7" w:rsidRPr="00C731FB" w:rsidRDefault="007F15F7" w:rsidP="006D1357"/>
    <w:p w:rsidR="007F15F7" w:rsidRPr="00C731FB" w:rsidRDefault="007F15F7" w:rsidP="006D1357">
      <w:pPr>
        <w:keepNext/>
      </w:pPr>
      <w:r w:rsidRPr="00C731FB">
        <w:rPr>
          <w:b/>
        </w:rPr>
        <w:t>Основни аспекти:</w:t>
      </w:r>
    </w:p>
    <w:p w:rsidR="002A3665" w:rsidRPr="00C731FB" w:rsidRDefault="002A3665" w:rsidP="006D1357">
      <w:pPr>
        <w:keepNext/>
      </w:pPr>
    </w:p>
    <w:p w:rsidR="007F15F7" w:rsidRPr="00C731FB" w:rsidRDefault="007F15F7" w:rsidP="006D1357">
      <w:r w:rsidRPr="00C731FB">
        <w:t>В съответствие със съобщението на Комисията и програмата за енергиен съюз ЕИСК подчертава променящата се, все по-важна и проактивна роля на потребителите на енергийните пазари. Той приветства много от разпоредбите, включени в съобщението „Предоставяне на нов търговски механизъм за потребителите на енергия“. Той обаче посочва и редица области, които Комисията следва да преразгледа в бъдещата си работа във връзка с потребителите на енергия.</w:t>
      </w:r>
    </w:p>
    <w:p w:rsidR="007F15F7" w:rsidRPr="00C731FB" w:rsidRDefault="007F15F7" w:rsidP="006D1357"/>
    <w:p w:rsidR="007F15F7" w:rsidRPr="00C731FB" w:rsidRDefault="007F15F7" w:rsidP="006D1357">
      <w:r w:rsidRPr="00C731FB">
        <w:t>Въпреки че отчита променящата се роля на потребителите, съобщението на Комисията оставя важни въпроси без отговор. С цел да се идентифицират тези въпроси и да се потърси решение, ЕИСК призовава Комисията да разработи систематичен анализ на пречките, с които се сблъскват потребителите, желаещи да участват активно на енергийните пазари.</w:t>
      </w:r>
    </w:p>
    <w:p w:rsidR="007F15F7" w:rsidRPr="00C731FB" w:rsidRDefault="007F15F7" w:rsidP="006D1357"/>
    <w:p w:rsidR="007F15F7" w:rsidRPr="00C731FB" w:rsidRDefault="007F15F7" w:rsidP="006D1357">
      <w:r w:rsidRPr="00C731FB">
        <w:t>ЕИСК изтъква, че е необходимо на потребителите да се даде възможност да се превърнат в активни участници на енергийния пазар. Това налага те да имат достъп до ключови технологии, като например интелигентните измервателни уреди. Следователно интелигентните измервателни уреди следва да се разглеждат и финансират като част от развитието на мрежата.</w:t>
      </w:r>
    </w:p>
    <w:p w:rsidR="007F15F7" w:rsidRPr="00C731FB" w:rsidRDefault="007F15F7" w:rsidP="006D1357"/>
    <w:p w:rsidR="007F15F7" w:rsidRPr="00C731FB" w:rsidRDefault="007F15F7" w:rsidP="006D1357">
      <w:r w:rsidRPr="00C731FB">
        <w:t>Освен това ЕИСК счита, че е важно да се разработят нови схеми за стимулиране, които да възнаграждават автономното потребление, директната доставка, съхранението на излишъци и управлението на търсенето.</w:t>
      </w:r>
    </w:p>
    <w:p w:rsidR="007F15F7" w:rsidRPr="00C731FB" w:rsidRDefault="007F15F7" w:rsidP="006D1357"/>
    <w:p w:rsidR="007F15F7" w:rsidRPr="00C731FB" w:rsidRDefault="007F15F7" w:rsidP="006D1357">
      <w:r w:rsidRPr="00C731FB">
        <w:t>ЕИСК посочва също, че в своето съобщение Комисията не дава подходящо определение на концепцията за автономно производство и потребление и демонстрира ограничено разбиране на подхода за производителите – потребители. Автономното производство и потребление трябва да бъдат тълкувани много по-широко, а не да се разглеждат единствено като отчетената от електромера автономно произведена и потребена електроенергия от дадена собствена инсталация.</w:t>
      </w:r>
    </w:p>
    <w:p w:rsidR="007F15F7" w:rsidRPr="00C731FB" w:rsidRDefault="007F15F7" w:rsidP="006D1357"/>
    <w:p w:rsidR="007F15F7" w:rsidRPr="00C731FB" w:rsidRDefault="007F15F7" w:rsidP="006D1357">
      <w:pPr>
        <w:keepNext/>
        <w:ind w:left="1429" w:hanging="1429"/>
        <w:rPr>
          <w:i/>
        </w:rPr>
      </w:pPr>
      <w:r w:rsidRPr="00C731FB">
        <w:rPr>
          <w:b/>
          <w:i/>
        </w:rPr>
        <w:t>За контакт:</w:t>
      </w:r>
      <w:r w:rsidRPr="00C731FB">
        <w:tab/>
      </w:r>
      <w:r w:rsidRPr="00C731FB">
        <w:rPr>
          <w:i/>
        </w:rPr>
        <w:t>Kristian Krieger</w:t>
      </w:r>
    </w:p>
    <w:p w:rsidR="007F15F7" w:rsidRPr="00C731FB" w:rsidRDefault="007F15F7" w:rsidP="006D1357">
      <w:pPr>
        <w:ind w:left="1430" w:hanging="12"/>
        <w:rPr>
          <w:i/>
        </w:rPr>
      </w:pPr>
      <w:r w:rsidRPr="00C731FB">
        <w:rPr>
          <w:i/>
        </w:rPr>
        <w:t xml:space="preserve">(Тел.: 00 32 2 546 89 21 – електронен адрес: </w:t>
      </w:r>
      <w:hyperlink r:id="rId26" w:history="1">
        <w:r w:rsidRPr="00C731FB">
          <w:rPr>
            <w:rStyle w:val="Hyperlink"/>
            <w:i/>
          </w:rPr>
          <w:t>Kristian.Krieger@eesc.europa.eu</w:t>
        </w:r>
      </w:hyperlink>
      <w:r w:rsidRPr="00C731FB">
        <w:rPr>
          <w:i/>
        </w:rPr>
        <w:t>)</w:t>
      </w:r>
    </w:p>
    <w:p w:rsidR="007F15F7" w:rsidRPr="00C731FB" w:rsidRDefault="007F15F7" w:rsidP="006D1357">
      <w:pPr>
        <w:widowControl w:val="0"/>
      </w:pPr>
    </w:p>
    <w:p w:rsidR="00900EA0" w:rsidRPr="00C731FB" w:rsidRDefault="006F0D9E" w:rsidP="006D1357">
      <w:pPr>
        <w:jc w:val="center"/>
      </w:pPr>
      <w:r w:rsidRPr="00C731FB">
        <w:t>_____________</w:t>
      </w:r>
    </w:p>
    <w:sectPr w:rsidR="00900EA0" w:rsidRPr="00C731FB" w:rsidSect="008C018E">
      <w:headerReference w:type="even" r:id="rId27"/>
      <w:headerReference w:type="default" r:id="rId28"/>
      <w:footerReference w:type="even" r:id="rId29"/>
      <w:footerReference w:type="default" r:id="rId30"/>
      <w:headerReference w:type="first" r:id="rId31"/>
      <w:footerReference w:type="first" r:id="rId32"/>
      <w:pgSz w:w="11907" w:h="16839"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D8" w:rsidRDefault="00A34ED8" w:rsidP="003B283B">
      <w:pPr>
        <w:spacing w:line="240" w:lineRule="auto"/>
      </w:pPr>
      <w:r>
        <w:separator/>
      </w:r>
    </w:p>
  </w:endnote>
  <w:endnote w:type="continuationSeparator" w:id="0">
    <w:p w:rsidR="00A34ED8" w:rsidRDefault="00A34ED8"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8C018E" w:rsidRDefault="008C018E" w:rsidP="008C018E">
    <w:pPr>
      <w:pStyle w:val="Footer"/>
    </w:pPr>
    <w:r>
      <w:t xml:space="preserve">EESC-2015-06625-00-02-TCD-TRA (FR) </w:t>
    </w:r>
    <w:r>
      <w:fldChar w:fldCharType="begin"/>
    </w:r>
    <w:r>
      <w:instrText xml:space="preserve"> PAGE  \* Arabic  \* MERGEFORMAT </w:instrText>
    </w:r>
    <w:r>
      <w:fldChar w:fldCharType="separate"/>
    </w:r>
    <w:r w:rsidR="005C6BDA">
      <w:rPr>
        <w:noProof/>
      </w:rPr>
      <w:t>1</w:t>
    </w:r>
    <w:r>
      <w:fldChar w:fldCharType="end"/>
    </w:r>
    <w:r>
      <w:t>/</w:t>
    </w:r>
    <w:r>
      <w:fldChar w:fldCharType="begin"/>
    </w:r>
    <w:r>
      <w:instrText xml:space="preserve"> = </w:instrText>
    </w:r>
    <w:fldSimple w:instr=" NUMPAGES ">
      <w:r w:rsidR="005C6BDA">
        <w:rPr>
          <w:noProof/>
        </w:rPr>
        <w:instrText>1</w:instrText>
      </w:r>
    </w:fldSimple>
    <w:r>
      <w:instrText xml:space="preserve"> -0 </w:instrText>
    </w:r>
    <w:r>
      <w:fldChar w:fldCharType="separate"/>
    </w:r>
    <w:r w:rsidR="005C6BDA">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8C018E" w:rsidRDefault="0019516A" w:rsidP="008C01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8C018E" w:rsidRDefault="008C018E" w:rsidP="008C018E">
    <w:pPr>
      <w:pStyle w:val="Footer"/>
    </w:pPr>
    <w:r>
      <w:t xml:space="preserve">EESC-2015-06625-00-02-TCD-TRA (FR)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7</w:instrText>
      </w:r>
    </w:fldSimple>
    <w:r>
      <w:instrText xml:space="preserve"> -0 </w:instrText>
    </w:r>
    <w:r>
      <w:fldChar w:fldCharType="separate"/>
    </w:r>
    <w:r>
      <w:rPr>
        <w:noProof/>
      </w:rPr>
      <w:t>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8C018E" w:rsidRDefault="0019516A" w:rsidP="008C018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8C018E" w:rsidRDefault="0019516A" w:rsidP="008C018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8C018E" w:rsidRDefault="008C018E" w:rsidP="008C018E">
    <w:pPr>
      <w:pStyle w:val="Footer"/>
    </w:pPr>
    <w:r>
      <w:t xml:space="preserve">EESC-2015-06625-00-02-TCD-TRA (FR) </w:t>
    </w:r>
    <w:r>
      <w:fldChar w:fldCharType="begin"/>
    </w:r>
    <w:r>
      <w:instrText xml:space="preserve"> PAGE  \* Arabic  \* MERGEFORMAT </w:instrText>
    </w:r>
    <w:r>
      <w:fldChar w:fldCharType="separate"/>
    </w:r>
    <w:r w:rsidR="005C6BDA">
      <w:rPr>
        <w:noProof/>
      </w:rPr>
      <w:t>2</w:t>
    </w:r>
    <w:r>
      <w:fldChar w:fldCharType="end"/>
    </w:r>
    <w:r>
      <w:t>/</w:t>
    </w:r>
    <w:r>
      <w:fldChar w:fldCharType="begin"/>
    </w:r>
    <w:r>
      <w:instrText xml:space="preserve"> = </w:instrText>
    </w:r>
    <w:fldSimple w:instr=" NUMPAGES ">
      <w:r w:rsidR="005C6BDA">
        <w:rPr>
          <w:noProof/>
        </w:rPr>
        <w:instrText>2</w:instrText>
      </w:r>
    </w:fldSimple>
    <w:r>
      <w:instrText xml:space="preserve"> -0 </w:instrText>
    </w:r>
    <w:r>
      <w:fldChar w:fldCharType="separate"/>
    </w:r>
    <w:r w:rsidR="005C6BDA">
      <w:rPr>
        <w:noProof/>
      </w:rP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8C018E" w:rsidRDefault="0019516A" w:rsidP="008C0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D8" w:rsidRDefault="00A34ED8" w:rsidP="003B283B">
      <w:pPr>
        <w:spacing w:line="240" w:lineRule="auto"/>
      </w:pPr>
      <w:r>
        <w:separator/>
      </w:r>
    </w:p>
  </w:footnote>
  <w:footnote w:type="continuationSeparator" w:id="0">
    <w:p w:rsidR="00A34ED8" w:rsidRDefault="00A34ED8" w:rsidP="003B28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8C018E" w:rsidRDefault="0019516A" w:rsidP="008C0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8C018E" w:rsidRDefault="0019516A" w:rsidP="008C01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8C018E" w:rsidRDefault="0019516A" w:rsidP="008C01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8C018E" w:rsidRDefault="0019516A" w:rsidP="008C01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8C018E" w:rsidRDefault="0019516A" w:rsidP="008C01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8C018E" w:rsidRDefault="0019516A" w:rsidP="008C0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3">
    <w:nsid w:val="05530337"/>
    <w:multiLevelType w:val="singleLevel"/>
    <w:tmpl w:val="ACD4CDB0"/>
    <w:lvl w:ilvl="0">
      <w:numFmt w:val="decimal"/>
      <w:lvlText w:val="*"/>
      <w:lvlJc w:val="left"/>
      <w:rPr>
        <w:rFonts w:cs="Times New Roman"/>
      </w:rPr>
    </w:lvl>
  </w:abstractNum>
  <w:abstractNum w:abstractNumId="4">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6E4FB1"/>
    <w:multiLevelType w:val="singleLevel"/>
    <w:tmpl w:val="ACD4CDB0"/>
    <w:lvl w:ilvl="0">
      <w:numFmt w:val="decimal"/>
      <w:lvlText w:val="*"/>
      <w:lvlJc w:val="left"/>
      <w:rPr>
        <w:rFonts w:cs="Times New Roman"/>
      </w:rPr>
    </w:lvl>
  </w:abstractNum>
  <w:abstractNum w:abstractNumId="6">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8">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10">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nsid w:val="15FE7426"/>
    <w:multiLevelType w:val="singleLevel"/>
    <w:tmpl w:val="ACD4CDB0"/>
    <w:lvl w:ilvl="0">
      <w:numFmt w:val="decimal"/>
      <w:lvlText w:val="*"/>
      <w:lvlJc w:val="left"/>
      <w:rPr>
        <w:rFonts w:cs="Times New Roman"/>
      </w:rPr>
    </w:lvl>
  </w:abstractNum>
  <w:abstractNum w:abstractNumId="13">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3536ADB"/>
    <w:multiLevelType w:val="singleLevel"/>
    <w:tmpl w:val="9E0C9C6A"/>
    <w:lvl w:ilvl="0">
      <w:start w:val="1"/>
      <w:numFmt w:val="decimal"/>
      <w:lvlText w:val="%1."/>
      <w:lvlJc w:val="left"/>
      <w:pPr>
        <w:ind w:left="720" w:hanging="360"/>
      </w:pPr>
      <w:rPr>
        <w:rFonts w:cs="Times New Roman"/>
        <w:b w:val="0"/>
        <w:i w:val="0"/>
        <w:color w:val="000000"/>
        <w:sz w:val="28"/>
        <w:szCs w:val="28"/>
      </w:rPr>
    </w:lvl>
  </w:abstractNum>
  <w:abstractNum w:abstractNumId="17">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6">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27">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29">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30">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1">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nsid w:val="53B8141E"/>
    <w:multiLevelType w:val="singleLevel"/>
    <w:tmpl w:val="ACD4CDB0"/>
    <w:lvl w:ilvl="0">
      <w:numFmt w:val="decimal"/>
      <w:lvlText w:val="*"/>
      <w:lvlJc w:val="left"/>
      <w:rPr>
        <w:rFonts w:cs="Times New Roman"/>
      </w:rPr>
    </w:lvl>
  </w:abstractNum>
  <w:abstractNum w:abstractNumId="35">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6">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8">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9">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0">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1">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42">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45">
    <w:nsid w:val="60BA7C7D"/>
    <w:multiLevelType w:val="singleLevel"/>
    <w:tmpl w:val="ACD4CDB0"/>
    <w:lvl w:ilvl="0">
      <w:numFmt w:val="decimal"/>
      <w:lvlText w:val="*"/>
      <w:lvlJc w:val="left"/>
      <w:rPr>
        <w:rFonts w:cs="Times New Roman"/>
      </w:rPr>
    </w:lvl>
  </w:abstractNum>
  <w:abstractNum w:abstractNumId="46">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7">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50">
    <w:nsid w:val="6B5327B5"/>
    <w:multiLevelType w:val="singleLevel"/>
    <w:tmpl w:val="ACD4CDB0"/>
    <w:lvl w:ilvl="0">
      <w:numFmt w:val="decimal"/>
      <w:lvlText w:val="*"/>
      <w:lvlJc w:val="left"/>
      <w:rPr>
        <w:rFonts w:cs="Times New Roman"/>
      </w:rPr>
    </w:lvl>
  </w:abstractNum>
  <w:abstractNum w:abstractNumId="51">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2">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4">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6">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16"/>
  </w:num>
  <w:num w:numId="3">
    <w:abstractNumId w:val="6"/>
  </w:num>
  <w:num w:numId="4">
    <w:abstractNumId w:val="17"/>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21"/>
  </w:num>
  <w:num w:numId="7">
    <w:abstractNumId w:val="26"/>
  </w:num>
  <w:num w:numId="8">
    <w:abstractNumId w:val="5"/>
  </w:num>
  <w:num w:numId="9">
    <w:abstractNumId w:val="54"/>
  </w:num>
  <w:num w:numId="10">
    <w:abstractNumId w:val="11"/>
  </w:num>
  <w:num w:numId="11">
    <w:abstractNumId w:val="32"/>
  </w:num>
  <w:num w:numId="12">
    <w:abstractNumId w:val="55"/>
  </w:num>
  <w:num w:numId="13">
    <w:abstractNumId w:val="12"/>
  </w:num>
  <w:num w:numId="14">
    <w:abstractNumId w:val="50"/>
  </w:num>
  <w:num w:numId="15">
    <w:abstractNumId w:val="45"/>
  </w:num>
  <w:num w:numId="16">
    <w:abstractNumId w:val="3"/>
  </w:num>
  <w:num w:numId="17">
    <w:abstractNumId w:val="34"/>
  </w:num>
  <w:num w:numId="18">
    <w:abstractNumId w:val="44"/>
  </w:num>
  <w:num w:numId="19">
    <w:abstractNumId w:val="33"/>
  </w:num>
  <w:num w:numId="20">
    <w:abstractNumId w:val="53"/>
  </w:num>
  <w:num w:numId="21">
    <w:abstractNumId w:val="35"/>
  </w:num>
  <w:num w:numId="22">
    <w:abstractNumId w:val="31"/>
  </w:num>
  <w:num w:numId="23">
    <w:abstractNumId w:val="18"/>
  </w:num>
  <w:num w:numId="24">
    <w:abstractNumId w:val="52"/>
  </w:num>
  <w:num w:numId="25">
    <w:abstractNumId w:val="24"/>
  </w:num>
  <w:num w:numId="26">
    <w:abstractNumId w:val="23"/>
  </w:num>
  <w:num w:numId="27">
    <w:abstractNumId w:val="43"/>
  </w:num>
  <w:num w:numId="28">
    <w:abstractNumId w:val="39"/>
  </w:num>
  <w:num w:numId="29">
    <w:abstractNumId w:val="25"/>
  </w:num>
  <w:num w:numId="30">
    <w:abstractNumId w:val="56"/>
  </w:num>
  <w:num w:numId="31">
    <w:abstractNumId w:val="40"/>
  </w:num>
  <w:num w:numId="32">
    <w:abstractNumId w:val="30"/>
  </w:num>
  <w:num w:numId="33">
    <w:abstractNumId w:val="42"/>
  </w:num>
  <w:num w:numId="34">
    <w:abstractNumId w:val="10"/>
  </w:num>
  <w:num w:numId="35">
    <w:abstractNumId w:val="46"/>
  </w:num>
  <w:num w:numId="36">
    <w:abstractNumId w:val="22"/>
  </w:num>
  <w:num w:numId="37">
    <w:abstractNumId w:val="15"/>
  </w:num>
  <w:num w:numId="38">
    <w:abstractNumId w:val="19"/>
  </w:num>
  <w:num w:numId="39">
    <w:abstractNumId w:val="41"/>
  </w:num>
  <w:num w:numId="40">
    <w:abstractNumId w:val="47"/>
  </w:num>
  <w:num w:numId="41">
    <w:abstractNumId w:val="48"/>
  </w:num>
  <w:num w:numId="42">
    <w:abstractNumId w:val="9"/>
  </w:num>
  <w:num w:numId="43">
    <w:abstractNumId w:val="27"/>
  </w:num>
  <w:num w:numId="44">
    <w:abstractNumId w:val="37"/>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7"/>
  </w:num>
  <w:num w:numId="47">
    <w:abstractNumId w:val="29"/>
  </w:num>
  <w:num w:numId="48">
    <w:abstractNumId w:val="6"/>
  </w:num>
  <w:num w:numId="49">
    <w:abstractNumId w:val="2"/>
  </w:num>
  <w:num w:numId="50">
    <w:abstractNumId w:val="49"/>
  </w:num>
  <w:num w:numId="51">
    <w:abstractNumId w:val="14"/>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36"/>
  </w:num>
  <w:num w:numId="54">
    <w:abstractNumId w:val="4"/>
  </w:num>
  <w:num w:numId="55">
    <w:abstractNumId w:val="28"/>
  </w:num>
  <w:num w:numId="56">
    <w:abstractNumId w:val="38"/>
  </w:num>
  <w:num w:numId="57">
    <w:abstractNumId w:val="44"/>
  </w:num>
  <w:num w:numId="58">
    <w:abstractNumId w:val="8"/>
  </w:num>
  <w:num w:numId="59">
    <w:abstractNumId w:val="20"/>
  </w:num>
  <w:num w:numId="60">
    <w:abstractNumId w:val="13"/>
  </w:num>
  <w:num w:numId="61">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2E4F"/>
    <w:rsid w:val="00004D0F"/>
    <w:rsid w:val="000115A9"/>
    <w:rsid w:val="000138A1"/>
    <w:rsid w:val="00020A28"/>
    <w:rsid w:val="000215A9"/>
    <w:rsid w:val="000244F9"/>
    <w:rsid w:val="00030B04"/>
    <w:rsid w:val="000316FF"/>
    <w:rsid w:val="000338E8"/>
    <w:rsid w:val="00033DA8"/>
    <w:rsid w:val="000349EE"/>
    <w:rsid w:val="00034A75"/>
    <w:rsid w:val="00035EF4"/>
    <w:rsid w:val="000378CC"/>
    <w:rsid w:val="00041EB7"/>
    <w:rsid w:val="00051C81"/>
    <w:rsid w:val="0005250A"/>
    <w:rsid w:val="00054E26"/>
    <w:rsid w:val="000562AF"/>
    <w:rsid w:val="00071E53"/>
    <w:rsid w:val="00073A46"/>
    <w:rsid w:val="000814F6"/>
    <w:rsid w:val="00081813"/>
    <w:rsid w:val="000818D4"/>
    <w:rsid w:val="00082BDD"/>
    <w:rsid w:val="00087AE9"/>
    <w:rsid w:val="00094645"/>
    <w:rsid w:val="000967CA"/>
    <w:rsid w:val="00096999"/>
    <w:rsid w:val="000A62E2"/>
    <w:rsid w:val="000C2679"/>
    <w:rsid w:val="000C3DF6"/>
    <w:rsid w:val="000D28F0"/>
    <w:rsid w:val="000D50A8"/>
    <w:rsid w:val="000D7F5A"/>
    <w:rsid w:val="000E4C16"/>
    <w:rsid w:val="000F16CE"/>
    <w:rsid w:val="000F42C4"/>
    <w:rsid w:val="000F77C3"/>
    <w:rsid w:val="0010339F"/>
    <w:rsid w:val="0010391E"/>
    <w:rsid w:val="00103CC0"/>
    <w:rsid w:val="00104975"/>
    <w:rsid w:val="00110344"/>
    <w:rsid w:val="001138B0"/>
    <w:rsid w:val="001158DF"/>
    <w:rsid w:val="00116CFB"/>
    <w:rsid w:val="00127660"/>
    <w:rsid w:val="0013146D"/>
    <w:rsid w:val="00136F53"/>
    <w:rsid w:val="00136FA8"/>
    <w:rsid w:val="00142A4E"/>
    <w:rsid w:val="00160DCC"/>
    <w:rsid w:val="001657F4"/>
    <w:rsid w:val="001737B7"/>
    <w:rsid w:val="001768E2"/>
    <w:rsid w:val="00182D03"/>
    <w:rsid w:val="00186D96"/>
    <w:rsid w:val="00191C0B"/>
    <w:rsid w:val="00194447"/>
    <w:rsid w:val="0019516A"/>
    <w:rsid w:val="00195479"/>
    <w:rsid w:val="001B0D26"/>
    <w:rsid w:val="001B18C2"/>
    <w:rsid w:val="001B232C"/>
    <w:rsid w:val="001B4CC9"/>
    <w:rsid w:val="001C0535"/>
    <w:rsid w:val="001C05B2"/>
    <w:rsid w:val="001C6C93"/>
    <w:rsid w:val="001D52CB"/>
    <w:rsid w:val="001D6C48"/>
    <w:rsid w:val="001E2338"/>
    <w:rsid w:val="001F0BC4"/>
    <w:rsid w:val="00200F03"/>
    <w:rsid w:val="00204864"/>
    <w:rsid w:val="00205EFC"/>
    <w:rsid w:val="00212787"/>
    <w:rsid w:val="00214451"/>
    <w:rsid w:val="00221123"/>
    <w:rsid w:val="00226823"/>
    <w:rsid w:val="0023002B"/>
    <w:rsid w:val="00234ED8"/>
    <w:rsid w:val="00242408"/>
    <w:rsid w:val="00242890"/>
    <w:rsid w:val="00243514"/>
    <w:rsid w:val="002469F7"/>
    <w:rsid w:val="002563ED"/>
    <w:rsid w:val="0026049D"/>
    <w:rsid w:val="00263B55"/>
    <w:rsid w:val="002653BB"/>
    <w:rsid w:val="00267AB2"/>
    <w:rsid w:val="0027137C"/>
    <w:rsid w:val="00281365"/>
    <w:rsid w:val="00282997"/>
    <w:rsid w:val="002903CB"/>
    <w:rsid w:val="00291252"/>
    <w:rsid w:val="002915A8"/>
    <w:rsid w:val="00291981"/>
    <w:rsid w:val="00291F64"/>
    <w:rsid w:val="002A0707"/>
    <w:rsid w:val="002A17C4"/>
    <w:rsid w:val="002A3665"/>
    <w:rsid w:val="002A4A76"/>
    <w:rsid w:val="002A5F58"/>
    <w:rsid w:val="002B4372"/>
    <w:rsid w:val="002C1999"/>
    <w:rsid w:val="002C199A"/>
    <w:rsid w:val="002C3DCC"/>
    <w:rsid w:val="002D0F32"/>
    <w:rsid w:val="002D41B7"/>
    <w:rsid w:val="002D750B"/>
    <w:rsid w:val="003002D3"/>
    <w:rsid w:val="003079A2"/>
    <w:rsid w:val="00307A61"/>
    <w:rsid w:val="003111F0"/>
    <w:rsid w:val="00314E67"/>
    <w:rsid w:val="003160F4"/>
    <w:rsid w:val="00322BCE"/>
    <w:rsid w:val="00326F48"/>
    <w:rsid w:val="00361CF3"/>
    <w:rsid w:val="00362B7F"/>
    <w:rsid w:val="00372D96"/>
    <w:rsid w:val="00380A9A"/>
    <w:rsid w:val="00387CFB"/>
    <w:rsid w:val="00394196"/>
    <w:rsid w:val="003966B4"/>
    <w:rsid w:val="00397835"/>
    <w:rsid w:val="003B283B"/>
    <w:rsid w:val="003B38AA"/>
    <w:rsid w:val="003B5456"/>
    <w:rsid w:val="003C4AF5"/>
    <w:rsid w:val="003C4EF8"/>
    <w:rsid w:val="003D05FE"/>
    <w:rsid w:val="003D35EF"/>
    <w:rsid w:val="003D3D9E"/>
    <w:rsid w:val="003D7FAF"/>
    <w:rsid w:val="003E0B8C"/>
    <w:rsid w:val="003E387D"/>
    <w:rsid w:val="003E6010"/>
    <w:rsid w:val="003E693F"/>
    <w:rsid w:val="003F2CD5"/>
    <w:rsid w:val="003F2F97"/>
    <w:rsid w:val="003F4FF6"/>
    <w:rsid w:val="003F59AD"/>
    <w:rsid w:val="003F65E2"/>
    <w:rsid w:val="004221CC"/>
    <w:rsid w:val="00425526"/>
    <w:rsid w:val="00426306"/>
    <w:rsid w:val="00427C97"/>
    <w:rsid w:val="00434C77"/>
    <w:rsid w:val="00440808"/>
    <w:rsid w:val="0044232C"/>
    <w:rsid w:val="00444C4C"/>
    <w:rsid w:val="00444D44"/>
    <w:rsid w:val="004452E3"/>
    <w:rsid w:val="00451194"/>
    <w:rsid w:val="00461E3E"/>
    <w:rsid w:val="00464C86"/>
    <w:rsid w:val="00470409"/>
    <w:rsid w:val="00471112"/>
    <w:rsid w:val="00480C50"/>
    <w:rsid w:val="00492EDB"/>
    <w:rsid w:val="004A7356"/>
    <w:rsid w:val="004A7AEE"/>
    <w:rsid w:val="004B7790"/>
    <w:rsid w:val="004C0FE5"/>
    <w:rsid w:val="004C4138"/>
    <w:rsid w:val="004C4D7B"/>
    <w:rsid w:val="004C6E55"/>
    <w:rsid w:val="004D1F3E"/>
    <w:rsid w:val="004E0268"/>
    <w:rsid w:val="004E16EC"/>
    <w:rsid w:val="004E21A8"/>
    <w:rsid w:val="004E2B3E"/>
    <w:rsid w:val="004E3528"/>
    <w:rsid w:val="004E3A5B"/>
    <w:rsid w:val="004E46A8"/>
    <w:rsid w:val="004F7A13"/>
    <w:rsid w:val="005021B6"/>
    <w:rsid w:val="005024F6"/>
    <w:rsid w:val="00504096"/>
    <w:rsid w:val="00504A01"/>
    <w:rsid w:val="00505516"/>
    <w:rsid w:val="00507B8C"/>
    <w:rsid w:val="0051243D"/>
    <w:rsid w:val="00515BC0"/>
    <w:rsid w:val="00523686"/>
    <w:rsid w:val="00523996"/>
    <w:rsid w:val="00531900"/>
    <w:rsid w:val="00534CC2"/>
    <w:rsid w:val="00535FFB"/>
    <w:rsid w:val="0054017F"/>
    <w:rsid w:val="005434EE"/>
    <w:rsid w:val="0054508A"/>
    <w:rsid w:val="005508F5"/>
    <w:rsid w:val="00560AD6"/>
    <w:rsid w:val="00561C94"/>
    <w:rsid w:val="005632D7"/>
    <w:rsid w:val="0056359E"/>
    <w:rsid w:val="00567A1B"/>
    <w:rsid w:val="005724ED"/>
    <w:rsid w:val="00575EED"/>
    <w:rsid w:val="00577829"/>
    <w:rsid w:val="005805C8"/>
    <w:rsid w:val="00584D4C"/>
    <w:rsid w:val="005876F8"/>
    <w:rsid w:val="00592C99"/>
    <w:rsid w:val="0059550E"/>
    <w:rsid w:val="00597449"/>
    <w:rsid w:val="005A07EF"/>
    <w:rsid w:val="005A196D"/>
    <w:rsid w:val="005A2AD2"/>
    <w:rsid w:val="005A68CF"/>
    <w:rsid w:val="005B04CB"/>
    <w:rsid w:val="005B0D29"/>
    <w:rsid w:val="005B5D2D"/>
    <w:rsid w:val="005B7EAD"/>
    <w:rsid w:val="005C0D2A"/>
    <w:rsid w:val="005C6BDA"/>
    <w:rsid w:val="005C6CC7"/>
    <w:rsid w:val="005C6FD3"/>
    <w:rsid w:val="005D060D"/>
    <w:rsid w:val="005D460E"/>
    <w:rsid w:val="005D4846"/>
    <w:rsid w:val="005D6008"/>
    <w:rsid w:val="005D652A"/>
    <w:rsid w:val="005E32A3"/>
    <w:rsid w:val="005E531B"/>
    <w:rsid w:val="005F54A5"/>
    <w:rsid w:val="006139AA"/>
    <w:rsid w:val="00622A2D"/>
    <w:rsid w:val="00630FCB"/>
    <w:rsid w:val="0063400F"/>
    <w:rsid w:val="00637052"/>
    <w:rsid w:val="00637DD7"/>
    <w:rsid w:val="00643E56"/>
    <w:rsid w:val="00646E5D"/>
    <w:rsid w:val="00646EEC"/>
    <w:rsid w:val="00647038"/>
    <w:rsid w:val="006501DC"/>
    <w:rsid w:val="0065504C"/>
    <w:rsid w:val="006552FD"/>
    <w:rsid w:val="0065609C"/>
    <w:rsid w:val="006579F9"/>
    <w:rsid w:val="00657F8D"/>
    <w:rsid w:val="006600DC"/>
    <w:rsid w:val="00671031"/>
    <w:rsid w:val="006763EC"/>
    <w:rsid w:val="0067717C"/>
    <w:rsid w:val="006808D7"/>
    <w:rsid w:val="0068174F"/>
    <w:rsid w:val="00681787"/>
    <w:rsid w:val="00690AFD"/>
    <w:rsid w:val="006A4EAA"/>
    <w:rsid w:val="006A6090"/>
    <w:rsid w:val="006B02D0"/>
    <w:rsid w:val="006B4FD1"/>
    <w:rsid w:val="006B7240"/>
    <w:rsid w:val="006D1357"/>
    <w:rsid w:val="006E07C3"/>
    <w:rsid w:val="006E28A4"/>
    <w:rsid w:val="006E4A32"/>
    <w:rsid w:val="006F0D9E"/>
    <w:rsid w:val="006F289E"/>
    <w:rsid w:val="006F2CA5"/>
    <w:rsid w:val="006F396D"/>
    <w:rsid w:val="007008B5"/>
    <w:rsid w:val="00701383"/>
    <w:rsid w:val="00701551"/>
    <w:rsid w:val="007056EF"/>
    <w:rsid w:val="00706374"/>
    <w:rsid w:val="007112FB"/>
    <w:rsid w:val="007200A7"/>
    <w:rsid w:val="007274A7"/>
    <w:rsid w:val="00732A09"/>
    <w:rsid w:val="00742995"/>
    <w:rsid w:val="0074514B"/>
    <w:rsid w:val="007460DB"/>
    <w:rsid w:val="00746BC1"/>
    <w:rsid w:val="0075179F"/>
    <w:rsid w:val="00754C10"/>
    <w:rsid w:val="00757CF0"/>
    <w:rsid w:val="007605C0"/>
    <w:rsid w:val="00771B7B"/>
    <w:rsid w:val="007738AC"/>
    <w:rsid w:val="00774ED8"/>
    <w:rsid w:val="00782FDA"/>
    <w:rsid w:val="00793CC7"/>
    <w:rsid w:val="0079472F"/>
    <w:rsid w:val="00794E1C"/>
    <w:rsid w:val="00796D74"/>
    <w:rsid w:val="007B31B6"/>
    <w:rsid w:val="007C07C5"/>
    <w:rsid w:val="007C2D6B"/>
    <w:rsid w:val="007D135C"/>
    <w:rsid w:val="007D2AA2"/>
    <w:rsid w:val="007D31F4"/>
    <w:rsid w:val="007D4275"/>
    <w:rsid w:val="007E6BCE"/>
    <w:rsid w:val="007F00D3"/>
    <w:rsid w:val="007F0D28"/>
    <w:rsid w:val="007F0D84"/>
    <w:rsid w:val="007F15F7"/>
    <w:rsid w:val="007F2174"/>
    <w:rsid w:val="007F556F"/>
    <w:rsid w:val="00802AF7"/>
    <w:rsid w:val="008031D6"/>
    <w:rsid w:val="00805F7C"/>
    <w:rsid w:val="00810910"/>
    <w:rsid w:val="0081158D"/>
    <w:rsid w:val="00811CDA"/>
    <w:rsid w:val="00821A37"/>
    <w:rsid w:val="00822E71"/>
    <w:rsid w:val="008314D7"/>
    <w:rsid w:val="00831C5E"/>
    <w:rsid w:val="0083618B"/>
    <w:rsid w:val="008367AC"/>
    <w:rsid w:val="008405A0"/>
    <w:rsid w:val="00843DF6"/>
    <w:rsid w:val="008524D0"/>
    <w:rsid w:val="00852F19"/>
    <w:rsid w:val="00860B63"/>
    <w:rsid w:val="008634DC"/>
    <w:rsid w:val="00863940"/>
    <w:rsid w:val="008741DB"/>
    <w:rsid w:val="00875E52"/>
    <w:rsid w:val="00881E5F"/>
    <w:rsid w:val="008829A4"/>
    <w:rsid w:val="00883FCB"/>
    <w:rsid w:val="008874F5"/>
    <w:rsid w:val="0089503E"/>
    <w:rsid w:val="008A0BF5"/>
    <w:rsid w:val="008A2046"/>
    <w:rsid w:val="008A2A2F"/>
    <w:rsid w:val="008A6D95"/>
    <w:rsid w:val="008B5152"/>
    <w:rsid w:val="008B5EA0"/>
    <w:rsid w:val="008B6EE1"/>
    <w:rsid w:val="008C018E"/>
    <w:rsid w:val="008C0CA5"/>
    <w:rsid w:val="008C6470"/>
    <w:rsid w:val="008D10DE"/>
    <w:rsid w:val="008D3DE9"/>
    <w:rsid w:val="008D54FE"/>
    <w:rsid w:val="008D639A"/>
    <w:rsid w:val="008E212A"/>
    <w:rsid w:val="008E4FE2"/>
    <w:rsid w:val="008E5F8B"/>
    <w:rsid w:val="008E79DB"/>
    <w:rsid w:val="008F199D"/>
    <w:rsid w:val="008F1D0A"/>
    <w:rsid w:val="008F3933"/>
    <w:rsid w:val="00900EA0"/>
    <w:rsid w:val="0090367E"/>
    <w:rsid w:val="00906027"/>
    <w:rsid w:val="009110F8"/>
    <w:rsid w:val="00915EB8"/>
    <w:rsid w:val="00927AA9"/>
    <w:rsid w:val="00930D55"/>
    <w:rsid w:val="00933610"/>
    <w:rsid w:val="0096362C"/>
    <w:rsid w:val="00963FE9"/>
    <w:rsid w:val="009650BD"/>
    <w:rsid w:val="00967E69"/>
    <w:rsid w:val="00974757"/>
    <w:rsid w:val="00977579"/>
    <w:rsid w:val="00977961"/>
    <w:rsid w:val="00983375"/>
    <w:rsid w:val="00983C32"/>
    <w:rsid w:val="00992591"/>
    <w:rsid w:val="0099424C"/>
    <w:rsid w:val="009967CB"/>
    <w:rsid w:val="009A0DEA"/>
    <w:rsid w:val="009A1F1D"/>
    <w:rsid w:val="009A24AD"/>
    <w:rsid w:val="009A51F0"/>
    <w:rsid w:val="009B0BC4"/>
    <w:rsid w:val="009B3504"/>
    <w:rsid w:val="009B436E"/>
    <w:rsid w:val="009B4402"/>
    <w:rsid w:val="009B5536"/>
    <w:rsid w:val="009C4B4E"/>
    <w:rsid w:val="009D3AE0"/>
    <w:rsid w:val="009D6AF9"/>
    <w:rsid w:val="009F02EC"/>
    <w:rsid w:val="009F09F1"/>
    <w:rsid w:val="009F40D9"/>
    <w:rsid w:val="009F475D"/>
    <w:rsid w:val="009F58A3"/>
    <w:rsid w:val="00A02258"/>
    <w:rsid w:val="00A0670F"/>
    <w:rsid w:val="00A07E52"/>
    <w:rsid w:val="00A108CC"/>
    <w:rsid w:val="00A1766C"/>
    <w:rsid w:val="00A17F1A"/>
    <w:rsid w:val="00A22001"/>
    <w:rsid w:val="00A222A7"/>
    <w:rsid w:val="00A31921"/>
    <w:rsid w:val="00A34ED8"/>
    <w:rsid w:val="00A36A65"/>
    <w:rsid w:val="00A372EE"/>
    <w:rsid w:val="00A45CD8"/>
    <w:rsid w:val="00A56B6D"/>
    <w:rsid w:val="00A65DD2"/>
    <w:rsid w:val="00A71A8D"/>
    <w:rsid w:val="00A71EF4"/>
    <w:rsid w:val="00A76812"/>
    <w:rsid w:val="00A86D47"/>
    <w:rsid w:val="00A944F3"/>
    <w:rsid w:val="00A97E15"/>
    <w:rsid w:val="00AA00A8"/>
    <w:rsid w:val="00AA179C"/>
    <w:rsid w:val="00AA18AE"/>
    <w:rsid w:val="00AA25F5"/>
    <w:rsid w:val="00AA2776"/>
    <w:rsid w:val="00AB4252"/>
    <w:rsid w:val="00AD2465"/>
    <w:rsid w:val="00AD6554"/>
    <w:rsid w:val="00AE22F2"/>
    <w:rsid w:val="00AE2392"/>
    <w:rsid w:val="00AE24DF"/>
    <w:rsid w:val="00AF328F"/>
    <w:rsid w:val="00B04ACF"/>
    <w:rsid w:val="00B104E7"/>
    <w:rsid w:val="00B215EE"/>
    <w:rsid w:val="00B33A06"/>
    <w:rsid w:val="00B34AF2"/>
    <w:rsid w:val="00B419F8"/>
    <w:rsid w:val="00B44DE2"/>
    <w:rsid w:val="00B50DEE"/>
    <w:rsid w:val="00B52FBD"/>
    <w:rsid w:val="00B54D58"/>
    <w:rsid w:val="00B60D9B"/>
    <w:rsid w:val="00B61251"/>
    <w:rsid w:val="00B614E6"/>
    <w:rsid w:val="00B6214E"/>
    <w:rsid w:val="00B65F77"/>
    <w:rsid w:val="00B72929"/>
    <w:rsid w:val="00B75A56"/>
    <w:rsid w:val="00B82F3D"/>
    <w:rsid w:val="00B92979"/>
    <w:rsid w:val="00B929A5"/>
    <w:rsid w:val="00B939A6"/>
    <w:rsid w:val="00B94955"/>
    <w:rsid w:val="00B97C33"/>
    <w:rsid w:val="00BA020D"/>
    <w:rsid w:val="00BA0C8A"/>
    <w:rsid w:val="00BA4901"/>
    <w:rsid w:val="00BA5F2A"/>
    <w:rsid w:val="00BB026F"/>
    <w:rsid w:val="00BB5370"/>
    <w:rsid w:val="00BB65C4"/>
    <w:rsid w:val="00BC4431"/>
    <w:rsid w:val="00BC6E2E"/>
    <w:rsid w:val="00BD2639"/>
    <w:rsid w:val="00BD4CC9"/>
    <w:rsid w:val="00BD4EB5"/>
    <w:rsid w:val="00BD5B6F"/>
    <w:rsid w:val="00BE364C"/>
    <w:rsid w:val="00BF2010"/>
    <w:rsid w:val="00BF4BCD"/>
    <w:rsid w:val="00BF688B"/>
    <w:rsid w:val="00C01120"/>
    <w:rsid w:val="00C04273"/>
    <w:rsid w:val="00C044F5"/>
    <w:rsid w:val="00C07936"/>
    <w:rsid w:val="00C1160A"/>
    <w:rsid w:val="00C12328"/>
    <w:rsid w:val="00C12A12"/>
    <w:rsid w:val="00C152A6"/>
    <w:rsid w:val="00C23DF7"/>
    <w:rsid w:val="00C25B4D"/>
    <w:rsid w:val="00C27BFD"/>
    <w:rsid w:val="00C3053E"/>
    <w:rsid w:val="00C4067A"/>
    <w:rsid w:val="00C41BC5"/>
    <w:rsid w:val="00C46454"/>
    <w:rsid w:val="00C57A19"/>
    <w:rsid w:val="00C62955"/>
    <w:rsid w:val="00C64A18"/>
    <w:rsid w:val="00C70A83"/>
    <w:rsid w:val="00C72F05"/>
    <w:rsid w:val="00C731FB"/>
    <w:rsid w:val="00C74BBA"/>
    <w:rsid w:val="00C835B2"/>
    <w:rsid w:val="00C85AC8"/>
    <w:rsid w:val="00C87EFC"/>
    <w:rsid w:val="00C90C12"/>
    <w:rsid w:val="00C937E3"/>
    <w:rsid w:val="00CA1941"/>
    <w:rsid w:val="00CB10E5"/>
    <w:rsid w:val="00CB5CC4"/>
    <w:rsid w:val="00CC0E6A"/>
    <w:rsid w:val="00CC4171"/>
    <w:rsid w:val="00CC4385"/>
    <w:rsid w:val="00CD4639"/>
    <w:rsid w:val="00CD5F76"/>
    <w:rsid w:val="00CD6411"/>
    <w:rsid w:val="00CE27BF"/>
    <w:rsid w:val="00CE653A"/>
    <w:rsid w:val="00CF35FC"/>
    <w:rsid w:val="00CF5F66"/>
    <w:rsid w:val="00D00275"/>
    <w:rsid w:val="00D033AB"/>
    <w:rsid w:val="00D0422F"/>
    <w:rsid w:val="00D06776"/>
    <w:rsid w:val="00D14053"/>
    <w:rsid w:val="00D15664"/>
    <w:rsid w:val="00D160F1"/>
    <w:rsid w:val="00D215F3"/>
    <w:rsid w:val="00D23740"/>
    <w:rsid w:val="00D32E3B"/>
    <w:rsid w:val="00D33B62"/>
    <w:rsid w:val="00D345E7"/>
    <w:rsid w:val="00D350C8"/>
    <w:rsid w:val="00D40BA4"/>
    <w:rsid w:val="00D4227C"/>
    <w:rsid w:val="00D502B8"/>
    <w:rsid w:val="00D606E2"/>
    <w:rsid w:val="00D62387"/>
    <w:rsid w:val="00D62A5F"/>
    <w:rsid w:val="00D67C7B"/>
    <w:rsid w:val="00D83969"/>
    <w:rsid w:val="00D92D5B"/>
    <w:rsid w:val="00D93206"/>
    <w:rsid w:val="00D95007"/>
    <w:rsid w:val="00D97EA9"/>
    <w:rsid w:val="00DA0BA0"/>
    <w:rsid w:val="00DA6571"/>
    <w:rsid w:val="00DB4A7C"/>
    <w:rsid w:val="00DB564E"/>
    <w:rsid w:val="00DB69D2"/>
    <w:rsid w:val="00DC543D"/>
    <w:rsid w:val="00DC7FAC"/>
    <w:rsid w:val="00DD3CE5"/>
    <w:rsid w:val="00DD64AF"/>
    <w:rsid w:val="00DD7D2B"/>
    <w:rsid w:val="00DE1B14"/>
    <w:rsid w:val="00DE25EF"/>
    <w:rsid w:val="00DE4C44"/>
    <w:rsid w:val="00DE4F63"/>
    <w:rsid w:val="00DE59B3"/>
    <w:rsid w:val="00DF2441"/>
    <w:rsid w:val="00DF29AB"/>
    <w:rsid w:val="00DF4971"/>
    <w:rsid w:val="00DF76D7"/>
    <w:rsid w:val="00E01B2D"/>
    <w:rsid w:val="00E06D7D"/>
    <w:rsid w:val="00E07AE2"/>
    <w:rsid w:val="00E1002C"/>
    <w:rsid w:val="00E12B0C"/>
    <w:rsid w:val="00E17B8F"/>
    <w:rsid w:val="00E2126D"/>
    <w:rsid w:val="00E30A3C"/>
    <w:rsid w:val="00E32722"/>
    <w:rsid w:val="00E3526B"/>
    <w:rsid w:val="00E37047"/>
    <w:rsid w:val="00E44B09"/>
    <w:rsid w:val="00E45BEF"/>
    <w:rsid w:val="00E46012"/>
    <w:rsid w:val="00E53230"/>
    <w:rsid w:val="00E53AE5"/>
    <w:rsid w:val="00E54FA7"/>
    <w:rsid w:val="00E602DF"/>
    <w:rsid w:val="00E62608"/>
    <w:rsid w:val="00E65473"/>
    <w:rsid w:val="00E66299"/>
    <w:rsid w:val="00E70827"/>
    <w:rsid w:val="00E70DF7"/>
    <w:rsid w:val="00E71C7E"/>
    <w:rsid w:val="00E752BD"/>
    <w:rsid w:val="00E80D97"/>
    <w:rsid w:val="00E81A13"/>
    <w:rsid w:val="00E82F78"/>
    <w:rsid w:val="00E83F3B"/>
    <w:rsid w:val="00E855C2"/>
    <w:rsid w:val="00E94287"/>
    <w:rsid w:val="00EB6E7A"/>
    <w:rsid w:val="00EC1BD8"/>
    <w:rsid w:val="00EC2AB1"/>
    <w:rsid w:val="00EC423F"/>
    <w:rsid w:val="00EC4516"/>
    <w:rsid w:val="00EC69E1"/>
    <w:rsid w:val="00EC6D2D"/>
    <w:rsid w:val="00ED65ED"/>
    <w:rsid w:val="00EE278E"/>
    <w:rsid w:val="00EE3AEB"/>
    <w:rsid w:val="00EE4363"/>
    <w:rsid w:val="00EF2BED"/>
    <w:rsid w:val="00EF64A8"/>
    <w:rsid w:val="00F01EBA"/>
    <w:rsid w:val="00F024B3"/>
    <w:rsid w:val="00F051B3"/>
    <w:rsid w:val="00F06136"/>
    <w:rsid w:val="00F1423B"/>
    <w:rsid w:val="00F21A6E"/>
    <w:rsid w:val="00F226CE"/>
    <w:rsid w:val="00F24CCC"/>
    <w:rsid w:val="00F3080D"/>
    <w:rsid w:val="00F31ACB"/>
    <w:rsid w:val="00F33BFD"/>
    <w:rsid w:val="00F4188C"/>
    <w:rsid w:val="00F44F7C"/>
    <w:rsid w:val="00F4567B"/>
    <w:rsid w:val="00F47577"/>
    <w:rsid w:val="00F5294A"/>
    <w:rsid w:val="00F533AD"/>
    <w:rsid w:val="00F534B9"/>
    <w:rsid w:val="00F61E0A"/>
    <w:rsid w:val="00F671B2"/>
    <w:rsid w:val="00F673C4"/>
    <w:rsid w:val="00F7022D"/>
    <w:rsid w:val="00F70FF1"/>
    <w:rsid w:val="00F73B1E"/>
    <w:rsid w:val="00F74BB3"/>
    <w:rsid w:val="00F81B41"/>
    <w:rsid w:val="00F83F52"/>
    <w:rsid w:val="00F84C0F"/>
    <w:rsid w:val="00F87901"/>
    <w:rsid w:val="00F955CF"/>
    <w:rsid w:val="00FA0AD4"/>
    <w:rsid w:val="00FA27F5"/>
    <w:rsid w:val="00FA7B89"/>
    <w:rsid w:val="00FB4732"/>
    <w:rsid w:val="00FC3325"/>
    <w:rsid w:val="00FD1A59"/>
    <w:rsid w:val="00FD7E01"/>
    <w:rsid w:val="00FF1B46"/>
    <w:rsid w:val="00FF2067"/>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bg-BG"/>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18E"/>
    <w:pPr>
      <w:spacing w:line="288" w:lineRule="auto"/>
      <w:jc w:val="both"/>
    </w:pPr>
    <w:rPr>
      <w:rFonts w:ascii="Times New Roman" w:eastAsia="Times New Roman" w:hAnsi="Times New Roman"/>
      <w:sz w:val="22"/>
      <w:szCs w:val="22"/>
      <w:lang w:eastAsia="en-US" w:bidi="ar-SA"/>
    </w:rPr>
  </w:style>
  <w:style w:type="paragraph" w:styleId="Heading1">
    <w:name w:val="heading 1"/>
    <w:basedOn w:val="Normal"/>
    <w:next w:val="Normal"/>
    <w:link w:val="Heading1Char"/>
    <w:qFormat/>
    <w:rsid w:val="008C018E"/>
    <w:pPr>
      <w:numPr>
        <w:numId w:val="1"/>
      </w:numPr>
      <w:ind w:left="720" w:hanging="720"/>
      <w:outlineLvl w:val="0"/>
    </w:pPr>
    <w:rPr>
      <w:kern w:val="28"/>
    </w:rPr>
  </w:style>
  <w:style w:type="paragraph" w:styleId="Heading2">
    <w:name w:val="heading 2"/>
    <w:basedOn w:val="Normal"/>
    <w:next w:val="Normal"/>
    <w:link w:val="Heading2Char"/>
    <w:qFormat/>
    <w:rsid w:val="008C018E"/>
    <w:pPr>
      <w:numPr>
        <w:ilvl w:val="1"/>
        <w:numId w:val="1"/>
      </w:numPr>
      <w:ind w:left="720" w:hanging="720"/>
      <w:outlineLvl w:val="1"/>
    </w:pPr>
  </w:style>
  <w:style w:type="paragraph" w:styleId="Heading3">
    <w:name w:val="heading 3"/>
    <w:basedOn w:val="Normal"/>
    <w:next w:val="Normal"/>
    <w:link w:val="Heading3Char"/>
    <w:qFormat/>
    <w:rsid w:val="008C018E"/>
    <w:pPr>
      <w:numPr>
        <w:ilvl w:val="2"/>
        <w:numId w:val="1"/>
      </w:numPr>
      <w:ind w:left="720" w:hanging="720"/>
      <w:outlineLvl w:val="2"/>
    </w:pPr>
  </w:style>
  <w:style w:type="paragraph" w:styleId="Heading4">
    <w:name w:val="heading 4"/>
    <w:basedOn w:val="Normal"/>
    <w:next w:val="Normal"/>
    <w:link w:val="Heading4Char"/>
    <w:qFormat/>
    <w:rsid w:val="008C018E"/>
    <w:pPr>
      <w:numPr>
        <w:ilvl w:val="3"/>
        <w:numId w:val="1"/>
      </w:numPr>
      <w:ind w:left="720" w:hanging="720"/>
      <w:outlineLvl w:val="3"/>
    </w:pPr>
  </w:style>
  <w:style w:type="paragraph" w:styleId="Heading5">
    <w:name w:val="heading 5"/>
    <w:basedOn w:val="Normal"/>
    <w:next w:val="Normal"/>
    <w:link w:val="Heading5Char"/>
    <w:qFormat/>
    <w:rsid w:val="008C018E"/>
    <w:pPr>
      <w:numPr>
        <w:ilvl w:val="4"/>
        <w:numId w:val="1"/>
      </w:numPr>
      <w:ind w:left="720" w:hanging="720"/>
      <w:outlineLvl w:val="4"/>
    </w:pPr>
  </w:style>
  <w:style w:type="paragraph" w:styleId="Heading6">
    <w:name w:val="heading 6"/>
    <w:basedOn w:val="Normal"/>
    <w:next w:val="Normal"/>
    <w:link w:val="Heading6Char"/>
    <w:qFormat/>
    <w:rsid w:val="008C018E"/>
    <w:pPr>
      <w:numPr>
        <w:ilvl w:val="5"/>
        <w:numId w:val="1"/>
      </w:numPr>
      <w:ind w:left="720" w:hanging="720"/>
      <w:outlineLvl w:val="5"/>
    </w:pPr>
  </w:style>
  <w:style w:type="paragraph" w:styleId="Heading7">
    <w:name w:val="heading 7"/>
    <w:basedOn w:val="Normal"/>
    <w:next w:val="Normal"/>
    <w:link w:val="Heading7Char"/>
    <w:qFormat/>
    <w:rsid w:val="008C018E"/>
    <w:pPr>
      <w:numPr>
        <w:ilvl w:val="6"/>
        <w:numId w:val="1"/>
      </w:numPr>
      <w:ind w:left="720" w:hanging="720"/>
      <w:outlineLvl w:val="6"/>
    </w:pPr>
  </w:style>
  <w:style w:type="paragraph" w:styleId="Heading8">
    <w:name w:val="heading 8"/>
    <w:basedOn w:val="Normal"/>
    <w:next w:val="Normal"/>
    <w:link w:val="Heading8Char"/>
    <w:qFormat/>
    <w:rsid w:val="008C018E"/>
    <w:pPr>
      <w:numPr>
        <w:ilvl w:val="7"/>
        <w:numId w:val="1"/>
      </w:numPr>
      <w:ind w:left="720" w:hanging="720"/>
      <w:outlineLvl w:val="7"/>
    </w:pPr>
  </w:style>
  <w:style w:type="paragraph" w:styleId="Heading9">
    <w:name w:val="heading 9"/>
    <w:basedOn w:val="Normal"/>
    <w:next w:val="Normal"/>
    <w:link w:val="Heading9Char"/>
    <w:qFormat/>
    <w:rsid w:val="008C018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en-US" w:eastAsia="en-US" w:bidi="ar-SA"/>
    </w:rPr>
  </w:style>
  <w:style w:type="character" w:customStyle="1" w:styleId="Heading2Char">
    <w:name w:val="Heading 2 Char"/>
    <w:link w:val="Heading2"/>
    <w:locked/>
    <w:rsid w:val="003B283B"/>
    <w:rPr>
      <w:rFonts w:ascii="Times New Roman" w:eastAsia="Times New Roman" w:hAnsi="Times New Roman"/>
      <w:sz w:val="22"/>
      <w:szCs w:val="22"/>
      <w:lang w:val="en-US" w:eastAsia="en-US" w:bidi="ar-SA"/>
    </w:rPr>
  </w:style>
  <w:style w:type="character" w:customStyle="1" w:styleId="Heading3Char">
    <w:name w:val="Heading 3 Char"/>
    <w:link w:val="Heading3"/>
    <w:locked/>
    <w:rsid w:val="003B283B"/>
    <w:rPr>
      <w:rFonts w:ascii="Times New Roman" w:eastAsia="Times New Roman" w:hAnsi="Times New Roman"/>
      <w:sz w:val="22"/>
      <w:szCs w:val="22"/>
      <w:lang w:val="en-US" w:eastAsia="en-US" w:bidi="ar-SA"/>
    </w:rPr>
  </w:style>
  <w:style w:type="character" w:customStyle="1" w:styleId="Heading4Char">
    <w:name w:val="Heading 4 Char"/>
    <w:link w:val="Heading4"/>
    <w:locked/>
    <w:rsid w:val="003B283B"/>
    <w:rPr>
      <w:rFonts w:ascii="Times New Roman" w:eastAsia="Times New Roman" w:hAnsi="Times New Roman"/>
      <w:sz w:val="22"/>
      <w:szCs w:val="22"/>
      <w:lang w:val="en-US" w:eastAsia="en-US" w:bidi="ar-SA"/>
    </w:rPr>
  </w:style>
  <w:style w:type="character" w:customStyle="1" w:styleId="Heading5Char">
    <w:name w:val="Heading 5 Char"/>
    <w:link w:val="Heading5"/>
    <w:locked/>
    <w:rsid w:val="003B283B"/>
    <w:rPr>
      <w:rFonts w:ascii="Times New Roman" w:eastAsia="Times New Roman" w:hAnsi="Times New Roman"/>
      <w:sz w:val="22"/>
      <w:szCs w:val="22"/>
      <w:lang w:val="en-US" w:eastAsia="en-US" w:bidi="ar-SA"/>
    </w:rPr>
  </w:style>
  <w:style w:type="character" w:customStyle="1" w:styleId="Heading6Char">
    <w:name w:val="Heading 6 Char"/>
    <w:link w:val="Heading6"/>
    <w:locked/>
    <w:rsid w:val="003B283B"/>
    <w:rPr>
      <w:rFonts w:ascii="Times New Roman" w:eastAsia="Times New Roman" w:hAnsi="Times New Roman"/>
      <w:sz w:val="22"/>
      <w:szCs w:val="22"/>
      <w:lang w:val="en-US" w:eastAsia="en-US" w:bidi="ar-SA"/>
    </w:rPr>
  </w:style>
  <w:style w:type="character" w:customStyle="1" w:styleId="Heading7Char">
    <w:name w:val="Heading 7 Char"/>
    <w:link w:val="Heading7"/>
    <w:locked/>
    <w:rsid w:val="003B283B"/>
    <w:rPr>
      <w:rFonts w:ascii="Times New Roman" w:eastAsia="Times New Roman" w:hAnsi="Times New Roman"/>
      <w:sz w:val="22"/>
      <w:szCs w:val="22"/>
      <w:lang w:val="en-US" w:eastAsia="en-US" w:bidi="ar-SA"/>
    </w:rPr>
  </w:style>
  <w:style w:type="character" w:customStyle="1" w:styleId="Heading8Char">
    <w:name w:val="Heading 8 Char"/>
    <w:link w:val="Heading8"/>
    <w:locked/>
    <w:rsid w:val="003B283B"/>
    <w:rPr>
      <w:rFonts w:ascii="Times New Roman" w:eastAsia="Times New Roman" w:hAnsi="Times New Roman"/>
      <w:sz w:val="22"/>
      <w:szCs w:val="22"/>
      <w:lang w:val="en-US" w:eastAsia="en-US" w:bidi="ar-SA"/>
    </w:rPr>
  </w:style>
  <w:style w:type="character" w:customStyle="1" w:styleId="Heading9Char">
    <w:name w:val="Heading 9 Char"/>
    <w:link w:val="Heading9"/>
    <w:locked/>
    <w:rsid w:val="003B283B"/>
    <w:rPr>
      <w:rFonts w:ascii="Times New Roman" w:eastAsia="Times New Roman" w:hAnsi="Times New Roman"/>
      <w:sz w:val="22"/>
      <w:szCs w:val="22"/>
      <w:lang w:val="en-US" w:eastAsia="en-US" w:bidi="ar-SA"/>
    </w:rPr>
  </w:style>
  <w:style w:type="paragraph" w:styleId="Footer">
    <w:name w:val="footer"/>
    <w:basedOn w:val="Normal"/>
    <w:link w:val="FooterChar"/>
    <w:qFormat/>
    <w:rsid w:val="008C018E"/>
  </w:style>
  <w:style w:type="character" w:customStyle="1" w:styleId="FooterChar">
    <w:name w:val="Footer Char"/>
    <w:link w:val="Footer"/>
    <w:locked/>
    <w:rsid w:val="003B283B"/>
    <w:rPr>
      <w:rFonts w:ascii="Times New Roman" w:eastAsia="Times New Roman" w:hAnsi="Times New Roman"/>
      <w:sz w:val="22"/>
      <w:szCs w:val="22"/>
      <w:lang w:val="en-US" w:eastAsia="en-US" w:bidi="ar-SA"/>
    </w:rPr>
  </w:style>
  <w:style w:type="paragraph" w:styleId="FootnoteText">
    <w:name w:val="footnote text"/>
    <w:basedOn w:val="Normal"/>
    <w:link w:val="FootnoteTextChar"/>
    <w:qFormat/>
    <w:rsid w:val="008C018E"/>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en-US" w:eastAsia="en-US" w:bidi="ar-SA"/>
    </w:rPr>
  </w:style>
  <w:style w:type="paragraph" w:styleId="Header">
    <w:name w:val="header"/>
    <w:basedOn w:val="Normal"/>
    <w:link w:val="HeaderChar"/>
    <w:qFormat/>
    <w:rsid w:val="008C018E"/>
  </w:style>
  <w:style w:type="character" w:customStyle="1" w:styleId="HeaderChar">
    <w:name w:val="Header Char"/>
    <w:link w:val="Header"/>
    <w:locked/>
    <w:rsid w:val="003B283B"/>
    <w:rPr>
      <w:rFonts w:ascii="Times New Roman" w:eastAsia="Times New Roman" w:hAnsi="Times New Roman"/>
      <w:sz w:val="22"/>
      <w:szCs w:val="22"/>
      <w:lang w:val="en-US" w:eastAsia="en-US" w:bidi="ar-SA"/>
    </w:rPr>
  </w:style>
  <w:style w:type="character" w:styleId="FootnoteReference">
    <w:name w:val="footnote reference"/>
    <w:basedOn w:val="DefaultParagraphFont"/>
    <w:unhideWhenUsed/>
    <w:qFormat/>
    <w:rsid w:val="008C018E"/>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C018E"/>
    <w:pPr>
      <w:ind w:left="720"/>
    </w:pPr>
    <w:rPr>
      <w:i/>
    </w:rPr>
  </w:style>
  <w:style w:type="paragraph" w:styleId="TOC1">
    <w:name w:val="toc 1"/>
    <w:basedOn w:val="Normal"/>
    <w:next w:val="Normal"/>
    <w:autoRedefine/>
    <w:uiPriority w:val="39"/>
    <w:locked/>
    <w:rsid w:val="00451194"/>
    <w:pPr>
      <w:spacing w:after="100"/>
    </w:pPr>
  </w:style>
  <w:style w:type="paragraph" w:styleId="BalloonText">
    <w:name w:val="Balloon Text"/>
    <w:basedOn w:val="Normal"/>
    <w:link w:val="BalloonTextChar"/>
    <w:rsid w:val="005C6BD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C6BDA"/>
    <w:rPr>
      <w:rFonts w:ascii="Tahoma" w:eastAsia="Times New Roman" w:hAnsi="Tahoma" w:cs="Tahoma"/>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bg-BG"/>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18E"/>
    <w:pPr>
      <w:spacing w:line="288" w:lineRule="auto"/>
      <w:jc w:val="both"/>
    </w:pPr>
    <w:rPr>
      <w:rFonts w:ascii="Times New Roman" w:eastAsia="Times New Roman" w:hAnsi="Times New Roman"/>
      <w:sz w:val="22"/>
      <w:szCs w:val="22"/>
      <w:lang w:eastAsia="en-US" w:bidi="ar-SA"/>
    </w:rPr>
  </w:style>
  <w:style w:type="paragraph" w:styleId="Heading1">
    <w:name w:val="heading 1"/>
    <w:basedOn w:val="Normal"/>
    <w:next w:val="Normal"/>
    <w:link w:val="Heading1Char"/>
    <w:qFormat/>
    <w:rsid w:val="008C018E"/>
    <w:pPr>
      <w:numPr>
        <w:numId w:val="1"/>
      </w:numPr>
      <w:ind w:left="720" w:hanging="720"/>
      <w:outlineLvl w:val="0"/>
    </w:pPr>
    <w:rPr>
      <w:kern w:val="28"/>
    </w:rPr>
  </w:style>
  <w:style w:type="paragraph" w:styleId="Heading2">
    <w:name w:val="heading 2"/>
    <w:basedOn w:val="Normal"/>
    <w:next w:val="Normal"/>
    <w:link w:val="Heading2Char"/>
    <w:qFormat/>
    <w:rsid w:val="008C018E"/>
    <w:pPr>
      <w:numPr>
        <w:ilvl w:val="1"/>
        <w:numId w:val="1"/>
      </w:numPr>
      <w:ind w:left="720" w:hanging="720"/>
      <w:outlineLvl w:val="1"/>
    </w:pPr>
  </w:style>
  <w:style w:type="paragraph" w:styleId="Heading3">
    <w:name w:val="heading 3"/>
    <w:basedOn w:val="Normal"/>
    <w:next w:val="Normal"/>
    <w:link w:val="Heading3Char"/>
    <w:qFormat/>
    <w:rsid w:val="008C018E"/>
    <w:pPr>
      <w:numPr>
        <w:ilvl w:val="2"/>
        <w:numId w:val="1"/>
      </w:numPr>
      <w:ind w:left="720" w:hanging="720"/>
      <w:outlineLvl w:val="2"/>
    </w:pPr>
  </w:style>
  <w:style w:type="paragraph" w:styleId="Heading4">
    <w:name w:val="heading 4"/>
    <w:basedOn w:val="Normal"/>
    <w:next w:val="Normal"/>
    <w:link w:val="Heading4Char"/>
    <w:qFormat/>
    <w:rsid w:val="008C018E"/>
    <w:pPr>
      <w:numPr>
        <w:ilvl w:val="3"/>
        <w:numId w:val="1"/>
      </w:numPr>
      <w:ind w:left="720" w:hanging="720"/>
      <w:outlineLvl w:val="3"/>
    </w:pPr>
  </w:style>
  <w:style w:type="paragraph" w:styleId="Heading5">
    <w:name w:val="heading 5"/>
    <w:basedOn w:val="Normal"/>
    <w:next w:val="Normal"/>
    <w:link w:val="Heading5Char"/>
    <w:qFormat/>
    <w:rsid w:val="008C018E"/>
    <w:pPr>
      <w:numPr>
        <w:ilvl w:val="4"/>
        <w:numId w:val="1"/>
      </w:numPr>
      <w:ind w:left="720" w:hanging="720"/>
      <w:outlineLvl w:val="4"/>
    </w:pPr>
  </w:style>
  <w:style w:type="paragraph" w:styleId="Heading6">
    <w:name w:val="heading 6"/>
    <w:basedOn w:val="Normal"/>
    <w:next w:val="Normal"/>
    <w:link w:val="Heading6Char"/>
    <w:qFormat/>
    <w:rsid w:val="008C018E"/>
    <w:pPr>
      <w:numPr>
        <w:ilvl w:val="5"/>
        <w:numId w:val="1"/>
      </w:numPr>
      <w:ind w:left="720" w:hanging="720"/>
      <w:outlineLvl w:val="5"/>
    </w:pPr>
  </w:style>
  <w:style w:type="paragraph" w:styleId="Heading7">
    <w:name w:val="heading 7"/>
    <w:basedOn w:val="Normal"/>
    <w:next w:val="Normal"/>
    <w:link w:val="Heading7Char"/>
    <w:qFormat/>
    <w:rsid w:val="008C018E"/>
    <w:pPr>
      <w:numPr>
        <w:ilvl w:val="6"/>
        <w:numId w:val="1"/>
      </w:numPr>
      <w:ind w:left="720" w:hanging="720"/>
      <w:outlineLvl w:val="6"/>
    </w:pPr>
  </w:style>
  <w:style w:type="paragraph" w:styleId="Heading8">
    <w:name w:val="heading 8"/>
    <w:basedOn w:val="Normal"/>
    <w:next w:val="Normal"/>
    <w:link w:val="Heading8Char"/>
    <w:qFormat/>
    <w:rsid w:val="008C018E"/>
    <w:pPr>
      <w:numPr>
        <w:ilvl w:val="7"/>
        <w:numId w:val="1"/>
      </w:numPr>
      <w:ind w:left="720" w:hanging="720"/>
      <w:outlineLvl w:val="7"/>
    </w:pPr>
  </w:style>
  <w:style w:type="paragraph" w:styleId="Heading9">
    <w:name w:val="heading 9"/>
    <w:basedOn w:val="Normal"/>
    <w:next w:val="Normal"/>
    <w:link w:val="Heading9Char"/>
    <w:qFormat/>
    <w:rsid w:val="008C018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en-US" w:eastAsia="en-US" w:bidi="ar-SA"/>
    </w:rPr>
  </w:style>
  <w:style w:type="character" w:customStyle="1" w:styleId="Heading2Char">
    <w:name w:val="Heading 2 Char"/>
    <w:link w:val="Heading2"/>
    <w:locked/>
    <w:rsid w:val="003B283B"/>
    <w:rPr>
      <w:rFonts w:ascii="Times New Roman" w:eastAsia="Times New Roman" w:hAnsi="Times New Roman"/>
      <w:sz w:val="22"/>
      <w:szCs w:val="22"/>
      <w:lang w:val="en-US" w:eastAsia="en-US" w:bidi="ar-SA"/>
    </w:rPr>
  </w:style>
  <w:style w:type="character" w:customStyle="1" w:styleId="Heading3Char">
    <w:name w:val="Heading 3 Char"/>
    <w:link w:val="Heading3"/>
    <w:locked/>
    <w:rsid w:val="003B283B"/>
    <w:rPr>
      <w:rFonts w:ascii="Times New Roman" w:eastAsia="Times New Roman" w:hAnsi="Times New Roman"/>
      <w:sz w:val="22"/>
      <w:szCs w:val="22"/>
      <w:lang w:val="en-US" w:eastAsia="en-US" w:bidi="ar-SA"/>
    </w:rPr>
  </w:style>
  <w:style w:type="character" w:customStyle="1" w:styleId="Heading4Char">
    <w:name w:val="Heading 4 Char"/>
    <w:link w:val="Heading4"/>
    <w:locked/>
    <w:rsid w:val="003B283B"/>
    <w:rPr>
      <w:rFonts w:ascii="Times New Roman" w:eastAsia="Times New Roman" w:hAnsi="Times New Roman"/>
      <w:sz w:val="22"/>
      <w:szCs w:val="22"/>
      <w:lang w:val="en-US" w:eastAsia="en-US" w:bidi="ar-SA"/>
    </w:rPr>
  </w:style>
  <w:style w:type="character" w:customStyle="1" w:styleId="Heading5Char">
    <w:name w:val="Heading 5 Char"/>
    <w:link w:val="Heading5"/>
    <w:locked/>
    <w:rsid w:val="003B283B"/>
    <w:rPr>
      <w:rFonts w:ascii="Times New Roman" w:eastAsia="Times New Roman" w:hAnsi="Times New Roman"/>
      <w:sz w:val="22"/>
      <w:szCs w:val="22"/>
      <w:lang w:val="en-US" w:eastAsia="en-US" w:bidi="ar-SA"/>
    </w:rPr>
  </w:style>
  <w:style w:type="character" w:customStyle="1" w:styleId="Heading6Char">
    <w:name w:val="Heading 6 Char"/>
    <w:link w:val="Heading6"/>
    <w:locked/>
    <w:rsid w:val="003B283B"/>
    <w:rPr>
      <w:rFonts w:ascii="Times New Roman" w:eastAsia="Times New Roman" w:hAnsi="Times New Roman"/>
      <w:sz w:val="22"/>
      <w:szCs w:val="22"/>
      <w:lang w:val="en-US" w:eastAsia="en-US" w:bidi="ar-SA"/>
    </w:rPr>
  </w:style>
  <w:style w:type="character" w:customStyle="1" w:styleId="Heading7Char">
    <w:name w:val="Heading 7 Char"/>
    <w:link w:val="Heading7"/>
    <w:locked/>
    <w:rsid w:val="003B283B"/>
    <w:rPr>
      <w:rFonts w:ascii="Times New Roman" w:eastAsia="Times New Roman" w:hAnsi="Times New Roman"/>
      <w:sz w:val="22"/>
      <w:szCs w:val="22"/>
      <w:lang w:val="en-US" w:eastAsia="en-US" w:bidi="ar-SA"/>
    </w:rPr>
  </w:style>
  <w:style w:type="character" w:customStyle="1" w:styleId="Heading8Char">
    <w:name w:val="Heading 8 Char"/>
    <w:link w:val="Heading8"/>
    <w:locked/>
    <w:rsid w:val="003B283B"/>
    <w:rPr>
      <w:rFonts w:ascii="Times New Roman" w:eastAsia="Times New Roman" w:hAnsi="Times New Roman"/>
      <w:sz w:val="22"/>
      <w:szCs w:val="22"/>
      <w:lang w:val="en-US" w:eastAsia="en-US" w:bidi="ar-SA"/>
    </w:rPr>
  </w:style>
  <w:style w:type="character" w:customStyle="1" w:styleId="Heading9Char">
    <w:name w:val="Heading 9 Char"/>
    <w:link w:val="Heading9"/>
    <w:locked/>
    <w:rsid w:val="003B283B"/>
    <w:rPr>
      <w:rFonts w:ascii="Times New Roman" w:eastAsia="Times New Roman" w:hAnsi="Times New Roman"/>
      <w:sz w:val="22"/>
      <w:szCs w:val="22"/>
      <w:lang w:val="en-US" w:eastAsia="en-US" w:bidi="ar-SA"/>
    </w:rPr>
  </w:style>
  <w:style w:type="paragraph" w:styleId="Footer">
    <w:name w:val="footer"/>
    <w:basedOn w:val="Normal"/>
    <w:link w:val="FooterChar"/>
    <w:qFormat/>
    <w:rsid w:val="008C018E"/>
  </w:style>
  <w:style w:type="character" w:customStyle="1" w:styleId="FooterChar">
    <w:name w:val="Footer Char"/>
    <w:link w:val="Footer"/>
    <w:locked/>
    <w:rsid w:val="003B283B"/>
    <w:rPr>
      <w:rFonts w:ascii="Times New Roman" w:eastAsia="Times New Roman" w:hAnsi="Times New Roman"/>
      <w:sz w:val="22"/>
      <w:szCs w:val="22"/>
      <w:lang w:val="en-US" w:eastAsia="en-US" w:bidi="ar-SA"/>
    </w:rPr>
  </w:style>
  <w:style w:type="paragraph" w:styleId="FootnoteText">
    <w:name w:val="footnote text"/>
    <w:basedOn w:val="Normal"/>
    <w:link w:val="FootnoteTextChar"/>
    <w:qFormat/>
    <w:rsid w:val="008C018E"/>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en-US" w:eastAsia="en-US" w:bidi="ar-SA"/>
    </w:rPr>
  </w:style>
  <w:style w:type="paragraph" w:styleId="Header">
    <w:name w:val="header"/>
    <w:basedOn w:val="Normal"/>
    <w:link w:val="HeaderChar"/>
    <w:qFormat/>
    <w:rsid w:val="008C018E"/>
  </w:style>
  <w:style w:type="character" w:customStyle="1" w:styleId="HeaderChar">
    <w:name w:val="Header Char"/>
    <w:link w:val="Header"/>
    <w:locked/>
    <w:rsid w:val="003B283B"/>
    <w:rPr>
      <w:rFonts w:ascii="Times New Roman" w:eastAsia="Times New Roman" w:hAnsi="Times New Roman"/>
      <w:sz w:val="22"/>
      <w:szCs w:val="22"/>
      <w:lang w:val="en-US" w:eastAsia="en-US" w:bidi="ar-SA"/>
    </w:rPr>
  </w:style>
  <w:style w:type="character" w:styleId="FootnoteReference">
    <w:name w:val="footnote reference"/>
    <w:basedOn w:val="DefaultParagraphFont"/>
    <w:unhideWhenUsed/>
    <w:qFormat/>
    <w:rsid w:val="008C018E"/>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C018E"/>
    <w:pPr>
      <w:ind w:left="720"/>
    </w:pPr>
    <w:rPr>
      <w:i/>
    </w:rPr>
  </w:style>
  <w:style w:type="paragraph" w:styleId="TOC1">
    <w:name w:val="toc 1"/>
    <w:basedOn w:val="Normal"/>
    <w:next w:val="Normal"/>
    <w:autoRedefine/>
    <w:uiPriority w:val="39"/>
    <w:locked/>
    <w:rsid w:val="00451194"/>
    <w:pPr>
      <w:spacing w:after="100"/>
    </w:pPr>
  </w:style>
  <w:style w:type="paragraph" w:styleId="BalloonText">
    <w:name w:val="Balloon Text"/>
    <w:basedOn w:val="Normal"/>
    <w:link w:val="BalloonTextChar"/>
    <w:rsid w:val="005C6BD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C6BDA"/>
    <w:rPr>
      <w:rFonts w:ascii="Tahoma" w:eastAsia="Times New Roman"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5396564">
      <w:bodyDiv w:val="1"/>
      <w:marLeft w:val="0"/>
      <w:marRight w:val="0"/>
      <w:marTop w:val="0"/>
      <w:marBottom w:val="0"/>
      <w:divBdr>
        <w:top w:val="none" w:sz="0" w:space="0" w:color="auto"/>
        <w:left w:val="none" w:sz="0" w:space="0" w:color="auto"/>
        <w:bottom w:val="none" w:sz="0" w:space="0" w:color="auto"/>
        <w:right w:val="none" w:sz="0" w:space="0" w:color="auto"/>
      </w:divBdr>
    </w:div>
    <w:div w:id="570434624">
      <w:bodyDiv w:val="1"/>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mailto:Kristian.Krieger@eesc.europa.eu"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Kristian.Krieger@eesc.europa.e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esc.europa.eu/?i=portal.bg.opinions-search" TargetMode="Externa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ndrei.Popescu@eesc.europa.eu" TargetMode="Externa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yperlink" Target="http://www.eesc.europa.eu/?i=portal.bg.documents" TargetMode="External"/><Relationship Id="rId23" Type="http://schemas.openxmlformats.org/officeDocument/2006/relationships/hyperlink" Target="mailto:siegfried.jantscher@eesc.europa.eu"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SNS6YXTC77FS-9-5049</_dlc_DocId>
    <_dlc_DocIdUrl xmlns="9f264e46-9252-4f01-a3b2-4cb67eb6fc3c">
      <Url>http://dm/EESC/2015/_layouts/DocIdRedir.aspx?ID=SNS6YXTC77FS-9-5049</Url>
      <Description>SNS6YXTC77FS-9-5049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ae52afa4-c322-454e-8472-1d2b1900674c"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2016-02-05T12:00:00+00:00</ProductionDate>
    <FicheYear xmlns="9f264e46-9252-4f01-a3b2-4cb67eb6fc3c">2016</FicheYear>
    <DocumentNumber xmlns="ae52afa4-c322-454e-8472-1d2b1900674c">6625</DocumentNumber>
    <DocumentVersion xmlns="9f264e46-9252-4f01-a3b2-4cb67eb6fc3c">2</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TaxCatchAll xmlns="9f264e46-9252-4f01-a3b2-4cb67eb6fc3c">
      <Value>43</Value>
      <Value>41</Value>
      <Value>39</Value>
      <Value>38</Value>
      <Value>37</Value>
      <Value>36</Value>
      <Value>35</Value>
      <Value>33</Value>
      <Value>120</Value>
      <Value>25</Value>
      <Value>24</Value>
      <Value>22</Value>
      <Value>21</Value>
      <Value>20</Value>
      <Value>18</Value>
      <Value>17</Value>
      <Value>16</Value>
      <Value>14</Value>
      <Value>13</Value>
      <Value>11</Value>
      <Value>10</Value>
      <Value>9</Value>
      <Value>8</Value>
      <Value>5</Value>
      <Value>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1423</FicheNumber>
    <DocumentPart xmlns="9f264e46-9252-4f01-a3b2-4cb67eb6fc3c">0</DocumentPart>
    <AdoptionDate xmlns="9f264e46-9252-4f01-a3b2-4cb67eb6fc3c">2016-01-21T12:00:00+00:00</AdoptionDate>
    <MeetingName_0 xmlns="http://schemas.microsoft.com/sharepoint/v3/fields">
      <Terms xmlns="http://schemas.microsoft.com/office/infopath/2007/PartnerControls"/>
    </MeetingName_0>
    <RequestingService xmlns="9f264e46-9252-4f01-a3b2-4cb67eb6fc3c">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7D2B1FD55A9544EB8E25229FA72FDDF" ma:contentTypeVersion="6" ma:contentTypeDescription="Defines the documents for Document Manager V2" ma:contentTypeScope="" ma:versionID="6da63f0e7b64b5ad38ffc84374d8e0c6">
  <xsd:schema xmlns:xsd="http://www.w3.org/2001/XMLSchema" xmlns:xs="http://www.w3.org/2001/XMLSchema" xmlns:p="http://schemas.microsoft.com/office/2006/metadata/properties" xmlns:ns2="9f264e46-9252-4f01-a3b2-4cb67eb6fc3c" xmlns:ns3="http://schemas.microsoft.com/sharepoint/v3/fields" xmlns:ns4="ae52afa4-c322-454e-8472-1d2b1900674c" targetNamespace="http://schemas.microsoft.com/office/2006/metadata/properties" ma:root="true" ma:fieldsID="84e1d7706c1bfffc02b31319c51b7638" ns2:_="" ns3:_="" ns4:_="">
    <xsd:import namespace="9f264e46-9252-4f01-a3b2-4cb67eb6fc3c"/>
    <xsd:import namespace="http://schemas.microsoft.com/sharepoint/v3/fields"/>
    <xsd:import namespace="ae52afa4-c322-454e-8472-1d2b1900674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2afa4-c322-454e-8472-1d2b1900674c"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2.xml><?xml version="1.0" encoding="utf-8"?>
<ds:datastoreItem xmlns:ds="http://schemas.openxmlformats.org/officeDocument/2006/customXml" ds:itemID="{27172C6D-F210-4BCC-96B9-D59A42C1E6F5}">
  <ds:schemaRefs>
    <ds:schemaRef ds:uri="http://purl.org/dc/dcmitype/"/>
    <ds:schemaRef ds:uri="http://schemas.microsoft.com/office/infopath/2007/PartnerControls"/>
    <ds:schemaRef ds:uri="ae52afa4-c322-454e-8472-1d2b1900674c"/>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sharepoint/v3/fields"/>
    <ds:schemaRef ds:uri="9f264e46-9252-4f01-a3b2-4cb67eb6fc3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4.xml><?xml version="1.0" encoding="utf-8"?>
<ds:datastoreItem xmlns:ds="http://schemas.openxmlformats.org/officeDocument/2006/customXml" ds:itemID="{45695C6A-0819-40B0-9104-9A202E9DF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ae52afa4-c322-454e-8472-1d2b1900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371366-19F7-4484-AF02-301EC962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3</Pages>
  <Words>1723</Words>
  <Characters>9478</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Обобщение на приетите становища 513-a пленарна сесия</vt:lpstr>
      <vt:lpstr> </vt:lpstr>
    </vt:vector>
  </TitlesOfParts>
  <Company>CESE-CdR</Company>
  <LinksUpToDate>false</LinksUpToDate>
  <CharactersWithSpaces>11179</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Обобщение на приетите становища 513-a пленарна сесия</dc:title>
  <dc:subject>Консултативни дейности, Разни</dc:subject>
  <dc:creator>Stuart Shelley</dc:creator>
  <cp:keywords>EESC-2015-06625-00-02-TCD-TRA-BG</cp:keywords>
  <dc:description>Rapporteur: -_x000d_
Original language: FR_x000d_
Date of document: 05/02/2016_x000d_
Date of meeting: _x000d_
External documents: -_x000d_
Administrator responsible: Cosmai Domenico, telephone: +32 (0)2 546 9041_x000d_
_x000d_
Abstract:</dc:description>
  <cp:lastModifiedBy>Stuart Shelley</cp:lastModifiedBy>
  <cp:revision>2</cp:revision>
  <cp:lastPrinted>2016-02-03T13:50:00Z</cp:lastPrinted>
  <dcterms:created xsi:type="dcterms:W3CDTF">2016-02-22T15:11:00Z</dcterms:created>
  <dcterms:modified xsi:type="dcterms:W3CDTF">2016-02-22T15:11:00Z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03/02/2016, 03/02/2016, 14/01/2016, 14/01/2016, 17/12/2015, 17/12/2015, 17/09/2015, 17/09/2015, 02/07/2015, 02/07/2015, 26/05/2015, 26/05/2015, 26/05/2015, 28/04/2015, 28/04/2015, 16/04/2015, 16/04/2015, 17/03/2015, 17/03/2015</vt:lpwstr>
  </property>
  <property fmtid="{D5CDD505-2E9C-101B-9397-08002B2CF9AE}" pid="4" name="Pref_Time">
    <vt:lpwstr>17:26:57, 16:09:02, 17:58:07, 17:32:44, 15:05:42, 11:13:53, 16:35:31, 16:17:21, 11:06:52, 09:02:14, 11:36:17, 10:24:48, 10:08:29, 10:48:07, 08:46:16, 16:41:11, 09:47:16, 17:45:27, 14:54:56</vt:lpwstr>
  </property>
  <property fmtid="{D5CDD505-2E9C-101B-9397-08002B2CF9AE}" pid="5" name="Pref_User">
    <vt:lpwstr>tvoc, nmcg, vvos, ssex, vvos, vvos, mkop, nmcg, amett, htoo, tvoc, dtai, nmcg, amett, ymur, amett, YMUR, jhvi, gharr</vt:lpwstr>
  </property>
  <property fmtid="{D5CDD505-2E9C-101B-9397-08002B2CF9AE}" pid="6" name="Pref_FileName">
    <vt:lpwstr>EESC-2015-06625-00-01-TCD-TRA-EN-CRR.docx, EESC-2015-06625-00-01-TCD-CRR-EN.docx, EESC-2015-06625-00-00-TCD-TRA-EN-CRR.docx, EESC-2015-06625-00-00-TCD-CRR-EN.docx, EESC-2015-05366-00-00-TCD-ORI.docx, EESC-2015-03529-00-00-TCD-ORI.docx, EESC-2015-04700-00-</vt:lpwstr>
  </property>
  <property fmtid="{D5CDD505-2E9C-101B-9397-08002B2CF9AE}" pid="7" name="ContentTypeId">
    <vt:lpwstr>0x010100EA97B91038054C99906057A708A1480A00E7D2B1FD55A9544EB8E25229FA72FDDF</vt:lpwstr>
  </property>
  <property fmtid="{D5CDD505-2E9C-101B-9397-08002B2CF9AE}" pid="8" name="_dlc_DocIdItemGuid">
    <vt:lpwstr>d284bb9b-16e9-4275-9d4f-c56d19242125</vt:lpwstr>
  </property>
  <property fmtid="{D5CDD505-2E9C-101B-9397-08002B2CF9AE}" pid="9" name="AvailableTranslations">
    <vt:lpwstr>38;#IT|0774613c-01ed-4e5d-a25d-11d2388de825;#41;#NL|55c6556c-b4f4-441d-9acf-c498d4f838bd;#24;#PT|50ccc04a-eadd-42ae-a0cb-acaf45f812ba;#11;#EL|6d4f4d51-af9b-4650-94b4-4276bee85c91;#22;#LV|46f7e311-5d9f-4663-b433-18aeccb7ace7;#35;#ET|ff6c3f4c-b02c-4c3c-ab07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4;#FR|d2afafd3-4c81-4f60-8f52-ee33f2f54ff3;#9;#EN|f2175f21-25d7-44a3-96da-d6a61b075e1b</vt:lpwstr>
  </property>
  <property fmtid="{D5CDD505-2E9C-101B-9397-08002B2CF9AE}" pid="14" name="MeetingName">
    <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37;#BG|1a1b3951-7821-4e6a-85f5-5673fc08bd2c</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
  </property>
  <property fmtid="{D5CDD505-2E9C-101B-9397-08002B2CF9AE}" pid="24" name="DocumentStatus_0">
    <vt:lpwstr>TRA|150d2a88-1431-44e6-a8ca-0bb753ab8672</vt:lpwstr>
  </property>
  <property fmtid="{D5CDD505-2E9C-101B-9397-08002B2CF9AE}" pid="25" name="OriginalLanguage_0">
    <vt:lpwstr>FR|d2afafd3-4c81-4f60-8f52-ee33f2f54ff3</vt:lpwstr>
  </property>
  <property fmtid="{D5CDD505-2E9C-101B-9397-08002B2CF9AE}" pid="26" name="DocumentLanguage_0">
    <vt:lpwstr>FR|d2afafd3-4c81-4f60-8f52-ee33f2f54ff3</vt:lpwstr>
  </property>
  <property fmtid="{D5CDD505-2E9C-101B-9397-08002B2CF9AE}" pid="27" name="TaxCatchAll">
    <vt:lpwstr>21;#HR|2f555653-ed1a-4fe6-8362-9082d95989e5;#38;#IT|0774613c-01ed-4e5d-a25d-11d2388de825;#11;#EL|6d4f4d51-af9b-4650-94b4-4276bee85c91;#120;#Final|ea5e6674-7b27-4bac-b091-73adbb394efe;#8;#TCD|cd9d6eb6-3f4f-424a-b2d1-57c9d450eaaf;#25;#RO|feb747a2-64cd-4299-</vt:lpwstr>
  </property>
  <property fmtid="{D5CDD505-2E9C-101B-9397-08002B2CF9AE}" pid="28" name="AvailableTranslations_0">
    <vt:lpwstr>IT|0774613c-01ed-4e5d-a25d-11d2388de825;EL|6d4f4d51-af9b-4650-94b4-4276bee85c91;HR|2f555653-ed1a-4fe6-8362-9082d95989e5;RO|feb747a2-64cd-4299-af12-4833ddc30497;FR|d2afafd3-4c81-4f60-8f52-ee33f2f54ff3</vt:lpwstr>
  </property>
  <property fmtid="{D5CDD505-2E9C-101B-9397-08002B2CF9AE}" pid="29" name="VersionStatus_0">
    <vt:lpwstr>Final|ea5e6674-7b27-4bac-b091-73adbb394efe</vt:lpwstr>
  </property>
  <property fmtid="{D5CDD505-2E9C-101B-9397-08002B2CF9AE}" pid="30" name="ProductionDate">
    <vt:filetime>2015-10-01T12:00:00Z</vt:filetime>
  </property>
  <property fmtid="{D5CDD505-2E9C-101B-9397-08002B2CF9AE}" pid="31" name="FicheYear">
    <vt:i4>2016</vt:i4>
  </property>
  <property fmtid="{D5CDD505-2E9C-101B-9397-08002B2CF9AE}" pid="32" name="DocumentNumber">
    <vt:i4>6625</vt:i4>
  </property>
  <property fmtid="{D5CDD505-2E9C-101B-9397-08002B2CF9AE}" pid="33" name="DocumentVersion">
    <vt:i4>2</vt:i4>
  </property>
  <property fmtid="{D5CDD505-2E9C-101B-9397-08002B2CF9AE}" pid="34" name="DocumentYear">
    <vt:i4>2015</vt:i4>
  </property>
  <property fmtid="{D5CDD505-2E9C-101B-9397-08002B2CF9AE}" pid="35" name="FicheNumber">
    <vt:i4>1423</vt:i4>
  </property>
  <property fmtid="{D5CDD505-2E9C-101B-9397-08002B2CF9AE}" pid="36" name="DocumentPart">
    <vt:i4>0</vt:i4>
  </property>
  <property fmtid="{D5CDD505-2E9C-101B-9397-08002B2CF9AE}" pid="37" name="RequestingService">
    <vt:lpwstr>Greffe</vt:lpwstr>
  </property>
  <property fmtid="{D5CDD505-2E9C-101B-9397-08002B2CF9AE}" pid="38" name="StyleCheckSum">
    <vt:lpwstr>45163_C33020_P410_L59</vt:lpwstr>
  </property>
  <property fmtid="{D5CDD505-2E9C-101B-9397-08002B2CF9AE}" pid="39" name="AdoptionDate">
    <vt:filetime>2016-01-21T12:00:00Z</vt:filetime>
  </property>
</Properties>
</file>