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F77110" w:rsidRDefault="008405A0" w:rsidP="00000CE8">
      <w:pPr>
        <w:snapToGrid w:val="0"/>
        <w:jc w:val="center"/>
      </w:pPr>
      <w:bookmarkStart w:id="0" w:name="_GoBack"/>
      <w:bookmarkEnd w:id="0"/>
      <w:r w:rsidRPr="00F77110">
        <w:rPr>
          <w:noProof/>
          <w:lang w:val="fr-BE" w:eastAsia="fr-BE" w:bidi="ar-SA"/>
        </w:rPr>
        <w:drawing>
          <wp:inline distT="0" distB="0" distL="0" distR="0" wp14:anchorId="7142DE74" wp14:editId="2D5D0413">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F77110">
        <w:rPr>
          <w:noProof/>
          <w:lang w:val="fr-BE" w:eastAsia="fr-BE" w:bidi="ar-SA"/>
        </w:rPr>
        <mc:AlternateContent>
          <mc:Choice Requires="wps">
            <w:drawing>
              <wp:anchor distT="0" distB="0" distL="114300" distR="114300" simplePos="0" relativeHeight="251659264" behindDoc="1" locked="0" layoutInCell="0" allowOverlap="1" wp14:anchorId="64721103" wp14:editId="07037E34">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16A" w:rsidRPr="00796D74" w:rsidRDefault="0019516A" w:rsidP="00000CE8">
                            <w:pPr>
                              <w:snapToGrid w:val="0"/>
                              <w:jc w:val="center"/>
                              <w:rPr>
                                <w:rFonts w:ascii="Arial" w:hAnsi="Arial" w:cs="Arial"/>
                                <w:b/>
                                <w:sz w:val="48"/>
                              </w:rPr>
                            </w:pPr>
                            <w:r>
                              <w:rPr>
                                <w:rFonts w:ascii="Arial" w:hAnsi="Arial"/>
                                <w:b/>
                                <w:noProof/>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19516A" w:rsidRPr="00796D74" w:rsidRDefault="0019516A" w:rsidP="00000CE8">
                      <w:pPr>
                        <w:snapToGrid w:val="0"/>
                        <w:jc w:val="center"/>
                        <w:rPr>
                          <w:rFonts w:ascii="Arial" w:hAnsi="Arial" w:cs="Arial"/>
                          <w:b/>
                          <w:sz w:val="48"/>
                        </w:rPr>
                      </w:pPr>
                      <w:r>
                        <w:rPr>
                          <w:rFonts w:ascii="Arial" w:hAnsi="Arial"/>
                          <w:b/>
                          <w:noProof/>
                          <w:sz w:val="48"/>
                        </w:rPr>
                        <w:t>LV</w:t>
                      </w:r>
                    </w:p>
                  </w:txbxContent>
                </v:textbox>
                <w10:wrap anchorx="page" anchory="page"/>
              </v:shape>
            </w:pict>
          </mc:Fallback>
        </mc:AlternateContent>
      </w:r>
      <w:r w:rsidRPr="00F77110">
        <w:rPr>
          <w:noProof/>
          <w:lang w:val="fr-BE" w:eastAsia="fr-BE" w:bidi="ar-SA"/>
        </w:rPr>
        <mc:AlternateContent>
          <mc:Choice Requires="wps">
            <w:drawing>
              <wp:anchor distT="0" distB="0" distL="114300" distR="114300" simplePos="0" relativeHeight="251660288" behindDoc="1" locked="0" layoutInCell="0" allowOverlap="1" wp14:anchorId="2C0D49C3" wp14:editId="14D39283">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16A" w:rsidRPr="00796D74" w:rsidRDefault="0019516A" w:rsidP="00000CE8">
                            <w:pPr>
                              <w:pBdr>
                                <w:top w:val="single" w:sz="4" w:space="1" w:color="auto"/>
                              </w:pBdr>
                              <w:snapToGrid w:val="0"/>
                              <w:jc w:val="center"/>
                              <w:rPr>
                                <w:b/>
                                <w:sz w:val="16"/>
                              </w:rPr>
                            </w:pPr>
                            <w:r>
                              <w:rPr>
                                <w:b/>
                                <w:noProof/>
                                <w:sz w:val="16"/>
                              </w:rPr>
                              <w:t>Rue Belliard/Belliardstraat 99 — 1040 Bruxelles/Brussel — BELGIQUE/BELGIË</w:t>
                            </w:r>
                          </w:p>
                          <w:p w:rsidR="0019516A" w:rsidRPr="00796D74" w:rsidRDefault="0019516A" w:rsidP="00000CE8">
                            <w:pPr>
                              <w:pBdr>
                                <w:top w:val="single" w:sz="4" w:space="1" w:color="auto"/>
                              </w:pBdr>
                              <w:snapToGrid w:val="0"/>
                              <w:jc w:val="center"/>
                              <w:rPr>
                                <w:b/>
                                <w:sz w:val="16"/>
                              </w:rPr>
                            </w:pPr>
                            <w:r>
                              <w:rPr>
                                <w:b/>
                                <w:noProof/>
                                <w:sz w:val="16"/>
                              </w:rPr>
                              <w:t xml:space="preserve">Tālr. +32 25469011 — Fakss +32 25134893 — Internets: </w:t>
                            </w:r>
                            <w:hyperlink r:id="rId14">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19516A" w:rsidRPr="00796D74" w:rsidRDefault="0019516A" w:rsidP="00000CE8">
                      <w:pPr>
                        <w:pBdr>
                          <w:top w:val="single" w:sz="4" w:space="1" w:color="auto"/>
                        </w:pBdr>
                        <w:snapToGrid w:val="0"/>
                        <w:jc w:val="center"/>
                        <w:rPr>
                          <w:b/>
                          <w:sz w:val="16"/>
                        </w:rPr>
                      </w:pPr>
                      <w:r>
                        <w:rPr>
                          <w:b/>
                          <w:noProof/>
                          <w:sz w:val="16"/>
                        </w:rPr>
                        <w:t>Rue Belliard/Belliardstraat 99 — 1040 Bruxelles/Brussel — BELGIQUE/BELGIË</w:t>
                      </w:r>
                    </w:p>
                    <w:p w:rsidR="0019516A" w:rsidRPr="00796D74" w:rsidRDefault="0019516A" w:rsidP="00000CE8">
                      <w:pPr>
                        <w:pBdr>
                          <w:top w:val="single" w:sz="4" w:space="1" w:color="auto"/>
                        </w:pBdr>
                        <w:snapToGrid w:val="0"/>
                        <w:jc w:val="center"/>
                        <w:rPr>
                          <w:b/>
                          <w:sz w:val="16"/>
                        </w:rPr>
                      </w:pPr>
                      <w:r>
                        <w:rPr>
                          <w:b/>
                          <w:noProof/>
                          <w:sz w:val="16"/>
                        </w:rPr>
                        <w:t xml:space="preserve">Tālr. +32 25469011 — Fakss +32 25134893 — Internets: </w:t>
                      </w:r>
                      <w:hyperlink r:id="rId15">
                        <w:r>
                          <w:rPr>
                            <w:rStyle w:val="Hyperlink"/>
                            <w:b/>
                            <w:noProof/>
                            <w:sz w:val="16"/>
                          </w:rPr>
                          <w:t>http://www.eesc.europa.eu</w:t>
                        </w:r>
                      </w:hyperlink>
                    </w:p>
                  </w:txbxContent>
                </v:textbox>
                <w10:wrap anchorx="page" anchory="page"/>
              </v:shape>
            </w:pict>
          </mc:Fallback>
        </mc:AlternateContent>
      </w:r>
    </w:p>
    <w:p w:rsidR="008405A0" w:rsidRPr="00F77110" w:rsidRDefault="008405A0" w:rsidP="00000CE8">
      <w:pPr>
        <w:snapToGrid w:val="0"/>
        <w:spacing w:line="280" w:lineRule="auto"/>
        <w:jc w:val="center"/>
        <w:rPr>
          <w:rFonts w:ascii="Arial" w:eastAsia="MS Mincho" w:hAnsi="Arial" w:cs="Arial"/>
          <w:b/>
          <w:i/>
          <w:sz w:val="20"/>
        </w:rPr>
      </w:pPr>
      <w:r w:rsidRPr="00F77110">
        <w:rPr>
          <w:rFonts w:ascii="Arial" w:hAnsi="Arial"/>
          <w:b/>
          <w:i/>
          <w:sz w:val="20"/>
        </w:rPr>
        <w:t>Eiropas Ekonomikas un sociālo lietu komiteja</w:t>
      </w:r>
    </w:p>
    <w:p w:rsidR="008405A0" w:rsidRPr="00F77110" w:rsidRDefault="008405A0" w:rsidP="00000CE8">
      <w:pPr>
        <w:jc w:val="left"/>
        <w:rPr>
          <w:rFonts w:ascii="Arial" w:eastAsia="SimSun" w:hAnsi="Arial" w:cs="Arial"/>
          <w:b/>
          <w:i/>
          <w:sz w:val="20"/>
        </w:rPr>
        <w:sectPr w:rsidR="008405A0" w:rsidRPr="00F77110" w:rsidSect="002903CB">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1928" w:left="1440" w:header="283" w:footer="1134" w:gutter="0"/>
          <w:pgNumType w:start="1"/>
          <w:cols w:space="708"/>
          <w:docGrid w:linePitch="360"/>
        </w:sectPr>
      </w:pPr>
    </w:p>
    <w:p w:rsidR="008405A0" w:rsidRPr="00F77110" w:rsidRDefault="008405A0" w:rsidP="00000CE8">
      <w:pPr>
        <w:snapToGrid w:val="0"/>
        <w:jc w:val="center"/>
      </w:pPr>
    </w:p>
    <w:p w:rsidR="008405A0" w:rsidRPr="00F77110" w:rsidRDefault="008405A0" w:rsidP="00000CE8">
      <w:pPr>
        <w:snapToGrid w:val="0"/>
      </w:pPr>
    </w:p>
    <w:p w:rsidR="008405A0" w:rsidRPr="00F77110" w:rsidRDefault="008405A0" w:rsidP="00000CE8">
      <w:pPr>
        <w:snapToGrid w:val="0"/>
      </w:pPr>
    </w:p>
    <w:p w:rsidR="008405A0" w:rsidRPr="00F77110" w:rsidRDefault="008405A0" w:rsidP="00000CE8">
      <w:pPr>
        <w:snapToGrid w:val="0"/>
        <w:spacing w:line="280" w:lineRule="auto"/>
        <w:jc w:val="right"/>
        <w:rPr>
          <w:rFonts w:eastAsia="MS Mincho"/>
        </w:rPr>
      </w:pPr>
      <w:r w:rsidRPr="00F77110">
        <w:t>Briselē, 2015. gada 22. decembrī</w:t>
      </w:r>
    </w:p>
    <w:p w:rsidR="008405A0" w:rsidRPr="00F77110" w:rsidRDefault="008405A0" w:rsidP="00000CE8">
      <w:pPr>
        <w:snapToGrid w:val="0"/>
      </w:pPr>
    </w:p>
    <w:p w:rsidR="008405A0" w:rsidRPr="00F77110" w:rsidRDefault="008405A0" w:rsidP="00000CE8">
      <w:pPr>
        <w:snapToGrid w:val="0"/>
      </w:pPr>
    </w:p>
    <w:p w:rsidR="008405A0" w:rsidRPr="00F77110" w:rsidRDefault="008405A0" w:rsidP="00000CE8">
      <w:pPr>
        <w:snapToGrid w:val="0"/>
      </w:pPr>
    </w:p>
    <w:p w:rsidR="008405A0" w:rsidRPr="00F77110" w:rsidRDefault="008405A0" w:rsidP="00000CE8">
      <w:pPr>
        <w:snapToGrid w:val="0"/>
      </w:pPr>
    </w:p>
    <w:p w:rsidR="008405A0" w:rsidRPr="00F77110" w:rsidRDefault="008405A0" w:rsidP="00000CE8">
      <w:pPr>
        <w:snapToGrid w:val="0"/>
      </w:pPr>
    </w:p>
    <w:tbl>
      <w:tblPr>
        <w:tblW w:w="0" w:type="auto"/>
        <w:tblLayout w:type="fixed"/>
        <w:tblLook w:val="0000" w:firstRow="0" w:lastRow="0" w:firstColumn="0" w:lastColumn="0" w:noHBand="0" w:noVBand="0"/>
      </w:tblPr>
      <w:tblGrid>
        <w:gridCol w:w="9243"/>
      </w:tblGrid>
      <w:tr w:rsidR="008405A0" w:rsidRPr="00F77110" w:rsidTr="008405A0">
        <w:tc>
          <w:tcPr>
            <w:tcW w:w="9243" w:type="dxa"/>
            <w:tcBorders>
              <w:top w:val="nil"/>
              <w:left w:val="nil"/>
              <w:bottom w:val="double" w:sz="4" w:space="0" w:color="auto"/>
              <w:right w:val="nil"/>
            </w:tcBorders>
          </w:tcPr>
          <w:p w:rsidR="008405A0" w:rsidRPr="00F77110" w:rsidRDefault="008405A0" w:rsidP="00000CE8">
            <w:pPr>
              <w:snapToGrid w:val="0"/>
              <w:spacing w:line="280" w:lineRule="auto"/>
              <w:jc w:val="center"/>
              <w:rPr>
                <w:rFonts w:eastAsia="MS Mincho"/>
                <w:b/>
                <w:sz w:val="32"/>
              </w:rPr>
            </w:pPr>
            <w:r w:rsidRPr="00F77110">
              <w:rPr>
                <w:b/>
                <w:sz w:val="32"/>
              </w:rPr>
              <w:t xml:space="preserve">PILNSAPULCĒ </w:t>
            </w:r>
            <w:r w:rsidRPr="00F77110">
              <w:rPr>
                <w:b/>
                <w:sz w:val="32"/>
              </w:rPr>
              <w:br/>
              <w:t xml:space="preserve"> </w:t>
            </w:r>
            <w:r w:rsidRPr="00F77110">
              <w:rPr>
                <w:b/>
                <w:sz w:val="32"/>
              </w:rPr>
              <w:br/>
              <w:t xml:space="preserve">2015. GADA 9. UN 10. DECEMBRĪ </w:t>
            </w:r>
            <w:r w:rsidRPr="00F77110">
              <w:rPr>
                <w:b/>
                <w:sz w:val="32"/>
              </w:rPr>
              <w:br/>
              <w:t xml:space="preserve"> </w:t>
            </w:r>
            <w:r w:rsidRPr="00F77110">
              <w:rPr>
                <w:b/>
                <w:sz w:val="32"/>
              </w:rPr>
              <w:br/>
              <w:t>PIEŅEMTO ATZINUMU KOPSAVILKUMS</w:t>
            </w:r>
          </w:p>
          <w:p w:rsidR="008405A0" w:rsidRPr="00F77110" w:rsidRDefault="008405A0" w:rsidP="00000CE8">
            <w:pPr>
              <w:snapToGrid w:val="0"/>
              <w:jc w:val="center"/>
              <w:rPr>
                <w:b/>
                <w:sz w:val="32"/>
              </w:rPr>
            </w:pPr>
          </w:p>
          <w:p w:rsidR="008405A0" w:rsidRPr="00F77110" w:rsidRDefault="008405A0" w:rsidP="00000CE8">
            <w:pPr>
              <w:snapToGrid w:val="0"/>
              <w:jc w:val="center"/>
              <w:rPr>
                <w:rFonts w:eastAsia="Calibri"/>
                <w:b/>
                <w:bCs/>
              </w:rPr>
            </w:pPr>
          </w:p>
        </w:tc>
      </w:tr>
      <w:tr w:rsidR="008405A0" w:rsidRPr="00F77110" w:rsidTr="008405A0">
        <w:tc>
          <w:tcPr>
            <w:tcW w:w="9243" w:type="dxa"/>
            <w:tcBorders>
              <w:top w:val="double" w:sz="4" w:space="0" w:color="auto"/>
              <w:left w:val="double" w:sz="4" w:space="0" w:color="auto"/>
              <w:bottom w:val="double" w:sz="4" w:space="0" w:color="auto"/>
              <w:right w:val="double" w:sz="4" w:space="0" w:color="auto"/>
            </w:tcBorders>
          </w:tcPr>
          <w:p w:rsidR="008405A0" w:rsidRPr="00F77110" w:rsidRDefault="00A31921" w:rsidP="00000CE8">
            <w:pPr>
              <w:snapToGrid w:val="0"/>
              <w:spacing w:line="280" w:lineRule="auto"/>
              <w:jc w:val="center"/>
              <w:rPr>
                <w:rFonts w:eastAsia="MS Mincho"/>
                <w:b/>
              </w:rPr>
            </w:pPr>
            <w:r w:rsidRPr="00F77110">
              <w:rPr>
                <w:b/>
              </w:rPr>
              <w:t>Šis dokuments oficiālajās valodās ir pieejams Komitejas tīmekļa vietnē:</w:t>
            </w:r>
          </w:p>
          <w:p w:rsidR="008405A0" w:rsidRPr="00F77110" w:rsidRDefault="008405A0" w:rsidP="00000CE8">
            <w:pPr>
              <w:snapToGrid w:val="0"/>
              <w:jc w:val="center"/>
              <w:rPr>
                <w:b/>
              </w:rPr>
            </w:pPr>
          </w:p>
          <w:p w:rsidR="008405A0" w:rsidRPr="00F77110" w:rsidRDefault="00E54014" w:rsidP="00000CE8">
            <w:pPr>
              <w:spacing w:line="280" w:lineRule="auto"/>
              <w:jc w:val="center"/>
              <w:rPr>
                <w:rFonts w:eastAsia="MS Mincho"/>
                <w:color w:val="0000FF"/>
                <w:u w:val="single"/>
              </w:rPr>
            </w:pPr>
            <w:hyperlink r:id="rId22" w:anchor="/boxTab1-2">
              <w:r w:rsidR="0036180C" w:rsidRPr="00F77110">
                <w:rPr>
                  <w:rStyle w:val="Hyperlink"/>
                  <w:b/>
                </w:rPr>
                <w:t>http://www.eesc.europa.eu/?i=portal.fr.documents#/boxTab1-2</w:t>
              </w:r>
            </w:hyperlink>
          </w:p>
          <w:p w:rsidR="008405A0" w:rsidRPr="00F77110" w:rsidRDefault="008405A0" w:rsidP="00000CE8">
            <w:pPr>
              <w:snapToGrid w:val="0"/>
              <w:jc w:val="center"/>
            </w:pPr>
          </w:p>
          <w:p w:rsidR="008405A0" w:rsidRPr="00F77110" w:rsidRDefault="008405A0" w:rsidP="00000CE8">
            <w:pPr>
              <w:snapToGrid w:val="0"/>
              <w:jc w:val="center"/>
              <w:rPr>
                <w:rFonts w:eastAsia="SimSun"/>
                <w:b/>
              </w:rPr>
            </w:pPr>
          </w:p>
          <w:p w:rsidR="008405A0" w:rsidRPr="00F77110" w:rsidRDefault="008405A0" w:rsidP="00000CE8">
            <w:pPr>
              <w:snapToGrid w:val="0"/>
              <w:spacing w:line="280" w:lineRule="auto"/>
              <w:jc w:val="center"/>
              <w:rPr>
                <w:rFonts w:eastAsia="MS Mincho"/>
                <w:b/>
              </w:rPr>
            </w:pPr>
            <w:r w:rsidRPr="00F77110">
              <w:rPr>
                <w:b/>
              </w:rPr>
              <w:t>Ar atzinumiem var iepazīties tiešsaistē, izmantojot Komitejas meklētājprogrammu:</w:t>
            </w:r>
          </w:p>
          <w:p w:rsidR="008405A0" w:rsidRPr="00F77110" w:rsidRDefault="008405A0" w:rsidP="00000CE8">
            <w:pPr>
              <w:snapToGrid w:val="0"/>
              <w:jc w:val="center"/>
              <w:rPr>
                <w:b/>
              </w:rPr>
            </w:pPr>
          </w:p>
          <w:p w:rsidR="008405A0" w:rsidRPr="00F77110" w:rsidRDefault="00E54014" w:rsidP="00000CE8">
            <w:pPr>
              <w:snapToGrid w:val="0"/>
              <w:spacing w:line="280" w:lineRule="auto"/>
              <w:jc w:val="center"/>
              <w:rPr>
                <w:rFonts w:eastAsia="MS Mincho"/>
                <w:b/>
              </w:rPr>
            </w:pPr>
            <w:hyperlink r:id="rId23">
              <w:r w:rsidR="0036180C" w:rsidRPr="00F77110">
                <w:rPr>
                  <w:rStyle w:val="Hyperlink"/>
                  <w:b/>
                </w:rPr>
                <w:t>http://www.eesc.europa.eu/?i=portal.fr.opinions-search</w:t>
              </w:r>
            </w:hyperlink>
          </w:p>
          <w:p w:rsidR="008405A0" w:rsidRPr="00F77110" w:rsidRDefault="008405A0" w:rsidP="00000CE8">
            <w:pPr>
              <w:snapToGrid w:val="0"/>
              <w:jc w:val="center"/>
              <w:rPr>
                <w:rFonts w:eastAsia="Calibri"/>
                <w:b/>
                <w:bCs/>
              </w:rPr>
            </w:pPr>
          </w:p>
        </w:tc>
      </w:tr>
    </w:tbl>
    <w:p w:rsidR="008405A0" w:rsidRPr="00F77110" w:rsidRDefault="008405A0" w:rsidP="00000CE8"/>
    <w:p w:rsidR="008405A0" w:rsidRPr="00F77110" w:rsidRDefault="008405A0" w:rsidP="00000CE8">
      <w:pPr>
        <w:snapToGrid w:val="0"/>
      </w:pPr>
    </w:p>
    <w:p w:rsidR="008405A0" w:rsidRPr="00F77110" w:rsidRDefault="008405A0" w:rsidP="00000CE8">
      <w:pPr>
        <w:jc w:val="left"/>
        <w:rPr>
          <w:rFonts w:eastAsia="SimSun"/>
          <w:b/>
          <w:sz w:val="28"/>
          <w:u w:val="single"/>
        </w:rPr>
        <w:sectPr w:rsidR="008405A0" w:rsidRPr="00F77110" w:rsidSect="002903CB">
          <w:headerReference w:type="even" r:id="rId24"/>
          <w:headerReference w:type="default" r:id="rId25"/>
          <w:footerReference w:type="even" r:id="rId26"/>
          <w:footerReference w:type="default" r:id="rId27"/>
          <w:headerReference w:type="first" r:id="rId28"/>
          <w:footerReference w:type="first" r:id="rId29"/>
          <w:type w:val="continuous"/>
          <w:pgSz w:w="11907" w:h="16839"/>
          <w:pgMar w:top="1701" w:right="1440" w:bottom="1928" w:left="1440" w:header="1020" w:footer="1247" w:gutter="0"/>
          <w:cols w:space="720"/>
          <w:docGrid w:linePitch="299"/>
        </w:sectPr>
      </w:pPr>
    </w:p>
    <w:p w:rsidR="008405A0" w:rsidRPr="00F77110" w:rsidRDefault="008405A0" w:rsidP="00000CE8">
      <w:pPr>
        <w:snapToGrid w:val="0"/>
        <w:rPr>
          <w:b/>
          <w:sz w:val="28"/>
          <w:u w:val="single"/>
        </w:rPr>
      </w:pPr>
    </w:p>
    <w:p w:rsidR="008405A0" w:rsidRPr="00F77110" w:rsidRDefault="008405A0" w:rsidP="00000CE8">
      <w:pPr>
        <w:snapToGrid w:val="0"/>
        <w:spacing w:line="280" w:lineRule="auto"/>
        <w:rPr>
          <w:rFonts w:eastAsia="MS Mincho"/>
          <w:b/>
          <w:sz w:val="28"/>
          <w:u w:val="single"/>
        </w:rPr>
      </w:pPr>
      <w:r w:rsidRPr="00F77110">
        <w:rPr>
          <w:b/>
        </w:rPr>
        <w:t>Satura rādītājs:</w:t>
      </w:r>
    </w:p>
    <w:p w:rsidR="00B939A6" w:rsidRPr="00F77110" w:rsidRDefault="00B939A6" w:rsidP="00000CE8">
      <w:pPr>
        <w:snapToGrid w:val="0"/>
        <w:rPr>
          <w:b/>
          <w:sz w:val="28"/>
          <w:u w:val="single"/>
        </w:rPr>
      </w:pPr>
    </w:p>
    <w:p w:rsidR="004A39DB" w:rsidRPr="00F77110" w:rsidRDefault="00B97C33">
      <w:pPr>
        <w:pStyle w:val="TOC1"/>
        <w:tabs>
          <w:tab w:val="left" w:pos="440"/>
          <w:tab w:val="right" w:leader="dot" w:pos="9017"/>
        </w:tabs>
      </w:pPr>
      <w:r w:rsidRPr="00F77110">
        <w:fldChar w:fldCharType="begin"/>
      </w:r>
      <w:r w:rsidRPr="00F77110">
        <w:instrText xml:space="preserve"> TOC \o "1-3" \h \z \u </w:instrText>
      </w:r>
      <w:r w:rsidRPr="00F77110">
        <w:fldChar w:fldCharType="separate"/>
      </w:r>
      <w:hyperlink w:anchor="_Toc440012205" w:history="1">
        <w:r w:rsidR="004A39DB" w:rsidRPr="00F77110">
          <w:rPr>
            <w:rStyle w:val="Hyperlink"/>
          </w:rPr>
          <w:t>1.</w:t>
        </w:r>
        <w:r w:rsidR="004A39DB" w:rsidRPr="00F77110">
          <w:tab/>
        </w:r>
        <w:r w:rsidR="004A39DB" w:rsidRPr="00F77110">
          <w:rPr>
            <w:rStyle w:val="Hyperlink"/>
            <w:b/>
          </w:rPr>
          <w:t>MIGRĀCIJA</w:t>
        </w:r>
        <w:r w:rsidR="004A39DB" w:rsidRPr="00F77110">
          <w:rPr>
            <w:webHidden/>
          </w:rPr>
          <w:tab/>
        </w:r>
        <w:r w:rsidR="004A39DB" w:rsidRPr="00F77110">
          <w:rPr>
            <w:webHidden/>
          </w:rPr>
          <w:fldChar w:fldCharType="begin"/>
        </w:r>
        <w:r w:rsidR="004A39DB" w:rsidRPr="00F77110">
          <w:rPr>
            <w:webHidden/>
          </w:rPr>
          <w:instrText xml:space="preserve"> PAGEREF _Toc440012205 \h </w:instrText>
        </w:r>
        <w:r w:rsidR="004A39DB" w:rsidRPr="00F77110">
          <w:rPr>
            <w:webHidden/>
          </w:rPr>
        </w:r>
        <w:r w:rsidR="004A39DB" w:rsidRPr="00F77110">
          <w:rPr>
            <w:webHidden/>
          </w:rPr>
          <w:fldChar w:fldCharType="separate"/>
        </w:r>
        <w:r w:rsidR="000F4B7F" w:rsidRPr="00F77110">
          <w:rPr>
            <w:webHidden/>
          </w:rPr>
          <w:t>3</w:t>
        </w:r>
        <w:r w:rsidR="004A39DB" w:rsidRPr="00F77110">
          <w:rPr>
            <w:webHidden/>
          </w:rPr>
          <w:fldChar w:fldCharType="end"/>
        </w:r>
      </w:hyperlink>
    </w:p>
    <w:p w:rsidR="004A39DB" w:rsidRPr="00F77110" w:rsidRDefault="00E54014">
      <w:pPr>
        <w:pStyle w:val="TOC1"/>
        <w:tabs>
          <w:tab w:val="left" w:pos="440"/>
          <w:tab w:val="right" w:leader="dot" w:pos="9017"/>
        </w:tabs>
      </w:pPr>
      <w:hyperlink w:anchor="_Toc440012206" w:history="1">
        <w:r w:rsidR="004A39DB" w:rsidRPr="00F77110">
          <w:rPr>
            <w:rStyle w:val="Hyperlink"/>
          </w:rPr>
          <w:t>2.</w:t>
        </w:r>
        <w:r w:rsidR="004A39DB" w:rsidRPr="00F77110">
          <w:tab/>
        </w:r>
        <w:r w:rsidR="004A39DB" w:rsidRPr="00F77110">
          <w:rPr>
            <w:rStyle w:val="Hyperlink"/>
            <w:b/>
          </w:rPr>
          <w:t>EKONOMIKAS PĀRVALDĪBA / FINANŠU INSTRUMENTI / NODOKĻU SISTĒMA</w:t>
        </w:r>
        <w:r w:rsidR="004A39DB" w:rsidRPr="00F77110">
          <w:rPr>
            <w:webHidden/>
          </w:rPr>
          <w:tab/>
        </w:r>
        <w:r w:rsidR="004A39DB" w:rsidRPr="00F77110">
          <w:rPr>
            <w:webHidden/>
          </w:rPr>
          <w:fldChar w:fldCharType="begin"/>
        </w:r>
        <w:r w:rsidR="004A39DB" w:rsidRPr="00F77110">
          <w:rPr>
            <w:webHidden/>
          </w:rPr>
          <w:instrText xml:space="preserve"> PAGEREF _Toc440012206 \h </w:instrText>
        </w:r>
        <w:r w:rsidR="004A39DB" w:rsidRPr="00F77110">
          <w:rPr>
            <w:webHidden/>
          </w:rPr>
        </w:r>
        <w:r w:rsidR="004A39DB" w:rsidRPr="00F77110">
          <w:rPr>
            <w:webHidden/>
          </w:rPr>
          <w:fldChar w:fldCharType="separate"/>
        </w:r>
        <w:r w:rsidR="000F4B7F" w:rsidRPr="00F77110">
          <w:rPr>
            <w:webHidden/>
          </w:rPr>
          <w:t>8</w:t>
        </w:r>
        <w:r w:rsidR="004A39DB" w:rsidRPr="00F77110">
          <w:rPr>
            <w:webHidden/>
          </w:rPr>
          <w:fldChar w:fldCharType="end"/>
        </w:r>
      </w:hyperlink>
    </w:p>
    <w:p w:rsidR="004A39DB" w:rsidRPr="00F77110" w:rsidRDefault="00E54014">
      <w:pPr>
        <w:pStyle w:val="TOC1"/>
        <w:tabs>
          <w:tab w:val="left" w:pos="440"/>
          <w:tab w:val="right" w:leader="dot" w:pos="9017"/>
        </w:tabs>
      </w:pPr>
      <w:hyperlink w:anchor="_Toc440012207" w:history="1">
        <w:r w:rsidR="004A39DB" w:rsidRPr="00F77110">
          <w:rPr>
            <w:rStyle w:val="Hyperlink"/>
          </w:rPr>
          <w:t>3.</w:t>
        </w:r>
        <w:r w:rsidR="004A39DB" w:rsidRPr="00F77110">
          <w:tab/>
        </w:r>
        <w:r w:rsidR="004A39DB" w:rsidRPr="00F77110">
          <w:rPr>
            <w:rStyle w:val="Hyperlink"/>
            <w:b/>
          </w:rPr>
          <w:t>VIDE / LAUKSAIMNIECĪBA UN ZIVSAIMNIECĪBA</w:t>
        </w:r>
        <w:r w:rsidR="004A39DB" w:rsidRPr="00F77110">
          <w:rPr>
            <w:webHidden/>
          </w:rPr>
          <w:tab/>
        </w:r>
        <w:r w:rsidR="004A39DB" w:rsidRPr="00F77110">
          <w:rPr>
            <w:webHidden/>
          </w:rPr>
          <w:fldChar w:fldCharType="begin"/>
        </w:r>
        <w:r w:rsidR="004A39DB" w:rsidRPr="00F77110">
          <w:rPr>
            <w:webHidden/>
          </w:rPr>
          <w:instrText xml:space="preserve"> PAGEREF _Toc440012207 \h </w:instrText>
        </w:r>
        <w:r w:rsidR="004A39DB" w:rsidRPr="00F77110">
          <w:rPr>
            <w:webHidden/>
          </w:rPr>
        </w:r>
        <w:r w:rsidR="004A39DB" w:rsidRPr="00F77110">
          <w:rPr>
            <w:webHidden/>
          </w:rPr>
          <w:fldChar w:fldCharType="separate"/>
        </w:r>
        <w:r w:rsidR="000F4B7F" w:rsidRPr="00F77110">
          <w:rPr>
            <w:webHidden/>
          </w:rPr>
          <w:t>9</w:t>
        </w:r>
        <w:r w:rsidR="004A39DB" w:rsidRPr="00F77110">
          <w:rPr>
            <w:webHidden/>
          </w:rPr>
          <w:fldChar w:fldCharType="end"/>
        </w:r>
      </w:hyperlink>
    </w:p>
    <w:p w:rsidR="004A39DB" w:rsidRPr="00F77110" w:rsidRDefault="00E54014">
      <w:pPr>
        <w:pStyle w:val="TOC1"/>
        <w:tabs>
          <w:tab w:val="left" w:pos="440"/>
          <w:tab w:val="right" w:leader="dot" w:pos="9017"/>
        </w:tabs>
      </w:pPr>
      <w:hyperlink w:anchor="_Toc440012208" w:history="1">
        <w:r w:rsidR="004A39DB" w:rsidRPr="00F77110">
          <w:rPr>
            <w:rStyle w:val="Hyperlink"/>
          </w:rPr>
          <w:t>4.</w:t>
        </w:r>
        <w:r w:rsidR="004A39DB" w:rsidRPr="00F77110">
          <w:tab/>
        </w:r>
        <w:r w:rsidR="004A39DB" w:rsidRPr="00F77110">
          <w:rPr>
            <w:rStyle w:val="Hyperlink"/>
            <w:b/>
          </w:rPr>
          <w:t>IEKŠĒJAIS TIRGUS</w:t>
        </w:r>
        <w:r w:rsidR="004A39DB" w:rsidRPr="00F77110">
          <w:rPr>
            <w:webHidden/>
          </w:rPr>
          <w:tab/>
        </w:r>
        <w:r w:rsidR="004A39DB" w:rsidRPr="00F77110">
          <w:rPr>
            <w:webHidden/>
          </w:rPr>
          <w:fldChar w:fldCharType="begin"/>
        </w:r>
        <w:r w:rsidR="004A39DB" w:rsidRPr="00F77110">
          <w:rPr>
            <w:webHidden/>
          </w:rPr>
          <w:instrText xml:space="preserve"> PAGEREF _Toc440012208 \h </w:instrText>
        </w:r>
        <w:r w:rsidR="004A39DB" w:rsidRPr="00F77110">
          <w:rPr>
            <w:webHidden/>
          </w:rPr>
        </w:r>
        <w:r w:rsidR="004A39DB" w:rsidRPr="00F77110">
          <w:rPr>
            <w:webHidden/>
          </w:rPr>
          <w:fldChar w:fldCharType="separate"/>
        </w:r>
        <w:r w:rsidR="000F4B7F" w:rsidRPr="00F77110">
          <w:rPr>
            <w:webHidden/>
          </w:rPr>
          <w:t>12</w:t>
        </w:r>
        <w:r w:rsidR="004A39DB" w:rsidRPr="00F77110">
          <w:rPr>
            <w:webHidden/>
          </w:rPr>
          <w:fldChar w:fldCharType="end"/>
        </w:r>
      </w:hyperlink>
    </w:p>
    <w:p w:rsidR="004A39DB" w:rsidRPr="00F77110" w:rsidRDefault="00E54014">
      <w:pPr>
        <w:pStyle w:val="TOC1"/>
        <w:tabs>
          <w:tab w:val="left" w:pos="440"/>
          <w:tab w:val="right" w:leader="dot" w:pos="9017"/>
        </w:tabs>
      </w:pPr>
      <w:hyperlink w:anchor="_Toc440012209" w:history="1">
        <w:r w:rsidR="004A39DB" w:rsidRPr="00F77110">
          <w:rPr>
            <w:rStyle w:val="Hyperlink"/>
          </w:rPr>
          <w:t>5.</w:t>
        </w:r>
        <w:r w:rsidR="004A39DB" w:rsidRPr="00F77110">
          <w:tab/>
        </w:r>
        <w:r w:rsidR="004A39DB" w:rsidRPr="00F77110">
          <w:rPr>
            <w:rStyle w:val="Hyperlink"/>
            <w:b/>
          </w:rPr>
          <w:t>IZGLĪTĪBA / NODARBINĀTĪBA</w:t>
        </w:r>
        <w:r w:rsidR="004A39DB" w:rsidRPr="00F77110">
          <w:rPr>
            <w:webHidden/>
          </w:rPr>
          <w:tab/>
        </w:r>
        <w:r w:rsidR="004A39DB" w:rsidRPr="00F77110">
          <w:rPr>
            <w:webHidden/>
          </w:rPr>
          <w:fldChar w:fldCharType="begin"/>
        </w:r>
        <w:r w:rsidR="004A39DB" w:rsidRPr="00F77110">
          <w:rPr>
            <w:webHidden/>
          </w:rPr>
          <w:instrText xml:space="preserve"> PAGEREF _Toc440012209 \h </w:instrText>
        </w:r>
        <w:r w:rsidR="004A39DB" w:rsidRPr="00F77110">
          <w:rPr>
            <w:webHidden/>
          </w:rPr>
        </w:r>
        <w:r w:rsidR="004A39DB" w:rsidRPr="00F77110">
          <w:rPr>
            <w:webHidden/>
          </w:rPr>
          <w:fldChar w:fldCharType="separate"/>
        </w:r>
        <w:r w:rsidR="000F4B7F" w:rsidRPr="00F77110">
          <w:rPr>
            <w:webHidden/>
          </w:rPr>
          <w:t>14</w:t>
        </w:r>
        <w:r w:rsidR="004A39DB" w:rsidRPr="00F77110">
          <w:rPr>
            <w:webHidden/>
          </w:rPr>
          <w:fldChar w:fldCharType="end"/>
        </w:r>
      </w:hyperlink>
    </w:p>
    <w:p w:rsidR="004A39DB" w:rsidRPr="00F77110" w:rsidRDefault="00E54014">
      <w:pPr>
        <w:pStyle w:val="TOC1"/>
        <w:tabs>
          <w:tab w:val="left" w:pos="440"/>
          <w:tab w:val="right" w:leader="dot" w:pos="9017"/>
        </w:tabs>
      </w:pPr>
      <w:hyperlink w:anchor="_Toc440012210" w:history="1">
        <w:r w:rsidR="004A39DB" w:rsidRPr="00F77110">
          <w:rPr>
            <w:rStyle w:val="Hyperlink"/>
          </w:rPr>
          <w:t>6.</w:t>
        </w:r>
        <w:r w:rsidR="004A39DB" w:rsidRPr="00F77110">
          <w:tab/>
        </w:r>
        <w:r w:rsidR="004A39DB" w:rsidRPr="00F77110">
          <w:rPr>
            <w:rStyle w:val="Hyperlink"/>
            <w:b/>
          </w:rPr>
          <w:t>ENERĢĒTIKA</w:t>
        </w:r>
        <w:r w:rsidR="004A39DB" w:rsidRPr="00F77110">
          <w:rPr>
            <w:webHidden/>
          </w:rPr>
          <w:tab/>
        </w:r>
        <w:r w:rsidR="004A39DB" w:rsidRPr="00F77110">
          <w:rPr>
            <w:webHidden/>
          </w:rPr>
          <w:fldChar w:fldCharType="begin"/>
        </w:r>
        <w:r w:rsidR="004A39DB" w:rsidRPr="00F77110">
          <w:rPr>
            <w:webHidden/>
          </w:rPr>
          <w:instrText xml:space="preserve"> PAGEREF _Toc440012210 \h </w:instrText>
        </w:r>
        <w:r w:rsidR="004A39DB" w:rsidRPr="00F77110">
          <w:rPr>
            <w:webHidden/>
          </w:rPr>
        </w:r>
        <w:r w:rsidR="004A39DB" w:rsidRPr="00F77110">
          <w:rPr>
            <w:webHidden/>
          </w:rPr>
          <w:fldChar w:fldCharType="separate"/>
        </w:r>
        <w:r w:rsidR="000F4B7F" w:rsidRPr="00F77110">
          <w:rPr>
            <w:webHidden/>
          </w:rPr>
          <w:t>15</w:t>
        </w:r>
        <w:r w:rsidR="004A39DB" w:rsidRPr="00F77110">
          <w:rPr>
            <w:webHidden/>
          </w:rPr>
          <w:fldChar w:fldCharType="end"/>
        </w:r>
      </w:hyperlink>
    </w:p>
    <w:p w:rsidR="004A39DB" w:rsidRPr="00F77110" w:rsidRDefault="00E54014">
      <w:pPr>
        <w:pStyle w:val="TOC1"/>
        <w:tabs>
          <w:tab w:val="left" w:pos="440"/>
          <w:tab w:val="right" w:leader="dot" w:pos="9017"/>
        </w:tabs>
      </w:pPr>
      <w:hyperlink w:anchor="_Toc440012211" w:history="1">
        <w:r w:rsidR="004A39DB" w:rsidRPr="00F77110">
          <w:rPr>
            <w:rStyle w:val="Hyperlink"/>
          </w:rPr>
          <w:t>7.</w:t>
        </w:r>
        <w:r w:rsidR="004A39DB" w:rsidRPr="00F77110">
          <w:tab/>
        </w:r>
        <w:r w:rsidR="004A39DB" w:rsidRPr="00F77110">
          <w:rPr>
            <w:rStyle w:val="Hyperlink"/>
            <w:b/>
          </w:rPr>
          <w:t>RŪPNIECĪBA / INOVĀCIJA</w:t>
        </w:r>
        <w:r w:rsidR="004A39DB" w:rsidRPr="00F77110">
          <w:rPr>
            <w:webHidden/>
          </w:rPr>
          <w:tab/>
        </w:r>
        <w:r w:rsidR="004A39DB" w:rsidRPr="00F77110">
          <w:rPr>
            <w:webHidden/>
          </w:rPr>
          <w:fldChar w:fldCharType="begin"/>
        </w:r>
        <w:r w:rsidR="004A39DB" w:rsidRPr="00F77110">
          <w:rPr>
            <w:webHidden/>
          </w:rPr>
          <w:instrText xml:space="preserve"> PAGEREF _Toc440012211 \h </w:instrText>
        </w:r>
        <w:r w:rsidR="004A39DB" w:rsidRPr="00F77110">
          <w:rPr>
            <w:webHidden/>
          </w:rPr>
        </w:r>
        <w:r w:rsidR="004A39DB" w:rsidRPr="00F77110">
          <w:rPr>
            <w:webHidden/>
          </w:rPr>
          <w:fldChar w:fldCharType="separate"/>
        </w:r>
        <w:r w:rsidR="000F4B7F" w:rsidRPr="00F77110">
          <w:rPr>
            <w:webHidden/>
          </w:rPr>
          <w:t>17</w:t>
        </w:r>
        <w:r w:rsidR="004A39DB" w:rsidRPr="00F77110">
          <w:rPr>
            <w:webHidden/>
          </w:rPr>
          <w:fldChar w:fldCharType="end"/>
        </w:r>
      </w:hyperlink>
    </w:p>
    <w:p w:rsidR="006F0D9E" w:rsidRPr="00F77110" w:rsidRDefault="00B97C33" w:rsidP="00000CE8">
      <w:pPr>
        <w:tabs>
          <w:tab w:val="left" w:pos="426"/>
          <w:tab w:val="right" w:leader="dot" w:pos="9017"/>
        </w:tabs>
        <w:spacing w:after="100"/>
        <w:rPr>
          <w:rFonts w:eastAsiaTheme="minorEastAsia"/>
        </w:rPr>
      </w:pPr>
      <w:r w:rsidRPr="00F77110">
        <w:fldChar w:fldCharType="end"/>
      </w:r>
    </w:p>
    <w:p w:rsidR="00B97C33" w:rsidRPr="00F77110" w:rsidRDefault="00B97C33" w:rsidP="00000CE8">
      <w:pPr>
        <w:snapToGrid w:val="0"/>
        <w:rPr>
          <w:b/>
          <w:sz w:val="28"/>
        </w:rPr>
      </w:pPr>
    </w:p>
    <w:p w:rsidR="008405A0" w:rsidRPr="00F77110" w:rsidRDefault="008405A0" w:rsidP="00000CE8">
      <w:pPr>
        <w:spacing w:after="200"/>
        <w:jc w:val="left"/>
      </w:pPr>
      <w:r w:rsidRPr="00F77110">
        <w:br w:type="page"/>
      </w:r>
    </w:p>
    <w:p w:rsidR="008405A0" w:rsidRPr="00F77110" w:rsidRDefault="008405A0" w:rsidP="00000CE8">
      <w:pPr>
        <w:spacing w:line="280" w:lineRule="auto"/>
        <w:rPr>
          <w:b/>
          <w:color w:val="000000" w:themeColor="text1"/>
        </w:rPr>
      </w:pPr>
      <w:r w:rsidRPr="00F77110">
        <w:lastRenderedPageBreak/>
        <w:t xml:space="preserve">Plenārajā sesijā, kas notika 2015. gada 9. un 10. decembrī, piedalījās Luksemburgas darba, nodarbinātības un sociālās un solidārās ekonomikas ministrs </w:t>
      </w:r>
      <w:r w:rsidRPr="00F77110">
        <w:rPr>
          <w:b/>
        </w:rPr>
        <w:t xml:space="preserve">Nicolas </w:t>
      </w:r>
      <w:proofErr w:type="spellStart"/>
      <w:r w:rsidRPr="00F77110">
        <w:rPr>
          <w:b/>
        </w:rPr>
        <w:t>Schmit</w:t>
      </w:r>
      <w:proofErr w:type="spellEnd"/>
      <w:r w:rsidRPr="00F77110">
        <w:t xml:space="preserve"> un Eiropas Komisijas pirmais priekšsēdētāja vietnieks </w:t>
      </w:r>
      <w:r w:rsidRPr="00F77110">
        <w:rPr>
          <w:b/>
          <w:color w:val="000000" w:themeColor="text1"/>
        </w:rPr>
        <w:t xml:space="preserve">Frans </w:t>
      </w:r>
      <w:proofErr w:type="spellStart"/>
      <w:r w:rsidRPr="00F77110">
        <w:rPr>
          <w:b/>
          <w:color w:val="000000" w:themeColor="text1"/>
        </w:rPr>
        <w:t>Timmermans</w:t>
      </w:r>
      <w:proofErr w:type="spellEnd"/>
      <w:r w:rsidRPr="00F77110">
        <w:t xml:space="preserve">, un tika pasniegta </w:t>
      </w:r>
      <w:r w:rsidRPr="00F77110">
        <w:rPr>
          <w:b/>
          <w:color w:val="000000" w:themeColor="text1"/>
        </w:rPr>
        <w:t>pilsoniskās sabiedrības balva</w:t>
      </w:r>
      <w:r w:rsidRPr="00F77110">
        <w:t>.</w:t>
      </w:r>
    </w:p>
    <w:p w:rsidR="008405A0" w:rsidRPr="00F77110" w:rsidRDefault="008405A0" w:rsidP="00000CE8">
      <w:pPr>
        <w:rPr>
          <w:sz w:val="16"/>
        </w:rPr>
      </w:pPr>
    </w:p>
    <w:p w:rsidR="008405A0" w:rsidRPr="00F77110" w:rsidRDefault="008405A0" w:rsidP="00000CE8">
      <w:pPr>
        <w:spacing w:line="280" w:lineRule="auto"/>
        <w:rPr>
          <w:rFonts w:eastAsia="MS Mincho"/>
        </w:rPr>
      </w:pPr>
      <w:r w:rsidRPr="00F77110">
        <w:t>Pilnsapulcē pieņēma turpmāk minētos atzinumus.</w:t>
      </w:r>
    </w:p>
    <w:p w:rsidR="008405A0" w:rsidRPr="00F77110" w:rsidRDefault="008405A0" w:rsidP="00000CE8">
      <w:pPr>
        <w:rPr>
          <w:sz w:val="16"/>
        </w:rPr>
      </w:pPr>
    </w:p>
    <w:p w:rsidR="00900EA0" w:rsidRPr="00F77110" w:rsidRDefault="007E6BCE" w:rsidP="00000CE8">
      <w:pPr>
        <w:keepNext/>
        <w:keepLines/>
        <w:numPr>
          <w:ilvl w:val="0"/>
          <w:numId w:val="2"/>
        </w:numPr>
        <w:ind w:hanging="720"/>
        <w:jc w:val="left"/>
        <w:outlineLvl w:val="0"/>
        <w:rPr>
          <w:b/>
          <w:sz w:val="28"/>
        </w:rPr>
      </w:pPr>
      <w:bookmarkStart w:id="1" w:name="_Toc437942482"/>
      <w:bookmarkStart w:id="2" w:name="_Toc440012205"/>
      <w:r w:rsidRPr="00F77110">
        <w:rPr>
          <w:b/>
          <w:sz w:val="28"/>
        </w:rPr>
        <w:t>MIGRĀCIJA</w:t>
      </w:r>
      <w:bookmarkEnd w:id="1"/>
      <w:bookmarkEnd w:id="2"/>
    </w:p>
    <w:p w:rsidR="00EC2AB1" w:rsidRPr="00F77110" w:rsidRDefault="00EC2AB1" w:rsidP="00BD4EB5">
      <w:pPr>
        <w:keepNext/>
        <w:keepLines/>
        <w:jc w:val="left"/>
        <w:outlineLvl w:val="0"/>
        <w:rPr>
          <w:b/>
          <w:u w:val="single"/>
        </w:rPr>
      </w:pPr>
    </w:p>
    <w:p w:rsidR="00EC2AB1" w:rsidRPr="00F77110" w:rsidRDefault="00000CE8" w:rsidP="00000CE8">
      <w:pPr>
        <w:pStyle w:val="ListParagraph"/>
        <w:widowControl w:val="0"/>
        <w:numPr>
          <w:ilvl w:val="0"/>
          <w:numId w:val="55"/>
        </w:numPr>
        <w:ind w:left="567" w:hanging="567"/>
        <w:rPr>
          <w:sz w:val="24"/>
        </w:rPr>
      </w:pPr>
      <w:r w:rsidRPr="00F77110">
        <w:rPr>
          <w:b/>
          <w:i/>
          <w:sz w:val="28"/>
        </w:rPr>
        <w:t>“Eiropas programma migrācijas jomā”</w:t>
      </w:r>
    </w:p>
    <w:p w:rsidR="00EC2AB1" w:rsidRPr="00F77110" w:rsidRDefault="00EC2AB1" w:rsidP="00000CE8">
      <w:pPr>
        <w:tabs>
          <w:tab w:val="center" w:pos="284"/>
        </w:tabs>
        <w:ind w:left="266" w:hanging="266"/>
        <w:rPr>
          <w:b/>
        </w:rPr>
      </w:pPr>
    </w:p>
    <w:p w:rsidR="00EC2AB1" w:rsidRPr="00F77110" w:rsidRDefault="00EC2AB1" w:rsidP="009D1C6F">
      <w:pPr>
        <w:tabs>
          <w:tab w:val="left" w:pos="1418"/>
        </w:tabs>
      </w:pPr>
      <w:r w:rsidRPr="00F77110">
        <w:rPr>
          <w:b/>
        </w:rPr>
        <w:t>Ziņotājs:</w:t>
      </w:r>
      <w:r w:rsidR="009D1C6F" w:rsidRPr="00F77110">
        <w:tab/>
      </w:r>
      <w:proofErr w:type="spellStart"/>
      <w:r w:rsidRPr="00F77110">
        <w:t>Stefano</w:t>
      </w:r>
      <w:proofErr w:type="spellEnd"/>
      <w:r w:rsidRPr="00F77110">
        <w:t xml:space="preserve"> </w:t>
      </w:r>
      <w:proofErr w:type="spellStart"/>
      <w:r w:rsidRPr="00F77110">
        <w:t>Mallia</w:t>
      </w:r>
      <w:proofErr w:type="spellEnd"/>
      <w:r w:rsidRPr="00F77110">
        <w:t xml:space="preserve"> (Darba devēju grupa – MT)</w:t>
      </w:r>
    </w:p>
    <w:p w:rsidR="00EC2AB1" w:rsidRPr="00F77110" w:rsidRDefault="00EC2AB1" w:rsidP="00000CE8">
      <w:pPr>
        <w:tabs>
          <w:tab w:val="center" w:pos="284"/>
        </w:tabs>
        <w:ind w:left="266" w:hanging="266"/>
      </w:pPr>
    </w:p>
    <w:p w:rsidR="00EC2AB1" w:rsidRPr="00F77110" w:rsidRDefault="00EC2AB1" w:rsidP="00000CE8">
      <w:pPr>
        <w:rPr>
          <w:b/>
        </w:rPr>
      </w:pPr>
      <w:r w:rsidRPr="00F77110">
        <w:rPr>
          <w:b/>
        </w:rPr>
        <w:t>Līdzziņotājs:</w:t>
      </w:r>
      <w:r w:rsidRPr="00F77110">
        <w:tab/>
      </w:r>
      <w:proofErr w:type="spellStart"/>
      <w:r w:rsidRPr="00F77110">
        <w:t>Cristian</w:t>
      </w:r>
      <w:proofErr w:type="spellEnd"/>
      <w:r w:rsidRPr="00F77110">
        <w:t xml:space="preserve"> </w:t>
      </w:r>
      <w:proofErr w:type="spellStart"/>
      <w:r w:rsidRPr="00F77110">
        <w:t>Pîrvulescu</w:t>
      </w:r>
      <w:proofErr w:type="spellEnd"/>
      <w:r w:rsidRPr="00F77110">
        <w:t xml:space="preserve"> (Dažādu interešu grupa – RO)</w:t>
      </w:r>
    </w:p>
    <w:p w:rsidR="00EC2AB1" w:rsidRPr="00F77110" w:rsidRDefault="00EC2AB1" w:rsidP="00000CE8">
      <w:pPr>
        <w:rPr>
          <w:b/>
        </w:rPr>
      </w:pPr>
    </w:p>
    <w:p w:rsidR="00EC2AB1" w:rsidRPr="00F77110" w:rsidRDefault="00EC2AB1" w:rsidP="009D1C6F">
      <w:pPr>
        <w:tabs>
          <w:tab w:val="left" w:pos="1418"/>
        </w:tabs>
      </w:pPr>
      <w:r w:rsidRPr="00F77110">
        <w:rPr>
          <w:b/>
        </w:rPr>
        <w:t>Atsauce:</w:t>
      </w:r>
      <w:r w:rsidR="009D1C6F" w:rsidRPr="00F77110">
        <w:tab/>
      </w:r>
      <w:r w:rsidRPr="00F77110">
        <w:t xml:space="preserve">COM(2015) 240 </w:t>
      </w:r>
      <w:proofErr w:type="spellStart"/>
      <w:r w:rsidRPr="00F77110">
        <w:t>final</w:t>
      </w:r>
      <w:proofErr w:type="spellEnd"/>
      <w:r w:rsidRPr="00F77110">
        <w:tab/>
      </w:r>
      <w:r w:rsidRPr="00F77110">
        <w:tab/>
        <w:t>EESC-2015-04319-00-00-AC</w:t>
      </w:r>
    </w:p>
    <w:p w:rsidR="00EC2AB1" w:rsidRPr="00F77110" w:rsidRDefault="00EC2AB1" w:rsidP="00000CE8"/>
    <w:p w:rsidR="00EC2AB1" w:rsidRPr="00F77110" w:rsidRDefault="00EC2AB1" w:rsidP="00BD4EB5">
      <w:pPr>
        <w:keepNext/>
        <w:tabs>
          <w:tab w:val="center" w:pos="284"/>
        </w:tabs>
        <w:ind w:left="266" w:hanging="266"/>
        <w:rPr>
          <w:b/>
        </w:rPr>
      </w:pPr>
      <w:r w:rsidRPr="00F77110">
        <w:rPr>
          <w:b/>
        </w:rPr>
        <w:t>Galvenie jautājumi:</w:t>
      </w:r>
    </w:p>
    <w:p w:rsidR="00033DA8" w:rsidRPr="00F77110" w:rsidRDefault="00033DA8" w:rsidP="00BD4EB5">
      <w:pPr>
        <w:keepNext/>
      </w:pPr>
    </w:p>
    <w:p w:rsidR="00EC2AB1" w:rsidRPr="00F77110" w:rsidRDefault="00EC2AB1" w:rsidP="00000CE8">
      <w:r w:rsidRPr="00F77110">
        <w:t>EESK atzinīgi vērtē Komisijas “Eiropas programmu migrācijas jomā” un mudina dalībvalstis kopīgi atbalstīt šīs programmas īstenošanu.</w:t>
      </w:r>
    </w:p>
    <w:p w:rsidR="00EC2AB1" w:rsidRPr="00F77110" w:rsidRDefault="00EC2AB1" w:rsidP="00000CE8"/>
    <w:p w:rsidR="00EC2AB1" w:rsidRPr="00F77110" w:rsidRDefault="00EC2AB1" w:rsidP="00000CE8">
      <w:r w:rsidRPr="00F77110">
        <w:t>Tūlītējs ES uzdevums ir nodrošināt pienācīgu attieksmi pret cilvēkiem, kuri lūdz starptautisko aizsardzību. EESK atbalsta “karsto punktu” (</w:t>
      </w:r>
      <w:proofErr w:type="spellStart"/>
      <w:r w:rsidRPr="00F77110">
        <w:rPr>
          <w:i/>
        </w:rPr>
        <w:t>hotspots</w:t>
      </w:r>
      <w:proofErr w:type="spellEnd"/>
      <w:r w:rsidRPr="00F77110">
        <w:t>) tūlītēju izveidi, lai palīdzētu valstīm, kuras saskaras ar lielu migrantu pieplūdumu, un pieprasa, lai tiem tiktu nodrošināti vajadzīgie resursi un atbalsts.</w:t>
      </w:r>
    </w:p>
    <w:p w:rsidR="00EC2AB1" w:rsidRPr="00F77110" w:rsidRDefault="00EC2AB1" w:rsidP="00000CE8"/>
    <w:p w:rsidR="00EC2AB1" w:rsidRPr="00F77110" w:rsidRDefault="00EC2AB1" w:rsidP="00000CE8">
      <w:r w:rsidRPr="00F77110">
        <w:t>EESK uzskata, ka Eiropas Savienībai ir jāizveido patiesi kopēja Eiropas patvēruma sistēma, kuras pamatā ir saskaņotas procedūras visā ES, ietverot patvēruma lēmumu savstarpēju atzīšanu un pārskatītu Dublinas regulu.</w:t>
      </w:r>
    </w:p>
    <w:p w:rsidR="00EC2AB1" w:rsidRPr="00F77110" w:rsidRDefault="00EC2AB1" w:rsidP="00000CE8"/>
    <w:p w:rsidR="00EC2AB1" w:rsidRPr="00F77110" w:rsidRDefault="00EC2AB1" w:rsidP="00000CE8">
      <w:r w:rsidRPr="00F77110">
        <w:t>Eiropas Savienībai ir vajadzīga pārredzama, stabila un taisnīga imigrācijas politika, lai risinātu problēmas, ko rada sabiedrības novecošana un arvien lielāks prasmju trūkums.</w:t>
      </w:r>
    </w:p>
    <w:p w:rsidR="00EC2AB1" w:rsidRPr="00F77110" w:rsidRDefault="00EC2AB1" w:rsidP="00000CE8"/>
    <w:p w:rsidR="00EC2AB1" w:rsidRPr="00F77110" w:rsidRDefault="00EC2AB1" w:rsidP="00000CE8">
      <w:r w:rsidRPr="00F77110">
        <w:t>Integrācijas neveikšanas izmaksas ievērojami pārsniedz integrācijas izmaksas. Sociālajiem partneriem, vietējām pašvaldībām un pilsoniskajai sabiedrībai ir jāuzņemas būtiska loma stabilu integrācijas sistēmu veidošanā.</w:t>
      </w:r>
    </w:p>
    <w:p w:rsidR="00EC2AB1" w:rsidRPr="00F77110" w:rsidRDefault="00EC2AB1" w:rsidP="00000CE8"/>
    <w:p w:rsidR="00EC2AB1" w:rsidRPr="00F77110" w:rsidRDefault="00EC2AB1" w:rsidP="00000CE8">
      <w:r w:rsidRPr="00F77110">
        <w:t>Eiropas līmenī cenšoties nodrošināt ārējo robežu aizsardzību, valstis var sadarboties šajā jomā.</w:t>
      </w:r>
    </w:p>
    <w:p w:rsidR="00EC2AB1" w:rsidRPr="00F77110" w:rsidRDefault="00EC2AB1" w:rsidP="00000CE8"/>
    <w:p w:rsidR="00EC2AB1" w:rsidRPr="00F77110" w:rsidRDefault="00EC2AB1" w:rsidP="00000CE8">
      <w:r w:rsidRPr="00F77110">
        <w:t>Ir jāpastiprina sadarbība atpakaļuzņemšanas jomā, lai nodrošinātu Atgriešanas direktīvas efektīvu un savlaicīgu īstenošanu.</w:t>
      </w:r>
    </w:p>
    <w:p w:rsidR="00EC2AB1" w:rsidRPr="00F77110" w:rsidRDefault="00EC2AB1" w:rsidP="00000CE8"/>
    <w:p w:rsidR="00EC2AB1" w:rsidRPr="00F77110" w:rsidRDefault="00EC2AB1" w:rsidP="00000CE8">
      <w:r w:rsidRPr="00F77110">
        <w:lastRenderedPageBreak/>
        <w:t>Būtu jāpalielina finansējums un atbalsts pilsoniskās sabiedrības organizācijām, kuras nodarbojas ar migrācijas krīzi.</w:t>
      </w:r>
    </w:p>
    <w:p w:rsidR="00EC2AB1" w:rsidRPr="00F77110" w:rsidRDefault="00EC2AB1" w:rsidP="00000CE8"/>
    <w:p w:rsidR="00EC2AB1" w:rsidRPr="00F77110" w:rsidRDefault="00EC2AB1" w:rsidP="00000CE8">
      <w:r w:rsidRPr="00F77110">
        <w:t>Izdevumi, kas dalībvalstīm rodas saistībā ar patvēruma meklētāju un bēgļu uzņemšanu un integrāciju, nebūtu jāņem vērā strukturālā budžeta deficīta aprēķinos.</w:t>
      </w:r>
    </w:p>
    <w:p w:rsidR="00EC2AB1" w:rsidRPr="00F77110" w:rsidRDefault="00EC2AB1" w:rsidP="00000CE8"/>
    <w:p w:rsidR="00EC2AB1" w:rsidRPr="00F77110" w:rsidRDefault="00EC2AB1" w:rsidP="00000CE8">
      <w:pPr>
        <w:rPr>
          <w:i/>
        </w:rPr>
      </w:pPr>
      <w:r w:rsidRPr="00F77110">
        <w:rPr>
          <w:b/>
          <w:i/>
        </w:rPr>
        <w:t>Kontaktpersona:</w:t>
      </w:r>
      <w:r w:rsidRPr="00F77110">
        <w:tab/>
      </w:r>
      <w:proofErr w:type="spellStart"/>
      <w:r w:rsidRPr="00F77110">
        <w:rPr>
          <w:i/>
        </w:rPr>
        <w:t>Annemarie</w:t>
      </w:r>
      <w:proofErr w:type="spellEnd"/>
      <w:r w:rsidRPr="00F77110">
        <w:rPr>
          <w:i/>
        </w:rPr>
        <w:t xml:space="preserve"> </w:t>
      </w:r>
      <w:proofErr w:type="spellStart"/>
      <w:r w:rsidRPr="00F77110">
        <w:rPr>
          <w:i/>
        </w:rPr>
        <w:t>Wiersma</w:t>
      </w:r>
      <w:proofErr w:type="spellEnd"/>
    </w:p>
    <w:p w:rsidR="00EC2AB1" w:rsidRPr="00F77110" w:rsidRDefault="00EC2AB1" w:rsidP="00000CE8">
      <w:pPr>
        <w:rPr>
          <w:i/>
        </w:rPr>
      </w:pPr>
      <w:r w:rsidRPr="00F77110">
        <w:tab/>
      </w:r>
      <w:r w:rsidRPr="00F77110">
        <w:tab/>
      </w:r>
      <w:r w:rsidRPr="00F77110">
        <w:rPr>
          <w:i/>
        </w:rPr>
        <w:t>(Tālr.:</w:t>
      </w:r>
      <w:r w:rsidRPr="00F77110">
        <w:t xml:space="preserve"> </w:t>
      </w:r>
      <w:r w:rsidRPr="00F77110">
        <w:rPr>
          <w:i/>
        </w:rPr>
        <w:t xml:space="preserve">00 32 2 546 93 76 – e-pasta adrese:  </w:t>
      </w:r>
      <w:hyperlink r:id="rId30">
        <w:r w:rsidRPr="00F77110">
          <w:rPr>
            <w:rStyle w:val="Hyperlink"/>
            <w:i/>
          </w:rPr>
          <w:t>annemarie.wiersma@eesc.europa.eu</w:t>
        </w:r>
      </w:hyperlink>
      <w:r w:rsidRPr="00F77110">
        <w:rPr>
          <w:i/>
        </w:rPr>
        <w:t xml:space="preserve">) </w:t>
      </w:r>
    </w:p>
    <w:p w:rsidR="00EC2AB1" w:rsidRPr="00F77110" w:rsidRDefault="00EC2AB1" w:rsidP="00000CE8">
      <w:pPr>
        <w:spacing w:line="240" w:lineRule="auto"/>
        <w:jc w:val="left"/>
        <w:rPr>
          <w:i/>
        </w:rPr>
      </w:pPr>
      <w:r w:rsidRPr="00F77110">
        <w:br w:type="page"/>
      </w:r>
    </w:p>
    <w:p w:rsidR="00EC2AB1" w:rsidRPr="00F77110" w:rsidRDefault="00EC2AB1" w:rsidP="00000CE8">
      <w:pPr>
        <w:widowControl w:val="0"/>
        <w:numPr>
          <w:ilvl w:val="0"/>
          <w:numId w:val="22"/>
        </w:numPr>
        <w:ind w:left="567" w:hanging="567"/>
        <w:rPr>
          <w:sz w:val="24"/>
        </w:rPr>
      </w:pPr>
      <w:r w:rsidRPr="00F77110">
        <w:rPr>
          <w:b/>
          <w:i/>
          <w:sz w:val="28"/>
        </w:rPr>
        <w:lastRenderedPageBreak/>
        <w:t>“Eiropas programma migrācijas jomā: otrais īstenošanas aktu kopums”</w:t>
      </w:r>
    </w:p>
    <w:p w:rsidR="00EC2AB1" w:rsidRPr="00F77110" w:rsidRDefault="00EC2AB1" w:rsidP="00000CE8">
      <w:pPr>
        <w:tabs>
          <w:tab w:val="center" w:pos="284"/>
        </w:tabs>
        <w:ind w:left="266" w:hanging="266"/>
        <w:rPr>
          <w:b/>
        </w:rPr>
      </w:pPr>
    </w:p>
    <w:p w:rsidR="00EC2AB1" w:rsidRPr="00F77110" w:rsidRDefault="00EC2AB1" w:rsidP="00000CE8">
      <w:pPr>
        <w:tabs>
          <w:tab w:val="center" w:pos="284"/>
        </w:tabs>
        <w:ind w:left="266" w:hanging="266"/>
      </w:pPr>
      <w:r w:rsidRPr="00F77110">
        <w:rPr>
          <w:b/>
        </w:rPr>
        <w:t>Ziņotājs:</w:t>
      </w:r>
      <w:r w:rsidRPr="00F77110">
        <w:tab/>
      </w:r>
      <w:proofErr w:type="spellStart"/>
      <w:r w:rsidRPr="00F77110">
        <w:t>Cristian</w:t>
      </w:r>
      <w:proofErr w:type="spellEnd"/>
      <w:r w:rsidRPr="00F77110">
        <w:t xml:space="preserve"> </w:t>
      </w:r>
      <w:proofErr w:type="spellStart"/>
      <w:r w:rsidRPr="00F77110">
        <w:t>Pîrvulescu</w:t>
      </w:r>
      <w:proofErr w:type="spellEnd"/>
      <w:r w:rsidRPr="00F77110">
        <w:t xml:space="preserve"> (Dažādu interešu grupa – RO)</w:t>
      </w:r>
    </w:p>
    <w:p w:rsidR="00EC2AB1" w:rsidRPr="00F77110" w:rsidRDefault="00EC2AB1" w:rsidP="00000CE8">
      <w:pPr>
        <w:rPr>
          <w:b/>
        </w:rPr>
      </w:pPr>
    </w:p>
    <w:p w:rsidR="00EC2AB1" w:rsidRPr="00F77110" w:rsidRDefault="00EC2AB1" w:rsidP="00000CE8">
      <w:r w:rsidRPr="00F77110">
        <w:rPr>
          <w:b/>
        </w:rPr>
        <w:t>Atsauce:</w:t>
      </w:r>
      <w:r w:rsidRPr="00F77110">
        <w:tab/>
        <w:t xml:space="preserve">COM(2015) 450 </w:t>
      </w:r>
      <w:proofErr w:type="spellStart"/>
      <w:r w:rsidRPr="00F77110">
        <w:t>final</w:t>
      </w:r>
      <w:proofErr w:type="spellEnd"/>
      <w:r w:rsidRPr="00F77110">
        <w:tab/>
      </w:r>
      <w:r w:rsidRPr="00F77110">
        <w:tab/>
        <w:t>EESC-2015-05408-00-00-AC-TRA</w:t>
      </w:r>
    </w:p>
    <w:p w:rsidR="00EC2AB1" w:rsidRPr="00F77110" w:rsidRDefault="00EC2AB1" w:rsidP="00000CE8"/>
    <w:p w:rsidR="00EC2AB1" w:rsidRPr="00F77110" w:rsidRDefault="00EC2AB1" w:rsidP="00000CE8">
      <w:pPr>
        <w:keepNext/>
        <w:keepLines/>
        <w:tabs>
          <w:tab w:val="center" w:pos="284"/>
        </w:tabs>
        <w:ind w:left="266" w:hanging="266"/>
        <w:rPr>
          <w:b/>
        </w:rPr>
      </w:pPr>
      <w:r w:rsidRPr="00F77110">
        <w:rPr>
          <w:b/>
        </w:rPr>
        <w:t>Galvenie jautājumi:</w:t>
      </w:r>
    </w:p>
    <w:p w:rsidR="00CF5F66" w:rsidRPr="00F77110" w:rsidRDefault="00CF5F66" w:rsidP="00BD4EB5">
      <w:pPr>
        <w:keepNext/>
        <w:keepLines/>
        <w:tabs>
          <w:tab w:val="center" w:pos="284"/>
        </w:tabs>
        <w:ind w:left="266" w:hanging="266"/>
        <w:rPr>
          <w:b/>
        </w:rPr>
      </w:pPr>
    </w:p>
    <w:p w:rsidR="00EC2AB1" w:rsidRPr="00F77110" w:rsidRDefault="00EC2AB1" w:rsidP="00000CE8">
      <w:r w:rsidRPr="00F77110">
        <w:t>Bēgļu krīzes ietekmē Eiropas Savienībā ir iestājies stāvoklis, kad tiek apšaubīti cilvēktiesību aizsardzības un demokrātijas pamatprincipi. EESK ir pārliecināta, ka šie principi ir jāievēro un pienācīgi jāīsteno, un šajās ārkārtas situācijās Eiropas lomai jābūt lielākai, ir vajadzīga lielāka demokrātija un lielāka solidaritāte.</w:t>
      </w:r>
    </w:p>
    <w:p w:rsidR="00EC2AB1" w:rsidRPr="00F77110" w:rsidRDefault="00EC2AB1" w:rsidP="00000CE8"/>
    <w:p w:rsidR="00EC2AB1" w:rsidRPr="00F77110" w:rsidRDefault="00EC2AB1" w:rsidP="00000CE8">
      <w:r w:rsidRPr="00F77110">
        <w:t>Pašreizējā bēgļu krīze, kaut arī paredzama, radās tāpēc, ka nebija kopējas patvēruma politikas. Tāpēc EESK mudina Eiropadomi, Eiropas Komisiju un Eiropas Parlamentu īstenot Līguma par Eiropas Savienības darbību 67. panta 2. punktu un 78. pantu, kur paredzēti nosacījumi īstas patvēruma politikas veidošanai Eiropas Savienībā.</w:t>
      </w:r>
    </w:p>
    <w:p w:rsidR="00EC2AB1" w:rsidRPr="00F77110" w:rsidRDefault="00EC2AB1" w:rsidP="00000CE8"/>
    <w:p w:rsidR="00EC2AB1" w:rsidRPr="00F77110" w:rsidRDefault="00EC2AB1" w:rsidP="00000CE8">
      <w:r w:rsidRPr="00F77110">
        <w:t>EESK atzinīgi vērtē Eiropas Komisijas centienus koordinēt kopīgu atbildes reakciju uz bēgļu krīzi.</w:t>
      </w:r>
    </w:p>
    <w:p w:rsidR="00EC2AB1" w:rsidRPr="00F77110" w:rsidRDefault="00EC2AB1" w:rsidP="00000CE8"/>
    <w:p w:rsidR="00EC2AB1" w:rsidRPr="00F77110" w:rsidRDefault="00EC2AB1" w:rsidP="00000CE8">
      <w:r w:rsidRPr="00F77110">
        <w:t>Krīzes pārcelšanas mehānisms ir konkrēts tādas sadarbības piemērs, kuras pamatā ir solidaritāte un atbildība. EESK vēlas, lai šo pārcelšanas mehānismu iekļautu vispārējā stratēģijā ar mērķi nodrošināt saskaņotību un efektivitāti. Vajadzīgas solidāras un noturīgas sloga sadales sistēmas, galvenokārt pastāvīga, taisnīga un obligāta kārtība, kādā personas, kas meklē aizsardzību, tiek sadalītas starp visām ES dalībvalstīm.</w:t>
      </w:r>
    </w:p>
    <w:p w:rsidR="00EC2AB1" w:rsidRPr="00F77110" w:rsidRDefault="00EC2AB1" w:rsidP="00000CE8"/>
    <w:p w:rsidR="00EC2AB1" w:rsidRPr="00F77110" w:rsidRDefault="00EC2AB1" w:rsidP="00000CE8">
      <w:r w:rsidRPr="00F77110">
        <w:t>Eiropas Komisijai un citām ES iestādēm ir aktīvi jāatbalsta dalībvalstis, lai nodrošinātu atbilstošus apstākļus un iespējas integrēt pārceltos patvēruma meklētājus. Šajā saistībā ir arī jāprecizē, ka izdevumi, kas dalībvalstīm rodas saistībā ar patvēruma meklētāju un bēgļu uzņemšanu un integrāciju, nav pastāvīgi un strukturāli izdevumi un tādēļ tie nav jāņem vērā strukturālā budžeta deficīta aprēķinos.</w:t>
      </w:r>
    </w:p>
    <w:p w:rsidR="00EC2AB1" w:rsidRPr="00F77110" w:rsidRDefault="00EC2AB1" w:rsidP="00000CE8"/>
    <w:p w:rsidR="00EC2AB1" w:rsidRPr="00F77110" w:rsidRDefault="00EC2AB1" w:rsidP="00000CE8">
      <w:pPr>
        <w:rPr>
          <w:i/>
        </w:rPr>
      </w:pPr>
      <w:r w:rsidRPr="00F77110">
        <w:rPr>
          <w:b/>
          <w:i/>
        </w:rPr>
        <w:t>Kontaktpersona:</w:t>
      </w:r>
      <w:r w:rsidRPr="00F77110">
        <w:tab/>
      </w:r>
      <w:proofErr w:type="spellStart"/>
      <w:r w:rsidRPr="00F77110">
        <w:rPr>
          <w:i/>
        </w:rPr>
        <w:t>Annemarie</w:t>
      </w:r>
      <w:proofErr w:type="spellEnd"/>
      <w:r w:rsidRPr="00F77110">
        <w:rPr>
          <w:i/>
        </w:rPr>
        <w:t xml:space="preserve"> </w:t>
      </w:r>
      <w:proofErr w:type="spellStart"/>
      <w:r w:rsidRPr="00F77110">
        <w:rPr>
          <w:i/>
        </w:rPr>
        <w:t>Wiersma</w:t>
      </w:r>
      <w:proofErr w:type="spellEnd"/>
    </w:p>
    <w:p w:rsidR="00EC2AB1" w:rsidRPr="00F77110" w:rsidRDefault="00EC2AB1" w:rsidP="00000CE8">
      <w:r w:rsidRPr="00F77110">
        <w:tab/>
      </w:r>
      <w:r w:rsidRPr="00F77110">
        <w:tab/>
      </w:r>
      <w:r w:rsidRPr="00F77110">
        <w:rPr>
          <w:i/>
        </w:rPr>
        <w:t xml:space="preserve">(Tālr.: 00 32 2 546 93 76 – e-pasta adrese: </w:t>
      </w:r>
      <w:hyperlink r:id="rId31">
        <w:r w:rsidRPr="00F77110">
          <w:rPr>
            <w:rStyle w:val="Hyperlink"/>
            <w:i/>
          </w:rPr>
          <w:t>annemarie.wiersma@eesc.europa.eu</w:t>
        </w:r>
      </w:hyperlink>
      <w:r w:rsidRPr="00F77110">
        <w:rPr>
          <w:i/>
        </w:rPr>
        <w:t>)</w:t>
      </w:r>
    </w:p>
    <w:p w:rsidR="00EC2AB1" w:rsidRPr="00F77110" w:rsidRDefault="00EC2AB1" w:rsidP="00000CE8">
      <w:pPr>
        <w:spacing w:line="240" w:lineRule="auto"/>
        <w:jc w:val="left"/>
      </w:pPr>
      <w:r w:rsidRPr="00F77110">
        <w:br w:type="page"/>
      </w:r>
    </w:p>
    <w:p w:rsidR="008D10DE" w:rsidRPr="00F77110" w:rsidRDefault="008D10DE" w:rsidP="00000CE8">
      <w:pPr>
        <w:widowControl w:val="0"/>
        <w:numPr>
          <w:ilvl w:val="0"/>
          <w:numId w:val="5"/>
        </w:numPr>
        <w:ind w:hanging="567"/>
        <w:rPr>
          <w:b/>
          <w:i/>
          <w:sz w:val="28"/>
        </w:rPr>
      </w:pPr>
      <w:r w:rsidRPr="00F77110">
        <w:rPr>
          <w:b/>
          <w:i/>
          <w:sz w:val="28"/>
        </w:rPr>
        <w:lastRenderedPageBreak/>
        <w:t>“ES rīcības plāns cīņai pret migrantu kontrabandu”</w:t>
      </w:r>
    </w:p>
    <w:p w:rsidR="008D10DE" w:rsidRPr="00F77110" w:rsidRDefault="008D10DE" w:rsidP="00000CE8">
      <w:pPr>
        <w:rPr>
          <w:sz w:val="20"/>
          <w:szCs w:val="20"/>
        </w:rPr>
      </w:pPr>
    </w:p>
    <w:p w:rsidR="00242890" w:rsidRPr="00F77110" w:rsidRDefault="00242890" w:rsidP="00000CE8">
      <w:r w:rsidRPr="00F77110">
        <w:rPr>
          <w:b/>
        </w:rPr>
        <w:t>Ziņotāja:</w:t>
      </w:r>
      <w:r w:rsidR="009D1C6F" w:rsidRPr="00F77110">
        <w:tab/>
      </w:r>
      <w:proofErr w:type="spellStart"/>
      <w:r w:rsidRPr="00F77110">
        <w:t>Brenda</w:t>
      </w:r>
      <w:proofErr w:type="spellEnd"/>
      <w:r w:rsidRPr="00F77110">
        <w:t xml:space="preserve"> </w:t>
      </w:r>
      <w:proofErr w:type="spellStart"/>
      <w:r w:rsidRPr="00F77110">
        <w:t>King</w:t>
      </w:r>
      <w:proofErr w:type="spellEnd"/>
      <w:r w:rsidRPr="00F77110">
        <w:t xml:space="preserve"> (Darba devēju grupa – UK)</w:t>
      </w:r>
    </w:p>
    <w:p w:rsidR="00EC2AB1" w:rsidRPr="00F77110" w:rsidRDefault="00EC2AB1" w:rsidP="00000CE8">
      <w:pPr>
        <w:rPr>
          <w:sz w:val="20"/>
          <w:szCs w:val="20"/>
        </w:rPr>
      </w:pPr>
    </w:p>
    <w:p w:rsidR="00EC2AB1" w:rsidRPr="00F77110" w:rsidRDefault="00EC2AB1" w:rsidP="009D1C6F">
      <w:pPr>
        <w:widowControl w:val="0"/>
        <w:tabs>
          <w:tab w:val="left" w:pos="1418"/>
        </w:tabs>
        <w:spacing w:line="276" w:lineRule="auto"/>
      </w:pPr>
      <w:r w:rsidRPr="00F77110">
        <w:rPr>
          <w:b/>
        </w:rPr>
        <w:t>Atsauce:</w:t>
      </w:r>
      <w:r w:rsidRPr="00F77110">
        <w:tab/>
        <w:t xml:space="preserve">COM(2015) 285 </w:t>
      </w:r>
      <w:proofErr w:type="spellStart"/>
      <w:r w:rsidRPr="00F77110">
        <w:t>final</w:t>
      </w:r>
      <w:proofErr w:type="spellEnd"/>
      <w:r w:rsidRPr="00F77110">
        <w:tab/>
      </w:r>
      <w:r w:rsidRPr="00F77110">
        <w:tab/>
        <w:t>EESC-2015-03940-00-01-AC</w:t>
      </w:r>
    </w:p>
    <w:p w:rsidR="00242890" w:rsidRPr="00F77110" w:rsidRDefault="00242890" w:rsidP="00000CE8">
      <w:pPr>
        <w:rPr>
          <w:sz w:val="20"/>
          <w:szCs w:val="20"/>
        </w:rPr>
      </w:pPr>
    </w:p>
    <w:p w:rsidR="008D10DE" w:rsidRPr="00F77110" w:rsidRDefault="008D10DE" w:rsidP="00BD4EB5">
      <w:pPr>
        <w:keepNext/>
        <w:rPr>
          <w:b/>
        </w:rPr>
      </w:pPr>
      <w:r w:rsidRPr="00F77110">
        <w:rPr>
          <w:b/>
        </w:rPr>
        <w:t>Galvenie jautājumi:</w:t>
      </w:r>
    </w:p>
    <w:p w:rsidR="00BD2639" w:rsidRPr="00F77110" w:rsidRDefault="00BD2639" w:rsidP="00BD4EB5">
      <w:pPr>
        <w:keepNext/>
        <w:rPr>
          <w:sz w:val="20"/>
          <w:szCs w:val="20"/>
        </w:rPr>
      </w:pPr>
    </w:p>
    <w:p w:rsidR="008D10DE" w:rsidRPr="00F77110" w:rsidRDefault="008D10DE" w:rsidP="00000CE8">
      <w:r w:rsidRPr="00F77110">
        <w:t>EESK atzinīgi vērtē ES rīcības plānā cīņai pret migrantu kontrabandu izvirzītos mērķus, proti, “cīnīties pret un novērst migrantu kontrabandu, vienlaikus nodrošinot migrantu cilvēktiesību aizsardzību” un “risināt nelikumīgās migrācijas pamatcēloņus”, kā arī atbalsta rīcības plānā paredzētos pūliņus sagraut organizētas noziedzības tīklus, veicot uz izlūkošanas datiem balstītu izmeklēšanu un finanšu izmeklēšanu, nepieļaut noziedzīgi iegūtu līdzekļu legalizāciju un konfiscēt nelikumīgi iegūtus īpašumus. Komiteja tomēr stingri uzsver, ka plānā būtu jāparedz līdzsvarotāka un visaptveroša pieeja, precīzi norādot, kā ES aizsargās kontrabandas ceļā pārvietotos migrantus un kā ES viņiem palīdzēs.</w:t>
      </w:r>
    </w:p>
    <w:p w:rsidR="008D10DE" w:rsidRPr="00F77110" w:rsidRDefault="008D10DE" w:rsidP="00000CE8">
      <w:pPr>
        <w:rPr>
          <w:sz w:val="20"/>
          <w:szCs w:val="20"/>
        </w:rPr>
      </w:pPr>
    </w:p>
    <w:p w:rsidR="008D10DE" w:rsidRPr="00F77110" w:rsidRDefault="008D10DE" w:rsidP="00000CE8">
      <w:r w:rsidRPr="00F77110">
        <w:t>Tāpēc EESK iesaka īstenot preventīvus pasākumus, vienlaikus ievērojot ANO ģenerālsekretāra lūgumu Eiropas Savienībai “apsvērt iespēju palielināt likumīgas un drošas iespējas [bēgļu un migrantu] nokļūšanai Eiropā, lai viņi nebūtu atkarīgi no noziedzīgiem tīkliem un nedotos bīstamā ceļā”. Šie viedokļi sakrīt ar ieteikumu, ko EESK paudusi vairākos atzinumos par migrāciju.</w:t>
      </w:r>
    </w:p>
    <w:p w:rsidR="008D10DE" w:rsidRPr="00F77110" w:rsidRDefault="008D10DE" w:rsidP="00000CE8">
      <w:pPr>
        <w:rPr>
          <w:sz w:val="20"/>
          <w:szCs w:val="20"/>
        </w:rPr>
      </w:pPr>
    </w:p>
    <w:p w:rsidR="008D10DE" w:rsidRPr="00F77110" w:rsidRDefault="008D10DE" w:rsidP="00000CE8">
      <w:r w:rsidRPr="00F77110">
        <w:t xml:space="preserve">EESK arī iesaka paplašināt Eiropas Patvēruma atbalsta biroja (EASO) darbības pilnvaras, īpaši tās, kas saistītas ar operatīviem atbalsta pasākumiem un kopīgām atbalsta grupām patvēruma jautājumu risināšanai tajās dalībvalstīs, kurām vajadzīgs īpašs vai ārkārtas atbalsts. ES jānodrošina, lai dalībvalstis humanitārās vīzas izmanto </w:t>
      </w:r>
      <w:proofErr w:type="spellStart"/>
      <w:r w:rsidRPr="00F77110">
        <w:t>saskaņotāk</w:t>
      </w:r>
      <w:proofErr w:type="spellEnd"/>
      <w:r w:rsidRPr="00F77110">
        <w:t>, konsekventāk, neatkarīgāk un elastīgāk, kā norādīts kopējā Vīzu kodeksā.</w:t>
      </w:r>
    </w:p>
    <w:p w:rsidR="008D10DE" w:rsidRPr="00F77110" w:rsidRDefault="008D10DE" w:rsidP="00000CE8">
      <w:pPr>
        <w:rPr>
          <w:sz w:val="20"/>
          <w:szCs w:val="20"/>
        </w:rPr>
      </w:pPr>
    </w:p>
    <w:p w:rsidR="008D10DE" w:rsidRPr="00F77110" w:rsidRDefault="008D10DE" w:rsidP="00000CE8">
      <w:r w:rsidRPr="00F77110">
        <w:t>EESK piekrīt viedoklim, ka jāievēro solidaritātes un dalītas atbildības princips, lai nodrošinātu patvēruma pieteikumu līdzsvarotāku sadalījumu starp dalībvalstīm.</w:t>
      </w:r>
    </w:p>
    <w:p w:rsidR="008D10DE" w:rsidRPr="00F77110" w:rsidRDefault="008D10DE" w:rsidP="00000CE8">
      <w:pPr>
        <w:rPr>
          <w:sz w:val="20"/>
          <w:szCs w:val="20"/>
        </w:rPr>
      </w:pPr>
    </w:p>
    <w:p w:rsidR="008D10DE" w:rsidRPr="00F77110" w:rsidRDefault="008D10DE" w:rsidP="00000CE8">
      <w:r w:rsidRPr="00F77110">
        <w:t>EESK arī iesaka: lai novērstu galvenos migrantu kontrabandas sociālos un ekonomiskos cēloņus, kā ilgtermiņa risinājums būtu jāizmanto ilgtspējīgas attīstības programma.</w:t>
      </w:r>
    </w:p>
    <w:p w:rsidR="008D10DE" w:rsidRPr="00F77110" w:rsidRDefault="008D10DE" w:rsidP="00000CE8">
      <w:pPr>
        <w:rPr>
          <w:sz w:val="20"/>
          <w:szCs w:val="20"/>
        </w:rPr>
      </w:pPr>
    </w:p>
    <w:p w:rsidR="008D10DE" w:rsidRPr="00F77110" w:rsidRDefault="008D10DE" w:rsidP="00000CE8">
      <w:r w:rsidRPr="00F77110">
        <w:t>Komiteja rosina Kopienas iestāžu un valstu valdību pārstāvjus ņemt vērā, ka sociālajiem partneriem un organizētai pilsoniskajai sabiedrībai ir liela nozīme Eiropas imigrācijas politikas sociālās dimensijas un pievienotās vērtības nodrošināšanā. EESK arī uzsver, ka vairāk uzmanības ir jāpievērš to pilsoniskās sabiedrības organizāciju sistemātiskai finansēšanai, kas sniedz būtisku palīdzību migrantiem visā viņu ceļā uz drošību un centienos integrēties un kas bieži vien kompensē institucionālo spēju trūkumu.</w:t>
      </w:r>
    </w:p>
    <w:p w:rsidR="008D10DE" w:rsidRPr="00F77110" w:rsidRDefault="008D10DE" w:rsidP="00000CE8">
      <w:pPr>
        <w:widowControl w:val="0"/>
        <w:rPr>
          <w:sz w:val="10"/>
          <w:szCs w:val="10"/>
        </w:rPr>
      </w:pPr>
    </w:p>
    <w:p w:rsidR="008D10DE" w:rsidRPr="00F77110" w:rsidRDefault="008D10DE" w:rsidP="009D1C6F">
      <w:pPr>
        <w:tabs>
          <w:tab w:val="left" w:pos="1418"/>
        </w:tabs>
        <w:rPr>
          <w:i/>
        </w:rPr>
      </w:pPr>
      <w:r w:rsidRPr="00F77110">
        <w:rPr>
          <w:b/>
          <w:i/>
        </w:rPr>
        <w:t>Kontaktpersona:</w:t>
      </w:r>
      <w:r w:rsidRPr="00F77110">
        <w:tab/>
      </w:r>
      <w:proofErr w:type="spellStart"/>
      <w:r w:rsidRPr="00F77110">
        <w:rPr>
          <w:i/>
        </w:rPr>
        <w:t>Georges-Henry</w:t>
      </w:r>
      <w:proofErr w:type="spellEnd"/>
      <w:r w:rsidRPr="00F77110">
        <w:rPr>
          <w:i/>
        </w:rPr>
        <w:t xml:space="preserve"> </w:t>
      </w:r>
      <w:proofErr w:type="spellStart"/>
      <w:r w:rsidRPr="00F77110">
        <w:rPr>
          <w:i/>
        </w:rPr>
        <w:t>Carrard</w:t>
      </w:r>
      <w:proofErr w:type="spellEnd"/>
    </w:p>
    <w:p w:rsidR="008D10DE" w:rsidRPr="00F77110" w:rsidRDefault="00242890" w:rsidP="00000CE8">
      <w:pPr>
        <w:tabs>
          <w:tab w:val="left" w:pos="1418"/>
          <w:tab w:val="left" w:pos="2420"/>
        </w:tabs>
        <w:rPr>
          <w:i/>
        </w:rPr>
      </w:pPr>
      <w:r w:rsidRPr="00F77110">
        <w:tab/>
      </w:r>
      <w:r w:rsidRPr="00F77110">
        <w:rPr>
          <w:i/>
        </w:rPr>
        <w:t xml:space="preserve">(Tālr.: 00 32 2 546 95 93 – e-pasta adrese: </w:t>
      </w:r>
      <w:hyperlink r:id="rId32">
        <w:r w:rsidRPr="00F77110">
          <w:rPr>
            <w:rStyle w:val="Hyperlink"/>
            <w:i/>
          </w:rPr>
          <w:t>GeorgesHenry.Carrard@eesc.europa.eu</w:t>
        </w:r>
      </w:hyperlink>
      <w:r w:rsidRPr="00F77110">
        <w:rPr>
          <w:i/>
        </w:rPr>
        <w:t xml:space="preserve"> )</w:t>
      </w:r>
    </w:p>
    <w:p w:rsidR="00C87EFC" w:rsidRPr="00F77110" w:rsidRDefault="00C87EFC" w:rsidP="00000CE8">
      <w:pPr>
        <w:spacing w:line="240" w:lineRule="auto"/>
        <w:jc w:val="left"/>
      </w:pPr>
      <w:r w:rsidRPr="00F77110">
        <w:br w:type="page"/>
      </w:r>
    </w:p>
    <w:p w:rsidR="008D10DE" w:rsidRPr="00F77110" w:rsidRDefault="006F0D9E" w:rsidP="00000CE8">
      <w:pPr>
        <w:widowControl w:val="0"/>
        <w:numPr>
          <w:ilvl w:val="0"/>
          <w:numId w:val="46"/>
        </w:numPr>
        <w:spacing w:line="240" w:lineRule="auto"/>
        <w:rPr>
          <w:b/>
          <w:i/>
          <w:spacing w:val="-2"/>
          <w:sz w:val="28"/>
        </w:rPr>
      </w:pPr>
      <w:r w:rsidRPr="00F77110">
        <w:rPr>
          <w:b/>
          <w:i/>
          <w:spacing w:val="-2"/>
          <w:sz w:val="28"/>
        </w:rPr>
        <w:lastRenderedPageBreak/>
        <w:t>“Kopējais drošu izcelsmes valstu saraksts”</w:t>
      </w:r>
    </w:p>
    <w:p w:rsidR="008D10DE" w:rsidRPr="00F77110" w:rsidRDefault="008D10DE" w:rsidP="00000CE8">
      <w:pPr>
        <w:widowControl w:val="0"/>
        <w:spacing w:line="240" w:lineRule="auto"/>
      </w:pPr>
    </w:p>
    <w:p w:rsidR="008D10DE" w:rsidRPr="00F77110" w:rsidRDefault="008D10DE" w:rsidP="00000CE8">
      <w:r w:rsidRPr="00F77110">
        <w:rPr>
          <w:b/>
        </w:rPr>
        <w:t>Ziņotājs:</w:t>
      </w:r>
      <w:r w:rsidRPr="00F77110">
        <w:tab/>
        <w:t>José Antonio </w:t>
      </w:r>
      <w:proofErr w:type="spellStart"/>
      <w:r w:rsidRPr="00F77110">
        <w:t>Moreno</w:t>
      </w:r>
      <w:proofErr w:type="spellEnd"/>
      <w:r w:rsidRPr="00F77110">
        <w:t xml:space="preserve"> </w:t>
      </w:r>
      <w:proofErr w:type="spellStart"/>
      <w:r w:rsidRPr="00F77110">
        <w:t>Diaz</w:t>
      </w:r>
      <w:proofErr w:type="spellEnd"/>
      <w:r w:rsidRPr="00F77110">
        <w:t xml:space="preserve"> (Darba ņēmēju grupa – ES)</w:t>
      </w:r>
    </w:p>
    <w:p w:rsidR="00EC2AB1" w:rsidRPr="00F77110" w:rsidRDefault="00EC2AB1" w:rsidP="00000CE8">
      <w:pPr>
        <w:widowControl w:val="0"/>
        <w:spacing w:line="276" w:lineRule="auto"/>
      </w:pPr>
    </w:p>
    <w:p w:rsidR="00EC2AB1" w:rsidRPr="00F77110" w:rsidRDefault="00EC2AB1" w:rsidP="00000CE8">
      <w:pPr>
        <w:widowControl w:val="0"/>
        <w:spacing w:line="276" w:lineRule="auto"/>
      </w:pPr>
      <w:r w:rsidRPr="00F77110">
        <w:rPr>
          <w:b/>
        </w:rPr>
        <w:t>Atsauce:</w:t>
      </w:r>
      <w:r w:rsidRPr="00F77110">
        <w:tab/>
        <w:t xml:space="preserve">COM(2015) 452 </w:t>
      </w:r>
      <w:proofErr w:type="spellStart"/>
      <w:r w:rsidRPr="00F77110">
        <w:t>final</w:t>
      </w:r>
      <w:proofErr w:type="spellEnd"/>
      <w:r w:rsidRPr="00F77110">
        <w:tab/>
      </w:r>
      <w:r w:rsidRPr="00F77110">
        <w:tab/>
        <w:t>EESC-2015-05379-00-00-AC</w:t>
      </w:r>
    </w:p>
    <w:p w:rsidR="008D10DE" w:rsidRPr="00F77110" w:rsidRDefault="008D10DE" w:rsidP="00000CE8">
      <w:pPr>
        <w:widowControl w:val="0"/>
        <w:spacing w:line="240" w:lineRule="auto"/>
        <w:rPr>
          <w:b/>
        </w:rPr>
      </w:pPr>
    </w:p>
    <w:p w:rsidR="008D10DE" w:rsidRPr="00F77110" w:rsidRDefault="008D10DE" w:rsidP="00BD4EB5">
      <w:pPr>
        <w:keepNext/>
        <w:rPr>
          <w:b/>
        </w:rPr>
      </w:pPr>
      <w:r w:rsidRPr="00F77110">
        <w:rPr>
          <w:b/>
        </w:rPr>
        <w:t>Galvenie jautājumi:</w:t>
      </w:r>
    </w:p>
    <w:p w:rsidR="00BD2639" w:rsidRPr="00F77110" w:rsidRDefault="00BD2639" w:rsidP="00BD4EB5">
      <w:pPr>
        <w:keepNext/>
      </w:pPr>
    </w:p>
    <w:p w:rsidR="008D10DE" w:rsidRPr="00F77110" w:rsidRDefault="008D10DE" w:rsidP="00000CE8">
      <w:r w:rsidRPr="00F77110">
        <w:t xml:space="preserve">Komisija priekšlikumā ierosina to trešo valstu sarakstu, kuras iekļaujamas ES kopējā drošu izcelsmes valstu sarakstā, un tās ir Albānija, Bosnija un Hercegovina, bijusī Dienvidslāvijas Maķedonijas Republika, Kosova, Melnkalne, </w:t>
      </w:r>
      <w:proofErr w:type="spellStart"/>
      <w:r w:rsidRPr="00F77110">
        <w:t>Serbija</w:t>
      </w:r>
      <w:proofErr w:type="spellEnd"/>
      <w:r w:rsidRPr="00F77110">
        <w:t xml:space="preserve"> un Turcija.</w:t>
      </w:r>
    </w:p>
    <w:p w:rsidR="008D10DE" w:rsidRPr="00F77110" w:rsidRDefault="008D10DE" w:rsidP="00000CE8"/>
    <w:p w:rsidR="008D10DE" w:rsidRPr="00F77110" w:rsidRDefault="008D10DE" w:rsidP="00000CE8">
      <w:r w:rsidRPr="00F77110">
        <w:t xml:space="preserve">EESK uzskata, ka šobrīd varētu būt pāragri izstrādāt par drošām uzskatāmu valstu konkrētu sarakstu. EESK uzskata, ka īpašie kritēriji valsts atzīšanai par drošu Direktīvas 2011/95/ES un it īpaši Direktīvas 2013/32/ES I pielikuma izpratnē jānosaka konkrētāk, </w:t>
      </w:r>
      <w:proofErr w:type="spellStart"/>
      <w:r w:rsidRPr="00F77110">
        <w:t>viennozīmīgāk</w:t>
      </w:r>
      <w:proofErr w:type="spellEnd"/>
      <w:r w:rsidRPr="00F77110">
        <w:t xml:space="preserve"> un uzticamāk.</w:t>
      </w:r>
    </w:p>
    <w:p w:rsidR="008D10DE" w:rsidRPr="00F77110" w:rsidRDefault="008D10DE" w:rsidP="00000CE8"/>
    <w:p w:rsidR="008D10DE" w:rsidRPr="00F77110" w:rsidRDefault="008D10DE" w:rsidP="00000CE8">
      <w:r w:rsidRPr="00F77110">
        <w:t>EESK uzskata, ka lēmumam par kādas valsts iekļaušanu kopējā sarakstā jābūt pamatotam, ņemot vērā īpašus, konkrētus un precīzus kritērijus. EESK ieteic, ka Regulas 2. pantā jebkurā gadījumā skaidri jāmin specifiski, konkrēti un noteikti kritēriji, kas jāizvērtē, lai kādu valsti iekļautu drošu izcelsmes valstu sarakstā, īpaši, aktuāla informācija no tādiem avotiem kā Eiropas Cilvēktiesību tiesa, Apvienoto Nāciju Organizācijas Augstā komisāra bēgļu jautājumos birojs (UNHCR), Eiropas Patvēruma atbalsta birojs (EASO), Eiropas Padome un citas cilvēktiesību organizācijas.</w:t>
      </w:r>
    </w:p>
    <w:p w:rsidR="008D10DE" w:rsidRPr="00F77110" w:rsidRDefault="008D10DE" w:rsidP="00000CE8"/>
    <w:p w:rsidR="008D10DE" w:rsidRPr="00F77110" w:rsidRDefault="008D10DE" w:rsidP="00000CE8">
      <w:r w:rsidRPr="00F77110">
        <w:t>Lai veiktu izmaiņas sarakstā, EESK iesaka izveidot elastīgāku grozījumu mehānismu, kas ļauj saprātīgā termiņā reaģēt uz mainīgajiem apstākļiem sarakstā iekļautajās valstīs. EESK uzskata, ka jebkādas izmaiņas sarakstā ir jāpamato un jāpaskaidro, ņemot vērā UNHCR, EASO, Eiropas Padomes un citu cilvēktiesību organizāciju ekspertu atzinumus.</w:t>
      </w:r>
    </w:p>
    <w:p w:rsidR="008D10DE" w:rsidRPr="00F77110" w:rsidRDefault="008D10DE" w:rsidP="00000CE8"/>
    <w:p w:rsidR="008D10DE" w:rsidRPr="00F77110" w:rsidRDefault="008D10DE" w:rsidP="00000CE8">
      <w:r w:rsidRPr="00F77110">
        <w:t xml:space="preserve">EESK uzskata arī, ka ir lietderīgi izveidot mehānismu, ar kura palīdzību atzītas cilvēktiesību organizācijas, kā arī </w:t>
      </w:r>
      <w:proofErr w:type="spellStart"/>
      <w:r w:rsidRPr="00F77110">
        <w:t>ombudi</w:t>
      </w:r>
      <w:proofErr w:type="spellEnd"/>
      <w:r w:rsidRPr="00F77110">
        <w:t xml:space="preserve"> un ekonomikas un sociālo lietu komitejas varētu sākt saraksta grozīšanas procedūru.</w:t>
      </w:r>
    </w:p>
    <w:p w:rsidR="008D10DE" w:rsidRPr="00F77110" w:rsidRDefault="008D10DE" w:rsidP="00000CE8"/>
    <w:p w:rsidR="008D10DE" w:rsidRPr="00F77110" w:rsidRDefault="008D10DE" w:rsidP="00000CE8">
      <w:r w:rsidRPr="00F77110">
        <w:t>EESK uzskata, ka drošas izcelsmes valsts koncepciju noteikti nevar piemērot gadījumos, kad netiek ievērota preses brīvība un politiskais plurālisms, kā arī valstīm, kurās notiek vajāšana dzimuma un/vai seksuālās orientācijas, kā arī piederības nacionālajai, etniskajai, kultūras vai reliģiskajai minoritātei dēļ.</w:t>
      </w:r>
    </w:p>
    <w:p w:rsidR="008D10DE" w:rsidRPr="00F77110" w:rsidRDefault="008D10DE" w:rsidP="00000CE8"/>
    <w:p w:rsidR="008D10DE" w:rsidRPr="00F77110" w:rsidRDefault="008D10DE" w:rsidP="00000CE8">
      <w:pPr>
        <w:rPr>
          <w:i/>
        </w:rPr>
      </w:pPr>
      <w:r w:rsidRPr="00F77110">
        <w:rPr>
          <w:b/>
          <w:i/>
        </w:rPr>
        <w:t>Kontaktpersona:</w:t>
      </w:r>
      <w:r w:rsidRPr="00F77110">
        <w:tab/>
      </w:r>
      <w:r w:rsidRPr="00F77110">
        <w:rPr>
          <w:i/>
        </w:rPr>
        <w:t>Cédric Cabanne</w:t>
      </w:r>
    </w:p>
    <w:p w:rsidR="00CE653A" w:rsidRPr="00F77110" w:rsidRDefault="00242890" w:rsidP="00000CE8">
      <w:pPr>
        <w:rPr>
          <w:i/>
          <w:color w:val="0000FF"/>
          <w:u w:val="single"/>
        </w:rPr>
      </w:pPr>
      <w:r w:rsidRPr="00F77110">
        <w:tab/>
      </w:r>
      <w:r w:rsidRPr="00F77110">
        <w:tab/>
      </w:r>
      <w:r w:rsidRPr="00F77110">
        <w:rPr>
          <w:i/>
        </w:rPr>
        <w:t xml:space="preserve">(Tālr.: 00 32 2 546 93 55 – e-pasta adrese: </w:t>
      </w:r>
      <w:hyperlink r:id="rId33">
        <w:r w:rsidRPr="00F77110">
          <w:rPr>
            <w:rStyle w:val="Hyperlink"/>
            <w:i/>
          </w:rPr>
          <w:t>Cedric.Cabanne@eesc.europa.eu</w:t>
        </w:r>
      </w:hyperlink>
      <w:r w:rsidRPr="00F77110">
        <w:rPr>
          <w:i/>
          <w:color w:val="0000FF"/>
          <w:u w:val="single"/>
        </w:rPr>
        <w:t>)</w:t>
      </w:r>
    </w:p>
    <w:p w:rsidR="00C87EFC" w:rsidRPr="00F77110" w:rsidRDefault="00C87EFC" w:rsidP="00000CE8">
      <w:pPr>
        <w:rPr>
          <w:b/>
          <w:i/>
          <w:sz w:val="28"/>
        </w:rPr>
      </w:pPr>
      <w:r w:rsidRPr="00F77110">
        <w:br w:type="page"/>
      </w:r>
    </w:p>
    <w:p w:rsidR="00900EA0" w:rsidRPr="00F77110" w:rsidRDefault="00900EA0" w:rsidP="00000CE8">
      <w:pPr>
        <w:keepNext/>
        <w:keepLines/>
        <w:numPr>
          <w:ilvl w:val="0"/>
          <w:numId w:val="2"/>
        </w:numPr>
        <w:ind w:hanging="720"/>
        <w:jc w:val="left"/>
        <w:outlineLvl w:val="0"/>
        <w:rPr>
          <w:b/>
          <w:sz w:val="28"/>
        </w:rPr>
      </w:pPr>
      <w:bookmarkStart w:id="3" w:name="_Toc437942483"/>
      <w:bookmarkStart w:id="4" w:name="_Toc440012206"/>
      <w:r w:rsidRPr="00F77110">
        <w:rPr>
          <w:b/>
          <w:color w:val="000000" w:themeColor="text1"/>
          <w:sz w:val="28"/>
        </w:rPr>
        <w:lastRenderedPageBreak/>
        <w:t>EKONOMIKAS PĀRVALDĪBA / FINANŠU INSTRUMENTI / NODOKĻU SISTĒMA</w:t>
      </w:r>
      <w:bookmarkEnd w:id="3"/>
      <w:bookmarkEnd w:id="4"/>
    </w:p>
    <w:p w:rsidR="00A36A65" w:rsidRPr="00F77110" w:rsidRDefault="00A36A65" w:rsidP="00BD4EB5">
      <w:pPr>
        <w:widowControl w:val="0"/>
        <w:ind w:left="-567"/>
        <w:rPr>
          <w:i/>
          <w:u w:val="single"/>
        </w:rPr>
      </w:pPr>
    </w:p>
    <w:p w:rsidR="00A36A65" w:rsidRPr="00F77110" w:rsidRDefault="00A36A65" w:rsidP="00000CE8">
      <w:pPr>
        <w:widowControl w:val="0"/>
        <w:numPr>
          <w:ilvl w:val="0"/>
          <w:numId w:val="52"/>
        </w:numPr>
        <w:ind w:left="360"/>
        <w:rPr>
          <w:i/>
          <w:sz w:val="28"/>
        </w:rPr>
      </w:pPr>
      <w:r w:rsidRPr="00F77110">
        <w:rPr>
          <w:b/>
          <w:i/>
          <w:sz w:val="28"/>
        </w:rPr>
        <w:t>“Rīcības plāns taisnīgākai uzņēmumu nodokļu sistēmai”</w:t>
      </w:r>
    </w:p>
    <w:p w:rsidR="00A36A65" w:rsidRPr="00F77110" w:rsidRDefault="00A36A65" w:rsidP="00000CE8">
      <w:pPr>
        <w:tabs>
          <w:tab w:val="center" w:pos="284"/>
        </w:tabs>
        <w:ind w:left="266" w:hanging="266"/>
        <w:rPr>
          <w:b/>
        </w:rPr>
      </w:pPr>
    </w:p>
    <w:p w:rsidR="00A36A65" w:rsidRPr="00F77110" w:rsidRDefault="00A36A65" w:rsidP="00000CE8">
      <w:pPr>
        <w:tabs>
          <w:tab w:val="center" w:pos="284"/>
        </w:tabs>
        <w:ind w:left="266" w:hanging="266"/>
      </w:pPr>
      <w:r w:rsidRPr="00F77110">
        <w:rPr>
          <w:b/>
        </w:rPr>
        <w:t>Ziņotājs:</w:t>
      </w:r>
      <w:r w:rsidRPr="00F77110">
        <w:tab/>
      </w:r>
      <w:r w:rsidRPr="00F77110">
        <w:tab/>
      </w:r>
      <w:proofErr w:type="spellStart"/>
      <w:r w:rsidRPr="00F77110">
        <w:t>Petru</w:t>
      </w:r>
      <w:proofErr w:type="spellEnd"/>
      <w:r w:rsidRPr="00F77110">
        <w:t xml:space="preserve"> </w:t>
      </w:r>
      <w:proofErr w:type="spellStart"/>
      <w:r w:rsidRPr="00F77110">
        <w:t>Sorin</w:t>
      </w:r>
      <w:proofErr w:type="spellEnd"/>
      <w:r w:rsidRPr="00F77110">
        <w:t xml:space="preserve"> </w:t>
      </w:r>
      <w:proofErr w:type="spellStart"/>
      <w:r w:rsidRPr="00F77110">
        <w:t>Dandea</w:t>
      </w:r>
      <w:proofErr w:type="spellEnd"/>
      <w:r w:rsidRPr="00F77110">
        <w:t xml:space="preserve"> (Darba ņēmēju grupa – RO)</w:t>
      </w:r>
    </w:p>
    <w:p w:rsidR="00A36A65" w:rsidRPr="00F77110" w:rsidRDefault="00A36A65" w:rsidP="00000CE8">
      <w:pPr>
        <w:tabs>
          <w:tab w:val="center" w:pos="284"/>
        </w:tabs>
        <w:ind w:left="266" w:hanging="266"/>
        <w:rPr>
          <w:b/>
        </w:rPr>
      </w:pPr>
    </w:p>
    <w:p w:rsidR="00A36A65" w:rsidRPr="00F77110" w:rsidRDefault="00A36A65" w:rsidP="00000CE8">
      <w:pPr>
        <w:tabs>
          <w:tab w:val="center" w:pos="284"/>
        </w:tabs>
        <w:ind w:left="266" w:hanging="266"/>
      </w:pPr>
      <w:r w:rsidRPr="00F77110">
        <w:rPr>
          <w:b/>
        </w:rPr>
        <w:t>Līdzziņotājs:</w:t>
      </w:r>
      <w:r w:rsidRPr="00F77110">
        <w:tab/>
      </w:r>
      <w:r w:rsidR="000F4B7F" w:rsidRPr="00F77110">
        <w:tab/>
      </w:r>
      <w:proofErr w:type="spellStart"/>
      <w:r w:rsidRPr="00F77110">
        <w:t>Paulo</w:t>
      </w:r>
      <w:proofErr w:type="spellEnd"/>
      <w:r w:rsidRPr="00F77110">
        <w:t xml:space="preserve"> </w:t>
      </w:r>
      <w:proofErr w:type="spellStart"/>
      <w:r w:rsidRPr="00F77110">
        <w:t>Barros</w:t>
      </w:r>
      <w:proofErr w:type="spellEnd"/>
      <w:r w:rsidRPr="00F77110">
        <w:t xml:space="preserve"> </w:t>
      </w:r>
      <w:proofErr w:type="spellStart"/>
      <w:r w:rsidRPr="00F77110">
        <w:t>Vale</w:t>
      </w:r>
      <w:proofErr w:type="spellEnd"/>
      <w:r w:rsidRPr="00F77110">
        <w:t xml:space="preserve"> (Darba devēju grupa – PT)</w:t>
      </w:r>
    </w:p>
    <w:p w:rsidR="00A36A65" w:rsidRPr="00F77110" w:rsidRDefault="00A36A65" w:rsidP="00000CE8">
      <w:pPr>
        <w:tabs>
          <w:tab w:val="center" w:pos="284"/>
        </w:tabs>
        <w:ind w:left="266" w:hanging="266"/>
      </w:pPr>
    </w:p>
    <w:p w:rsidR="00A36A65" w:rsidRPr="00F77110" w:rsidRDefault="00A36A65" w:rsidP="00000CE8">
      <w:pPr>
        <w:tabs>
          <w:tab w:val="center" w:pos="284"/>
        </w:tabs>
        <w:ind w:left="266" w:hanging="266"/>
      </w:pPr>
      <w:r w:rsidRPr="00F77110">
        <w:rPr>
          <w:b/>
        </w:rPr>
        <w:t>Atsauce:</w:t>
      </w:r>
      <w:r w:rsidRPr="00F77110">
        <w:tab/>
      </w:r>
      <w:r w:rsidRPr="00F77110">
        <w:tab/>
        <w:t xml:space="preserve">COM(2015) 302 </w:t>
      </w:r>
      <w:proofErr w:type="spellStart"/>
      <w:r w:rsidRPr="00F77110">
        <w:t>final</w:t>
      </w:r>
      <w:proofErr w:type="spellEnd"/>
      <w:r w:rsidRPr="00F77110">
        <w:tab/>
      </w:r>
      <w:r w:rsidRPr="00F77110">
        <w:tab/>
        <w:t xml:space="preserve"> EESC-2015-02961-00-00-AC</w:t>
      </w:r>
    </w:p>
    <w:p w:rsidR="00A36A65" w:rsidRPr="00F77110" w:rsidRDefault="00A36A65" w:rsidP="00000CE8">
      <w:pPr>
        <w:tabs>
          <w:tab w:val="center" w:pos="284"/>
        </w:tabs>
        <w:ind w:left="266" w:hanging="266"/>
      </w:pPr>
    </w:p>
    <w:p w:rsidR="00A36A65" w:rsidRPr="00F77110" w:rsidRDefault="00A36A65" w:rsidP="00BD4EB5">
      <w:pPr>
        <w:keepNext/>
        <w:tabs>
          <w:tab w:val="center" w:pos="284"/>
        </w:tabs>
        <w:ind w:left="266" w:hanging="266"/>
        <w:rPr>
          <w:b/>
        </w:rPr>
      </w:pPr>
      <w:r w:rsidRPr="00F77110">
        <w:rPr>
          <w:b/>
        </w:rPr>
        <w:t>Galvenie jautājumi:</w:t>
      </w:r>
    </w:p>
    <w:p w:rsidR="00BD2639" w:rsidRPr="00F77110" w:rsidRDefault="00BD2639" w:rsidP="00BD4EB5">
      <w:pPr>
        <w:keepNext/>
      </w:pPr>
    </w:p>
    <w:p w:rsidR="00A36A65" w:rsidRPr="00F77110" w:rsidRDefault="00A36A65" w:rsidP="00000CE8">
      <w:r w:rsidRPr="00F77110">
        <w:t>EESK</w:t>
      </w:r>
    </w:p>
    <w:p w:rsidR="00A36A65" w:rsidRPr="00F77110" w:rsidRDefault="00A36A65" w:rsidP="00000CE8">
      <w:pPr>
        <w:numPr>
          <w:ilvl w:val="0"/>
          <w:numId w:val="4"/>
        </w:numPr>
        <w:ind w:left="1089"/>
      </w:pPr>
      <w:r w:rsidRPr="00F77110">
        <w:t>atzinīgi vērtē iepazīstināšanu ar minēto rīcības plānu un pauž atbalstu Komisijai cīņā pret dalībvalstu nodokļu bāzu graušanu un negodīgu konkurenci;</w:t>
      </w:r>
    </w:p>
    <w:p w:rsidR="00A36A65" w:rsidRPr="00F77110" w:rsidRDefault="00A36A65" w:rsidP="00000CE8">
      <w:pPr>
        <w:numPr>
          <w:ilvl w:val="0"/>
          <w:numId w:val="4"/>
        </w:numPr>
        <w:ind w:left="1089"/>
      </w:pPr>
      <w:r w:rsidRPr="00F77110">
        <w:t>atzinīgi vērtē kopējās konsolidētās uzņēmumu ienākuma nodokļa bāzes (KKUINB) ieviešanu, kas būtu obligāta uzņēmumiem, kuri veic pārrobežu darbības;</w:t>
      </w:r>
    </w:p>
    <w:p w:rsidR="00A36A65" w:rsidRPr="00F77110" w:rsidRDefault="00A36A65" w:rsidP="00000CE8">
      <w:pPr>
        <w:numPr>
          <w:ilvl w:val="0"/>
          <w:numId w:val="4"/>
        </w:numPr>
        <w:ind w:left="1089"/>
      </w:pPr>
      <w:r w:rsidRPr="00F77110">
        <w:t>iesaka KKUINB attiecināt uz visiem uzņēmumiem nolūkā izvairīties no divu dažādu nodokļu režīmu līdzāspastāvēšanas;</w:t>
      </w:r>
    </w:p>
    <w:p w:rsidR="00A36A65" w:rsidRPr="00F77110" w:rsidRDefault="00A36A65" w:rsidP="00000CE8">
      <w:pPr>
        <w:numPr>
          <w:ilvl w:val="0"/>
          <w:numId w:val="4"/>
        </w:numPr>
        <w:ind w:left="1089"/>
      </w:pPr>
      <w:r w:rsidRPr="00F77110">
        <w:t>iesaka Komisijai rūpēties par to definīciju un jēdzienu skaidrību, kas noteiks kopējo bāzi;</w:t>
      </w:r>
    </w:p>
    <w:p w:rsidR="00A36A65" w:rsidRPr="00F77110" w:rsidRDefault="00A36A65" w:rsidP="00BD4EB5">
      <w:pPr>
        <w:numPr>
          <w:ilvl w:val="0"/>
          <w:numId w:val="4"/>
        </w:numPr>
        <w:ind w:left="1089"/>
      </w:pPr>
      <w:r w:rsidRPr="00F77110">
        <w:t>atzinīgi vērtē to, ka Komisija ir publicējusi sarakstu ar nodokļu jurisdikcijām, kas nesadarbojas;</w:t>
      </w:r>
    </w:p>
    <w:p w:rsidR="00A36A65" w:rsidRPr="00F77110" w:rsidRDefault="00A36A65" w:rsidP="00000CE8">
      <w:pPr>
        <w:numPr>
          <w:ilvl w:val="0"/>
          <w:numId w:val="4"/>
        </w:numPr>
        <w:ind w:left="1089"/>
      </w:pPr>
      <w:r w:rsidRPr="00F77110">
        <w:t>atgādina, ka ES regulējumā būtu jāparedz sankcijas tiem uzņēmumiem, kuri turpinās pārvaldīt savus darījumus no nodokļu oāzēm;</w:t>
      </w:r>
    </w:p>
    <w:p w:rsidR="00A36A65" w:rsidRPr="00F77110" w:rsidRDefault="00A36A65" w:rsidP="00000CE8">
      <w:pPr>
        <w:numPr>
          <w:ilvl w:val="0"/>
          <w:numId w:val="4"/>
        </w:numPr>
        <w:ind w:left="1089"/>
      </w:pPr>
      <w:r w:rsidRPr="00F77110">
        <w:t>iesaka Komisijai pēc KKUINB direktīvas pieņemšanas un pēc konsolidācijas mehānisma ieviešanas sagatavot jaunā regulējuma ietekmes novērtējumu. Ja tajā tiktu konstatēts, ka nav mazinājusies peļņas novirzīšana uz dalībvalstīm, kas piemēro zemākas nodokļu likmes, EESK ierosina veikt jaunus piemērotus pasākumus.</w:t>
      </w:r>
    </w:p>
    <w:p w:rsidR="00A36A65" w:rsidRPr="00F77110" w:rsidRDefault="00A36A65" w:rsidP="00000CE8"/>
    <w:p w:rsidR="00A36A65" w:rsidRPr="00F77110" w:rsidRDefault="00A36A65" w:rsidP="00000CE8">
      <w:pPr>
        <w:rPr>
          <w:i/>
        </w:rPr>
      </w:pPr>
      <w:r w:rsidRPr="00F77110">
        <w:rPr>
          <w:b/>
          <w:i/>
        </w:rPr>
        <w:t>Kontaktpersona:</w:t>
      </w:r>
      <w:r w:rsidRPr="00F77110">
        <w:tab/>
      </w:r>
      <w:r w:rsidRPr="00F77110">
        <w:rPr>
          <w:i/>
        </w:rPr>
        <w:t>Gerald Klec</w:t>
      </w:r>
    </w:p>
    <w:p w:rsidR="00A36A65" w:rsidRPr="00F77110" w:rsidRDefault="003E693F" w:rsidP="00000CE8">
      <w:pPr>
        <w:rPr>
          <w:i/>
        </w:rPr>
      </w:pPr>
      <w:r w:rsidRPr="00F77110">
        <w:tab/>
      </w:r>
      <w:r w:rsidRPr="00F77110">
        <w:tab/>
      </w:r>
      <w:r w:rsidRPr="00F77110">
        <w:rPr>
          <w:i/>
        </w:rPr>
        <w:t>(</w:t>
      </w:r>
      <w:proofErr w:type="spellStart"/>
      <w:r w:rsidRPr="00F77110">
        <w:rPr>
          <w:i/>
        </w:rPr>
        <w:t>Tālr</w:t>
      </w:r>
      <w:proofErr w:type="spellEnd"/>
      <w:r w:rsidRPr="00F77110">
        <w:rPr>
          <w:i/>
        </w:rPr>
        <w:t xml:space="preserve">: 00 32 2 546 99 09 – e-pasta adrese: </w:t>
      </w:r>
      <w:hyperlink r:id="rId34">
        <w:r w:rsidRPr="00F77110">
          <w:rPr>
            <w:rStyle w:val="Hyperlink"/>
            <w:i/>
          </w:rPr>
          <w:t>gerald.klec@eesc.europa.eu</w:t>
        </w:r>
      </w:hyperlink>
      <w:r w:rsidRPr="00F77110">
        <w:rPr>
          <w:i/>
        </w:rPr>
        <w:t>)</w:t>
      </w:r>
    </w:p>
    <w:p w:rsidR="00A36A65" w:rsidRPr="00F77110" w:rsidRDefault="00A36A65" w:rsidP="00000CE8">
      <w:pPr>
        <w:jc w:val="center"/>
      </w:pPr>
    </w:p>
    <w:p w:rsidR="00A36A65" w:rsidRPr="00F77110" w:rsidRDefault="00A36A65" w:rsidP="00000CE8">
      <w:pPr>
        <w:spacing w:line="240" w:lineRule="auto"/>
        <w:jc w:val="left"/>
        <w:rPr>
          <w:b/>
          <w:color w:val="000000" w:themeColor="text1"/>
          <w:sz w:val="28"/>
        </w:rPr>
      </w:pPr>
      <w:r w:rsidRPr="00F77110">
        <w:br w:type="page"/>
      </w:r>
    </w:p>
    <w:p w:rsidR="00A36A65" w:rsidRPr="00F77110" w:rsidRDefault="00900EA0" w:rsidP="00000CE8">
      <w:pPr>
        <w:keepNext/>
        <w:keepLines/>
        <w:numPr>
          <w:ilvl w:val="0"/>
          <w:numId w:val="2"/>
        </w:numPr>
        <w:ind w:hanging="720"/>
        <w:jc w:val="left"/>
        <w:outlineLvl w:val="0"/>
        <w:rPr>
          <w:b/>
          <w:sz w:val="28"/>
        </w:rPr>
      </w:pPr>
      <w:bookmarkStart w:id="5" w:name="_Toc437942484"/>
      <w:bookmarkStart w:id="6" w:name="_Toc440012207"/>
      <w:r w:rsidRPr="00F77110">
        <w:rPr>
          <w:b/>
          <w:sz w:val="28"/>
        </w:rPr>
        <w:lastRenderedPageBreak/>
        <w:t>VIDE / LAUKSAIMNIECĪBA UN ZIVSAIMNIECĪBA</w:t>
      </w:r>
      <w:bookmarkEnd w:id="5"/>
      <w:bookmarkEnd w:id="6"/>
    </w:p>
    <w:p w:rsidR="00BD2639" w:rsidRPr="00F77110" w:rsidRDefault="00BD2639">
      <w:pPr>
        <w:ind w:left="-567"/>
        <w:rPr>
          <w:b/>
          <w:i/>
          <w:highlight w:val="yellow"/>
        </w:rPr>
      </w:pPr>
    </w:p>
    <w:p w:rsidR="00A36A65" w:rsidRPr="00F77110" w:rsidRDefault="00A71A8D" w:rsidP="00BD4EB5">
      <w:pPr>
        <w:widowControl w:val="0"/>
        <w:numPr>
          <w:ilvl w:val="0"/>
          <w:numId w:val="45"/>
        </w:numPr>
        <w:spacing w:line="240" w:lineRule="auto"/>
        <w:ind w:left="283"/>
        <w:jc w:val="left"/>
        <w:rPr>
          <w:b/>
          <w:i/>
          <w:spacing w:val="-2"/>
          <w:sz w:val="28"/>
        </w:rPr>
      </w:pPr>
      <w:r w:rsidRPr="00F77110">
        <w:rPr>
          <w:b/>
          <w:i/>
          <w:spacing w:val="-2"/>
          <w:sz w:val="28"/>
        </w:rPr>
        <w:t>“KLP vienkāršošana” (izpētes atzinums)</w:t>
      </w:r>
    </w:p>
    <w:p w:rsidR="00A36A65" w:rsidRPr="00F77110" w:rsidRDefault="00A36A65" w:rsidP="00000CE8">
      <w:pPr>
        <w:widowControl w:val="0"/>
        <w:suppressAutoHyphens/>
        <w:spacing w:line="240" w:lineRule="auto"/>
      </w:pPr>
    </w:p>
    <w:p w:rsidR="00A36A65" w:rsidRPr="00F77110" w:rsidRDefault="00A36A65" w:rsidP="00000CE8">
      <w:pPr>
        <w:rPr>
          <w:i/>
        </w:rPr>
      </w:pPr>
      <w:r w:rsidRPr="00F77110">
        <w:rPr>
          <w:b/>
        </w:rPr>
        <w:t>Ziņotājs:</w:t>
      </w:r>
      <w:r w:rsidRPr="00F77110">
        <w:tab/>
      </w:r>
      <w:proofErr w:type="spellStart"/>
      <w:r w:rsidRPr="00F77110">
        <w:t>Seamus</w:t>
      </w:r>
      <w:proofErr w:type="spellEnd"/>
      <w:r w:rsidRPr="00F77110">
        <w:t xml:space="preserve"> </w:t>
      </w:r>
      <w:proofErr w:type="spellStart"/>
      <w:r w:rsidRPr="00F77110">
        <w:t>Boland</w:t>
      </w:r>
      <w:proofErr w:type="spellEnd"/>
      <w:r w:rsidRPr="00F77110">
        <w:t xml:space="preserve"> (Dažādu interešu grupa – IE)</w:t>
      </w:r>
    </w:p>
    <w:p w:rsidR="00A36A65" w:rsidRPr="00F77110" w:rsidRDefault="00A36A65" w:rsidP="00000CE8">
      <w:pPr>
        <w:rPr>
          <w:i/>
        </w:rPr>
      </w:pPr>
    </w:p>
    <w:p w:rsidR="00A36A65" w:rsidRPr="00F77110" w:rsidRDefault="00A36A65" w:rsidP="00000CE8">
      <w:pPr>
        <w:widowControl w:val="0"/>
        <w:spacing w:line="240" w:lineRule="auto"/>
      </w:pPr>
      <w:r w:rsidRPr="00F77110">
        <w:rPr>
          <w:b/>
        </w:rPr>
        <w:t>Atsauce:</w:t>
      </w:r>
      <w:r w:rsidRPr="00F77110">
        <w:tab/>
        <w:t>EESC-2015-04293-00-00-AC</w:t>
      </w:r>
    </w:p>
    <w:p w:rsidR="00A36A65" w:rsidRPr="00F77110" w:rsidRDefault="00A36A65" w:rsidP="00000CE8">
      <w:pPr>
        <w:spacing w:line="240" w:lineRule="auto"/>
        <w:jc w:val="left"/>
      </w:pPr>
    </w:p>
    <w:p w:rsidR="00A36A65" w:rsidRPr="00F77110" w:rsidRDefault="00A36A65" w:rsidP="00BD4EB5">
      <w:pPr>
        <w:keepNext/>
        <w:rPr>
          <w:b/>
        </w:rPr>
      </w:pPr>
      <w:r w:rsidRPr="00F77110">
        <w:rPr>
          <w:b/>
        </w:rPr>
        <w:t>Galvenie jautājumi:</w:t>
      </w:r>
    </w:p>
    <w:p w:rsidR="00BD2639" w:rsidRPr="00F77110" w:rsidRDefault="00BD2639" w:rsidP="00BD4EB5">
      <w:pPr>
        <w:keepNext/>
      </w:pPr>
    </w:p>
    <w:p w:rsidR="00A36A65" w:rsidRPr="00F77110" w:rsidRDefault="00A36A65" w:rsidP="009D1C6F">
      <w:r w:rsidRPr="00F77110">
        <w:t>EESK atzīst, ka Eiropas Komisija ir noteikusi par prioritāti būtiski vienkāršot kopējās lauksaimniecības politikas (KLP) īstenošanu un ka tā jau ir ierosinājusi un turpinās ierosināt konkrētu Komisijas tiesību aktu vienkāršošanu, lai ES tiesību akti būtu vieglāk saprotami un praktiski īstenojami.</w:t>
      </w:r>
    </w:p>
    <w:p w:rsidR="00A36A65" w:rsidRPr="00F77110" w:rsidRDefault="00A36A65" w:rsidP="009D1C6F"/>
    <w:p w:rsidR="00A36A65" w:rsidRPr="00F77110" w:rsidRDefault="00A36A65" w:rsidP="009D1C6F">
      <w:r w:rsidRPr="00F77110">
        <w:t xml:space="preserve">EESK uzskata, ka vienkāršošanas procesa neatņemama sastāvdaļa ir labāka </w:t>
      </w:r>
      <w:proofErr w:type="spellStart"/>
      <w:r w:rsidRPr="00F77110">
        <w:t>pārredzamība</w:t>
      </w:r>
      <w:proofErr w:type="spellEnd"/>
      <w:r w:rsidRPr="00F77110">
        <w:t>, lielāka juridiskā noteiktība un nevajadzīga administratīvā sloga un ar to saistīto izdevumu samazināšana lauksaimniekiem, citiem saņēmējiem, ražotāju organizācijām un valstu pārvaldes iestādēm.</w:t>
      </w:r>
    </w:p>
    <w:p w:rsidR="00A36A65" w:rsidRPr="00F77110" w:rsidRDefault="00A36A65" w:rsidP="009D1C6F"/>
    <w:p w:rsidR="00A36A65" w:rsidRPr="00F77110" w:rsidRDefault="00A36A65" w:rsidP="009D1C6F">
      <w:pPr>
        <w:rPr>
          <w:szCs w:val="20"/>
        </w:rPr>
      </w:pPr>
      <w:r w:rsidRPr="00F77110">
        <w:t>Pārbaudēm un iespējamiem naudas sodiem jābūt samērīgiem ar naudas summu, ko ieguvis saņēmējs, neatbilstības iemesliem un gatavību veikt korektīvus pasākumus. Skaidri apzinātas krāpšanas gadījumos ir jārīkojas saskaņā ar parastajām procedūrām. EESK iesaka samazināt nesamērīgumu, par ko liecina lieli atbalsta samazinājumi pat par nenozīmīgiem pārkāpumiem.</w:t>
      </w:r>
    </w:p>
    <w:p w:rsidR="00A36A65" w:rsidRPr="00F77110" w:rsidRDefault="00A36A65" w:rsidP="009D1C6F"/>
    <w:p w:rsidR="00A36A65" w:rsidRPr="00F77110" w:rsidRDefault="00A36A65" w:rsidP="009D1C6F">
      <w:proofErr w:type="spellStart"/>
      <w:r w:rsidRPr="00F77110">
        <w:t>Ekoloģizācijas</w:t>
      </w:r>
      <w:proofErr w:type="spellEnd"/>
      <w:r w:rsidRPr="00F77110">
        <w:t xml:space="preserve"> pasākumu īstenošanā ir jāņem vērā neparedzēti faktori, piemēram, meteoroloģiskie apstākļi, sausums vai citi notikumi, kuru dēļ šos pasākumus nav iespējams īstenot.</w:t>
      </w:r>
    </w:p>
    <w:p w:rsidR="00A36A65" w:rsidRPr="00F77110" w:rsidRDefault="00A36A65" w:rsidP="009D1C6F"/>
    <w:p w:rsidR="00A36A65" w:rsidRPr="00F77110" w:rsidRDefault="00A36A65" w:rsidP="009D1C6F">
      <w:r w:rsidRPr="00F77110">
        <w:t>Ja par tādiem jautājumiem kā ilggadīgie zālāji ir pieņemti Eiropas Savienības Tiesas nolēmumi, ir svarīgi, lai noteikumi, kuri pieņemti, lai izpildītu šos spriedumus, būtu izstrādāti tādā veidā, kas regulējumu samazina, nevis palielina.</w:t>
      </w:r>
    </w:p>
    <w:p w:rsidR="00A36A65" w:rsidRPr="00F77110" w:rsidRDefault="00A36A65" w:rsidP="009D1C6F"/>
    <w:p w:rsidR="00A36A65" w:rsidRPr="00F77110" w:rsidRDefault="00A36A65" w:rsidP="009D1C6F">
      <w:r w:rsidRPr="00F77110">
        <w:t>Pagaidu zālaugu platībām vajadzētu saglabāt aramzemes statusu neatkarīgi no tā, cik ilgi šīs platības izmanto kā zālājus.</w:t>
      </w:r>
    </w:p>
    <w:p w:rsidR="00A36A65" w:rsidRPr="00F77110" w:rsidRDefault="00A36A65" w:rsidP="009D1C6F"/>
    <w:p w:rsidR="00A36A65" w:rsidRPr="00F77110" w:rsidRDefault="00A36A65" w:rsidP="009D1C6F">
      <w:r w:rsidRPr="00F77110">
        <w:t>Pašreizējai jēdziena “aktīvs lauksaimnieks” definīcijai nevajadzētu radīt nelabvēlīgākus apstākļus lauksaimniekiem un vajadzētu būt balstītai uz faktu, ka zemes platība, par kuru lauksaimniekam ir tiesības saņemt atbalsta maksājumu, tiek izmantota lauksaimniecības vajadzībām.</w:t>
      </w:r>
    </w:p>
    <w:p w:rsidR="0023002B" w:rsidRPr="00F77110" w:rsidRDefault="0023002B" w:rsidP="009D1C6F"/>
    <w:p w:rsidR="0023002B" w:rsidRPr="00F77110" w:rsidRDefault="0023002B" w:rsidP="009D1C6F">
      <w:r w:rsidRPr="00F77110">
        <w:t>Nekavējoties jāapzina un jāīsteno pasākumi, kas atvieglotu jauno lauksaimnieku piekļuvi viņiem paredzētajai maksājumu shēmai. Jaunieši, kas vēlas nodarboties ar lauksaimniecību, būtu jāatbalsta.</w:t>
      </w:r>
    </w:p>
    <w:p w:rsidR="00A36A65" w:rsidRPr="00F77110" w:rsidRDefault="00A36A65" w:rsidP="009D1C6F"/>
    <w:p w:rsidR="00A36A65" w:rsidRPr="00F77110" w:rsidRDefault="00A36A65" w:rsidP="009D1C6F">
      <w:r w:rsidRPr="00F77110">
        <w:t>EESK iesaka pieņemt noteikumu par palielinātas birokrātijas ierobežošanu, piemēram, normu, kas ļautu atcelt spēkā esošu regulējumu, kad tiek ierosināts jauns.</w:t>
      </w:r>
    </w:p>
    <w:p w:rsidR="00A36A65" w:rsidRPr="00F77110" w:rsidRDefault="00A36A65" w:rsidP="00000CE8">
      <w:pPr>
        <w:rPr>
          <w:i/>
        </w:rPr>
      </w:pPr>
      <w:r w:rsidRPr="00F77110">
        <w:rPr>
          <w:b/>
          <w:i/>
        </w:rPr>
        <w:lastRenderedPageBreak/>
        <w:t>Kontaktpersona:</w:t>
      </w:r>
      <w:r w:rsidRPr="00F77110">
        <w:tab/>
      </w:r>
      <w:proofErr w:type="spellStart"/>
      <w:r w:rsidRPr="00F77110">
        <w:rPr>
          <w:i/>
        </w:rPr>
        <w:t>Laurila</w:t>
      </w:r>
      <w:proofErr w:type="spellEnd"/>
      <w:r w:rsidRPr="00F77110">
        <w:rPr>
          <w:i/>
        </w:rPr>
        <w:t xml:space="preserve"> </w:t>
      </w:r>
      <w:proofErr w:type="spellStart"/>
      <w:r w:rsidRPr="00F77110">
        <w:rPr>
          <w:i/>
        </w:rPr>
        <w:t>Maarit</w:t>
      </w:r>
      <w:proofErr w:type="spellEnd"/>
    </w:p>
    <w:p w:rsidR="00A36A65" w:rsidRPr="00F77110" w:rsidRDefault="003E693F" w:rsidP="00000CE8">
      <w:pPr>
        <w:tabs>
          <w:tab w:val="left" w:pos="990"/>
        </w:tabs>
        <w:rPr>
          <w:i/>
        </w:rPr>
      </w:pPr>
      <w:r w:rsidRPr="00F77110">
        <w:tab/>
      </w:r>
      <w:r w:rsidRPr="00F77110">
        <w:tab/>
      </w:r>
      <w:r w:rsidRPr="00F77110">
        <w:rPr>
          <w:i/>
        </w:rPr>
        <w:t xml:space="preserve">(Tālr.: 00 32 2 546 97 39 – e-pasta adrese: </w:t>
      </w:r>
      <w:hyperlink r:id="rId35">
        <w:r w:rsidRPr="00F77110">
          <w:rPr>
            <w:rStyle w:val="Hyperlink"/>
            <w:i/>
          </w:rPr>
          <w:t>maarit.laurila@eesc.europa.eu</w:t>
        </w:r>
      </w:hyperlink>
      <w:r w:rsidRPr="00F77110">
        <w:rPr>
          <w:i/>
        </w:rPr>
        <w:t>)</w:t>
      </w:r>
    </w:p>
    <w:p w:rsidR="00CF5F66" w:rsidRPr="00F77110" w:rsidRDefault="00A36A65" w:rsidP="00000CE8">
      <w:pPr>
        <w:ind w:left="-567"/>
        <w:rPr>
          <w:b/>
          <w:i/>
          <w:highlight w:val="yellow"/>
        </w:rPr>
      </w:pPr>
      <w:r w:rsidRPr="00F77110">
        <w:br w:type="page"/>
      </w:r>
    </w:p>
    <w:p w:rsidR="00A36A65" w:rsidRPr="00F77110" w:rsidRDefault="00681787" w:rsidP="00BD4EB5">
      <w:pPr>
        <w:widowControl w:val="0"/>
        <w:numPr>
          <w:ilvl w:val="0"/>
          <w:numId w:val="45"/>
        </w:numPr>
        <w:spacing w:line="240" w:lineRule="auto"/>
        <w:ind w:left="283"/>
        <w:jc w:val="left"/>
        <w:rPr>
          <w:b/>
          <w:i/>
          <w:spacing w:val="-2"/>
          <w:sz w:val="28"/>
        </w:rPr>
      </w:pPr>
      <w:r w:rsidRPr="00F77110">
        <w:rPr>
          <w:b/>
          <w:i/>
          <w:spacing w:val="-2"/>
          <w:sz w:val="28"/>
        </w:rPr>
        <w:lastRenderedPageBreak/>
        <w:t>“ES emisijas kvotu tirdzniecības sistēmas (ETS) pārskatīšana”</w:t>
      </w:r>
    </w:p>
    <w:p w:rsidR="00A36A65" w:rsidRPr="00F77110" w:rsidRDefault="00A36A65" w:rsidP="00000CE8">
      <w:pPr>
        <w:widowControl w:val="0"/>
        <w:suppressAutoHyphens/>
        <w:spacing w:line="240" w:lineRule="auto"/>
        <w:rPr>
          <w:i/>
          <w:sz w:val="20"/>
        </w:rPr>
      </w:pPr>
    </w:p>
    <w:p w:rsidR="00A36A65" w:rsidRPr="00F77110" w:rsidRDefault="00A36A65" w:rsidP="00000CE8">
      <w:pPr>
        <w:rPr>
          <w:i/>
        </w:rPr>
      </w:pPr>
      <w:r w:rsidRPr="00F77110">
        <w:rPr>
          <w:b/>
        </w:rPr>
        <w:t>Ziņotājs:</w:t>
      </w:r>
      <w:r w:rsidRPr="00F77110">
        <w:tab/>
        <w:t>Antonello Pezzini (Darba devēju grupa – IT)</w:t>
      </w:r>
    </w:p>
    <w:p w:rsidR="00A36A65" w:rsidRPr="00F77110" w:rsidRDefault="00A36A65" w:rsidP="00000CE8">
      <w:pPr>
        <w:rPr>
          <w:i/>
        </w:rPr>
      </w:pPr>
    </w:p>
    <w:p w:rsidR="00A36A65" w:rsidRPr="00F77110" w:rsidRDefault="00A36A65" w:rsidP="00000CE8">
      <w:pPr>
        <w:widowControl w:val="0"/>
        <w:spacing w:line="240" w:lineRule="auto"/>
      </w:pPr>
      <w:r w:rsidRPr="00F77110">
        <w:rPr>
          <w:b/>
        </w:rPr>
        <w:t>Atsauces:</w:t>
      </w:r>
      <w:r w:rsidRPr="00F77110">
        <w:tab/>
        <w:t xml:space="preserve">COM(2015) 337 </w:t>
      </w:r>
      <w:proofErr w:type="spellStart"/>
      <w:r w:rsidRPr="00F77110">
        <w:t>final</w:t>
      </w:r>
      <w:proofErr w:type="spellEnd"/>
      <w:r w:rsidRPr="00F77110">
        <w:tab/>
      </w:r>
      <w:r w:rsidRPr="00F77110">
        <w:tab/>
        <w:t>EESC-2015-04053-00-00-AC</w:t>
      </w:r>
    </w:p>
    <w:p w:rsidR="00A36A65" w:rsidRPr="00F77110" w:rsidRDefault="00A36A65" w:rsidP="00000CE8">
      <w:pPr>
        <w:spacing w:line="240" w:lineRule="auto"/>
        <w:jc w:val="left"/>
      </w:pPr>
    </w:p>
    <w:p w:rsidR="00A36A65" w:rsidRPr="00F77110" w:rsidRDefault="00A36A65" w:rsidP="00BD4EB5">
      <w:pPr>
        <w:keepNext/>
        <w:rPr>
          <w:b/>
        </w:rPr>
      </w:pPr>
      <w:r w:rsidRPr="00F77110">
        <w:rPr>
          <w:b/>
        </w:rPr>
        <w:t>Galvenie jautājumi:</w:t>
      </w:r>
    </w:p>
    <w:p w:rsidR="00F051B3" w:rsidRPr="00F77110" w:rsidRDefault="00F051B3" w:rsidP="00BD4EB5">
      <w:pPr>
        <w:keepNext/>
      </w:pPr>
    </w:p>
    <w:p w:rsidR="00A36A65" w:rsidRPr="00F77110" w:rsidRDefault="00A36A65" w:rsidP="00BD4EB5">
      <w:pPr>
        <w:keepNext/>
      </w:pPr>
      <w:r w:rsidRPr="00F77110">
        <w:t xml:space="preserve">Komiteja ir pārliecināta, ka Eiropai svarīga ir ilgtspējīga </w:t>
      </w:r>
      <w:proofErr w:type="spellStart"/>
      <w:r w:rsidRPr="00F77110">
        <w:t>reindustrializācija</w:t>
      </w:r>
      <w:proofErr w:type="spellEnd"/>
      <w:r w:rsidRPr="00F77110">
        <w:t xml:space="preserve"> ar konkurētspējīgu izaugsmi, kas rada jaunas un labākas darbvietas, un ka šajā saistībā ES ETS būtu jāuzskata par galveno ES politikas instrumentu cīņā pret klimata pārmaiņām un pasaules ekonomikas dekarbonizācijas procesā. Pēc EESK domām, ar detalizētu un labi saskaņotu normatīvo regulējumu oglekļa tirgum jākļūst stabilākam, elastīgākam un pieejamam visiem pasaules mēroga lielajiem dalībniekiem. Turklāt ir jānodrošina pienācīgi pārejas mehānismi, lai nodrošinātu Eiropas rūpniecības nozaru konkurētspēju un novērstu ieguldījumu aizplūšanas riskus un Eiropas rūpniecības nozaru pakļaušanu negodīgai konkurencei no to valstu puses, kurām nav salīdzināmu regulatīvu instrumentu klimata jomā.</w:t>
      </w:r>
    </w:p>
    <w:p w:rsidR="00A36A65" w:rsidRPr="00F77110" w:rsidRDefault="00A36A65" w:rsidP="00000CE8"/>
    <w:p w:rsidR="00A36A65" w:rsidRPr="00F77110" w:rsidRDefault="00A36A65" w:rsidP="00000CE8">
      <w:r w:rsidRPr="00F77110">
        <w:t xml:space="preserve">Komiteja </w:t>
      </w:r>
      <w:proofErr w:type="spellStart"/>
      <w:r w:rsidRPr="00F77110">
        <w:t>citstarp</w:t>
      </w:r>
      <w:proofErr w:type="spellEnd"/>
      <w:r w:rsidRPr="00F77110">
        <w:t xml:space="preserve"> iesaka šādus reformas punktus:</w:t>
      </w:r>
    </w:p>
    <w:p w:rsidR="00A36A65" w:rsidRPr="00F77110" w:rsidRDefault="00A36A65" w:rsidP="00000CE8"/>
    <w:p w:rsidR="00A36A65" w:rsidRPr="00F77110" w:rsidRDefault="00A36A65" w:rsidP="009D1C6F">
      <w:pPr>
        <w:numPr>
          <w:ilvl w:val="0"/>
          <w:numId w:val="4"/>
        </w:numPr>
        <w:spacing w:line="240" w:lineRule="auto"/>
        <w:ind w:left="1089"/>
      </w:pPr>
      <w:r w:rsidRPr="00F77110">
        <w:t>starpnozaru korekcijas koeficienta atcelšana attiecībā uz tiešajām izmaksām;</w:t>
      </w:r>
    </w:p>
    <w:p w:rsidR="00A36A65" w:rsidRPr="00F77110" w:rsidRDefault="00A36A65" w:rsidP="009D1C6F">
      <w:pPr>
        <w:numPr>
          <w:ilvl w:val="0"/>
          <w:numId w:val="4"/>
        </w:numPr>
        <w:spacing w:line="240" w:lineRule="auto"/>
        <w:ind w:left="1089"/>
      </w:pPr>
      <w:r w:rsidRPr="00F77110">
        <w:t>Eiropas līmenī saskaņoti netiešo izmaksu kompensācijas mehānismi visā ES, kuri nepieļautu konkurences kropļojumus;</w:t>
      </w:r>
    </w:p>
    <w:p w:rsidR="00A36A65" w:rsidRPr="00F77110" w:rsidRDefault="00A36A65" w:rsidP="009D1C6F">
      <w:pPr>
        <w:numPr>
          <w:ilvl w:val="0"/>
          <w:numId w:val="4"/>
        </w:numPr>
        <w:spacing w:line="240" w:lineRule="auto"/>
        <w:ind w:left="1089"/>
      </w:pPr>
      <w:r w:rsidRPr="00F77110">
        <w:t>sistēmas, kas atalgo, nevis soda vislabāko rezultātu sasniedzējus, neatkarīgi no veida, kā šie rezultāti īstenoti, tostarp uztverot un izmantojot CO2;</w:t>
      </w:r>
    </w:p>
    <w:p w:rsidR="00A36A65" w:rsidRPr="00F77110" w:rsidRDefault="00A36A65" w:rsidP="009D1C6F">
      <w:pPr>
        <w:numPr>
          <w:ilvl w:val="0"/>
          <w:numId w:val="4"/>
        </w:numPr>
        <w:spacing w:line="240" w:lineRule="auto"/>
        <w:ind w:left="1089"/>
      </w:pPr>
      <w:r w:rsidRPr="00F77110">
        <w:t>ar ticamiem rūpniecības nozaru datiem pamatotu kritēriju noteikšana vienu reizi perioda sākumā;</w:t>
      </w:r>
    </w:p>
    <w:p w:rsidR="00A36A65" w:rsidRPr="00F77110" w:rsidRDefault="00A36A65" w:rsidP="009D1C6F">
      <w:pPr>
        <w:numPr>
          <w:ilvl w:val="0"/>
          <w:numId w:val="4"/>
        </w:numPr>
        <w:spacing w:line="240" w:lineRule="auto"/>
        <w:ind w:left="1089"/>
      </w:pPr>
      <w:r w:rsidRPr="00F77110">
        <w:t>bezmaksas kvotu piešķiršana nozarēm, pamatojoties uz faktisko, nevis vēsturisko ražošanas apjomu;</w:t>
      </w:r>
    </w:p>
    <w:p w:rsidR="00A36A65" w:rsidRPr="00F77110" w:rsidRDefault="00A36A65" w:rsidP="009D1C6F">
      <w:pPr>
        <w:numPr>
          <w:ilvl w:val="0"/>
          <w:numId w:val="4"/>
        </w:numPr>
        <w:spacing w:line="240" w:lineRule="auto"/>
        <w:ind w:left="1089"/>
      </w:pPr>
      <w:r w:rsidRPr="00F77110">
        <w:t xml:space="preserve">iespēja 4. posmā izmantot alternatīvu pieeju nozarēs, kurās nav iepriekšēju </w:t>
      </w:r>
      <w:proofErr w:type="spellStart"/>
      <w:r w:rsidRPr="00F77110">
        <w:t>līmeņatzīmju</w:t>
      </w:r>
      <w:proofErr w:type="spellEnd"/>
      <w:r w:rsidRPr="00F77110">
        <w:t>;</w:t>
      </w:r>
    </w:p>
    <w:p w:rsidR="00A36A65" w:rsidRPr="00F77110" w:rsidRDefault="00A36A65" w:rsidP="009D1C6F">
      <w:pPr>
        <w:numPr>
          <w:ilvl w:val="0"/>
          <w:numId w:val="4"/>
        </w:numPr>
        <w:spacing w:line="240" w:lineRule="auto"/>
        <w:ind w:left="1089"/>
      </w:pPr>
      <w:r w:rsidRPr="00F77110">
        <w:t>oglekļa emisiju pārvirzes riska elastīgāka noteikšana ar aktuāliem kvalitatīviem riska kritērijiem bez robežvērtību ieviešanas;</w:t>
      </w:r>
    </w:p>
    <w:p w:rsidR="00A36A65" w:rsidRPr="00F77110" w:rsidRDefault="00A36A65" w:rsidP="009D1C6F">
      <w:pPr>
        <w:numPr>
          <w:ilvl w:val="0"/>
          <w:numId w:val="4"/>
        </w:numPr>
        <w:spacing w:line="240" w:lineRule="auto"/>
        <w:ind w:left="1089"/>
      </w:pPr>
      <w:r w:rsidRPr="00F77110">
        <w:t>stabilitātes rezerves daļas izmantošana, lai atbalstītu to nozaru pakāpenisku pāreju, kas izslēgtas no oglekļa emisiju pārvirzes saraksta;</w:t>
      </w:r>
    </w:p>
    <w:p w:rsidR="00A36A65" w:rsidRPr="00F77110" w:rsidRDefault="00A36A65" w:rsidP="009D1C6F">
      <w:pPr>
        <w:numPr>
          <w:ilvl w:val="0"/>
          <w:numId w:val="4"/>
        </w:numPr>
        <w:spacing w:line="240" w:lineRule="auto"/>
        <w:ind w:left="1089"/>
      </w:pPr>
      <w:r w:rsidRPr="00F77110">
        <w:t>atbrīvojums no mehānisma arī iekārtām, kuru emisijas nepārsniedz 50 000 t CO2;</w:t>
      </w:r>
    </w:p>
    <w:p w:rsidR="00A36A65" w:rsidRPr="00F77110" w:rsidRDefault="00A36A65" w:rsidP="009D1C6F">
      <w:pPr>
        <w:numPr>
          <w:ilvl w:val="0"/>
          <w:numId w:val="4"/>
        </w:numPr>
        <w:spacing w:line="240" w:lineRule="auto"/>
        <w:ind w:left="1089"/>
      </w:pPr>
      <w:r w:rsidRPr="00F77110">
        <w:t xml:space="preserve">sociālās dimensijas pilnīga integrācija ES ETS ar mērķi atbalstīt procesu un rūpniecisko un nodarbinātības prasmju pāreju uz </w:t>
      </w:r>
      <w:proofErr w:type="spellStart"/>
      <w:r w:rsidRPr="00F77110">
        <w:t>bezoglekļa</w:t>
      </w:r>
      <w:proofErr w:type="spellEnd"/>
      <w:r w:rsidRPr="00F77110">
        <w:t xml:space="preserve"> ekonomiku;</w:t>
      </w:r>
    </w:p>
    <w:p w:rsidR="00A36A65" w:rsidRPr="00F77110" w:rsidRDefault="00A36A65" w:rsidP="009D1C6F">
      <w:pPr>
        <w:numPr>
          <w:ilvl w:val="0"/>
          <w:numId w:val="4"/>
        </w:numPr>
        <w:spacing w:line="240" w:lineRule="auto"/>
        <w:ind w:left="1089"/>
      </w:pPr>
      <w:r w:rsidRPr="00F77110">
        <w:t xml:space="preserve">pētījums par iespējām, kā visefektīvāko iekārtu stimulēšanas mehānismus paplašināt uz pilsonisko sabiedrību, nodrošinot ETS </w:t>
      </w:r>
      <w:proofErr w:type="spellStart"/>
      <w:r w:rsidRPr="00F77110">
        <w:t>bonusus</w:t>
      </w:r>
      <w:proofErr w:type="spellEnd"/>
      <w:r w:rsidRPr="00F77110">
        <w:t xml:space="preserve"> ģimenēm, kopienām un pašvaldībām, kas ievērojami samazina enerģijas patēriņu, kurš rada CO2, vai kompensē tā emisijas ar “zaļajiem” ieguldījumiem.</w:t>
      </w:r>
    </w:p>
    <w:p w:rsidR="003E693F" w:rsidRPr="00F77110" w:rsidRDefault="003E693F" w:rsidP="00000CE8">
      <w:pPr>
        <w:rPr>
          <w:b/>
          <w:i/>
        </w:rPr>
      </w:pPr>
    </w:p>
    <w:p w:rsidR="00A36A65" w:rsidRPr="00F77110" w:rsidRDefault="00A36A65" w:rsidP="00000CE8">
      <w:pPr>
        <w:rPr>
          <w:i/>
        </w:rPr>
      </w:pPr>
      <w:r w:rsidRPr="00F77110">
        <w:rPr>
          <w:b/>
          <w:i/>
        </w:rPr>
        <w:t>Kontaktpersona:</w:t>
      </w:r>
      <w:r w:rsidRPr="00F77110">
        <w:tab/>
      </w:r>
      <w:r w:rsidRPr="00F77110">
        <w:rPr>
          <w:i/>
        </w:rPr>
        <w:t xml:space="preserve">Stella </w:t>
      </w:r>
      <w:proofErr w:type="spellStart"/>
      <w:r w:rsidRPr="00F77110">
        <w:rPr>
          <w:i/>
        </w:rPr>
        <w:t>Brožek-Everaert</w:t>
      </w:r>
      <w:proofErr w:type="spellEnd"/>
    </w:p>
    <w:p w:rsidR="00A36A65" w:rsidRPr="00F77110" w:rsidRDefault="003E693F" w:rsidP="00000CE8">
      <w:pPr>
        <w:rPr>
          <w:i/>
        </w:rPr>
      </w:pPr>
      <w:r w:rsidRPr="00F77110">
        <w:tab/>
      </w:r>
      <w:r w:rsidRPr="00F77110">
        <w:tab/>
      </w:r>
      <w:r w:rsidRPr="00F77110">
        <w:rPr>
          <w:i/>
        </w:rPr>
        <w:t xml:space="preserve">(Tālr.: 00 32 2 546 92 02– e-pasta adrese: </w:t>
      </w:r>
      <w:hyperlink r:id="rId36">
        <w:r w:rsidRPr="00F77110">
          <w:rPr>
            <w:rStyle w:val="Hyperlink"/>
            <w:i/>
          </w:rPr>
          <w:t>stella.brozekeveraert@eesc.europa.eu</w:t>
        </w:r>
      </w:hyperlink>
      <w:r w:rsidRPr="00F77110">
        <w:rPr>
          <w:i/>
        </w:rPr>
        <w:t>)</w:t>
      </w:r>
    </w:p>
    <w:p w:rsidR="00B61251" w:rsidRPr="00F77110" w:rsidRDefault="00B61251" w:rsidP="00000CE8">
      <w:pPr>
        <w:tabs>
          <w:tab w:val="left" w:pos="990"/>
          <w:tab w:val="left" w:pos="2420"/>
        </w:tabs>
        <w:rPr>
          <w:i/>
        </w:rPr>
      </w:pPr>
    </w:p>
    <w:p w:rsidR="00A36A65" w:rsidRPr="00F77110" w:rsidRDefault="00681787" w:rsidP="00000CE8">
      <w:pPr>
        <w:jc w:val="center"/>
      </w:pPr>
      <w:r w:rsidRPr="00F77110">
        <w:t>_____________</w:t>
      </w:r>
    </w:p>
    <w:p w:rsidR="001768E2" w:rsidRPr="00F77110" w:rsidRDefault="001768E2" w:rsidP="00000CE8">
      <w:pPr>
        <w:spacing w:line="240" w:lineRule="auto"/>
        <w:jc w:val="left"/>
        <w:rPr>
          <w:i/>
        </w:rPr>
      </w:pPr>
      <w:r w:rsidRPr="00F77110">
        <w:br w:type="page"/>
      </w:r>
    </w:p>
    <w:p w:rsidR="00DE59B3" w:rsidRPr="00F77110" w:rsidRDefault="007E6BCE" w:rsidP="00000CE8">
      <w:pPr>
        <w:keepNext/>
        <w:keepLines/>
        <w:numPr>
          <w:ilvl w:val="0"/>
          <w:numId w:val="2"/>
        </w:numPr>
        <w:ind w:hanging="720"/>
        <w:jc w:val="left"/>
        <w:outlineLvl w:val="0"/>
        <w:rPr>
          <w:b/>
          <w:sz w:val="28"/>
        </w:rPr>
      </w:pPr>
      <w:bookmarkStart w:id="7" w:name="_Toc437942485"/>
      <w:bookmarkStart w:id="8" w:name="_Toc440012208"/>
      <w:r w:rsidRPr="00F77110">
        <w:rPr>
          <w:b/>
          <w:sz w:val="28"/>
        </w:rPr>
        <w:lastRenderedPageBreak/>
        <w:t>IEKŠĒJAIS TIRGUS</w:t>
      </w:r>
      <w:bookmarkEnd w:id="7"/>
      <w:bookmarkEnd w:id="8"/>
    </w:p>
    <w:p w:rsidR="00927AA9" w:rsidRPr="00F77110" w:rsidRDefault="00927AA9" w:rsidP="00BD4EB5">
      <w:pPr>
        <w:keepNext/>
        <w:ind w:left="284" w:hanging="284"/>
        <w:rPr>
          <w:b/>
          <w:highlight w:val="yellow"/>
          <w:u w:val="single"/>
        </w:rPr>
      </w:pPr>
    </w:p>
    <w:p w:rsidR="00DE59B3" w:rsidRPr="00F77110" w:rsidRDefault="00DE59B3" w:rsidP="00BD4EB5">
      <w:pPr>
        <w:widowControl w:val="0"/>
        <w:numPr>
          <w:ilvl w:val="0"/>
          <w:numId w:val="47"/>
        </w:numPr>
        <w:ind w:left="360"/>
        <w:rPr>
          <w:sz w:val="24"/>
        </w:rPr>
      </w:pPr>
      <w:r w:rsidRPr="00F77110">
        <w:rPr>
          <w:b/>
          <w:i/>
          <w:sz w:val="28"/>
        </w:rPr>
        <w:t>“2014. gada ziņojums par konkurences politiku”</w:t>
      </w:r>
    </w:p>
    <w:p w:rsidR="00DE59B3" w:rsidRPr="00F77110" w:rsidRDefault="00DE59B3" w:rsidP="00000CE8">
      <w:pPr>
        <w:tabs>
          <w:tab w:val="center" w:pos="284"/>
        </w:tabs>
        <w:ind w:left="266" w:hanging="266"/>
        <w:rPr>
          <w:b/>
        </w:rPr>
      </w:pPr>
    </w:p>
    <w:p w:rsidR="00DE59B3" w:rsidRPr="00F77110" w:rsidRDefault="00DE59B3" w:rsidP="00000CE8">
      <w:pPr>
        <w:tabs>
          <w:tab w:val="center" w:pos="284"/>
        </w:tabs>
        <w:ind w:left="266" w:hanging="266"/>
      </w:pPr>
      <w:r w:rsidRPr="00F77110">
        <w:rPr>
          <w:b/>
        </w:rPr>
        <w:t>Ziņotājs:</w:t>
      </w:r>
      <w:r w:rsidRPr="00F77110">
        <w:tab/>
      </w:r>
      <w:proofErr w:type="spellStart"/>
      <w:r w:rsidRPr="00F77110">
        <w:t>Reine-Claude</w:t>
      </w:r>
      <w:proofErr w:type="spellEnd"/>
      <w:r w:rsidRPr="00F77110">
        <w:t xml:space="preserve"> </w:t>
      </w:r>
      <w:proofErr w:type="spellStart"/>
      <w:r w:rsidRPr="00F77110">
        <w:t>Mader</w:t>
      </w:r>
      <w:proofErr w:type="spellEnd"/>
      <w:r w:rsidRPr="00F77110">
        <w:t xml:space="preserve"> (Dažādu interešu grupa – FR)</w:t>
      </w:r>
    </w:p>
    <w:p w:rsidR="00DE59B3" w:rsidRPr="00F77110" w:rsidRDefault="00DE59B3" w:rsidP="00000CE8">
      <w:pPr>
        <w:tabs>
          <w:tab w:val="center" w:pos="284"/>
        </w:tabs>
        <w:ind w:left="266" w:hanging="266"/>
        <w:rPr>
          <w:b/>
        </w:rPr>
      </w:pPr>
    </w:p>
    <w:p w:rsidR="00DE59B3" w:rsidRPr="00F77110" w:rsidRDefault="00DE59B3" w:rsidP="00000CE8">
      <w:pPr>
        <w:tabs>
          <w:tab w:val="center" w:pos="284"/>
        </w:tabs>
        <w:ind w:left="266" w:hanging="266"/>
      </w:pPr>
      <w:r w:rsidRPr="00F77110">
        <w:rPr>
          <w:b/>
        </w:rPr>
        <w:t>Atsauce:</w:t>
      </w:r>
      <w:r w:rsidRPr="00F77110">
        <w:tab/>
        <w:t xml:space="preserve">COM (2015) 247 </w:t>
      </w:r>
      <w:proofErr w:type="spellStart"/>
      <w:r w:rsidRPr="00F77110">
        <w:t>final</w:t>
      </w:r>
      <w:proofErr w:type="spellEnd"/>
      <w:r w:rsidRPr="00F77110">
        <w:t xml:space="preserve"> </w:t>
      </w:r>
      <w:r w:rsidRPr="00F77110">
        <w:tab/>
      </w:r>
      <w:r w:rsidRPr="00F77110">
        <w:tab/>
        <w:t>EESC-2015-03837-00-00-AC</w:t>
      </w:r>
    </w:p>
    <w:p w:rsidR="00DE59B3" w:rsidRPr="00F77110" w:rsidRDefault="00DE59B3" w:rsidP="00000CE8">
      <w:pPr>
        <w:tabs>
          <w:tab w:val="center" w:pos="284"/>
        </w:tabs>
        <w:ind w:left="266" w:hanging="266"/>
      </w:pPr>
    </w:p>
    <w:p w:rsidR="00DE59B3" w:rsidRPr="00F77110" w:rsidRDefault="00DE59B3" w:rsidP="00000CE8">
      <w:pPr>
        <w:keepNext/>
        <w:keepLines/>
        <w:tabs>
          <w:tab w:val="center" w:pos="284"/>
        </w:tabs>
        <w:ind w:left="266" w:hanging="266"/>
        <w:rPr>
          <w:b/>
        </w:rPr>
      </w:pPr>
      <w:r w:rsidRPr="00F77110">
        <w:rPr>
          <w:b/>
        </w:rPr>
        <w:t>Galvenie jautājumi:</w:t>
      </w:r>
    </w:p>
    <w:p w:rsidR="00927AA9" w:rsidRPr="00F77110" w:rsidRDefault="00927AA9" w:rsidP="00BD4EB5">
      <w:pPr>
        <w:keepNext/>
        <w:keepLines/>
      </w:pPr>
    </w:p>
    <w:p w:rsidR="00DE59B3" w:rsidRPr="00F77110" w:rsidRDefault="00DE59B3" w:rsidP="00000CE8">
      <w:r w:rsidRPr="00F77110">
        <w:t>EESK</w:t>
      </w:r>
    </w:p>
    <w:p w:rsidR="00DE59B3" w:rsidRPr="00F77110" w:rsidRDefault="00DE59B3" w:rsidP="00000CE8">
      <w:pPr>
        <w:numPr>
          <w:ilvl w:val="0"/>
          <w:numId w:val="4"/>
        </w:numPr>
        <w:ind w:left="1089"/>
      </w:pPr>
      <w:r w:rsidRPr="00F77110">
        <w:t xml:space="preserve"> atbalsta Komisijas veiktos pasākumus ar mērķi nodrošināt konkurences noteikumu ievērošanu, tostarp pasākumus cīņai ar negodīgas konkurences praksi, piemēram, dominējoša stāvokļa ļaunprātīgu izmantošanu, kas kavē ES ekonomikas attīstību;</w:t>
      </w:r>
    </w:p>
    <w:p w:rsidR="00DE59B3" w:rsidRPr="00F77110" w:rsidRDefault="00DE59B3" w:rsidP="00000CE8">
      <w:pPr>
        <w:numPr>
          <w:ilvl w:val="0"/>
          <w:numId w:val="4"/>
        </w:numPr>
        <w:ind w:left="1089"/>
      </w:pPr>
      <w:r w:rsidRPr="00F77110">
        <w:t>tomēr pauž nožēlu, ka Komisija nav pieņēmusi juridisku kolektīvās rīcības mehānismu, kas negodīgas konkurences upuriem ļautu faktiski īstenot tiesības uz zaudējumu atlīdzināšanu;</w:t>
      </w:r>
    </w:p>
    <w:p w:rsidR="00DE59B3" w:rsidRPr="00F77110" w:rsidRDefault="00DE59B3" w:rsidP="00000CE8">
      <w:pPr>
        <w:numPr>
          <w:ilvl w:val="0"/>
          <w:numId w:val="4"/>
        </w:numPr>
        <w:ind w:left="1089"/>
      </w:pPr>
      <w:r w:rsidRPr="00F77110">
        <w:t>pauž gandarījumu, ka Komisija devusi impulsu sadarbībai ar valstu konkurences iestādēm, kurām ir noteicoša loma un kuras šai nolūkā būtu jānodrošina ar vajadzīgajiem līdzekļiem;</w:t>
      </w:r>
    </w:p>
    <w:p w:rsidR="00DE59B3" w:rsidRPr="00F77110" w:rsidRDefault="00DE59B3" w:rsidP="00000CE8">
      <w:pPr>
        <w:numPr>
          <w:ilvl w:val="0"/>
          <w:numId w:val="4"/>
        </w:numPr>
        <w:ind w:left="1089"/>
      </w:pPr>
      <w:r w:rsidRPr="00F77110">
        <w:t>atbalsta izmaiņas valsts atbalsta noteikumos, kas ir pielāgoti tā, lai varētu atbalstīt inovatīvus uzņēmumus, piemēram, digitālajā jomā;</w:t>
      </w:r>
    </w:p>
    <w:p w:rsidR="00DE59B3" w:rsidRPr="00F77110" w:rsidRDefault="00DE59B3" w:rsidP="00000CE8">
      <w:pPr>
        <w:numPr>
          <w:ilvl w:val="0"/>
          <w:numId w:val="4"/>
        </w:numPr>
        <w:ind w:left="1089"/>
      </w:pPr>
      <w:r w:rsidRPr="00F77110">
        <w:t>vēlas, lai Komisija turpinātu darbu ar mērķi novērst fiskālos un sociālos šķēršļus, turklāt raugoties, lai tas neradītu nonivelēšanos līdz zemākam līmenim;</w:t>
      </w:r>
    </w:p>
    <w:p w:rsidR="00DE59B3" w:rsidRPr="00F77110" w:rsidRDefault="00DE59B3" w:rsidP="00000CE8">
      <w:pPr>
        <w:numPr>
          <w:ilvl w:val="0"/>
          <w:numId w:val="4"/>
        </w:numPr>
        <w:ind w:left="1089"/>
      </w:pPr>
      <w:r w:rsidRPr="00F77110">
        <w:t xml:space="preserve"> uzskata, ka enerģijas tirgus atvēršana jāīsteno tā, lai labumu gūtu individuālie patērētāji, kuriem nav reālu iespēju ietekmēt cenas;</w:t>
      </w:r>
    </w:p>
    <w:p w:rsidR="00DE59B3" w:rsidRPr="00F77110" w:rsidRDefault="00DE59B3" w:rsidP="00000CE8">
      <w:pPr>
        <w:numPr>
          <w:ilvl w:val="0"/>
          <w:numId w:val="4"/>
        </w:numPr>
        <w:ind w:left="1089"/>
      </w:pPr>
      <w:r w:rsidRPr="00F77110">
        <w:t>aicina darīt visu iespējamo, lai nodrošinātu brīvu piekļuvi digitālajai videi un tādējādi sekmētu lauku teritoriju ekonomikas attīstību;</w:t>
      </w:r>
    </w:p>
    <w:p w:rsidR="00DE59B3" w:rsidRPr="00F77110" w:rsidRDefault="00DE59B3" w:rsidP="00000CE8">
      <w:pPr>
        <w:numPr>
          <w:ilvl w:val="0"/>
          <w:numId w:val="4"/>
        </w:numPr>
        <w:ind w:left="1089"/>
      </w:pPr>
      <w:r w:rsidRPr="00F77110">
        <w:t>atgādina, ka obligāti jāuzrauga un jānovērtē īstenotie politiskie pasākumi.</w:t>
      </w:r>
    </w:p>
    <w:p w:rsidR="00DE59B3" w:rsidRPr="00F77110" w:rsidRDefault="00DE59B3" w:rsidP="00000CE8"/>
    <w:p w:rsidR="00DE59B3" w:rsidRPr="00F77110" w:rsidRDefault="00DE59B3" w:rsidP="00000CE8">
      <w:pPr>
        <w:rPr>
          <w:i/>
        </w:rPr>
      </w:pPr>
      <w:r w:rsidRPr="00F77110">
        <w:rPr>
          <w:b/>
          <w:i/>
        </w:rPr>
        <w:t>Kontaktpersona:</w:t>
      </w:r>
      <w:r w:rsidRPr="00F77110">
        <w:tab/>
      </w:r>
      <w:r w:rsidRPr="00F77110">
        <w:rPr>
          <w:i/>
        </w:rPr>
        <w:t xml:space="preserve">Alice </w:t>
      </w:r>
      <w:proofErr w:type="spellStart"/>
      <w:r w:rsidRPr="00F77110">
        <w:rPr>
          <w:i/>
        </w:rPr>
        <w:t>Tetu</w:t>
      </w:r>
      <w:proofErr w:type="spellEnd"/>
    </w:p>
    <w:p w:rsidR="00DE59B3" w:rsidRPr="00F77110" w:rsidRDefault="003E693F" w:rsidP="00000CE8">
      <w:pPr>
        <w:rPr>
          <w:i/>
        </w:rPr>
      </w:pPr>
      <w:r w:rsidRPr="00F77110">
        <w:tab/>
      </w:r>
      <w:r w:rsidRPr="00F77110">
        <w:tab/>
      </w:r>
      <w:r w:rsidRPr="00F77110">
        <w:rPr>
          <w:i/>
        </w:rPr>
        <w:t xml:space="preserve">(Tālr.:  00 32 2 546 82 86 – e-pasta adrese: </w:t>
      </w:r>
      <w:hyperlink r:id="rId37">
        <w:r w:rsidRPr="00F77110">
          <w:rPr>
            <w:rStyle w:val="Hyperlink"/>
            <w:i/>
          </w:rPr>
          <w:t>alice.tetu@eesc.europa.eu</w:t>
        </w:r>
      </w:hyperlink>
      <w:r w:rsidRPr="00F77110">
        <w:rPr>
          <w:i/>
        </w:rPr>
        <w:t>)</w:t>
      </w:r>
    </w:p>
    <w:p w:rsidR="00DE59B3" w:rsidRPr="00F77110" w:rsidRDefault="00DE59B3" w:rsidP="00000CE8">
      <w:pPr>
        <w:rPr>
          <w:sz w:val="16"/>
        </w:rPr>
      </w:pPr>
    </w:p>
    <w:p w:rsidR="0019516A" w:rsidRPr="00F77110" w:rsidRDefault="003E693F" w:rsidP="009D1C6F">
      <w:pPr>
        <w:spacing w:line="240" w:lineRule="auto"/>
        <w:jc w:val="left"/>
        <w:rPr>
          <w:u w:val="single"/>
        </w:rPr>
      </w:pPr>
      <w:r w:rsidRPr="00F77110">
        <w:br w:type="page"/>
      </w:r>
    </w:p>
    <w:p w:rsidR="001768E2" w:rsidRPr="00F77110" w:rsidRDefault="001768E2" w:rsidP="00BD4EB5">
      <w:pPr>
        <w:widowControl w:val="0"/>
        <w:numPr>
          <w:ilvl w:val="0"/>
          <w:numId w:val="47"/>
        </w:numPr>
        <w:ind w:left="360"/>
        <w:rPr>
          <w:i/>
        </w:rPr>
      </w:pPr>
      <w:r w:rsidRPr="00F77110">
        <w:rPr>
          <w:b/>
          <w:i/>
          <w:sz w:val="28"/>
        </w:rPr>
        <w:lastRenderedPageBreak/>
        <w:t>“Digitālā vienotā tirgus stratēģija”</w:t>
      </w:r>
    </w:p>
    <w:p w:rsidR="001768E2" w:rsidRPr="00F77110" w:rsidRDefault="001768E2" w:rsidP="00000CE8">
      <w:pPr>
        <w:widowControl w:val="0"/>
        <w:spacing w:line="240" w:lineRule="auto"/>
      </w:pPr>
    </w:p>
    <w:p w:rsidR="002D41B7" w:rsidRPr="00F77110" w:rsidRDefault="001768E2" w:rsidP="00000CE8">
      <w:r w:rsidRPr="00F77110">
        <w:rPr>
          <w:b/>
        </w:rPr>
        <w:t>Ziņotājs:</w:t>
      </w:r>
      <w:r w:rsidR="00FE1D2D" w:rsidRPr="00F77110">
        <w:tab/>
      </w:r>
      <w:proofErr w:type="spellStart"/>
      <w:r w:rsidRPr="00F77110">
        <w:t>Reymond</w:t>
      </w:r>
      <w:proofErr w:type="spellEnd"/>
      <w:r w:rsidRPr="00F77110">
        <w:t xml:space="preserve"> </w:t>
      </w:r>
      <w:proofErr w:type="spellStart"/>
      <w:r w:rsidRPr="00F77110">
        <w:t>Hencks</w:t>
      </w:r>
      <w:proofErr w:type="spellEnd"/>
      <w:r w:rsidRPr="00F77110">
        <w:t xml:space="preserve"> (Darba ņēmēju grupa – LU)</w:t>
      </w:r>
    </w:p>
    <w:p w:rsidR="002D41B7" w:rsidRPr="00F77110" w:rsidRDefault="002D41B7" w:rsidP="00000CE8"/>
    <w:p w:rsidR="001768E2" w:rsidRPr="00F77110" w:rsidRDefault="00681787" w:rsidP="00000CE8">
      <w:r w:rsidRPr="00F77110">
        <w:rPr>
          <w:b/>
        </w:rPr>
        <w:t>Līdzziņotājs:</w:t>
      </w:r>
      <w:r w:rsidRPr="00F77110">
        <w:tab/>
        <w:t xml:space="preserve">Thomas </w:t>
      </w:r>
      <w:proofErr w:type="spellStart"/>
      <w:r w:rsidRPr="00F77110">
        <w:t>McDonogh</w:t>
      </w:r>
      <w:proofErr w:type="spellEnd"/>
      <w:r w:rsidRPr="00F77110">
        <w:t xml:space="preserve"> (Darba devēju grupa – IE)</w:t>
      </w:r>
    </w:p>
    <w:p w:rsidR="002D41B7" w:rsidRPr="00F77110" w:rsidRDefault="002D41B7" w:rsidP="00000CE8"/>
    <w:p w:rsidR="001768E2" w:rsidRPr="00F77110" w:rsidRDefault="001768E2" w:rsidP="00FE1D2D">
      <w:pPr>
        <w:tabs>
          <w:tab w:val="num" w:pos="550"/>
          <w:tab w:val="left" w:pos="1418"/>
        </w:tabs>
      </w:pPr>
      <w:r w:rsidRPr="00F77110">
        <w:rPr>
          <w:b/>
        </w:rPr>
        <w:t>Atsauce:</w:t>
      </w:r>
      <w:r w:rsidR="00FE1D2D" w:rsidRPr="00F77110">
        <w:tab/>
      </w:r>
      <w:r w:rsidRPr="00F77110">
        <w:t xml:space="preserve">COM(2015) 192 </w:t>
      </w:r>
      <w:proofErr w:type="spellStart"/>
      <w:r w:rsidRPr="00F77110">
        <w:t>final</w:t>
      </w:r>
      <w:proofErr w:type="spellEnd"/>
      <w:r w:rsidRPr="00F77110">
        <w:rPr>
          <w:b/>
        </w:rPr>
        <w:t xml:space="preserve"> </w:t>
      </w:r>
      <w:r w:rsidRPr="00F77110">
        <w:tab/>
      </w:r>
      <w:r w:rsidRPr="00F77110">
        <w:tab/>
        <w:t>EESC-2015-03604-00-00-AC</w:t>
      </w:r>
    </w:p>
    <w:p w:rsidR="001768E2" w:rsidRPr="00F77110" w:rsidRDefault="001768E2" w:rsidP="00000CE8">
      <w:pPr>
        <w:jc w:val="left"/>
        <w:rPr>
          <w:sz w:val="16"/>
        </w:rPr>
      </w:pPr>
    </w:p>
    <w:p w:rsidR="001768E2" w:rsidRPr="00F77110" w:rsidRDefault="001768E2" w:rsidP="00BD4EB5">
      <w:pPr>
        <w:keepNext/>
      </w:pPr>
      <w:r w:rsidRPr="00F77110">
        <w:rPr>
          <w:b/>
        </w:rPr>
        <w:t>Galvenie jautājumi:</w:t>
      </w:r>
    </w:p>
    <w:p w:rsidR="001768E2" w:rsidRPr="00F77110" w:rsidRDefault="001768E2" w:rsidP="00BD4EB5">
      <w:pPr>
        <w:keepNext/>
        <w:widowControl w:val="0"/>
        <w:rPr>
          <w:highlight w:val="yellow"/>
          <w:u w:val="single"/>
        </w:rPr>
      </w:pPr>
    </w:p>
    <w:p w:rsidR="001768E2" w:rsidRPr="00F77110" w:rsidRDefault="001768E2" w:rsidP="00000CE8">
      <w:r w:rsidRPr="00F77110">
        <w:t xml:space="preserve">EESK atbalsta Eiropas digitālā vienotā tirgus stratēģiju, kuru ierosinājusi </w:t>
      </w:r>
      <w:proofErr w:type="spellStart"/>
      <w:r w:rsidRPr="00F77110">
        <w:t>Junkera</w:t>
      </w:r>
      <w:proofErr w:type="spellEnd"/>
      <w:r w:rsidRPr="00F77110">
        <w:t> </w:t>
      </w:r>
      <w:proofErr w:type="spellStart"/>
      <w:r w:rsidRPr="00F77110">
        <w:t>kga</w:t>
      </w:r>
      <w:proofErr w:type="spellEnd"/>
      <w:r w:rsidRPr="00F77110">
        <w:t xml:space="preserve"> vadītā Komisija un kas paplašina esošās </w:t>
      </w:r>
      <w:proofErr w:type="spellStart"/>
      <w:r w:rsidRPr="00F77110">
        <w:t>digitalizācijas</w:t>
      </w:r>
      <w:proofErr w:type="spellEnd"/>
      <w:r w:rsidRPr="00F77110">
        <w:t xml:space="preserve"> stratēģijas un programmas. Tās mērķi ir pārvarēt Eiropas digitālās politikas sadrumstalotību, ko rada 28 valstu digitālās stratēģijas un tirgi, un tos apvienot Eiropas pieejā, lai tādējādi nodrošinātu vadošo pozīciju globālajā digitālajā ekonomikā, kurā pašlaik dominē trešās valstis.</w:t>
      </w:r>
    </w:p>
    <w:p w:rsidR="001768E2" w:rsidRPr="00F77110" w:rsidRDefault="001768E2" w:rsidP="00000CE8">
      <w:pPr>
        <w:widowControl w:val="0"/>
        <w:ind w:left="-567"/>
        <w:rPr>
          <w:highlight w:val="yellow"/>
          <w:u w:val="single"/>
        </w:rPr>
      </w:pPr>
    </w:p>
    <w:p w:rsidR="001768E2" w:rsidRPr="00F77110" w:rsidRDefault="001768E2" w:rsidP="00000CE8">
      <w:r w:rsidRPr="00F77110">
        <w:t xml:space="preserve">EESK ir pārliecināta, ka Eiropas Savienība vēl var panākt nokavēto, jo tai ir izcilas prasmes un bagātīga pieredze atsevišķās digitālajās jomās. Šajā saistībā EESK uzsver, ka Eiropas pētniecības telpā ir svarīgi veidot daudznozaru pētniecības centrus un Eiropas sinerģiju tādās jomās kā </w:t>
      </w:r>
      <w:proofErr w:type="spellStart"/>
      <w:r w:rsidRPr="00F77110">
        <w:t>mākoņdatošana</w:t>
      </w:r>
      <w:proofErr w:type="spellEnd"/>
      <w:r w:rsidRPr="00F77110">
        <w:t xml:space="preserve">, </w:t>
      </w:r>
      <w:proofErr w:type="spellStart"/>
      <w:r w:rsidRPr="00F77110">
        <w:t>nanoelektronika</w:t>
      </w:r>
      <w:proofErr w:type="spellEnd"/>
      <w:r w:rsidRPr="00F77110">
        <w:t xml:space="preserve">, lielo datu uzglabāšana un apstrāde, attālinātas meklēšanas vai kontroles ierīces (savienotie objekti) un </w:t>
      </w:r>
      <w:proofErr w:type="spellStart"/>
      <w:r w:rsidRPr="00F77110">
        <w:t>viedpakalpojumi</w:t>
      </w:r>
      <w:proofErr w:type="spellEnd"/>
      <w:r w:rsidRPr="00F77110">
        <w:t>.</w:t>
      </w:r>
    </w:p>
    <w:p w:rsidR="001768E2" w:rsidRPr="00F77110" w:rsidRDefault="001768E2" w:rsidP="00000CE8">
      <w:pPr>
        <w:widowControl w:val="0"/>
        <w:ind w:left="-567"/>
        <w:rPr>
          <w:highlight w:val="yellow"/>
          <w:u w:val="single"/>
        </w:rPr>
      </w:pPr>
    </w:p>
    <w:p w:rsidR="001768E2" w:rsidRPr="00F77110" w:rsidRDefault="001768E2" w:rsidP="00000CE8">
      <w:r w:rsidRPr="00F77110">
        <w:t>EESK pauž nožēlu, ka digitālajā stratēģijā trūkst sociālās dimensijas (izņemot jautājumus par digitālajām prasmēm), lai gan pakalpojumu un uzņēmējdarbības modeļu attīstība rada būtiskas pārmaiņas darba vidē. EESK uzskata, ka līdztekus daudziem potenciāliem ieguvumiem ir jāņem vērā arī daudzie riski un problēmas, jo īpaši drošības, nodarbinātības organizēšanas un sociālā nodrošinājuma jomā. Turklāt digitālā vienotā tirgus stratēģijā ir jāņem vērā Līgumā paredzētās sociālā dialoga procedūras, kā arī horizontālā sociālā klauzula. EESK uzskata, ka sociālajai dimensijai, ar visām tās sekām nodarbinātības jomā, būtu jākļūst par Eiropas digitālā vienotā tirgus stratēģijas 4. pīlāru.</w:t>
      </w:r>
    </w:p>
    <w:p w:rsidR="001768E2" w:rsidRPr="00F77110" w:rsidRDefault="001768E2" w:rsidP="00000CE8"/>
    <w:p w:rsidR="001768E2" w:rsidRPr="00F77110" w:rsidRDefault="001768E2" w:rsidP="00000CE8">
      <w:pPr>
        <w:rPr>
          <w:i/>
        </w:rPr>
      </w:pPr>
      <w:r w:rsidRPr="00F77110">
        <w:rPr>
          <w:b/>
          <w:i/>
        </w:rPr>
        <w:footnoteReference w:customMarkFollows="1" w:id="1"/>
        <w:t>Kontaktpersona:</w:t>
      </w:r>
      <w:r w:rsidRPr="00F77110">
        <w:tab/>
      </w:r>
      <w:proofErr w:type="spellStart"/>
      <w:r w:rsidRPr="00F77110">
        <w:rPr>
          <w:i/>
        </w:rPr>
        <w:t>Luca</w:t>
      </w:r>
      <w:proofErr w:type="spellEnd"/>
      <w:r w:rsidRPr="00F77110">
        <w:rPr>
          <w:i/>
        </w:rPr>
        <w:t xml:space="preserve"> </w:t>
      </w:r>
      <w:proofErr w:type="spellStart"/>
      <w:r w:rsidRPr="00F77110">
        <w:rPr>
          <w:i/>
        </w:rPr>
        <w:t>Venerando</w:t>
      </w:r>
      <w:proofErr w:type="spellEnd"/>
      <w:r w:rsidRPr="00F77110">
        <w:rPr>
          <w:i/>
        </w:rPr>
        <w:t xml:space="preserve"> </w:t>
      </w:r>
      <w:proofErr w:type="spellStart"/>
      <w:r w:rsidRPr="00F77110">
        <w:rPr>
          <w:i/>
        </w:rPr>
        <w:t>Giuffrida</w:t>
      </w:r>
      <w:proofErr w:type="spellEnd"/>
    </w:p>
    <w:p w:rsidR="001768E2" w:rsidRPr="00F77110" w:rsidRDefault="00FE1D2D" w:rsidP="00FE1D2D">
      <w:pPr>
        <w:widowControl w:val="0"/>
        <w:jc w:val="left"/>
        <w:rPr>
          <w:i/>
        </w:rPr>
      </w:pPr>
      <w:r w:rsidRPr="00F77110">
        <w:tab/>
      </w:r>
      <w:r w:rsidR="003E693F" w:rsidRPr="00F77110">
        <w:rPr>
          <w:i/>
        </w:rPr>
        <w:t xml:space="preserve">(Tālr.: 00 32 2 546 92 12 – e-pasta adrese: </w:t>
      </w:r>
      <w:hyperlink r:id="rId38" w:history="1">
        <w:r w:rsidRPr="00F77110">
          <w:rPr>
            <w:rStyle w:val="Hyperlink"/>
            <w:i/>
          </w:rPr>
          <w:t>LucaVenerando.Giuffrida@eesc.europa.eu</w:t>
        </w:r>
      </w:hyperlink>
      <w:r w:rsidR="003E693F" w:rsidRPr="00F77110">
        <w:rPr>
          <w:i/>
        </w:rPr>
        <w:t>)</w:t>
      </w:r>
    </w:p>
    <w:p w:rsidR="001768E2" w:rsidRPr="00F77110" w:rsidRDefault="001768E2" w:rsidP="00000CE8">
      <w:pPr>
        <w:spacing w:line="240" w:lineRule="auto"/>
        <w:jc w:val="left"/>
        <w:rPr>
          <w:i/>
        </w:rPr>
      </w:pPr>
      <w:r w:rsidRPr="00F77110">
        <w:br w:type="page"/>
      </w:r>
    </w:p>
    <w:p w:rsidR="001768E2" w:rsidRPr="00F77110" w:rsidRDefault="007E6BCE" w:rsidP="00000CE8">
      <w:pPr>
        <w:keepNext/>
        <w:keepLines/>
        <w:numPr>
          <w:ilvl w:val="0"/>
          <w:numId w:val="2"/>
        </w:numPr>
        <w:ind w:hanging="720"/>
        <w:jc w:val="left"/>
        <w:outlineLvl w:val="0"/>
        <w:rPr>
          <w:b/>
          <w:sz w:val="28"/>
        </w:rPr>
      </w:pPr>
      <w:bookmarkStart w:id="9" w:name="_Toc437942486"/>
      <w:bookmarkStart w:id="10" w:name="_Toc440012209"/>
      <w:r w:rsidRPr="00F77110">
        <w:rPr>
          <w:b/>
          <w:sz w:val="28"/>
        </w:rPr>
        <w:lastRenderedPageBreak/>
        <w:t>IZGLĪTĪBA / NODARBINĀTĪBA</w:t>
      </w:r>
      <w:bookmarkEnd w:id="9"/>
      <w:bookmarkEnd w:id="10"/>
    </w:p>
    <w:p w:rsidR="00567A1B" w:rsidRPr="00F77110" w:rsidRDefault="00567A1B" w:rsidP="00000CE8">
      <w:pPr>
        <w:rPr>
          <w:b/>
          <w:highlight w:val="yellow"/>
          <w:u w:val="single"/>
        </w:rPr>
      </w:pPr>
    </w:p>
    <w:p w:rsidR="001768E2" w:rsidRPr="00F77110" w:rsidRDefault="001768E2" w:rsidP="00BD4EB5">
      <w:pPr>
        <w:widowControl w:val="0"/>
        <w:numPr>
          <w:ilvl w:val="0"/>
          <w:numId w:val="47"/>
        </w:numPr>
        <w:ind w:left="567" w:hanging="567"/>
        <w:rPr>
          <w:b/>
          <w:i/>
          <w:sz w:val="28"/>
        </w:rPr>
      </w:pPr>
      <w:r w:rsidRPr="00F77110">
        <w:rPr>
          <w:b/>
          <w:i/>
          <w:sz w:val="28"/>
        </w:rPr>
        <w:t>“Augstskolu līdzdalība Eiropas veidošanā” (pašiniciatīvas atzinums)</w:t>
      </w:r>
    </w:p>
    <w:p w:rsidR="001768E2" w:rsidRPr="00F77110" w:rsidRDefault="001768E2" w:rsidP="00BD4EB5">
      <w:pPr>
        <w:ind w:firstLine="17"/>
        <w:rPr>
          <w:highlight w:val="yellow"/>
        </w:rPr>
      </w:pPr>
    </w:p>
    <w:p w:rsidR="001768E2" w:rsidRPr="00F77110" w:rsidRDefault="001768E2" w:rsidP="00000CE8">
      <w:r w:rsidRPr="00F77110">
        <w:rPr>
          <w:b/>
        </w:rPr>
        <w:t>Ziņotājs:</w:t>
      </w:r>
      <w:r w:rsidRPr="00F77110">
        <w:tab/>
      </w:r>
      <w:proofErr w:type="spellStart"/>
      <w:r w:rsidRPr="00F77110">
        <w:t>Joost</w:t>
      </w:r>
      <w:proofErr w:type="spellEnd"/>
      <w:r w:rsidRPr="00F77110">
        <w:t xml:space="preserve"> </w:t>
      </w:r>
      <w:proofErr w:type="spellStart"/>
      <w:r w:rsidRPr="00F77110">
        <w:t>van</w:t>
      </w:r>
      <w:proofErr w:type="spellEnd"/>
      <w:r w:rsidRPr="00F77110">
        <w:t xml:space="preserve"> </w:t>
      </w:r>
      <w:proofErr w:type="spellStart"/>
      <w:r w:rsidRPr="00F77110">
        <w:t>Iersel</w:t>
      </w:r>
      <w:proofErr w:type="spellEnd"/>
      <w:r w:rsidRPr="00F77110">
        <w:t xml:space="preserve"> (Darba devēju grupa – NL)</w:t>
      </w:r>
    </w:p>
    <w:p w:rsidR="001768E2" w:rsidRPr="00F77110" w:rsidRDefault="001768E2" w:rsidP="00000CE8"/>
    <w:p w:rsidR="001768E2" w:rsidRPr="00F77110" w:rsidRDefault="001768E2" w:rsidP="00000CE8">
      <w:pPr>
        <w:ind w:left="-5"/>
      </w:pPr>
      <w:r w:rsidRPr="00F77110">
        <w:rPr>
          <w:b/>
        </w:rPr>
        <w:t>Atsauce:</w:t>
      </w:r>
      <w:r w:rsidRPr="00F77110">
        <w:tab/>
        <w:t>EESC-2015-02595-00-00-AC</w:t>
      </w:r>
    </w:p>
    <w:p w:rsidR="001768E2" w:rsidRPr="00F77110" w:rsidRDefault="001768E2" w:rsidP="00000CE8">
      <w:pPr>
        <w:tabs>
          <w:tab w:val="left" w:pos="0"/>
        </w:tabs>
        <w:ind w:left="364" w:hanging="369"/>
      </w:pPr>
    </w:p>
    <w:p w:rsidR="001768E2" w:rsidRPr="00F77110" w:rsidRDefault="001768E2" w:rsidP="00BD4EB5">
      <w:pPr>
        <w:keepNext/>
        <w:ind w:left="-6"/>
        <w:rPr>
          <w:b/>
        </w:rPr>
      </w:pPr>
      <w:r w:rsidRPr="00F77110">
        <w:rPr>
          <w:b/>
        </w:rPr>
        <w:t>Galvenie jautājumi:</w:t>
      </w:r>
    </w:p>
    <w:p w:rsidR="0019516A" w:rsidRPr="00F77110" w:rsidRDefault="0019516A" w:rsidP="00BD4EB5">
      <w:pPr>
        <w:keepNext/>
        <w:rPr>
          <w:b/>
          <w:highlight w:val="yellow"/>
          <w:u w:val="single"/>
        </w:rPr>
      </w:pPr>
    </w:p>
    <w:p w:rsidR="001768E2" w:rsidRPr="00F77110" w:rsidRDefault="001768E2" w:rsidP="00000CE8">
      <w:pPr>
        <w:numPr>
          <w:ilvl w:val="0"/>
          <w:numId w:val="4"/>
        </w:numPr>
        <w:ind w:left="1089"/>
      </w:pPr>
      <w:r w:rsidRPr="00F77110">
        <w:t>Eiropas nākotne ir atkarīga no mūsdienīgu zināšanu un talantīgu cilvēku pieejamības atvērtā un uz zināšanām balstītā sabiedrībā. Augstskolām šajā procesā ir būtiska nozīme.</w:t>
      </w:r>
    </w:p>
    <w:p w:rsidR="001768E2" w:rsidRPr="00F77110" w:rsidRDefault="001768E2" w:rsidP="00000CE8">
      <w:pPr>
        <w:numPr>
          <w:ilvl w:val="0"/>
          <w:numId w:val="4"/>
        </w:numPr>
        <w:ind w:left="1089"/>
      </w:pPr>
      <w:r w:rsidRPr="00F77110">
        <w:t>Dalībvalstīm un Eiropas Savienībai būtu jāvienojas par kompetences sadalīšanu un pilnvaru sadalījums būtu jāpilnveido, lai varētu izveidot Eiropas augstākās izglītības telpu. Tādi augstskolu veidi kā “uz pilsonisko līdzdalību orientēta augstskola” [</w:t>
      </w:r>
      <w:proofErr w:type="spellStart"/>
      <w:r w:rsidRPr="00F77110">
        <w:rPr>
          <w:i/>
        </w:rPr>
        <w:t>civic</w:t>
      </w:r>
      <w:proofErr w:type="spellEnd"/>
      <w:r w:rsidRPr="00F77110">
        <w:rPr>
          <w:i/>
        </w:rPr>
        <w:t xml:space="preserve"> </w:t>
      </w:r>
      <w:proofErr w:type="spellStart"/>
      <w:r w:rsidRPr="00F77110">
        <w:rPr>
          <w:i/>
        </w:rPr>
        <w:t>university</w:t>
      </w:r>
      <w:proofErr w:type="spellEnd"/>
      <w:r w:rsidRPr="00F77110">
        <w:t>] un “uz uzņēmējdarbību orientēta augstskola” [</w:t>
      </w:r>
      <w:proofErr w:type="spellStart"/>
      <w:r w:rsidRPr="00F77110">
        <w:rPr>
          <w:i/>
        </w:rPr>
        <w:t>entrepreneurial</w:t>
      </w:r>
      <w:proofErr w:type="spellEnd"/>
      <w:r w:rsidRPr="00F77110">
        <w:rPr>
          <w:i/>
        </w:rPr>
        <w:t xml:space="preserve"> </w:t>
      </w:r>
      <w:proofErr w:type="spellStart"/>
      <w:r w:rsidRPr="00F77110">
        <w:rPr>
          <w:i/>
        </w:rPr>
        <w:t>university</w:t>
      </w:r>
      <w:proofErr w:type="spellEnd"/>
      <w:r w:rsidRPr="00F77110">
        <w:t>] var būt ļoti noderīgi, lai varētu uzlabot augstākās izglītības kvalitāti.</w:t>
      </w:r>
    </w:p>
    <w:p w:rsidR="001768E2" w:rsidRPr="00F77110" w:rsidRDefault="001768E2" w:rsidP="00000CE8">
      <w:pPr>
        <w:numPr>
          <w:ilvl w:val="0"/>
          <w:numId w:val="4"/>
        </w:numPr>
        <w:ind w:left="1089"/>
      </w:pPr>
      <w:r w:rsidRPr="00F77110">
        <w:t>Pašreizējais stāvoklis liecina, ka, neskatoties uz panākto progresu, joprojām pastāv daudz šķēršļu un ierobežojumu, kas kavē efektīvu ES iesaistīšanos.</w:t>
      </w:r>
    </w:p>
    <w:p w:rsidR="001768E2" w:rsidRPr="00F77110" w:rsidRDefault="001768E2" w:rsidP="00000CE8">
      <w:pPr>
        <w:numPr>
          <w:ilvl w:val="0"/>
          <w:numId w:val="4"/>
        </w:numPr>
        <w:ind w:left="1089"/>
      </w:pPr>
      <w:r w:rsidRPr="00F77110">
        <w:t>EESK uzskata, ka Eiropas iestādēm ir jācenšas stimulēt un paātrināt Eiropas augstākās izglītības modernizāciju, kurai jāskar gan izglītošana, gan pētniecība un inovācija.</w:t>
      </w:r>
    </w:p>
    <w:p w:rsidR="001768E2" w:rsidRPr="00F77110" w:rsidRDefault="001768E2" w:rsidP="00000CE8">
      <w:pPr>
        <w:numPr>
          <w:ilvl w:val="0"/>
          <w:numId w:val="4"/>
        </w:numPr>
        <w:ind w:left="1089"/>
      </w:pPr>
      <w:r w:rsidRPr="00F77110">
        <w:t>Eiropas Komisijas uzdevums ir veicināt un paātrināt centienus, kuru mērķis ir pārveidot Eiropas augstskolas, lai tās kļūtu par vienu no izaugsmes un sociālās kohēzijas, kā arī sabiedrības labklājības nodrošināšanas virzītājspēkiem.</w:t>
      </w:r>
    </w:p>
    <w:p w:rsidR="001768E2" w:rsidRPr="00F77110" w:rsidRDefault="001768E2" w:rsidP="00000CE8">
      <w:pPr>
        <w:numPr>
          <w:ilvl w:val="0"/>
          <w:numId w:val="4"/>
        </w:numPr>
        <w:ind w:left="1089"/>
      </w:pPr>
      <w:r w:rsidRPr="00F77110">
        <w:t>Ar stratēģisku apspriešanos ES līmenī būtu jāpapildina valstu un augstskolu iekšējās un savstarpējās debates un projekti, lai varētu paaugstināt Eiropas augstākās izglītības iestāžu kvalitāti.</w:t>
      </w:r>
    </w:p>
    <w:p w:rsidR="001768E2" w:rsidRPr="00F77110" w:rsidRDefault="001768E2" w:rsidP="00000CE8">
      <w:pPr>
        <w:numPr>
          <w:ilvl w:val="0"/>
          <w:numId w:val="4"/>
        </w:numPr>
        <w:ind w:left="1089"/>
      </w:pPr>
      <w:r w:rsidRPr="00F77110">
        <w:t xml:space="preserve">EESK norāda, ka svarīgi ir nodrošināt augstākās izglītības iestāžu reālu autonomiju, </w:t>
      </w:r>
      <w:proofErr w:type="spellStart"/>
      <w:r w:rsidRPr="00F77110">
        <w:t>pārskatatbildību</w:t>
      </w:r>
      <w:proofErr w:type="spellEnd"/>
      <w:r w:rsidRPr="00F77110">
        <w:t xml:space="preserve"> un </w:t>
      </w:r>
      <w:proofErr w:type="spellStart"/>
      <w:r w:rsidRPr="00F77110">
        <w:t>pārredzamību</w:t>
      </w:r>
      <w:proofErr w:type="spellEnd"/>
      <w:r w:rsidRPr="00F77110">
        <w:t>, kas ir būtiski modernizācijas priekšnosacījumi.</w:t>
      </w:r>
    </w:p>
    <w:p w:rsidR="001768E2" w:rsidRPr="00F77110" w:rsidRDefault="001768E2" w:rsidP="00000CE8">
      <w:pPr>
        <w:numPr>
          <w:ilvl w:val="0"/>
          <w:numId w:val="4"/>
        </w:numPr>
        <w:ind w:left="1089"/>
      </w:pPr>
      <w:r w:rsidRPr="00F77110">
        <w:t>Augstskolām ir jābūt atvērtām pret sabiedrības vajadzībām un jāsadarbojas ar citām ieinteresētajām personām.</w:t>
      </w:r>
    </w:p>
    <w:p w:rsidR="001768E2" w:rsidRPr="00F77110" w:rsidRDefault="001768E2" w:rsidP="00000CE8">
      <w:pPr>
        <w:numPr>
          <w:ilvl w:val="0"/>
          <w:numId w:val="4"/>
        </w:numPr>
        <w:ind w:left="1089"/>
      </w:pPr>
      <w:r w:rsidRPr="00F77110">
        <w:t>Izglītošanas līmenim un pienācīgai sagatavotībai turpmākajam darbam arī turpmāk vajadzētu būt prioritātei neatkarīgi no (vislabākās) augstskolas specializācijas.</w:t>
      </w:r>
    </w:p>
    <w:p w:rsidR="001768E2" w:rsidRPr="00F77110" w:rsidRDefault="001768E2" w:rsidP="00000CE8">
      <w:pPr>
        <w:numPr>
          <w:ilvl w:val="0"/>
          <w:numId w:val="4"/>
        </w:numPr>
        <w:ind w:left="1089"/>
      </w:pPr>
      <w:r w:rsidRPr="00F77110">
        <w:t>Komisijai būtu jāstimulē pārrobežu savstarpējās bagātināšanās projekti, kuros piedalās augstskolas, pasniedzēji un studenti, kā arī jāveicina atvērtība pasaulei.</w:t>
      </w:r>
    </w:p>
    <w:p w:rsidR="001768E2" w:rsidRPr="00F77110" w:rsidRDefault="001768E2" w:rsidP="00000CE8">
      <w:pPr>
        <w:tabs>
          <w:tab w:val="left" w:pos="770"/>
        </w:tabs>
        <w:ind w:left="1430" w:hanging="1430"/>
        <w:rPr>
          <w:b/>
          <w:i/>
        </w:rPr>
      </w:pPr>
    </w:p>
    <w:p w:rsidR="001768E2" w:rsidRPr="00F77110" w:rsidRDefault="00DE59B3" w:rsidP="00000CE8">
      <w:pPr>
        <w:tabs>
          <w:tab w:val="left" w:pos="770"/>
        </w:tabs>
        <w:ind w:left="1430" w:hanging="1430"/>
        <w:rPr>
          <w:i/>
        </w:rPr>
      </w:pPr>
      <w:r w:rsidRPr="00F77110">
        <w:rPr>
          <w:b/>
          <w:i/>
        </w:rPr>
        <w:t>Kontaktpersona:</w:t>
      </w:r>
      <w:r w:rsidRPr="00F77110">
        <w:tab/>
      </w:r>
      <w:r w:rsidRPr="00F77110">
        <w:rPr>
          <w:i/>
        </w:rPr>
        <w:t>Irina Fomina</w:t>
      </w:r>
    </w:p>
    <w:p w:rsidR="001768E2" w:rsidRPr="00F77110" w:rsidRDefault="00307A61" w:rsidP="00000CE8">
      <w:pPr>
        <w:rPr>
          <w:b/>
          <w:highlight w:val="yellow"/>
          <w:u w:val="single"/>
        </w:rPr>
      </w:pPr>
      <w:r w:rsidRPr="00F77110">
        <w:tab/>
      </w:r>
      <w:r w:rsidRPr="00F77110">
        <w:tab/>
      </w:r>
      <w:r w:rsidRPr="00F77110">
        <w:rPr>
          <w:i/>
        </w:rPr>
        <w:t xml:space="preserve">(Tālr.: 00 32 2 546 80 91 – e-pasta adrese:  </w:t>
      </w:r>
      <w:hyperlink r:id="rId39">
        <w:r w:rsidRPr="00F77110">
          <w:rPr>
            <w:rStyle w:val="Hyperlink"/>
            <w:i/>
          </w:rPr>
          <w:t>irina.fomina@eesc.europa.eu</w:t>
        </w:r>
      </w:hyperlink>
      <w:r w:rsidRPr="00F77110">
        <w:rPr>
          <w:i/>
        </w:rPr>
        <w:t>)</w:t>
      </w:r>
    </w:p>
    <w:p w:rsidR="002D41B7" w:rsidRPr="00F77110" w:rsidRDefault="002D41B7" w:rsidP="00000CE8">
      <w:pPr>
        <w:spacing w:line="240" w:lineRule="auto"/>
        <w:jc w:val="left"/>
      </w:pPr>
      <w:r w:rsidRPr="00F77110">
        <w:br w:type="page"/>
      </w:r>
    </w:p>
    <w:p w:rsidR="005D652A" w:rsidRPr="00F77110" w:rsidRDefault="007E6BCE" w:rsidP="00000CE8">
      <w:pPr>
        <w:keepNext/>
        <w:keepLines/>
        <w:numPr>
          <w:ilvl w:val="0"/>
          <w:numId w:val="2"/>
        </w:numPr>
        <w:ind w:hanging="720"/>
        <w:jc w:val="left"/>
        <w:outlineLvl w:val="0"/>
        <w:rPr>
          <w:b/>
          <w:sz w:val="28"/>
        </w:rPr>
      </w:pPr>
      <w:bookmarkStart w:id="11" w:name="_Toc437942487"/>
      <w:bookmarkStart w:id="12" w:name="_Toc440012210"/>
      <w:r w:rsidRPr="00F77110">
        <w:rPr>
          <w:b/>
          <w:sz w:val="28"/>
        </w:rPr>
        <w:lastRenderedPageBreak/>
        <w:t>ENERĢĒTIKA</w:t>
      </w:r>
      <w:bookmarkEnd w:id="11"/>
      <w:bookmarkEnd w:id="12"/>
    </w:p>
    <w:p w:rsidR="003D05FE" w:rsidRPr="00F77110" w:rsidRDefault="003D05FE" w:rsidP="00000CE8">
      <w:pPr>
        <w:rPr>
          <w:b/>
          <w:highlight w:val="yellow"/>
          <w:u w:val="single"/>
        </w:rPr>
      </w:pPr>
    </w:p>
    <w:p w:rsidR="003D05FE" w:rsidRPr="00F77110" w:rsidRDefault="003D05FE" w:rsidP="00000CE8">
      <w:pPr>
        <w:numPr>
          <w:ilvl w:val="0"/>
          <w:numId w:val="3"/>
        </w:numPr>
        <w:rPr>
          <w:b/>
          <w:i/>
          <w:sz w:val="28"/>
        </w:rPr>
      </w:pPr>
      <w:r w:rsidRPr="00F77110">
        <w:rPr>
          <w:b/>
          <w:i/>
          <w:sz w:val="28"/>
        </w:rPr>
        <w:t xml:space="preserve">“Vietējo ogļu un </w:t>
      </w:r>
      <w:proofErr w:type="spellStart"/>
      <w:r w:rsidRPr="00F77110">
        <w:rPr>
          <w:b/>
          <w:i/>
          <w:sz w:val="28"/>
        </w:rPr>
        <w:t>lignīta</w:t>
      </w:r>
      <w:proofErr w:type="spellEnd"/>
      <w:r w:rsidRPr="00F77110">
        <w:rPr>
          <w:b/>
          <w:i/>
          <w:sz w:val="28"/>
        </w:rPr>
        <w:t xml:space="preserve"> resursu ieguldījums ES energoapgādes drošībā” (pašiniciatīvas atzinums)</w:t>
      </w:r>
    </w:p>
    <w:p w:rsidR="00307A61" w:rsidRPr="00F77110" w:rsidRDefault="00307A61" w:rsidP="00000CE8">
      <w:pPr>
        <w:rPr>
          <w:b/>
        </w:rPr>
      </w:pPr>
    </w:p>
    <w:p w:rsidR="00307A61" w:rsidRPr="00F77110" w:rsidRDefault="00307A61" w:rsidP="00000CE8">
      <w:r w:rsidRPr="00F77110">
        <w:rPr>
          <w:b/>
        </w:rPr>
        <w:t>Ziņotājs:</w:t>
      </w:r>
      <w:r w:rsidR="00FE1D2D" w:rsidRPr="00F77110">
        <w:tab/>
      </w:r>
      <w:proofErr w:type="spellStart"/>
      <w:r w:rsidRPr="00F77110">
        <w:t>Dimitru</w:t>
      </w:r>
      <w:proofErr w:type="spellEnd"/>
      <w:r w:rsidRPr="00F77110">
        <w:t xml:space="preserve"> </w:t>
      </w:r>
      <w:proofErr w:type="spellStart"/>
      <w:r w:rsidRPr="00F77110">
        <w:t>Fornea</w:t>
      </w:r>
      <w:proofErr w:type="spellEnd"/>
      <w:r w:rsidRPr="00F77110">
        <w:rPr>
          <w:b/>
        </w:rPr>
        <w:t xml:space="preserve"> </w:t>
      </w:r>
      <w:r w:rsidRPr="00F77110">
        <w:t>(Darba ņēmēju grupa – RO)</w:t>
      </w:r>
    </w:p>
    <w:p w:rsidR="00307A61" w:rsidRPr="00F77110" w:rsidRDefault="00307A61" w:rsidP="00000CE8"/>
    <w:p w:rsidR="00307A61" w:rsidRPr="00F77110" w:rsidRDefault="00307A61" w:rsidP="00000CE8">
      <w:r w:rsidRPr="00F77110">
        <w:rPr>
          <w:b/>
        </w:rPr>
        <w:t>Līdzziņotāja:</w:t>
      </w:r>
      <w:r w:rsidRPr="00F77110">
        <w:tab/>
        <w:t xml:space="preserve">Renata </w:t>
      </w:r>
      <w:proofErr w:type="spellStart"/>
      <w:r w:rsidRPr="00F77110">
        <w:t>Eisenvortova</w:t>
      </w:r>
      <w:proofErr w:type="spellEnd"/>
      <w:r w:rsidRPr="00F77110">
        <w:t xml:space="preserve"> (1. </w:t>
      </w:r>
      <w:proofErr w:type="spellStart"/>
      <w:r w:rsidRPr="00F77110">
        <w:t>kat</w:t>
      </w:r>
      <w:proofErr w:type="spellEnd"/>
      <w:r w:rsidRPr="00F77110">
        <w:t>. – CZ)</w:t>
      </w:r>
    </w:p>
    <w:p w:rsidR="00307A61" w:rsidRPr="00F77110" w:rsidRDefault="00307A61" w:rsidP="00000CE8">
      <w:pPr>
        <w:tabs>
          <w:tab w:val="left" w:pos="0"/>
        </w:tabs>
        <w:ind w:left="364" w:hanging="369"/>
      </w:pPr>
    </w:p>
    <w:p w:rsidR="00307A61" w:rsidRPr="00F77110" w:rsidRDefault="00307A61" w:rsidP="00000CE8">
      <w:pPr>
        <w:ind w:left="-5"/>
      </w:pPr>
      <w:r w:rsidRPr="00F77110">
        <w:rPr>
          <w:b/>
        </w:rPr>
        <w:t>Atsauce:</w:t>
      </w:r>
      <w:r w:rsidRPr="00F77110">
        <w:tab/>
        <w:t>EESC-2015-01360-00-00-AC</w:t>
      </w:r>
    </w:p>
    <w:p w:rsidR="00307A61" w:rsidRPr="00F77110" w:rsidRDefault="00307A61" w:rsidP="00000CE8">
      <w:pPr>
        <w:tabs>
          <w:tab w:val="left" w:pos="0"/>
        </w:tabs>
        <w:ind w:left="364" w:hanging="369"/>
      </w:pPr>
    </w:p>
    <w:p w:rsidR="00307A61" w:rsidRPr="00F77110" w:rsidRDefault="00307A61" w:rsidP="00000CE8">
      <w:pPr>
        <w:ind w:left="-5"/>
        <w:rPr>
          <w:b/>
        </w:rPr>
      </w:pPr>
      <w:r w:rsidRPr="00F77110">
        <w:rPr>
          <w:b/>
        </w:rPr>
        <w:t>Galvenie jautājumi:</w:t>
      </w:r>
    </w:p>
    <w:p w:rsidR="003D05FE" w:rsidRPr="00F77110" w:rsidRDefault="003D05FE" w:rsidP="00BD4EB5">
      <w:pPr>
        <w:keepNext/>
        <w:rPr>
          <w:b/>
          <w:highlight w:val="yellow"/>
          <w:u w:val="single"/>
        </w:rPr>
      </w:pPr>
    </w:p>
    <w:p w:rsidR="003D05FE" w:rsidRPr="00F77110" w:rsidRDefault="003D05FE" w:rsidP="00000CE8">
      <w:r w:rsidRPr="00F77110">
        <w:t xml:space="preserve">EESK iesaka </w:t>
      </w:r>
      <w:r w:rsidRPr="00F77110">
        <w:rPr>
          <w:b/>
        </w:rPr>
        <w:t>uz</w:t>
      </w:r>
      <w:r w:rsidRPr="00F77110">
        <w:t xml:space="preserve"> </w:t>
      </w:r>
      <w:r w:rsidRPr="00F77110">
        <w:rPr>
          <w:b/>
        </w:rPr>
        <w:t>ES energoresursu struktūru raudzīties reālistiski un pragmatiski</w:t>
      </w:r>
      <w:r w:rsidRPr="00F77110">
        <w:t xml:space="preserve">. Drošai energoapgādei, kas atbalsta dzīvotspējīgu ekonomiku un pasargā no enerģētiskās nabadzības, ir vajadzīga daudzveidīga energoresursu struktūra ar pieejamām cenām. Visi energoresursi, ja tos izmanto videi nekaitīgā veidā, var būt ietverti </w:t>
      </w:r>
      <w:r w:rsidRPr="00F77110">
        <w:rPr>
          <w:b/>
        </w:rPr>
        <w:t>tehnoloģiski neitrālā risinājumā</w:t>
      </w:r>
      <w:r w:rsidRPr="00F77110">
        <w:t>.</w:t>
      </w:r>
    </w:p>
    <w:p w:rsidR="003D05FE" w:rsidRPr="00F77110" w:rsidRDefault="003D05FE" w:rsidP="00000CE8"/>
    <w:p w:rsidR="003D05FE" w:rsidRPr="00F77110" w:rsidRDefault="003D05FE" w:rsidP="00000CE8">
      <w:r w:rsidRPr="00F77110">
        <w:t xml:space="preserve">Izmantojot vietējās akmeņogles un </w:t>
      </w:r>
      <w:proofErr w:type="spellStart"/>
      <w:r w:rsidRPr="00F77110">
        <w:t>lignītu</w:t>
      </w:r>
      <w:proofErr w:type="spellEnd"/>
      <w:r w:rsidRPr="00F77110">
        <w:t xml:space="preserve">, iespējams </w:t>
      </w:r>
      <w:r w:rsidRPr="00F77110">
        <w:rPr>
          <w:b/>
        </w:rPr>
        <w:t>samazināt gan atkarību no enerģijas importa, gan enerģijas izmaksas</w:t>
      </w:r>
      <w:r w:rsidRPr="00F77110">
        <w:t xml:space="preserve">. Ogļu ieguve nodrošina </w:t>
      </w:r>
      <w:r w:rsidRPr="00F77110">
        <w:rPr>
          <w:b/>
        </w:rPr>
        <w:t>kvalificētas darbvietas</w:t>
      </w:r>
      <w:r w:rsidRPr="00F77110">
        <w:t xml:space="preserve"> un veicina </w:t>
      </w:r>
      <w:r w:rsidRPr="00F77110">
        <w:rPr>
          <w:b/>
        </w:rPr>
        <w:t xml:space="preserve">kalnrūpniecības </w:t>
      </w:r>
      <w:r w:rsidRPr="00F77110">
        <w:t>attīstību.</w:t>
      </w:r>
    </w:p>
    <w:p w:rsidR="003D05FE" w:rsidRPr="00F77110" w:rsidRDefault="003D05FE" w:rsidP="00000CE8"/>
    <w:p w:rsidR="003D05FE" w:rsidRPr="00F77110" w:rsidRDefault="003D05FE" w:rsidP="00000CE8">
      <w:r w:rsidRPr="00F77110">
        <w:t xml:space="preserve">EESK iesaka Eiropas Komisijai ziņot </w:t>
      </w:r>
      <w:r w:rsidRPr="00F77110">
        <w:rPr>
          <w:b/>
        </w:rPr>
        <w:t>par vietējās enerģijas ražošanas īpatsvaru dalībvalstu energoresursu struktūrās</w:t>
      </w:r>
      <w:r w:rsidRPr="00F77110">
        <w:t>.</w:t>
      </w:r>
    </w:p>
    <w:p w:rsidR="003D05FE" w:rsidRPr="00F77110" w:rsidRDefault="003D05FE" w:rsidP="00000CE8">
      <w:pPr>
        <w:rPr>
          <w:rFonts w:eastAsia="SimSun"/>
        </w:rPr>
      </w:pPr>
    </w:p>
    <w:p w:rsidR="003D05FE" w:rsidRPr="00F77110" w:rsidRDefault="003D05FE" w:rsidP="00000CE8">
      <w:r w:rsidRPr="00F77110">
        <w:t xml:space="preserve">EESK arī iesaka, </w:t>
      </w:r>
      <w:r w:rsidRPr="00F77110">
        <w:rPr>
          <w:b/>
        </w:rPr>
        <w:t xml:space="preserve">ka jaudas rezerves samazināts nomināls </w:t>
      </w:r>
      <w:r w:rsidRPr="00F77110">
        <w:t xml:space="preserve">būtu jāaprēķina </w:t>
      </w:r>
      <w:r w:rsidRPr="00F77110">
        <w:rPr>
          <w:b/>
        </w:rPr>
        <w:t>attiecībā uz katras dalībvalsts elektroenerģijas nozari</w:t>
      </w:r>
      <w:r w:rsidRPr="00F77110">
        <w:t>.</w:t>
      </w:r>
    </w:p>
    <w:p w:rsidR="003D05FE" w:rsidRPr="00F77110" w:rsidRDefault="003D05FE" w:rsidP="00000CE8"/>
    <w:p w:rsidR="003D05FE" w:rsidRPr="00F77110" w:rsidRDefault="003D05FE" w:rsidP="00000CE8">
      <w:r w:rsidRPr="00F77110">
        <w:t xml:space="preserve">EESK iesaka </w:t>
      </w:r>
      <w:r w:rsidRPr="00F77110">
        <w:rPr>
          <w:b/>
        </w:rPr>
        <w:t>“Plānu par atbalstu kopienām, kuras ir atkarīgas no ogļu ražošanas”</w:t>
      </w:r>
      <w:r w:rsidRPr="00F77110">
        <w:t>.</w:t>
      </w:r>
    </w:p>
    <w:p w:rsidR="003D05FE" w:rsidRPr="00F77110" w:rsidRDefault="003D05FE" w:rsidP="00000CE8"/>
    <w:p w:rsidR="003D05FE" w:rsidRPr="00F77110" w:rsidRDefault="003D05FE" w:rsidP="00000CE8">
      <w:r w:rsidRPr="00F77110">
        <w:t>EESK iesaka programmas</w:t>
      </w:r>
      <w:r w:rsidRPr="00F77110">
        <w:rPr>
          <w:b/>
        </w:rPr>
        <w:t xml:space="preserve"> “Apvārsnis 2020”</w:t>
      </w:r>
      <w:r w:rsidRPr="00F77110">
        <w:t xml:space="preserve"> prioritātēs pētniecības un inovācijas jomā iekļaut enerģētikas </w:t>
      </w:r>
      <w:r w:rsidRPr="00F77110">
        <w:rPr>
          <w:b/>
        </w:rPr>
        <w:t>tehnoloģijas, kas uzlabo enerģētisko drošību un efektivitāti.</w:t>
      </w:r>
    </w:p>
    <w:p w:rsidR="003D05FE" w:rsidRPr="00F77110" w:rsidRDefault="003D05FE" w:rsidP="00000CE8"/>
    <w:p w:rsidR="003D05FE" w:rsidRPr="00F77110" w:rsidRDefault="003D05FE" w:rsidP="00000CE8">
      <w:r w:rsidRPr="00F77110">
        <w:t xml:space="preserve">Lai paātrinātu pāreju uz </w:t>
      </w:r>
      <w:r w:rsidRPr="00F77110">
        <w:rPr>
          <w:b/>
        </w:rPr>
        <w:t>ekonomiku ar zemu oglekļa dioksīda emisiju līmeni</w:t>
      </w:r>
      <w:r w:rsidRPr="00F77110">
        <w:t>, EESK iesaka triju posmu stratēģiju:</w:t>
      </w:r>
    </w:p>
    <w:p w:rsidR="003D05FE" w:rsidRPr="00F77110" w:rsidRDefault="003D05FE" w:rsidP="00000CE8"/>
    <w:p w:rsidR="003D05FE" w:rsidRPr="00F77110" w:rsidRDefault="003D05FE" w:rsidP="00000CE8">
      <w:pPr>
        <w:numPr>
          <w:ilvl w:val="0"/>
          <w:numId w:val="4"/>
        </w:numPr>
        <w:ind w:left="1089"/>
      </w:pPr>
      <w:r w:rsidRPr="00F77110">
        <w:t>vecāko ogļu elektrostaciju nomaiņa un modernizācija, lai paaugstinātu efektivitāti un samazinātu kurināmā patēriņu un emisijas;</w:t>
      </w:r>
    </w:p>
    <w:p w:rsidR="003D05FE" w:rsidRPr="00F77110" w:rsidRDefault="003D05FE" w:rsidP="00000CE8">
      <w:pPr>
        <w:numPr>
          <w:ilvl w:val="0"/>
          <w:numId w:val="4"/>
        </w:numPr>
        <w:ind w:left="1089"/>
      </w:pPr>
      <w:r w:rsidRPr="00F77110">
        <w:t>turpmāki pētniecības un izstrādes pasākumi attiecībā uz augsti efektīvām nākamās paaudzes ogļu elektrostacijām ar zemu oglekļa dioksīda emisiju līmeni, kuras var elastīgi papildināt enerģijas ražošanu no atjaunojamiem energoresursiem;</w:t>
      </w:r>
    </w:p>
    <w:p w:rsidR="003D05FE" w:rsidRPr="00F77110" w:rsidRDefault="003D05FE" w:rsidP="00000CE8">
      <w:pPr>
        <w:numPr>
          <w:ilvl w:val="0"/>
          <w:numId w:val="4"/>
        </w:numPr>
        <w:ind w:left="1089"/>
      </w:pPr>
      <w:r w:rsidRPr="00F77110">
        <w:lastRenderedPageBreak/>
        <w:t>CO2 uztveršanas un uzglabāšanas demonstrēšana un ieviešana, lai šo tehnoloģisko procesu kopumu padarītu par konkurētspējīgu drošas, zema oglekļa dioksīda emisiju līmeņa elektroenerģijas ražošanai no oglēm.</w:t>
      </w:r>
    </w:p>
    <w:p w:rsidR="003D05FE" w:rsidRPr="00F77110" w:rsidRDefault="003D05FE" w:rsidP="00000CE8">
      <w:pPr>
        <w:ind w:left="-567"/>
      </w:pPr>
    </w:p>
    <w:p w:rsidR="003D05FE" w:rsidRPr="00F77110" w:rsidRDefault="003D05FE" w:rsidP="00000CE8">
      <w:pPr>
        <w:rPr>
          <w:i/>
        </w:rPr>
      </w:pPr>
      <w:r w:rsidRPr="00F77110">
        <w:rPr>
          <w:b/>
          <w:i/>
        </w:rPr>
        <w:t>Kontaktpersona:</w:t>
      </w:r>
      <w:r w:rsidR="00FE1D2D" w:rsidRPr="00F77110">
        <w:rPr>
          <w:b/>
          <w:i/>
        </w:rPr>
        <w:tab/>
      </w:r>
      <w:proofErr w:type="spellStart"/>
      <w:r w:rsidRPr="00F77110">
        <w:rPr>
          <w:i/>
        </w:rPr>
        <w:t>Adam</w:t>
      </w:r>
      <w:proofErr w:type="spellEnd"/>
      <w:r w:rsidRPr="00F77110">
        <w:rPr>
          <w:i/>
        </w:rPr>
        <w:t xml:space="preserve"> </w:t>
      </w:r>
      <w:proofErr w:type="spellStart"/>
      <w:r w:rsidRPr="00F77110">
        <w:rPr>
          <w:i/>
        </w:rPr>
        <w:t>Plezer</w:t>
      </w:r>
      <w:proofErr w:type="spellEnd"/>
    </w:p>
    <w:p w:rsidR="003D05FE" w:rsidRPr="00F77110" w:rsidRDefault="006F0D9E" w:rsidP="00000CE8">
      <w:pPr>
        <w:rPr>
          <w:i/>
        </w:rPr>
      </w:pPr>
      <w:r w:rsidRPr="00F77110">
        <w:tab/>
      </w:r>
      <w:r w:rsidRPr="00F77110">
        <w:tab/>
      </w:r>
      <w:r w:rsidRPr="00F77110">
        <w:rPr>
          <w:i/>
        </w:rPr>
        <w:t xml:space="preserve">(Tālr.: 00 32 2 546 86 28 </w:t>
      </w:r>
      <w:r w:rsidR="00FE1D2D" w:rsidRPr="00F77110">
        <w:rPr>
          <w:i/>
        </w:rPr>
        <w:t>– e-pasta adrese:</w:t>
      </w:r>
      <w:r w:rsidRPr="00F77110">
        <w:rPr>
          <w:i/>
        </w:rPr>
        <w:t xml:space="preserve"> </w:t>
      </w:r>
      <w:hyperlink r:id="rId40">
        <w:r w:rsidRPr="00F77110">
          <w:rPr>
            <w:rStyle w:val="Hyperlink"/>
            <w:i/>
          </w:rPr>
          <w:t>Adam.Plezer@eesc.europa.eu</w:t>
        </w:r>
      </w:hyperlink>
      <w:r w:rsidRPr="00F77110">
        <w:rPr>
          <w:i/>
        </w:rPr>
        <w:t>)</w:t>
      </w:r>
    </w:p>
    <w:p w:rsidR="00DE59B3" w:rsidRPr="00F77110" w:rsidRDefault="00DE59B3" w:rsidP="00000CE8">
      <w:pPr>
        <w:spacing w:line="240" w:lineRule="auto"/>
        <w:jc w:val="left"/>
      </w:pPr>
      <w:r w:rsidRPr="00F77110">
        <w:br w:type="page"/>
      </w:r>
    </w:p>
    <w:p w:rsidR="00900EA0" w:rsidRPr="00F77110" w:rsidRDefault="00900EA0" w:rsidP="00000CE8">
      <w:pPr>
        <w:keepNext/>
        <w:keepLines/>
        <w:numPr>
          <w:ilvl w:val="0"/>
          <w:numId w:val="2"/>
        </w:numPr>
        <w:ind w:hanging="720"/>
        <w:jc w:val="left"/>
        <w:outlineLvl w:val="0"/>
        <w:rPr>
          <w:b/>
          <w:sz w:val="28"/>
        </w:rPr>
      </w:pPr>
      <w:bookmarkStart w:id="13" w:name="_Toc437942488"/>
      <w:bookmarkStart w:id="14" w:name="_Toc440012211"/>
      <w:r w:rsidRPr="00F77110">
        <w:rPr>
          <w:b/>
          <w:sz w:val="28"/>
        </w:rPr>
        <w:lastRenderedPageBreak/>
        <w:t>RŪPNIECĪBA / INOVĀCIJA</w:t>
      </w:r>
      <w:bookmarkEnd w:id="13"/>
      <w:bookmarkEnd w:id="14"/>
    </w:p>
    <w:p w:rsidR="00DE59B3" w:rsidRPr="00F77110" w:rsidRDefault="00DE59B3" w:rsidP="00BD4EB5">
      <w:pPr>
        <w:keepNext/>
        <w:rPr>
          <w:b/>
          <w:u w:val="single"/>
        </w:rPr>
      </w:pPr>
    </w:p>
    <w:p w:rsidR="00DE59B3" w:rsidRPr="00F77110" w:rsidRDefault="00DE59B3" w:rsidP="00000CE8">
      <w:pPr>
        <w:numPr>
          <w:ilvl w:val="0"/>
          <w:numId w:val="3"/>
        </w:numPr>
        <w:rPr>
          <w:b/>
          <w:i/>
          <w:sz w:val="28"/>
        </w:rPr>
      </w:pPr>
      <w:r w:rsidRPr="00F77110">
        <w:rPr>
          <w:b/>
          <w:i/>
          <w:sz w:val="28"/>
        </w:rPr>
        <w:t xml:space="preserve">“Inženieru loma Eiropas </w:t>
      </w:r>
      <w:proofErr w:type="spellStart"/>
      <w:r w:rsidRPr="00F77110">
        <w:rPr>
          <w:b/>
          <w:i/>
          <w:sz w:val="28"/>
        </w:rPr>
        <w:t>reindustrializācijā</w:t>
      </w:r>
      <w:proofErr w:type="spellEnd"/>
      <w:r w:rsidRPr="00F77110">
        <w:rPr>
          <w:b/>
          <w:i/>
          <w:sz w:val="28"/>
        </w:rPr>
        <w:t>” (pašiniciatīvas atzinums)</w:t>
      </w:r>
    </w:p>
    <w:p w:rsidR="00DE59B3" w:rsidRPr="00F77110" w:rsidRDefault="00DE59B3" w:rsidP="00000CE8">
      <w:pPr>
        <w:ind w:left="-39"/>
        <w:rPr>
          <w:b/>
          <w:i/>
        </w:rPr>
      </w:pPr>
    </w:p>
    <w:p w:rsidR="00DE59B3" w:rsidRPr="00F77110" w:rsidRDefault="00DE59B3" w:rsidP="00000CE8">
      <w:pPr>
        <w:rPr>
          <w:b/>
          <w:vertAlign w:val="superscript"/>
        </w:rPr>
      </w:pPr>
      <w:r w:rsidRPr="00F77110">
        <w:rPr>
          <w:b/>
        </w:rPr>
        <w:t>Ziņotājs:</w:t>
      </w:r>
      <w:r w:rsidR="00FE1D2D" w:rsidRPr="00F77110">
        <w:tab/>
      </w:r>
      <w:proofErr w:type="spellStart"/>
      <w:r w:rsidRPr="00F77110">
        <w:t>Antonnello</w:t>
      </w:r>
      <w:proofErr w:type="spellEnd"/>
      <w:r w:rsidRPr="00F77110">
        <w:t xml:space="preserve"> </w:t>
      </w:r>
      <w:r w:rsidRPr="00F77110">
        <w:rPr>
          <w:color w:val="00000A"/>
        </w:rPr>
        <w:t>Pezzini (Darba devēju grupa – IT)</w:t>
      </w:r>
    </w:p>
    <w:p w:rsidR="006F0D9E" w:rsidRPr="00F77110" w:rsidRDefault="006F0D9E" w:rsidP="00000CE8">
      <w:pPr>
        <w:rPr>
          <w:b/>
        </w:rPr>
      </w:pPr>
    </w:p>
    <w:p w:rsidR="00DE59B3" w:rsidRPr="00F77110" w:rsidRDefault="00DE59B3" w:rsidP="00FE1D2D">
      <w:pPr>
        <w:tabs>
          <w:tab w:val="left" w:pos="1418"/>
        </w:tabs>
      </w:pPr>
      <w:r w:rsidRPr="00F77110">
        <w:rPr>
          <w:b/>
        </w:rPr>
        <w:t>Līdzziņotājs:</w:t>
      </w:r>
      <w:r w:rsidR="00FE1D2D" w:rsidRPr="00F77110">
        <w:rPr>
          <w:b/>
        </w:rPr>
        <w:tab/>
      </w:r>
      <w:proofErr w:type="spellStart"/>
      <w:r w:rsidRPr="00F77110">
        <w:rPr>
          <w:color w:val="000000"/>
        </w:rPr>
        <w:t>Zbigniew</w:t>
      </w:r>
      <w:proofErr w:type="spellEnd"/>
      <w:r w:rsidRPr="00F77110">
        <w:rPr>
          <w:color w:val="00000A"/>
        </w:rPr>
        <w:t xml:space="preserve"> </w:t>
      </w:r>
      <w:proofErr w:type="spellStart"/>
      <w:r w:rsidRPr="00F77110">
        <w:rPr>
          <w:color w:val="00000A"/>
        </w:rPr>
        <w:t>Kotowski</w:t>
      </w:r>
      <w:proofErr w:type="spellEnd"/>
      <w:r w:rsidRPr="00F77110">
        <w:rPr>
          <w:color w:val="00000A"/>
        </w:rPr>
        <w:t xml:space="preserve"> (3. </w:t>
      </w:r>
      <w:proofErr w:type="spellStart"/>
      <w:r w:rsidRPr="00F77110">
        <w:rPr>
          <w:color w:val="00000A"/>
        </w:rPr>
        <w:t>kat</w:t>
      </w:r>
      <w:proofErr w:type="spellEnd"/>
      <w:r w:rsidRPr="00F77110">
        <w:rPr>
          <w:color w:val="00000A"/>
        </w:rPr>
        <w:t>. – PL)</w:t>
      </w:r>
    </w:p>
    <w:p w:rsidR="00DE59B3" w:rsidRPr="00F77110" w:rsidRDefault="00DE59B3" w:rsidP="00000CE8">
      <w:pPr>
        <w:tabs>
          <w:tab w:val="left" w:pos="0"/>
        </w:tabs>
        <w:ind w:left="364" w:hanging="369"/>
      </w:pPr>
    </w:p>
    <w:p w:rsidR="00DE59B3" w:rsidRPr="00F77110" w:rsidRDefault="00DE59B3" w:rsidP="00000CE8">
      <w:pPr>
        <w:ind w:left="-5"/>
      </w:pPr>
      <w:r w:rsidRPr="00F77110">
        <w:rPr>
          <w:b/>
        </w:rPr>
        <w:t>Atsauce:</w:t>
      </w:r>
      <w:r w:rsidR="00FE1D2D" w:rsidRPr="00F77110">
        <w:tab/>
      </w:r>
      <w:r w:rsidRPr="00F77110">
        <w:t>EESC-2015-01068-00-00-AC</w:t>
      </w:r>
    </w:p>
    <w:p w:rsidR="00DE59B3" w:rsidRPr="00F77110" w:rsidRDefault="00DE59B3" w:rsidP="00000CE8">
      <w:pPr>
        <w:ind w:left="-39"/>
      </w:pPr>
    </w:p>
    <w:p w:rsidR="00DE59B3" w:rsidRPr="00F77110" w:rsidRDefault="00DE59B3" w:rsidP="00BD4EB5">
      <w:pPr>
        <w:keepNext/>
        <w:ind w:left="-6"/>
        <w:rPr>
          <w:b/>
        </w:rPr>
      </w:pPr>
      <w:r w:rsidRPr="00F77110">
        <w:rPr>
          <w:b/>
        </w:rPr>
        <w:t>Galvenie jautājumi:</w:t>
      </w:r>
    </w:p>
    <w:p w:rsidR="0019516A" w:rsidRPr="00F77110" w:rsidRDefault="0019516A" w:rsidP="00BD4EB5">
      <w:pPr>
        <w:keepNext/>
        <w:rPr>
          <w:highlight w:val="yellow"/>
        </w:rPr>
      </w:pPr>
    </w:p>
    <w:p w:rsidR="003D05FE" w:rsidRPr="00F77110" w:rsidRDefault="003D05FE" w:rsidP="00BD4EB5">
      <w:pPr>
        <w:rPr>
          <w:color w:val="00000A"/>
        </w:rPr>
      </w:pPr>
      <w:r w:rsidRPr="00F77110">
        <w:t xml:space="preserve">EESK uzskata, ka gan atsevišķi Eiropas inženieri un tehniskie speciālisti, gan attiecīgās to apvienības dalībvalstīs un Eiropā sniedz būtisku ieguldījumu Eiropas </w:t>
      </w:r>
      <w:proofErr w:type="spellStart"/>
      <w:r w:rsidRPr="00F77110">
        <w:t>reindustrializācijā</w:t>
      </w:r>
      <w:proofErr w:type="spellEnd"/>
      <w:r w:rsidRPr="00F77110">
        <w:t>.</w:t>
      </w:r>
    </w:p>
    <w:p w:rsidR="003D05FE" w:rsidRPr="00F77110" w:rsidRDefault="003D05FE" w:rsidP="00000CE8">
      <w:pPr>
        <w:rPr>
          <w:color w:val="00000A"/>
        </w:rPr>
      </w:pPr>
    </w:p>
    <w:p w:rsidR="003D05FE" w:rsidRPr="00F77110" w:rsidRDefault="003D05FE" w:rsidP="00BD4EB5">
      <w:pPr>
        <w:rPr>
          <w:color w:val="00000A"/>
        </w:rPr>
      </w:pPr>
      <w:r w:rsidRPr="00F77110">
        <w:rPr>
          <w:color w:val="00000A"/>
        </w:rPr>
        <w:t xml:space="preserve">Eiropas Savienības ekonomikas attīstība arvien vairāk ir saistīta ar </w:t>
      </w:r>
      <w:proofErr w:type="spellStart"/>
      <w:r w:rsidRPr="00F77110">
        <w:rPr>
          <w:color w:val="00000A"/>
        </w:rPr>
        <w:t>reindustrializācijas</w:t>
      </w:r>
      <w:proofErr w:type="spellEnd"/>
      <w:r w:rsidRPr="00F77110">
        <w:rPr>
          <w:color w:val="00000A"/>
        </w:rPr>
        <w:t xml:space="preserve"> procesu.</w:t>
      </w:r>
    </w:p>
    <w:p w:rsidR="003D05FE" w:rsidRPr="00F77110" w:rsidRDefault="003D05FE" w:rsidP="00000CE8">
      <w:pPr>
        <w:rPr>
          <w:color w:val="00000A"/>
        </w:rPr>
      </w:pPr>
    </w:p>
    <w:p w:rsidR="003D05FE" w:rsidRPr="00F77110" w:rsidRDefault="003D05FE" w:rsidP="00BD4EB5">
      <w:pPr>
        <w:rPr>
          <w:color w:val="00000A"/>
        </w:rPr>
      </w:pPr>
      <w:r w:rsidRPr="00F77110">
        <w:rPr>
          <w:color w:val="00000A"/>
        </w:rPr>
        <w:t xml:space="preserve">EESK iesaka veicināt </w:t>
      </w:r>
      <w:r w:rsidRPr="00F77110">
        <w:rPr>
          <w:b/>
          <w:color w:val="00000A"/>
        </w:rPr>
        <w:t xml:space="preserve">Eiropas uzņēmējdarbības </w:t>
      </w:r>
      <w:r w:rsidRPr="00F77110">
        <w:rPr>
          <w:color w:val="00000A"/>
        </w:rPr>
        <w:t>un inovācijas</w:t>
      </w:r>
      <w:r w:rsidRPr="00F77110">
        <w:rPr>
          <w:b/>
          <w:color w:val="00000A"/>
        </w:rPr>
        <w:t xml:space="preserve"> kultūru</w:t>
      </w:r>
      <w:r w:rsidRPr="00F77110">
        <w:rPr>
          <w:color w:val="00000A"/>
        </w:rPr>
        <w:t xml:space="preserve"> un izstrādāt konkrētus pasākumus inženiera un tehniskā speciālista profesijas popularizēšanai.</w:t>
      </w:r>
    </w:p>
    <w:p w:rsidR="003D05FE" w:rsidRPr="00F77110" w:rsidRDefault="003D05FE" w:rsidP="00000CE8">
      <w:pPr>
        <w:rPr>
          <w:color w:val="00000A"/>
        </w:rPr>
      </w:pPr>
    </w:p>
    <w:p w:rsidR="003D05FE" w:rsidRPr="00F77110" w:rsidRDefault="003D05FE" w:rsidP="00BD4EB5">
      <w:pPr>
        <w:rPr>
          <w:color w:val="00000A"/>
        </w:rPr>
      </w:pPr>
      <w:r w:rsidRPr="00F77110">
        <w:rPr>
          <w:color w:val="00000A"/>
        </w:rPr>
        <w:t xml:space="preserve">EESK atbalsta nepieciešamību nodrošināt profesijas veicināšanai </w:t>
      </w:r>
      <w:r w:rsidRPr="00F77110">
        <w:rPr>
          <w:b/>
          <w:color w:val="00000A"/>
        </w:rPr>
        <w:t>saskaņotu Eiropas pasākumu programmu</w:t>
      </w:r>
      <w:r w:rsidRPr="00F77110">
        <w:rPr>
          <w:color w:val="00000A"/>
        </w:rPr>
        <w:t>.</w:t>
      </w:r>
    </w:p>
    <w:p w:rsidR="003D05FE" w:rsidRPr="00F77110" w:rsidRDefault="003D05FE" w:rsidP="00BD4EB5">
      <w:pPr>
        <w:rPr>
          <w:color w:val="00000A"/>
        </w:rPr>
      </w:pPr>
    </w:p>
    <w:p w:rsidR="003D05FE" w:rsidRPr="00F77110" w:rsidRDefault="003D05FE" w:rsidP="00BD4EB5">
      <w:pPr>
        <w:rPr>
          <w:color w:val="00000A"/>
        </w:rPr>
      </w:pPr>
      <w:r w:rsidRPr="00F77110">
        <w:rPr>
          <w:color w:val="00000A"/>
        </w:rPr>
        <w:t>Augsts apmācības un kvalifikācijas līmenis inženierzinātnēs ir būtisks priekšnoteikums efektīvai savstarpējas atzīšanas sistēmai.</w:t>
      </w:r>
    </w:p>
    <w:p w:rsidR="003D05FE" w:rsidRPr="00F77110" w:rsidRDefault="003D05FE" w:rsidP="00000CE8">
      <w:pPr>
        <w:rPr>
          <w:color w:val="00000A"/>
        </w:rPr>
      </w:pPr>
    </w:p>
    <w:p w:rsidR="003D05FE" w:rsidRPr="00F77110" w:rsidRDefault="003D05FE" w:rsidP="00BD4EB5">
      <w:pPr>
        <w:rPr>
          <w:color w:val="00000A"/>
        </w:rPr>
      </w:pPr>
      <w:r w:rsidRPr="00F77110">
        <w:rPr>
          <w:color w:val="00000A"/>
        </w:rPr>
        <w:t>EESK iesaka izveidot Eiropas Brīvo profesiju forumu.</w:t>
      </w:r>
    </w:p>
    <w:p w:rsidR="003D05FE" w:rsidRPr="00F77110" w:rsidRDefault="003D05FE" w:rsidP="00000CE8">
      <w:pPr>
        <w:rPr>
          <w:color w:val="00000A"/>
        </w:rPr>
      </w:pPr>
    </w:p>
    <w:p w:rsidR="003D05FE" w:rsidRPr="00F77110" w:rsidRDefault="003D05FE" w:rsidP="00BD4EB5">
      <w:pPr>
        <w:rPr>
          <w:color w:val="00000A"/>
        </w:rPr>
      </w:pPr>
      <w:r w:rsidRPr="00F77110">
        <w:rPr>
          <w:color w:val="00000A"/>
        </w:rPr>
        <w:t>EESK iesaka Komisijai izstrādāt Eiropas labas inženiertehniskās prakses kodeksu.</w:t>
      </w:r>
    </w:p>
    <w:p w:rsidR="003D05FE" w:rsidRPr="00F77110" w:rsidRDefault="003D05FE" w:rsidP="00000CE8">
      <w:pPr>
        <w:rPr>
          <w:color w:val="00000A"/>
        </w:rPr>
      </w:pPr>
    </w:p>
    <w:p w:rsidR="003D05FE" w:rsidRPr="00F77110" w:rsidRDefault="003D05FE" w:rsidP="00BD4EB5">
      <w:pPr>
        <w:rPr>
          <w:color w:val="00000A"/>
        </w:rPr>
      </w:pPr>
      <w:r w:rsidRPr="00F77110">
        <w:rPr>
          <w:color w:val="00000A"/>
        </w:rPr>
        <w:t>Profesijai aizvien vairāk jābūt orientētai uz sarežģītu problēmu risināšanu saistībā ar ekonomikas, sociālo un vides ilgtspēju.</w:t>
      </w:r>
    </w:p>
    <w:p w:rsidR="003D05FE" w:rsidRPr="00F77110" w:rsidRDefault="003D05FE" w:rsidP="00000CE8">
      <w:pPr>
        <w:rPr>
          <w:color w:val="00000A"/>
        </w:rPr>
      </w:pPr>
    </w:p>
    <w:p w:rsidR="00B61251" w:rsidRPr="00F77110" w:rsidRDefault="003D05FE" w:rsidP="00000CE8">
      <w:pPr>
        <w:ind w:left="-39"/>
        <w:rPr>
          <w:color w:val="00000A"/>
        </w:rPr>
      </w:pPr>
      <w:r w:rsidRPr="00F77110">
        <w:rPr>
          <w:b/>
          <w:i/>
        </w:rPr>
        <w:t>Kontaktpersona:</w:t>
      </w:r>
      <w:r w:rsidRPr="00F77110">
        <w:tab/>
      </w:r>
      <w:r w:rsidRPr="00F77110">
        <w:rPr>
          <w:color w:val="00000A"/>
        </w:rPr>
        <w:t xml:space="preserve">Aleksandra </w:t>
      </w:r>
      <w:proofErr w:type="spellStart"/>
      <w:r w:rsidRPr="00F77110">
        <w:rPr>
          <w:color w:val="00000A"/>
        </w:rPr>
        <w:t>Wieczorek</w:t>
      </w:r>
      <w:proofErr w:type="spellEnd"/>
    </w:p>
    <w:p w:rsidR="00B61251" w:rsidRPr="00F77110" w:rsidRDefault="006F0D9E" w:rsidP="00000CE8">
      <w:pPr>
        <w:ind w:left="-39"/>
        <w:rPr>
          <w:i/>
        </w:rPr>
      </w:pPr>
      <w:r w:rsidRPr="00F77110">
        <w:tab/>
      </w:r>
      <w:r w:rsidRPr="00F77110">
        <w:tab/>
      </w:r>
      <w:r w:rsidRPr="00F77110">
        <w:tab/>
      </w:r>
      <w:r w:rsidR="00FE1D2D" w:rsidRPr="00F77110">
        <w:rPr>
          <w:i/>
        </w:rPr>
        <w:t>(Tālr.: 00 32 2 546 93 89</w:t>
      </w:r>
      <w:r w:rsidRPr="00F77110">
        <w:rPr>
          <w:i/>
        </w:rPr>
        <w:t xml:space="preserve"> – e-pasta adrese: </w:t>
      </w:r>
      <w:hyperlink r:id="rId41">
        <w:r w:rsidRPr="00F77110">
          <w:rPr>
            <w:rStyle w:val="Hyperlink"/>
            <w:i/>
          </w:rPr>
          <w:t>Aleksandra.Wieczorek@eesc.europa.eu</w:t>
        </w:r>
      </w:hyperlink>
      <w:r w:rsidRPr="00F77110">
        <w:rPr>
          <w:i/>
        </w:rPr>
        <w:t>)</w:t>
      </w:r>
    </w:p>
    <w:p w:rsidR="003D05FE" w:rsidRPr="00F77110" w:rsidRDefault="003D05FE" w:rsidP="00000CE8">
      <w:pPr>
        <w:ind w:left="-39"/>
        <w:rPr>
          <w:color w:val="00000A"/>
        </w:rPr>
      </w:pPr>
      <w:r w:rsidRPr="00F77110">
        <w:br w:type="page"/>
      </w:r>
    </w:p>
    <w:p w:rsidR="00DE59B3" w:rsidRPr="00F77110" w:rsidRDefault="00DE59B3" w:rsidP="00000CE8">
      <w:pPr>
        <w:numPr>
          <w:ilvl w:val="0"/>
          <w:numId w:val="3"/>
        </w:numPr>
        <w:rPr>
          <w:b/>
          <w:i/>
          <w:sz w:val="28"/>
        </w:rPr>
      </w:pPr>
      <w:r w:rsidRPr="00F77110">
        <w:rPr>
          <w:b/>
          <w:i/>
          <w:sz w:val="28"/>
        </w:rPr>
        <w:lastRenderedPageBreak/>
        <w:t>“</w:t>
      </w:r>
      <w:proofErr w:type="spellStart"/>
      <w:r w:rsidRPr="00F77110">
        <w:rPr>
          <w:b/>
          <w:i/>
          <w:sz w:val="28"/>
        </w:rPr>
        <w:t>Nanotehnoloģija</w:t>
      </w:r>
      <w:proofErr w:type="spellEnd"/>
      <w:r w:rsidRPr="00F77110">
        <w:rPr>
          <w:b/>
          <w:i/>
          <w:sz w:val="28"/>
        </w:rPr>
        <w:t xml:space="preserve"> konkurētspējīgai ķīmijas rūpniecībai” (pašiniciatīvas atzinums)</w:t>
      </w:r>
    </w:p>
    <w:p w:rsidR="00DE59B3" w:rsidRPr="00F77110" w:rsidRDefault="00DE59B3" w:rsidP="00000CE8">
      <w:pPr>
        <w:ind w:left="-39"/>
        <w:rPr>
          <w:b/>
          <w:i/>
          <w:sz w:val="18"/>
          <w:szCs w:val="18"/>
        </w:rPr>
      </w:pPr>
    </w:p>
    <w:p w:rsidR="006F0D9E" w:rsidRPr="00F77110" w:rsidRDefault="00DE59B3" w:rsidP="00FE1D2D">
      <w:pPr>
        <w:tabs>
          <w:tab w:val="left" w:pos="1418"/>
        </w:tabs>
      </w:pPr>
      <w:r w:rsidRPr="00F77110">
        <w:rPr>
          <w:b/>
        </w:rPr>
        <w:t>Ziņotājs:</w:t>
      </w:r>
      <w:r w:rsidRPr="00F77110">
        <w:tab/>
      </w:r>
      <w:r w:rsidRPr="00F77110">
        <w:tab/>
      </w:r>
      <w:proofErr w:type="spellStart"/>
      <w:r w:rsidRPr="00F77110">
        <w:t>Egbert</w:t>
      </w:r>
      <w:proofErr w:type="spellEnd"/>
      <w:r w:rsidRPr="00F77110">
        <w:t xml:space="preserve"> </w:t>
      </w:r>
      <w:proofErr w:type="spellStart"/>
      <w:r w:rsidRPr="00F77110">
        <w:t>Biermann</w:t>
      </w:r>
      <w:proofErr w:type="spellEnd"/>
      <w:r w:rsidRPr="00F77110">
        <w:t xml:space="preserve"> (Darba ņēmēju grupa – DE)</w:t>
      </w:r>
    </w:p>
    <w:p w:rsidR="006F0D9E" w:rsidRPr="00F77110" w:rsidRDefault="006F0D9E" w:rsidP="00000CE8">
      <w:pPr>
        <w:rPr>
          <w:sz w:val="18"/>
          <w:szCs w:val="18"/>
        </w:rPr>
      </w:pPr>
    </w:p>
    <w:p w:rsidR="00DE59B3" w:rsidRPr="00F77110" w:rsidRDefault="006F0D9E" w:rsidP="00FE1D2D">
      <w:pPr>
        <w:tabs>
          <w:tab w:val="left" w:pos="1418"/>
        </w:tabs>
        <w:rPr>
          <w:b/>
          <w:vertAlign w:val="superscript"/>
        </w:rPr>
      </w:pPr>
      <w:r w:rsidRPr="00F77110">
        <w:rPr>
          <w:b/>
        </w:rPr>
        <w:t>Līdzziņotājs:</w:t>
      </w:r>
      <w:r w:rsidRPr="00F77110">
        <w:tab/>
      </w:r>
      <w:r w:rsidR="00FE1D2D" w:rsidRPr="00F77110">
        <w:tab/>
      </w:r>
      <w:proofErr w:type="spellStart"/>
      <w:r w:rsidRPr="00F77110">
        <w:t>Tautvydas</w:t>
      </w:r>
      <w:proofErr w:type="spellEnd"/>
      <w:r w:rsidRPr="00F77110">
        <w:t xml:space="preserve"> </w:t>
      </w:r>
      <w:proofErr w:type="spellStart"/>
      <w:r w:rsidRPr="00F77110">
        <w:t>Misiūnas</w:t>
      </w:r>
      <w:proofErr w:type="spellEnd"/>
      <w:r w:rsidRPr="00F77110">
        <w:t xml:space="preserve"> (LT – 1. </w:t>
      </w:r>
      <w:proofErr w:type="spellStart"/>
      <w:r w:rsidRPr="00F77110">
        <w:t>kat</w:t>
      </w:r>
      <w:proofErr w:type="spellEnd"/>
      <w:r w:rsidRPr="00F77110">
        <w:t>.)</w:t>
      </w:r>
    </w:p>
    <w:p w:rsidR="00DE59B3" w:rsidRPr="00F77110" w:rsidRDefault="00DE59B3" w:rsidP="00000CE8">
      <w:pPr>
        <w:rPr>
          <w:sz w:val="18"/>
          <w:szCs w:val="18"/>
        </w:rPr>
      </w:pPr>
    </w:p>
    <w:p w:rsidR="00DE59B3" w:rsidRPr="00F77110" w:rsidRDefault="00DE59B3" w:rsidP="00FE1D2D">
      <w:pPr>
        <w:tabs>
          <w:tab w:val="left" w:pos="1418"/>
        </w:tabs>
        <w:ind w:left="-5"/>
      </w:pPr>
      <w:r w:rsidRPr="00F77110">
        <w:rPr>
          <w:b/>
        </w:rPr>
        <w:t>Atsauce:</w:t>
      </w:r>
      <w:r w:rsidRPr="00F77110">
        <w:tab/>
      </w:r>
      <w:r w:rsidRPr="00F77110">
        <w:tab/>
        <w:t>EESC-2015-03991-00-00-AC</w:t>
      </w:r>
    </w:p>
    <w:p w:rsidR="006F0D9E" w:rsidRPr="00F77110" w:rsidRDefault="006F0D9E" w:rsidP="00000CE8">
      <w:pPr>
        <w:ind w:left="-5"/>
        <w:rPr>
          <w:sz w:val="18"/>
          <w:szCs w:val="18"/>
        </w:rPr>
      </w:pPr>
    </w:p>
    <w:p w:rsidR="00DE59B3" w:rsidRPr="00F77110" w:rsidRDefault="00DE59B3" w:rsidP="00BD4EB5">
      <w:pPr>
        <w:keepNext/>
        <w:ind w:left="-6"/>
        <w:rPr>
          <w:b/>
        </w:rPr>
      </w:pPr>
      <w:r w:rsidRPr="00F77110">
        <w:rPr>
          <w:b/>
        </w:rPr>
        <w:t>Galvenie jautājumi:</w:t>
      </w:r>
    </w:p>
    <w:p w:rsidR="00DE59B3" w:rsidRPr="00F77110" w:rsidRDefault="00DE59B3" w:rsidP="00BD4EB5">
      <w:pPr>
        <w:keepNext/>
        <w:ind w:left="-6"/>
        <w:rPr>
          <w:sz w:val="18"/>
          <w:szCs w:val="18"/>
        </w:rPr>
      </w:pPr>
    </w:p>
    <w:p w:rsidR="00DE59B3" w:rsidRPr="00F77110" w:rsidRDefault="00DE59B3" w:rsidP="00000CE8">
      <w:pPr>
        <w:rPr>
          <w:color w:val="00000A"/>
        </w:rPr>
      </w:pPr>
      <w:r w:rsidRPr="00F77110">
        <w:rPr>
          <w:color w:val="00000A"/>
        </w:rPr>
        <w:t xml:space="preserve">EESK atbalsta pasākumus Eiropas rūpniecības politikas veidošanai, jo īpaši pasākumus, kuru mērķis ir atbalstīt pamattehnoloģijas, kas stiprina Eiropas konkurētspēju. Šajā ziņā svarīgs ieguldījums ir ar </w:t>
      </w:r>
      <w:proofErr w:type="spellStart"/>
      <w:r w:rsidRPr="00F77110">
        <w:rPr>
          <w:color w:val="00000A"/>
        </w:rPr>
        <w:t>nanomateriāliem</w:t>
      </w:r>
      <w:proofErr w:type="spellEnd"/>
      <w:r w:rsidRPr="00F77110">
        <w:rPr>
          <w:color w:val="00000A"/>
        </w:rPr>
        <w:t xml:space="preserve"> un </w:t>
      </w:r>
      <w:proofErr w:type="spellStart"/>
      <w:r w:rsidRPr="00F77110">
        <w:rPr>
          <w:color w:val="00000A"/>
        </w:rPr>
        <w:t>nanotehnoloģiju</w:t>
      </w:r>
      <w:proofErr w:type="spellEnd"/>
      <w:r w:rsidRPr="00F77110">
        <w:rPr>
          <w:color w:val="00000A"/>
        </w:rPr>
        <w:t xml:space="preserve"> saistītā inovācijas spēja — jo īpaši ķīmijas rūpniecībā.</w:t>
      </w:r>
    </w:p>
    <w:p w:rsidR="00DE59B3" w:rsidRPr="00F77110" w:rsidRDefault="00DE59B3" w:rsidP="00000CE8">
      <w:pPr>
        <w:rPr>
          <w:color w:val="00000A"/>
        </w:rPr>
      </w:pPr>
    </w:p>
    <w:p w:rsidR="00DE59B3" w:rsidRPr="00F77110" w:rsidRDefault="00DE59B3" w:rsidP="00000CE8">
      <w:pPr>
        <w:rPr>
          <w:color w:val="00000A"/>
        </w:rPr>
      </w:pPr>
      <w:r w:rsidRPr="00F77110">
        <w:rPr>
          <w:color w:val="00000A"/>
        </w:rPr>
        <w:t>Pētniecība un izstrāde ir tik sarežģītas darbības, ka atsevišķi uzņēmumi vai iestādes tās vieni paši nespēj īstenot. Tāpēc nepieciešama visaptveroša sadarbība starp augstskolām, zinātniskajām iestādēm, uzņēmumiem un uzņēmumu inkubatoriem. Jānodrošina arī MVU iekļaušana.</w:t>
      </w:r>
    </w:p>
    <w:p w:rsidR="00DE59B3" w:rsidRPr="00F77110" w:rsidRDefault="00DE59B3" w:rsidP="00000CE8">
      <w:pPr>
        <w:rPr>
          <w:color w:val="00000A"/>
        </w:rPr>
      </w:pPr>
    </w:p>
    <w:p w:rsidR="007738AC" w:rsidRPr="00F77110" w:rsidRDefault="00DE59B3" w:rsidP="00000CE8">
      <w:pPr>
        <w:rPr>
          <w:color w:val="00000A"/>
        </w:rPr>
      </w:pPr>
      <w:r w:rsidRPr="00F77110">
        <w:rPr>
          <w:color w:val="00000A"/>
        </w:rPr>
        <w:t xml:space="preserve">Lai pilnveidotu </w:t>
      </w:r>
      <w:proofErr w:type="spellStart"/>
      <w:r w:rsidRPr="00F77110">
        <w:rPr>
          <w:color w:val="00000A"/>
        </w:rPr>
        <w:t>nanotehnoloģiju</w:t>
      </w:r>
      <w:proofErr w:type="spellEnd"/>
      <w:r w:rsidRPr="00F77110">
        <w:rPr>
          <w:color w:val="00000A"/>
        </w:rPr>
        <w:t>, jāturpina attīstīt izcilības centri (</w:t>
      </w:r>
      <w:proofErr w:type="spellStart"/>
      <w:r w:rsidRPr="00F77110">
        <w:rPr>
          <w:color w:val="00000A"/>
        </w:rPr>
        <w:t>nanocentri</w:t>
      </w:r>
      <w:proofErr w:type="spellEnd"/>
      <w:r w:rsidRPr="00F77110">
        <w:rPr>
          <w:color w:val="00000A"/>
        </w:rPr>
        <w:t>).</w:t>
      </w:r>
    </w:p>
    <w:p w:rsidR="00DE59B3" w:rsidRPr="00F77110" w:rsidRDefault="00DE59B3" w:rsidP="00000CE8">
      <w:pPr>
        <w:rPr>
          <w:color w:val="00000A"/>
        </w:rPr>
      </w:pPr>
    </w:p>
    <w:p w:rsidR="00DE59B3" w:rsidRPr="00F77110" w:rsidRDefault="00DE59B3" w:rsidP="00000CE8">
      <w:pPr>
        <w:rPr>
          <w:color w:val="00000A"/>
        </w:rPr>
      </w:pPr>
      <w:r w:rsidRPr="00F77110">
        <w:rPr>
          <w:color w:val="00000A"/>
        </w:rPr>
        <w:t xml:space="preserve">Pētniecības pamatprogrammā “Apvārsnis 2020” paredzētie finansēšanas instrumenti </w:t>
      </w:r>
      <w:proofErr w:type="spellStart"/>
      <w:r w:rsidRPr="00F77110">
        <w:rPr>
          <w:color w:val="00000A"/>
        </w:rPr>
        <w:t>nanotehnoloģijas</w:t>
      </w:r>
      <w:proofErr w:type="spellEnd"/>
      <w:r w:rsidRPr="00F77110">
        <w:rPr>
          <w:color w:val="00000A"/>
        </w:rPr>
        <w:t xml:space="preserve"> jomā būtu jāvienkāršo un jāpadara elastīgāki galvenokārt atbilstīgi MVU vajadzībām. Jāpastiprina publiskais finansējums, kā arī jāveicina privātā finansējuma piesaistīšana.</w:t>
      </w:r>
    </w:p>
    <w:p w:rsidR="00DE59B3" w:rsidRPr="00F77110" w:rsidRDefault="00DE59B3" w:rsidP="00000CE8">
      <w:pPr>
        <w:rPr>
          <w:color w:val="00000A"/>
        </w:rPr>
      </w:pPr>
    </w:p>
    <w:p w:rsidR="00DE59B3" w:rsidRPr="00F77110" w:rsidRDefault="00DE59B3" w:rsidP="00000CE8">
      <w:pPr>
        <w:rPr>
          <w:color w:val="00000A"/>
        </w:rPr>
      </w:pPr>
      <w:r w:rsidRPr="00F77110">
        <w:rPr>
          <w:color w:val="00000A"/>
        </w:rPr>
        <w:t>Uzņēmumiem ir jāveic mērķtiecīgi apmācības un tālākizglītības pasākumi, lai spētu izpildīt darbiniekiem nepieciešamās pieaugošās kvalifikācijas prasības. Jāiesaista darba ņēmēji ar atbilstošu pieredzi un zināšanām.</w:t>
      </w:r>
    </w:p>
    <w:p w:rsidR="00DE59B3" w:rsidRPr="00F77110" w:rsidRDefault="00DE59B3" w:rsidP="00000CE8">
      <w:pPr>
        <w:rPr>
          <w:color w:val="00000A"/>
        </w:rPr>
      </w:pPr>
    </w:p>
    <w:p w:rsidR="00DE59B3" w:rsidRPr="00F77110" w:rsidRDefault="00DE59B3" w:rsidP="00000CE8">
      <w:pPr>
        <w:rPr>
          <w:color w:val="00000A"/>
        </w:rPr>
      </w:pPr>
      <w:r w:rsidRPr="00F77110">
        <w:rPr>
          <w:color w:val="00000A"/>
        </w:rPr>
        <w:t>Tālāk jāveicina ES standartizācijas process. Standartiem ir svarīga nozīme likumu ievērošanā, īpaši tad, ja darba ņēmēju interesēs ir jāveic riska novērtējums.</w:t>
      </w:r>
    </w:p>
    <w:p w:rsidR="00DE59B3" w:rsidRPr="00F77110" w:rsidRDefault="00DE59B3" w:rsidP="00000CE8">
      <w:pPr>
        <w:rPr>
          <w:color w:val="00000A"/>
        </w:rPr>
      </w:pPr>
    </w:p>
    <w:p w:rsidR="00DE59B3" w:rsidRPr="00F77110" w:rsidRDefault="00DE59B3" w:rsidP="00000CE8">
      <w:pPr>
        <w:rPr>
          <w:color w:val="00000A"/>
        </w:rPr>
      </w:pPr>
      <w:r w:rsidRPr="00F77110">
        <w:rPr>
          <w:color w:val="00000A"/>
        </w:rPr>
        <w:t xml:space="preserve">Patērētāji pilnībā jāinformē par </w:t>
      </w:r>
      <w:proofErr w:type="spellStart"/>
      <w:r w:rsidRPr="00F77110">
        <w:rPr>
          <w:color w:val="00000A"/>
        </w:rPr>
        <w:t>nanomateriāliem</w:t>
      </w:r>
      <w:proofErr w:type="spellEnd"/>
      <w:r w:rsidRPr="00F77110">
        <w:rPr>
          <w:color w:val="00000A"/>
        </w:rPr>
        <w:t>. Obligāti jāveicina sabiedrības atbalsts šīm pamattehnoloģijām. Tādēļ jāizstrādā Eiropas mēroga informācijas platformas un izpratnes veidošanas instrumenti.</w:t>
      </w:r>
    </w:p>
    <w:p w:rsidR="00DE59B3" w:rsidRPr="00F77110" w:rsidRDefault="00DE59B3" w:rsidP="00000CE8">
      <w:pPr>
        <w:rPr>
          <w:color w:val="00000A"/>
        </w:rPr>
      </w:pPr>
    </w:p>
    <w:p w:rsidR="00DE59B3" w:rsidRPr="00F77110" w:rsidRDefault="00DE59B3" w:rsidP="00000CE8">
      <w:r w:rsidRPr="00F77110">
        <w:t xml:space="preserve">EESK izsaka cerību, ka Eiropas Komisija novēros un novērtēs ietekmi uz nodarbinātību un darba tirgu, un izstrādās no tās izrietošos politiska, ekonomiska un sociāla rakstura secinājumus. Līdz 2020. gadam būtu jāizstrādā aktuāls ziņojums par </w:t>
      </w:r>
      <w:proofErr w:type="spellStart"/>
      <w:r w:rsidRPr="00F77110">
        <w:t>nanomateriāliem</w:t>
      </w:r>
      <w:proofErr w:type="spellEnd"/>
      <w:r w:rsidRPr="00F77110">
        <w:t xml:space="preserve"> un </w:t>
      </w:r>
      <w:proofErr w:type="spellStart"/>
      <w:r w:rsidRPr="00F77110">
        <w:t>nanotehnoloģiju</w:t>
      </w:r>
      <w:proofErr w:type="spellEnd"/>
      <w:r w:rsidRPr="00F77110">
        <w:t xml:space="preserve"> Eiropā, kurā būtu izklāstītas iespējamās attīstības tendences līdz 2030. gadam.</w:t>
      </w:r>
    </w:p>
    <w:p w:rsidR="00DE59B3" w:rsidRPr="00F77110" w:rsidRDefault="00DE59B3" w:rsidP="00000CE8">
      <w:pPr>
        <w:suppressAutoHyphens/>
        <w:rPr>
          <w:color w:val="00000A"/>
        </w:rPr>
      </w:pPr>
    </w:p>
    <w:p w:rsidR="00DE59B3" w:rsidRPr="00F77110" w:rsidRDefault="00DE59B3" w:rsidP="00000CE8">
      <w:pPr>
        <w:ind w:left="-39"/>
        <w:rPr>
          <w:color w:val="00000A"/>
        </w:rPr>
      </w:pPr>
      <w:r w:rsidRPr="00F77110">
        <w:rPr>
          <w:b/>
          <w:i/>
        </w:rPr>
        <w:t>Kontaktinformācija:</w:t>
      </w:r>
      <w:r w:rsidRPr="00F77110">
        <w:tab/>
      </w:r>
      <w:proofErr w:type="spellStart"/>
      <w:r w:rsidRPr="00F77110">
        <w:rPr>
          <w:i/>
        </w:rPr>
        <w:t>Alain</w:t>
      </w:r>
      <w:proofErr w:type="spellEnd"/>
      <w:r w:rsidRPr="00F77110">
        <w:rPr>
          <w:i/>
        </w:rPr>
        <w:t xml:space="preserve"> </w:t>
      </w:r>
      <w:proofErr w:type="spellStart"/>
      <w:r w:rsidRPr="00F77110">
        <w:rPr>
          <w:i/>
        </w:rPr>
        <w:t>Colbach</w:t>
      </w:r>
      <w:proofErr w:type="spellEnd"/>
      <w:r w:rsidRPr="00F77110">
        <w:rPr>
          <w:color w:val="00000A"/>
        </w:rPr>
        <w:t xml:space="preserve"> </w:t>
      </w:r>
    </w:p>
    <w:p w:rsidR="00DE59B3" w:rsidRPr="00F77110" w:rsidRDefault="006F0D9E" w:rsidP="00000CE8">
      <w:pPr>
        <w:ind w:left="-39"/>
        <w:rPr>
          <w:i/>
        </w:rPr>
      </w:pPr>
      <w:r w:rsidRPr="00F77110">
        <w:tab/>
      </w:r>
      <w:r w:rsidRPr="00F77110">
        <w:tab/>
      </w:r>
      <w:r w:rsidRPr="00F77110">
        <w:tab/>
      </w:r>
      <w:r w:rsidRPr="00F77110">
        <w:rPr>
          <w:i/>
        </w:rPr>
        <w:t xml:space="preserve">(Tālr.: 00 32 2 546 91 70 – e-pasta adrese: </w:t>
      </w:r>
      <w:hyperlink r:id="rId42">
        <w:r w:rsidRPr="00F77110">
          <w:rPr>
            <w:rStyle w:val="Hyperlink"/>
            <w:i/>
          </w:rPr>
          <w:t>Alain.Colbach@eesc.europa.eu</w:t>
        </w:r>
      </w:hyperlink>
      <w:r w:rsidRPr="00F77110">
        <w:rPr>
          <w:i/>
        </w:rPr>
        <w:t>)</w:t>
      </w:r>
    </w:p>
    <w:p w:rsidR="00900EA0" w:rsidRPr="00F77110" w:rsidRDefault="006F0D9E" w:rsidP="00000CE8">
      <w:pPr>
        <w:jc w:val="center"/>
      </w:pPr>
      <w:r w:rsidRPr="00F77110">
        <w:t>_____________</w:t>
      </w:r>
    </w:p>
    <w:sectPr w:rsidR="00900EA0" w:rsidRPr="00F77110" w:rsidSect="002903CB">
      <w:headerReference w:type="even" r:id="rId43"/>
      <w:headerReference w:type="default" r:id="rId44"/>
      <w:footerReference w:type="even" r:id="rId45"/>
      <w:footerReference w:type="default" r:id="rId46"/>
      <w:headerReference w:type="first" r:id="rId47"/>
      <w:footerReference w:type="first" r:id="rId48"/>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6A" w:rsidRDefault="0019516A" w:rsidP="003B283B">
      <w:pPr>
        <w:spacing w:line="240" w:lineRule="auto"/>
      </w:pPr>
      <w:r>
        <w:separator/>
      </w:r>
    </w:p>
  </w:endnote>
  <w:endnote w:type="continuationSeparator" w:id="0">
    <w:p w:rsidR="0019516A" w:rsidRDefault="0019516A"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B" w:rsidRPr="002903CB" w:rsidRDefault="002903CB" w:rsidP="00290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2903CB" w:rsidP="002903CB">
    <w:pPr>
      <w:pStyle w:val="Footer"/>
    </w:pPr>
    <w:r>
      <w:t xml:space="preserve">EESC-2015-05366-00-01-TCD-TRA (FR/EN) </w:t>
    </w:r>
    <w:r>
      <w:fldChar w:fldCharType="begin"/>
    </w:r>
    <w:r>
      <w:instrText xml:space="preserve"> PAGE  \* Arabic  \* MERGEFORMAT </w:instrText>
    </w:r>
    <w:r>
      <w:fldChar w:fldCharType="separate"/>
    </w:r>
    <w:r w:rsidR="00E54014">
      <w:rPr>
        <w:noProof/>
      </w:rPr>
      <w:t>1</w:t>
    </w:r>
    <w:r>
      <w:fldChar w:fldCharType="end"/>
    </w:r>
    <w:r>
      <w:t>/</w:t>
    </w:r>
    <w:r>
      <w:fldChar w:fldCharType="begin"/>
    </w:r>
    <w:r>
      <w:instrText xml:space="preserve"> = </w:instrText>
    </w:r>
    <w:fldSimple w:instr=" NUMPAGES ">
      <w:r w:rsidR="00E54014">
        <w:rPr>
          <w:noProof/>
        </w:rPr>
        <w:instrText>18</w:instrText>
      </w:r>
    </w:fldSimple>
    <w:r>
      <w:instrText xml:space="preserve"> </w:instrText>
    </w:r>
    <w:r>
      <w:fldChar w:fldCharType="separate"/>
    </w:r>
    <w:r w:rsidR="00E54014">
      <w:rPr>
        <w:noProof/>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B" w:rsidRPr="002903CB" w:rsidRDefault="002903CB" w:rsidP="002903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2903CB" w:rsidP="002903CB">
    <w:pPr>
      <w:pStyle w:val="Footer"/>
    </w:pPr>
    <w:r>
      <w:t xml:space="preserve">EESC-2015-05366-00-00-TCD-TRA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0F4B7F">
        <w:rPr>
          <w:noProof/>
        </w:rPr>
        <w:instrText>18</w:instrText>
      </w:r>
    </w:fldSimple>
    <w:r>
      <w:instrText xml:space="preserve"> </w:instrText>
    </w:r>
    <w:r>
      <w:fldChar w:fldCharType="separate"/>
    </w:r>
    <w:r w:rsidR="000F4B7F">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2903CB" w:rsidP="002903CB">
    <w:pPr>
      <w:pStyle w:val="Footer"/>
    </w:pPr>
    <w:r>
      <w:t xml:space="preserve">EESC-2015-05366-00-01-TCD-TRA (FR/EN) </w:t>
    </w:r>
    <w:r>
      <w:fldChar w:fldCharType="begin"/>
    </w:r>
    <w:r>
      <w:instrText xml:space="preserve"> PAGE  \* Arabic  \* MERGEFORMAT </w:instrText>
    </w:r>
    <w:r>
      <w:fldChar w:fldCharType="separate"/>
    </w:r>
    <w:r w:rsidR="00E54014">
      <w:rPr>
        <w:noProof/>
      </w:rPr>
      <w:t>18</w:t>
    </w:r>
    <w:r>
      <w:fldChar w:fldCharType="end"/>
    </w:r>
    <w:r>
      <w:t>/</w:t>
    </w:r>
    <w:r>
      <w:fldChar w:fldCharType="begin"/>
    </w:r>
    <w:r>
      <w:instrText xml:space="preserve"> = </w:instrText>
    </w:r>
    <w:fldSimple w:instr=" NUMPAGES ">
      <w:r w:rsidR="00E54014">
        <w:rPr>
          <w:noProof/>
        </w:rPr>
        <w:instrText>18</w:instrText>
      </w:r>
    </w:fldSimple>
    <w:r>
      <w:instrText xml:space="preserve"> </w:instrText>
    </w:r>
    <w:r>
      <w:fldChar w:fldCharType="separate"/>
    </w:r>
    <w:r w:rsidR="00E54014">
      <w:rPr>
        <w:noProof/>
      </w:rPr>
      <w:t>18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6A" w:rsidRDefault="0019516A" w:rsidP="003B283B">
      <w:pPr>
        <w:spacing w:line="240" w:lineRule="auto"/>
      </w:pPr>
      <w:r>
        <w:separator/>
      </w:r>
    </w:p>
  </w:footnote>
  <w:footnote w:type="continuationSeparator" w:id="0">
    <w:p w:rsidR="0019516A" w:rsidRDefault="0019516A" w:rsidP="003B283B">
      <w:pPr>
        <w:spacing w:line="240" w:lineRule="auto"/>
      </w:pPr>
      <w:r>
        <w:continuationSeparator/>
      </w:r>
    </w:p>
  </w:footnote>
  <w:footnote w:id="1">
    <w:p w:rsidR="0019516A" w:rsidRPr="00796D74" w:rsidRDefault="0019516A" w:rsidP="00000CE8">
      <w:pPr>
        <w:pStyle w:val="FootnoteText"/>
      </w:pPr>
      <w:r>
        <w:rPr>
          <w:vertAlign w:val="superscript"/>
        </w:rPr>
        <w:t>[1]</w:t>
      </w:r>
      <w:r w:rsidR="00FE1D2D">
        <w:tab/>
      </w:r>
      <w:r>
        <w:t>EESK atzinums par tematu “</w:t>
      </w:r>
      <w:proofErr w:type="spellStart"/>
      <w:r>
        <w:t>Digitalizācijas</w:t>
      </w:r>
      <w:proofErr w:type="spellEnd"/>
      <w:r>
        <w:t xml:space="preserve"> ietekme uz pakalpojumu nozari un nodarbinātību” (vēl nav publicēts Oficiālajā Vēstnesī).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B" w:rsidRPr="002903CB" w:rsidRDefault="002903CB" w:rsidP="00290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B" w:rsidRPr="002903CB" w:rsidRDefault="002903CB" w:rsidP="00290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B" w:rsidRPr="002903CB" w:rsidRDefault="002903CB" w:rsidP="002903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3">
    <w:nsid w:val="05530337"/>
    <w:multiLevelType w:val="singleLevel"/>
    <w:tmpl w:val="ACD4CDB0"/>
    <w:lvl w:ilvl="0">
      <w:numFmt w:val="decimal"/>
      <w:lvlText w:val="*"/>
      <w:lvlJc w:val="left"/>
      <w:rPr>
        <w:rFonts w:cs="Times New Roman"/>
      </w:rPr>
    </w:lvl>
  </w:abstractNum>
  <w:abstractNum w:abstractNumId="4">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6E4FB1"/>
    <w:multiLevelType w:val="singleLevel"/>
    <w:tmpl w:val="ACD4CDB0"/>
    <w:lvl w:ilvl="0">
      <w:numFmt w:val="decimal"/>
      <w:lvlText w:val="*"/>
      <w:lvlJc w:val="left"/>
      <w:rPr>
        <w:rFonts w:cs="Times New Roman"/>
      </w:rPr>
    </w:lvl>
  </w:abstractNum>
  <w:abstractNum w:abstractNumId="6">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8">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9">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nsid w:val="15FE7426"/>
    <w:multiLevelType w:val="singleLevel"/>
    <w:tmpl w:val="ACD4CDB0"/>
    <w:lvl w:ilvl="0">
      <w:numFmt w:val="decimal"/>
      <w:lvlText w:val="*"/>
      <w:lvlJc w:val="left"/>
      <w:rPr>
        <w:rFonts w:cs="Times New Roman"/>
      </w:rPr>
    </w:lvl>
  </w:abstractNum>
  <w:abstractNum w:abstractNumId="12">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5">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3">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24">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26">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27">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8">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nsid w:val="53B8141E"/>
    <w:multiLevelType w:val="singleLevel"/>
    <w:tmpl w:val="ACD4CDB0"/>
    <w:lvl w:ilvl="0">
      <w:numFmt w:val="decimal"/>
      <w:lvlText w:val="*"/>
      <w:lvlJc w:val="left"/>
      <w:rPr>
        <w:rFonts w:cs="Times New Roman"/>
      </w:rPr>
    </w:lvl>
  </w:abstractNum>
  <w:abstractNum w:abstractNumId="3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3">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5">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6">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7">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38">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41">
    <w:nsid w:val="60BA7C7D"/>
    <w:multiLevelType w:val="singleLevel"/>
    <w:tmpl w:val="ACD4CDB0"/>
    <w:lvl w:ilvl="0">
      <w:numFmt w:val="decimal"/>
      <w:lvlText w:val="*"/>
      <w:lvlJc w:val="left"/>
      <w:rPr>
        <w:rFonts w:cs="Times New Roman"/>
      </w:rPr>
    </w:lvl>
  </w:abstractNum>
  <w:abstractNum w:abstractNumId="42">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46">
    <w:nsid w:val="6B5327B5"/>
    <w:multiLevelType w:val="singleLevel"/>
    <w:tmpl w:val="ACD4CDB0"/>
    <w:lvl w:ilvl="0">
      <w:numFmt w:val="decimal"/>
      <w:lvlText w:val="*"/>
      <w:lvlJc w:val="left"/>
      <w:rPr>
        <w:rFonts w:cs="Times New Roman"/>
      </w:rPr>
    </w:lvl>
  </w:abstractNum>
  <w:abstractNum w:abstractNumId="47">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9">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1">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4"/>
  </w:num>
  <w:num w:numId="3">
    <w:abstractNumId w:val="6"/>
  </w:num>
  <w:num w:numId="4">
    <w:abstractNumId w:val="15"/>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8"/>
  </w:num>
  <w:num w:numId="7">
    <w:abstractNumId w:val="23"/>
  </w:num>
  <w:num w:numId="8">
    <w:abstractNumId w:val="5"/>
  </w:num>
  <w:num w:numId="9">
    <w:abstractNumId w:val="49"/>
  </w:num>
  <w:num w:numId="10">
    <w:abstractNumId w:val="10"/>
  </w:num>
  <w:num w:numId="11">
    <w:abstractNumId w:val="29"/>
  </w:num>
  <w:num w:numId="12">
    <w:abstractNumId w:val="50"/>
  </w:num>
  <w:num w:numId="13">
    <w:abstractNumId w:val="11"/>
  </w:num>
  <w:num w:numId="14">
    <w:abstractNumId w:val="46"/>
  </w:num>
  <w:num w:numId="15">
    <w:abstractNumId w:val="41"/>
  </w:num>
  <w:num w:numId="16">
    <w:abstractNumId w:val="3"/>
  </w:num>
  <w:num w:numId="17">
    <w:abstractNumId w:val="31"/>
  </w:num>
  <w:num w:numId="18">
    <w:abstractNumId w:val="40"/>
  </w:num>
  <w:num w:numId="19">
    <w:abstractNumId w:val="30"/>
  </w:num>
  <w:num w:numId="20">
    <w:abstractNumId w:val="48"/>
  </w:num>
  <w:num w:numId="21">
    <w:abstractNumId w:val="32"/>
  </w:num>
  <w:num w:numId="22">
    <w:abstractNumId w:val="28"/>
  </w:num>
  <w:num w:numId="23">
    <w:abstractNumId w:val="16"/>
  </w:num>
  <w:num w:numId="24">
    <w:abstractNumId w:val="47"/>
  </w:num>
  <w:num w:numId="25">
    <w:abstractNumId w:val="21"/>
  </w:num>
  <w:num w:numId="26">
    <w:abstractNumId w:val="20"/>
  </w:num>
  <w:num w:numId="27">
    <w:abstractNumId w:val="39"/>
  </w:num>
  <w:num w:numId="28">
    <w:abstractNumId w:val="35"/>
  </w:num>
  <w:num w:numId="29">
    <w:abstractNumId w:val="22"/>
  </w:num>
  <w:num w:numId="30">
    <w:abstractNumId w:val="51"/>
  </w:num>
  <w:num w:numId="31">
    <w:abstractNumId w:val="36"/>
  </w:num>
  <w:num w:numId="32">
    <w:abstractNumId w:val="27"/>
  </w:num>
  <w:num w:numId="33">
    <w:abstractNumId w:val="38"/>
  </w:num>
  <w:num w:numId="34">
    <w:abstractNumId w:val="9"/>
  </w:num>
  <w:num w:numId="35">
    <w:abstractNumId w:val="42"/>
  </w:num>
  <w:num w:numId="36">
    <w:abstractNumId w:val="19"/>
  </w:num>
  <w:num w:numId="37">
    <w:abstractNumId w:val="13"/>
  </w:num>
  <w:num w:numId="38">
    <w:abstractNumId w:val="17"/>
  </w:num>
  <w:num w:numId="39">
    <w:abstractNumId w:val="37"/>
  </w:num>
  <w:num w:numId="40">
    <w:abstractNumId w:val="43"/>
  </w:num>
  <w:num w:numId="41">
    <w:abstractNumId w:val="44"/>
  </w:num>
  <w:num w:numId="42">
    <w:abstractNumId w:val="8"/>
  </w:num>
  <w:num w:numId="43">
    <w:abstractNumId w:val="24"/>
  </w:num>
  <w:num w:numId="44">
    <w:abstractNumId w:val="34"/>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7"/>
  </w:num>
  <w:num w:numId="47">
    <w:abstractNumId w:val="26"/>
  </w:num>
  <w:num w:numId="48">
    <w:abstractNumId w:val="6"/>
  </w:num>
  <w:num w:numId="49">
    <w:abstractNumId w:val="2"/>
  </w:num>
  <w:num w:numId="50">
    <w:abstractNumId w:val="45"/>
  </w:num>
  <w:num w:numId="51">
    <w:abstractNumId w:val="12"/>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33"/>
  </w:num>
  <w:num w:numId="54">
    <w:abstractNumId w:val="4"/>
  </w:num>
  <w:num w:numId="5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4D0F"/>
    <w:rsid w:val="000115A9"/>
    <w:rsid w:val="000138A1"/>
    <w:rsid w:val="00020A28"/>
    <w:rsid w:val="000215A9"/>
    <w:rsid w:val="00030B04"/>
    <w:rsid w:val="000316FF"/>
    <w:rsid w:val="000338E8"/>
    <w:rsid w:val="00033DA8"/>
    <w:rsid w:val="000349EE"/>
    <w:rsid w:val="00034A75"/>
    <w:rsid w:val="00035EF4"/>
    <w:rsid w:val="000378CC"/>
    <w:rsid w:val="00041EB7"/>
    <w:rsid w:val="00051C81"/>
    <w:rsid w:val="0005250A"/>
    <w:rsid w:val="00054E26"/>
    <w:rsid w:val="000562AF"/>
    <w:rsid w:val="000625FC"/>
    <w:rsid w:val="00071E53"/>
    <w:rsid w:val="00073A46"/>
    <w:rsid w:val="000814F6"/>
    <w:rsid w:val="00081813"/>
    <w:rsid w:val="000818D4"/>
    <w:rsid w:val="00087AE9"/>
    <w:rsid w:val="00094645"/>
    <w:rsid w:val="00096999"/>
    <w:rsid w:val="000A62E2"/>
    <w:rsid w:val="000C2679"/>
    <w:rsid w:val="000C3DF6"/>
    <w:rsid w:val="000D28F0"/>
    <w:rsid w:val="000D50A8"/>
    <w:rsid w:val="000D7F5A"/>
    <w:rsid w:val="000E4C16"/>
    <w:rsid w:val="000F16CE"/>
    <w:rsid w:val="000F42C4"/>
    <w:rsid w:val="000F4B7F"/>
    <w:rsid w:val="000F77C3"/>
    <w:rsid w:val="0010339F"/>
    <w:rsid w:val="0010391E"/>
    <w:rsid w:val="00103CC0"/>
    <w:rsid w:val="00104975"/>
    <w:rsid w:val="00110344"/>
    <w:rsid w:val="001138B0"/>
    <w:rsid w:val="001158DF"/>
    <w:rsid w:val="00116CFB"/>
    <w:rsid w:val="00127660"/>
    <w:rsid w:val="0013146D"/>
    <w:rsid w:val="00136F53"/>
    <w:rsid w:val="00142A4E"/>
    <w:rsid w:val="00160DCC"/>
    <w:rsid w:val="001657F4"/>
    <w:rsid w:val="001737B7"/>
    <w:rsid w:val="001768E2"/>
    <w:rsid w:val="00182D03"/>
    <w:rsid w:val="00186D96"/>
    <w:rsid w:val="00191C0B"/>
    <w:rsid w:val="00194447"/>
    <w:rsid w:val="0019516A"/>
    <w:rsid w:val="00195479"/>
    <w:rsid w:val="001B0D26"/>
    <w:rsid w:val="001B18C2"/>
    <w:rsid w:val="001B4CC9"/>
    <w:rsid w:val="001C0535"/>
    <w:rsid w:val="001C05B2"/>
    <w:rsid w:val="001C6C93"/>
    <w:rsid w:val="001D6C48"/>
    <w:rsid w:val="001E2338"/>
    <w:rsid w:val="00200F03"/>
    <w:rsid w:val="00204864"/>
    <w:rsid w:val="00205EFC"/>
    <w:rsid w:val="00212787"/>
    <w:rsid w:val="00214451"/>
    <w:rsid w:val="00221123"/>
    <w:rsid w:val="00226823"/>
    <w:rsid w:val="0023002B"/>
    <w:rsid w:val="00242890"/>
    <w:rsid w:val="00243514"/>
    <w:rsid w:val="002469F7"/>
    <w:rsid w:val="002563ED"/>
    <w:rsid w:val="0026049D"/>
    <w:rsid w:val="00263B55"/>
    <w:rsid w:val="002653BB"/>
    <w:rsid w:val="00267AB2"/>
    <w:rsid w:val="0027137C"/>
    <w:rsid w:val="00281365"/>
    <w:rsid w:val="002903CB"/>
    <w:rsid w:val="00291252"/>
    <w:rsid w:val="002915A8"/>
    <w:rsid w:val="00291981"/>
    <w:rsid w:val="00291F64"/>
    <w:rsid w:val="002A0707"/>
    <w:rsid w:val="002A17C4"/>
    <w:rsid w:val="002A5F58"/>
    <w:rsid w:val="002B4372"/>
    <w:rsid w:val="002C1999"/>
    <w:rsid w:val="002C3DCC"/>
    <w:rsid w:val="002D0F32"/>
    <w:rsid w:val="002D41B7"/>
    <w:rsid w:val="003002D3"/>
    <w:rsid w:val="003079A2"/>
    <w:rsid w:val="00307A61"/>
    <w:rsid w:val="00314E67"/>
    <w:rsid w:val="003160F4"/>
    <w:rsid w:val="00322BCE"/>
    <w:rsid w:val="0036180C"/>
    <w:rsid w:val="00361CF3"/>
    <w:rsid w:val="00362B7F"/>
    <w:rsid w:val="00365A43"/>
    <w:rsid w:val="00372D96"/>
    <w:rsid w:val="00380A9A"/>
    <w:rsid w:val="00394196"/>
    <w:rsid w:val="00397835"/>
    <w:rsid w:val="003B283B"/>
    <w:rsid w:val="003B38AA"/>
    <w:rsid w:val="003B5456"/>
    <w:rsid w:val="003C4AF5"/>
    <w:rsid w:val="003C4EF8"/>
    <w:rsid w:val="003D05FE"/>
    <w:rsid w:val="003D35EF"/>
    <w:rsid w:val="003D3D9E"/>
    <w:rsid w:val="003D7FAF"/>
    <w:rsid w:val="003E0B8C"/>
    <w:rsid w:val="003E387D"/>
    <w:rsid w:val="003E693F"/>
    <w:rsid w:val="003F2CD5"/>
    <w:rsid w:val="003F2F97"/>
    <w:rsid w:val="003F4FF6"/>
    <w:rsid w:val="003F59AD"/>
    <w:rsid w:val="003F65E2"/>
    <w:rsid w:val="004221CC"/>
    <w:rsid w:val="00425526"/>
    <w:rsid w:val="00426306"/>
    <w:rsid w:val="00427C97"/>
    <w:rsid w:val="00434C77"/>
    <w:rsid w:val="00440808"/>
    <w:rsid w:val="00444C4C"/>
    <w:rsid w:val="00444D44"/>
    <w:rsid w:val="004452E3"/>
    <w:rsid w:val="00461E3E"/>
    <w:rsid w:val="00470409"/>
    <w:rsid w:val="00480C50"/>
    <w:rsid w:val="00492EDB"/>
    <w:rsid w:val="004A39DB"/>
    <w:rsid w:val="004A7356"/>
    <w:rsid w:val="004A7AEE"/>
    <w:rsid w:val="004B7790"/>
    <w:rsid w:val="004C0FE5"/>
    <w:rsid w:val="004C4138"/>
    <w:rsid w:val="004C4D7B"/>
    <w:rsid w:val="004C6E55"/>
    <w:rsid w:val="004D1F3E"/>
    <w:rsid w:val="004E0268"/>
    <w:rsid w:val="004E16EC"/>
    <w:rsid w:val="004E21A8"/>
    <w:rsid w:val="004E2B3E"/>
    <w:rsid w:val="004E3528"/>
    <w:rsid w:val="004E46A8"/>
    <w:rsid w:val="004F7A13"/>
    <w:rsid w:val="005024F6"/>
    <w:rsid w:val="00504096"/>
    <w:rsid w:val="00504A01"/>
    <w:rsid w:val="00505516"/>
    <w:rsid w:val="00507B8C"/>
    <w:rsid w:val="0051243D"/>
    <w:rsid w:val="00523686"/>
    <w:rsid w:val="00523996"/>
    <w:rsid w:val="00531900"/>
    <w:rsid w:val="00534CC2"/>
    <w:rsid w:val="00535FFB"/>
    <w:rsid w:val="0054017F"/>
    <w:rsid w:val="005434EE"/>
    <w:rsid w:val="0054508A"/>
    <w:rsid w:val="005508F5"/>
    <w:rsid w:val="00560AD6"/>
    <w:rsid w:val="00561C94"/>
    <w:rsid w:val="005632D7"/>
    <w:rsid w:val="0056359E"/>
    <w:rsid w:val="00567A1B"/>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5D2D"/>
    <w:rsid w:val="005B7EAD"/>
    <w:rsid w:val="005C6FD3"/>
    <w:rsid w:val="005D060D"/>
    <w:rsid w:val="005D460E"/>
    <w:rsid w:val="005D6008"/>
    <w:rsid w:val="005D652A"/>
    <w:rsid w:val="005E32A3"/>
    <w:rsid w:val="005E531B"/>
    <w:rsid w:val="005F54A5"/>
    <w:rsid w:val="006139AA"/>
    <w:rsid w:val="00622A2D"/>
    <w:rsid w:val="00630FCB"/>
    <w:rsid w:val="0063400F"/>
    <w:rsid w:val="00637052"/>
    <w:rsid w:val="00637DD7"/>
    <w:rsid w:val="00643E56"/>
    <w:rsid w:val="00647038"/>
    <w:rsid w:val="006501DC"/>
    <w:rsid w:val="0065504C"/>
    <w:rsid w:val="006552FD"/>
    <w:rsid w:val="006579F9"/>
    <w:rsid w:val="00657F8D"/>
    <w:rsid w:val="006600DC"/>
    <w:rsid w:val="006763EC"/>
    <w:rsid w:val="0067717C"/>
    <w:rsid w:val="006808D7"/>
    <w:rsid w:val="0068174F"/>
    <w:rsid w:val="00681787"/>
    <w:rsid w:val="00690AFD"/>
    <w:rsid w:val="006A4EAA"/>
    <w:rsid w:val="006A6090"/>
    <w:rsid w:val="006B02D0"/>
    <w:rsid w:val="006B4FD1"/>
    <w:rsid w:val="006B7240"/>
    <w:rsid w:val="006E07C3"/>
    <w:rsid w:val="006E28A4"/>
    <w:rsid w:val="006E4A32"/>
    <w:rsid w:val="006F0D9E"/>
    <w:rsid w:val="006F289E"/>
    <w:rsid w:val="006F2CA5"/>
    <w:rsid w:val="006F396D"/>
    <w:rsid w:val="007008B5"/>
    <w:rsid w:val="00701383"/>
    <w:rsid w:val="00701551"/>
    <w:rsid w:val="007056EF"/>
    <w:rsid w:val="007112FB"/>
    <w:rsid w:val="007200A7"/>
    <w:rsid w:val="007274A7"/>
    <w:rsid w:val="00732A09"/>
    <w:rsid w:val="00742995"/>
    <w:rsid w:val="0074514B"/>
    <w:rsid w:val="007460DB"/>
    <w:rsid w:val="00746BC1"/>
    <w:rsid w:val="0075179F"/>
    <w:rsid w:val="00754C10"/>
    <w:rsid w:val="00757CF0"/>
    <w:rsid w:val="007605C0"/>
    <w:rsid w:val="00771B7B"/>
    <w:rsid w:val="007738AC"/>
    <w:rsid w:val="00774ED8"/>
    <w:rsid w:val="00782FDA"/>
    <w:rsid w:val="00793CC7"/>
    <w:rsid w:val="00794E1C"/>
    <w:rsid w:val="00796D74"/>
    <w:rsid w:val="007B31B6"/>
    <w:rsid w:val="007C07C5"/>
    <w:rsid w:val="007C2D6B"/>
    <w:rsid w:val="007D135C"/>
    <w:rsid w:val="007D2AA2"/>
    <w:rsid w:val="007D31F4"/>
    <w:rsid w:val="007D4275"/>
    <w:rsid w:val="007E6BCE"/>
    <w:rsid w:val="007F00D3"/>
    <w:rsid w:val="007F0D28"/>
    <w:rsid w:val="007F0D84"/>
    <w:rsid w:val="007F2174"/>
    <w:rsid w:val="007F556F"/>
    <w:rsid w:val="008031D6"/>
    <w:rsid w:val="00805F7C"/>
    <w:rsid w:val="00810910"/>
    <w:rsid w:val="0081158D"/>
    <w:rsid w:val="00811CDA"/>
    <w:rsid w:val="00821A37"/>
    <w:rsid w:val="00822E71"/>
    <w:rsid w:val="008314D7"/>
    <w:rsid w:val="00831C5E"/>
    <w:rsid w:val="0083618B"/>
    <w:rsid w:val="008367AC"/>
    <w:rsid w:val="008405A0"/>
    <w:rsid w:val="00843DF6"/>
    <w:rsid w:val="008524D0"/>
    <w:rsid w:val="00860B63"/>
    <w:rsid w:val="008634DC"/>
    <w:rsid w:val="00863940"/>
    <w:rsid w:val="00875E52"/>
    <w:rsid w:val="00881E5F"/>
    <w:rsid w:val="008829A4"/>
    <w:rsid w:val="00883FCB"/>
    <w:rsid w:val="008874F5"/>
    <w:rsid w:val="0089503E"/>
    <w:rsid w:val="008A0BF5"/>
    <w:rsid w:val="008A2046"/>
    <w:rsid w:val="008A2A2F"/>
    <w:rsid w:val="008A6D95"/>
    <w:rsid w:val="008B5152"/>
    <w:rsid w:val="008B5EA0"/>
    <w:rsid w:val="008B6EE1"/>
    <w:rsid w:val="008C0CA5"/>
    <w:rsid w:val="008D10DE"/>
    <w:rsid w:val="008D3DE9"/>
    <w:rsid w:val="008D54FE"/>
    <w:rsid w:val="008D639A"/>
    <w:rsid w:val="008E212A"/>
    <w:rsid w:val="008E4FE2"/>
    <w:rsid w:val="008E5F8B"/>
    <w:rsid w:val="008F199D"/>
    <w:rsid w:val="008F1D0A"/>
    <w:rsid w:val="008F3933"/>
    <w:rsid w:val="00900EA0"/>
    <w:rsid w:val="0090367E"/>
    <w:rsid w:val="00906027"/>
    <w:rsid w:val="009110F8"/>
    <w:rsid w:val="00915EB8"/>
    <w:rsid w:val="00927AA9"/>
    <w:rsid w:val="00930D55"/>
    <w:rsid w:val="009335CB"/>
    <w:rsid w:val="00933610"/>
    <w:rsid w:val="0096362C"/>
    <w:rsid w:val="009650BD"/>
    <w:rsid w:val="00967E69"/>
    <w:rsid w:val="00974757"/>
    <w:rsid w:val="00977579"/>
    <w:rsid w:val="00977961"/>
    <w:rsid w:val="00983C32"/>
    <w:rsid w:val="00992591"/>
    <w:rsid w:val="0099424C"/>
    <w:rsid w:val="009967CB"/>
    <w:rsid w:val="009A0DEA"/>
    <w:rsid w:val="009A1F1D"/>
    <w:rsid w:val="009A24AD"/>
    <w:rsid w:val="009A51F0"/>
    <w:rsid w:val="009B0BC4"/>
    <w:rsid w:val="009B3504"/>
    <w:rsid w:val="009B4402"/>
    <w:rsid w:val="009B5536"/>
    <w:rsid w:val="009C4B4E"/>
    <w:rsid w:val="009D1C6F"/>
    <w:rsid w:val="009D3AE0"/>
    <w:rsid w:val="009D6AF9"/>
    <w:rsid w:val="009F02EC"/>
    <w:rsid w:val="009F09F1"/>
    <w:rsid w:val="009F40D9"/>
    <w:rsid w:val="009F475D"/>
    <w:rsid w:val="00A02258"/>
    <w:rsid w:val="00A0670F"/>
    <w:rsid w:val="00A07E52"/>
    <w:rsid w:val="00A108CC"/>
    <w:rsid w:val="00A1766C"/>
    <w:rsid w:val="00A17F1A"/>
    <w:rsid w:val="00A22001"/>
    <w:rsid w:val="00A222A7"/>
    <w:rsid w:val="00A31921"/>
    <w:rsid w:val="00A36A65"/>
    <w:rsid w:val="00A372EE"/>
    <w:rsid w:val="00A45CD8"/>
    <w:rsid w:val="00A56B6D"/>
    <w:rsid w:val="00A65DD2"/>
    <w:rsid w:val="00A71A8D"/>
    <w:rsid w:val="00A71EF4"/>
    <w:rsid w:val="00A76812"/>
    <w:rsid w:val="00A86D47"/>
    <w:rsid w:val="00A944F3"/>
    <w:rsid w:val="00A97E15"/>
    <w:rsid w:val="00AA18AE"/>
    <w:rsid w:val="00AA2776"/>
    <w:rsid w:val="00AB4252"/>
    <w:rsid w:val="00AE22F2"/>
    <w:rsid w:val="00AE2392"/>
    <w:rsid w:val="00AE24DF"/>
    <w:rsid w:val="00AF328F"/>
    <w:rsid w:val="00B33A06"/>
    <w:rsid w:val="00B34AF2"/>
    <w:rsid w:val="00B44DE2"/>
    <w:rsid w:val="00B50DEE"/>
    <w:rsid w:val="00B52FBD"/>
    <w:rsid w:val="00B54D58"/>
    <w:rsid w:val="00B60D9B"/>
    <w:rsid w:val="00B61251"/>
    <w:rsid w:val="00B614E6"/>
    <w:rsid w:val="00B6214E"/>
    <w:rsid w:val="00B65F77"/>
    <w:rsid w:val="00B72929"/>
    <w:rsid w:val="00B75A56"/>
    <w:rsid w:val="00B82F3D"/>
    <w:rsid w:val="00B92979"/>
    <w:rsid w:val="00B929A5"/>
    <w:rsid w:val="00B939A6"/>
    <w:rsid w:val="00B94955"/>
    <w:rsid w:val="00B97C33"/>
    <w:rsid w:val="00BA020D"/>
    <w:rsid w:val="00BA0C8A"/>
    <w:rsid w:val="00BA4901"/>
    <w:rsid w:val="00BA5F2A"/>
    <w:rsid w:val="00BB026F"/>
    <w:rsid w:val="00BB5370"/>
    <w:rsid w:val="00BB65C4"/>
    <w:rsid w:val="00BC4431"/>
    <w:rsid w:val="00BC6E2E"/>
    <w:rsid w:val="00BD2639"/>
    <w:rsid w:val="00BD4CC9"/>
    <w:rsid w:val="00BD4EB5"/>
    <w:rsid w:val="00BE364C"/>
    <w:rsid w:val="00BF2010"/>
    <w:rsid w:val="00BF4BCD"/>
    <w:rsid w:val="00BF688B"/>
    <w:rsid w:val="00C01120"/>
    <w:rsid w:val="00C04273"/>
    <w:rsid w:val="00C044F5"/>
    <w:rsid w:val="00C07936"/>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4BBA"/>
    <w:rsid w:val="00C835B2"/>
    <w:rsid w:val="00C85AC8"/>
    <w:rsid w:val="00C87EFC"/>
    <w:rsid w:val="00C90C12"/>
    <w:rsid w:val="00C937E3"/>
    <w:rsid w:val="00CA1941"/>
    <w:rsid w:val="00CB10E5"/>
    <w:rsid w:val="00CB5CC4"/>
    <w:rsid w:val="00CC0E6A"/>
    <w:rsid w:val="00CC4171"/>
    <w:rsid w:val="00CC4385"/>
    <w:rsid w:val="00CD4639"/>
    <w:rsid w:val="00CD5F76"/>
    <w:rsid w:val="00CD6411"/>
    <w:rsid w:val="00CE27BF"/>
    <w:rsid w:val="00CE653A"/>
    <w:rsid w:val="00CF5F66"/>
    <w:rsid w:val="00D00275"/>
    <w:rsid w:val="00D033AB"/>
    <w:rsid w:val="00D0422F"/>
    <w:rsid w:val="00D14053"/>
    <w:rsid w:val="00D160F1"/>
    <w:rsid w:val="00D215F3"/>
    <w:rsid w:val="00D23740"/>
    <w:rsid w:val="00D32E3B"/>
    <w:rsid w:val="00D33B62"/>
    <w:rsid w:val="00D350C8"/>
    <w:rsid w:val="00D40BA4"/>
    <w:rsid w:val="00D4227C"/>
    <w:rsid w:val="00D502B8"/>
    <w:rsid w:val="00D606E2"/>
    <w:rsid w:val="00D62387"/>
    <w:rsid w:val="00D62A5F"/>
    <w:rsid w:val="00D67C7B"/>
    <w:rsid w:val="00D83969"/>
    <w:rsid w:val="00D92D5B"/>
    <w:rsid w:val="00D93206"/>
    <w:rsid w:val="00D95007"/>
    <w:rsid w:val="00D97EA9"/>
    <w:rsid w:val="00DA0BA0"/>
    <w:rsid w:val="00DA6571"/>
    <w:rsid w:val="00DB4A7C"/>
    <w:rsid w:val="00DB564E"/>
    <w:rsid w:val="00DB69D2"/>
    <w:rsid w:val="00DC543D"/>
    <w:rsid w:val="00DC7FAC"/>
    <w:rsid w:val="00DD3CE5"/>
    <w:rsid w:val="00DD64AF"/>
    <w:rsid w:val="00DD7D2B"/>
    <w:rsid w:val="00DE1B14"/>
    <w:rsid w:val="00DE25EF"/>
    <w:rsid w:val="00DE4C44"/>
    <w:rsid w:val="00DE4F63"/>
    <w:rsid w:val="00DE59B3"/>
    <w:rsid w:val="00DF2441"/>
    <w:rsid w:val="00DF29AB"/>
    <w:rsid w:val="00DF4971"/>
    <w:rsid w:val="00DF76D7"/>
    <w:rsid w:val="00E06D7D"/>
    <w:rsid w:val="00E07AE2"/>
    <w:rsid w:val="00E1002C"/>
    <w:rsid w:val="00E12B0C"/>
    <w:rsid w:val="00E17B8F"/>
    <w:rsid w:val="00E2126D"/>
    <w:rsid w:val="00E30A3C"/>
    <w:rsid w:val="00E32722"/>
    <w:rsid w:val="00E3526B"/>
    <w:rsid w:val="00E37047"/>
    <w:rsid w:val="00E44B09"/>
    <w:rsid w:val="00E45BEF"/>
    <w:rsid w:val="00E46012"/>
    <w:rsid w:val="00E53230"/>
    <w:rsid w:val="00E53AE5"/>
    <w:rsid w:val="00E54014"/>
    <w:rsid w:val="00E54FA7"/>
    <w:rsid w:val="00E62608"/>
    <w:rsid w:val="00E65473"/>
    <w:rsid w:val="00E66299"/>
    <w:rsid w:val="00E70827"/>
    <w:rsid w:val="00E70DF7"/>
    <w:rsid w:val="00E71C7E"/>
    <w:rsid w:val="00E80D97"/>
    <w:rsid w:val="00E81A13"/>
    <w:rsid w:val="00E82F78"/>
    <w:rsid w:val="00E83F3B"/>
    <w:rsid w:val="00E94287"/>
    <w:rsid w:val="00EB6E7A"/>
    <w:rsid w:val="00EC1BD8"/>
    <w:rsid w:val="00EC2AB1"/>
    <w:rsid w:val="00EC423F"/>
    <w:rsid w:val="00EC69E1"/>
    <w:rsid w:val="00EC6D2D"/>
    <w:rsid w:val="00ED65ED"/>
    <w:rsid w:val="00EE278E"/>
    <w:rsid w:val="00EE3AEB"/>
    <w:rsid w:val="00EE4363"/>
    <w:rsid w:val="00EF2BED"/>
    <w:rsid w:val="00EF64A8"/>
    <w:rsid w:val="00F051B3"/>
    <w:rsid w:val="00F06136"/>
    <w:rsid w:val="00F21A6E"/>
    <w:rsid w:val="00F226CE"/>
    <w:rsid w:val="00F3080D"/>
    <w:rsid w:val="00F31ACB"/>
    <w:rsid w:val="00F33BFD"/>
    <w:rsid w:val="00F44F7C"/>
    <w:rsid w:val="00F47577"/>
    <w:rsid w:val="00F533AD"/>
    <w:rsid w:val="00F534B9"/>
    <w:rsid w:val="00F61E0A"/>
    <w:rsid w:val="00F671B2"/>
    <w:rsid w:val="00F673C4"/>
    <w:rsid w:val="00F70FF1"/>
    <w:rsid w:val="00F73B1E"/>
    <w:rsid w:val="00F74BB3"/>
    <w:rsid w:val="00F77110"/>
    <w:rsid w:val="00F81B41"/>
    <w:rsid w:val="00F84C0F"/>
    <w:rsid w:val="00F87901"/>
    <w:rsid w:val="00F955CF"/>
    <w:rsid w:val="00FA0AD4"/>
    <w:rsid w:val="00FA27F5"/>
    <w:rsid w:val="00FA7B89"/>
    <w:rsid w:val="00FB4732"/>
    <w:rsid w:val="00FB50E4"/>
    <w:rsid w:val="00FC3325"/>
    <w:rsid w:val="00FD1A59"/>
    <w:rsid w:val="00FD6560"/>
    <w:rsid w:val="00FD7E01"/>
    <w:rsid w:val="00FE1D2D"/>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lv-LV"/>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D74"/>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6D74"/>
    <w:pPr>
      <w:numPr>
        <w:numId w:val="1"/>
      </w:numPr>
      <w:ind w:left="720" w:hanging="720"/>
      <w:outlineLvl w:val="0"/>
    </w:pPr>
    <w:rPr>
      <w:kern w:val="28"/>
    </w:rPr>
  </w:style>
  <w:style w:type="paragraph" w:styleId="Heading2">
    <w:name w:val="heading 2"/>
    <w:basedOn w:val="Normal"/>
    <w:next w:val="Normal"/>
    <w:link w:val="Heading2Char"/>
    <w:qFormat/>
    <w:rsid w:val="00796D74"/>
    <w:pPr>
      <w:numPr>
        <w:ilvl w:val="1"/>
        <w:numId w:val="1"/>
      </w:numPr>
      <w:ind w:left="720" w:hanging="720"/>
      <w:outlineLvl w:val="1"/>
    </w:pPr>
  </w:style>
  <w:style w:type="paragraph" w:styleId="Heading3">
    <w:name w:val="heading 3"/>
    <w:basedOn w:val="Normal"/>
    <w:next w:val="Normal"/>
    <w:link w:val="Heading3Char"/>
    <w:qFormat/>
    <w:rsid w:val="00796D74"/>
    <w:pPr>
      <w:numPr>
        <w:ilvl w:val="2"/>
        <w:numId w:val="1"/>
      </w:numPr>
      <w:ind w:left="720" w:hanging="720"/>
      <w:outlineLvl w:val="2"/>
    </w:pPr>
  </w:style>
  <w:style w:type="paragraph" w:styleId="Heading4">
    <w:name w:val="heading 4"/>
    <w:basedOn w:val="Normal"/>
    <w:next w:val="Normal"/>
    <w:link w:val="Heading4Char"/>
    <w:qFormat/>
    <w:rsid w:val="00796D74"/>
    <w:pPr>
      <w:numPr>
        <w:ilvl w:val="3"/>
        <w:numId w:val="1"/>
      </w:numPr>
      <w:ind w:left="720" w:hanging="720"/>
      <w:outlineLvl w:val="3"/>
    </w:pPr>
  </w:style>
  <w:style w:type="paragraph" w:styleId="Heading5">
    <w:name w:val="heading 5"/>
    <w:basedOn w:val="Normal"/>
    <w:next w:val="Normal"/>
    <w:link w:val="Heading5Char"/>
    <w:qFormat/>
    <w:rsid w:val="00796D74"/>
    <w:pPr>
      <w:numPr>
        <w:ilvl w:val="4"/>
        <w:numId w:val="1"/>
      </w:numPr>
      <w:ind w:left="720" w:hanging="720"/>
      <w:outlineLvl w:val="4"/>
    </w:pPr>
  </w:style>
  <w:style w:type="paragraph" w:styleId="Heading6">
    <w:name w:val="heading 6"/>
    <w:basedOn w:val="Normal"/>
    <w:next w:val="Normal"/>
    <w:link w:val="Heading6Char"/>
    <w:qFormat/>
    <w:rsid w:val="00796D74"/>
    <w:pPr>
      <w:numPr>
        <w:ilvl w:val="5"/>
        <w:numId w:val="1"/>
      </w:numPr>
      <w:ind w:left="720" w:hanging="720"/>
      <w:outlineLvl w:val="5"/>
    </w:pPr>
  </w:style>
  <w:style w:type="paragraph" w:styleId="Heading7">
    <w:name w:val="heading 7"/>
    <w:basedOn w:val="Normal"/>
    <w:next w:val="Normal"/>
    <w:link w:val="Heading7Char"/>
    <w:qFormat/>
    <w:rsid w:val="00796D74"/>
    <w:pPr>
      <w:numPr>
        <w:ilvl w:val="6"/>
        <w:numId w:val="1"/>
      </w:numPr>
      <w:ind w:left="720" w:hanging="720"/>
      <w:outlineLvl w:val="6"/>
    </w:pPr>
  </w:style>
  <w:style w:type="paragraph" w:styleId="Heading8">
    <w:name w:val="heading 8"/>
    <w:basedOn w:val="Normal"/>
    <w:next w:val="Normal"/>
    <w:link w:val="Heading8Char"/>
    <w:qFormat/>
    <w:rsid w:val="00796D74"/>
    <w:pPr>
      <w:numPr>
        <w:ilvl w:val="7"/>
        <w:numId w:val="1"/>
      </w:numPr>
      <w:ind w:left="720" w:hanging="720"/>
      <w:outlineLvl w:val="7"/>
    </w:pPr>
  </w:style>
  <w:style w:type="paragraph" w:styleId="Heading9">
    <w:name w:val="heading 9"/>
    <w:basedOn w:val="Normal"/>
    <w:next w:val="Normal"/>
    <w:link w:val="Heading9Char"/>
    <w:qFormat/>
    <w:rsid w:val="00796D7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lv-LV" w:eastAsia="lv-LV" w:bidi="lv-LV"/>
    </w:rPr>
  </w:style>
  <w:style w:type="character" w:customStyle="1" w:styleId="Heading2Char">
    <w:name w:val="Heading 2 Char"/>
    <w:link w:val="Heading2"/>
    <w:locked/>
    <w:rsid w:val="003B283B"/>
    <w:rPr>
      <w:rFonts w:ascii="Times New Roman" w:eastAsia="Times New Roman" w:hAnsi="Times New Roman"/>
      <w:sz w:val="22"/>
      <w:szCs w:val="22"/>
      <w:lang w:val="lv-LV" w:eastAsia="lv-LV" w:bidi="lv-LV"/>
    </w:rPr>
  </w:style>
  <w:style w:type="character" w:customStyle="1" w:styleId="Heading3Char">
    <w:name w:val="Heading 3 Char"/>
    <w:link w:val="Heading3"/>
    <w:locked/>
    <w:rsid w:val="003B283B"/>
    <w:rPr>
      <w:rFonts w:ascii="Times New Roman" w:eastAsia="Times New Roman" w:hAnsi="Times New Roman"/>
      <w:sz w:val="22"/>
      <w:szCs w:val="22"/>
      <w:lang w:val="lv-LV" w:eastAsia="lv-LV" w:bidi="lv-LV"/>
    </w:rPr>
  </w:style>
  <w:style w:type="character" w:customStyle="1" w:styleId="Heading4Char">
    <w:name w:val="Heading 4 Char"/>
    <w:link w:val="Heading4"/>
    <w:locked/>
    <w:rsid w:val="003B283B"/>
    <w:rPr>
      <w:rFonts w:ascii="Times New Roman" w:eastAsia="Times New Roman" w:hAnsi="Times New Roman"/>
      <w:sz w:val="22"/>
      <w:szCs w:val="22"/>
      <w:lang w:val="lv-LV" w:eastAsia="lv-LV" w:bidi="lv-LV"/>
    </w:rPr>
  </w:style>
  <w:style w:type="character" w:customStyle="1" w:styleId="Heading5Char">
    <w:name w:val="Heading 5 Char"/>
    <w:link w:val="Heading5"/>
    <w:locked/>
    <w:rsid w:val="003B283B"/>
    <w:rPr>
      <w:rFonts w:ascii="Times New Roman" w:eastAsia="Times New Roman" w:hAnsi="Times New Roman"/>
      <w:sz w:val="22"/>
      <w:szCs w:val="22"/>
      <w:lang w:val="lv-LV" w:eastAsia="lv-LV" w:bidi="lv-LV"/>
    </w:rPr>
  </w:style>
  <w:style w:type="character" w:customStyle="1" w:styleId="Heading6Char">
    <w:name w:val="Heading 6 Char"/>
    <w:link w:val="Heading6"/>
    <w:locked/>
    <w:rsid w:val="003B283B"/>
    <w:rPr>
      <w:rFonts w:ascii="Times New Roman" w:eastAsia="Times New Roman" w:hAnsi="Times New Roman"/>
      <w:sz w:val="22"/>
      <w:szCs w:val="22"/>
      <w:lang w:val="lv-LV" w:eastAsia="lv-LV" w:bidi="lv-LV"/>
    </w:rPr>
  </w:style>
  <w:style w:type="character" w:customStyle="1" w:styleId="Heading7Char">
    <w:name w:val="Heading 7 Char"/>
    <w:link w:val="Heading7"/>
    <w:locked/>
    <w:rsid w:val="003B283B"/>
    <w:rPr>
      <w:rFonts w:ascii="Times New Roman" w:eastAsia="Times New Roman" w:hAnsi="Times New Roman"/>
      <w:sz w:val="22"/>
      <w:szCs w:val="22"/>
      <w:lang w:val="lv-LV" w:eastAsia="lv-LV" w:bidi="lv-LV"/>
    </w:rPr>
  </w:style>
  <w:style w:type="character" w:customStyle="1" w:styleId="Heading8Char">
    <w:name w:val="Heading 8 Char"/>
    <w:link w:val="Heading8"/>
    <w:locked/>
    <w:rsid w:val="003B283B"/>
    <w:rPr>
      <w:rFonts w:ascii="Times New Roman" w:eastAsia="Times New Roman" w:hAnsi="Times New Roman"/>
      <w:sz w:val="22"/>
      <w:szCs w:val="22"/>
      <w:lang w:val="lv-LV" w:eastAsia="lv-LV" w:bidi="lv-LV"/>
    </w:rPr>
  </w:style>
  <w:style w:type="character" w:customStyle="1" w:styleId="Heading9Char">
    <w:name w:val="Heading 9 Char"/>
    <w:link w:val="Heading9"/>
    <w:locked/>
    <w:rsid w:val="003B283B"/>
    <w:rPr>
      <w:rFonts w:ascii="Times New Roman" w:eastAsia="Times New Roman" w:hAnsi="Times New Roman"/>
      <w:sz w:val="22"/>
      <w:szCs w:val="22"/>
      <w:lang w:val="lv-LV" w:eastAsia="lv-LV" w:bidi="lv-LV"/>
    </w:rPr>
  </w:style>
  <w:style w:type="paragraph" w:styleId="Footer">
    <w:name w:val="footer"/>
    <w:basedOn w:val="Normal"/>
    <w:link w:val="FooterChar"/>
    <w:qFormat/>
    <w:rsid w:val="00796D74"/>
  </w:style>
  <w:style w:type="character" w:customStyle="1" w:styleId="FooterChar">
    <w:name w:val="Footer Char"/>
    <w:link w:val="Footer"/>
    <w:locked/>
    <w:rsid w:val="003B283B"/>
    <w:rPr>
      <w:rFonts w:ascii="Times New Roman" w:eastAsia="Times New Roman" w:hAnsi="Times New Roman"/>
      <w:sz w:val="22"/>
      <w:szCs w:val="22"/>
      <w:lang w:val="lv-LV" w:eastAsia="lv-LV" w:bidi="lv-LV"/>
    </w:rPr>
  </w:style>
  <w:style w:type="paragraph" w:styleId="FootnoteText">
    <w:name w:val="footnote text"/>
    <w:basedOn w:val="Normal"/>
    <w:link w:val="FootnoteTextChar"/>
    <w:qFormat/>
    <w:rsid w:val="00796D74"/>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lv-LV" w:eastAsia="lv-LV" w:bidi="lv-LV"/>
    </w:rPr>
  </w:style>
  <w:style w:type="paragraph" w:styleId="Header">
    <w:name w:val="header"/>
    <w:basedOn w:val="Normal"/>
    <w:link w:val="HeaderChar"/>
    <w:qFormat/>
    <w:rsid w:val="00796D74"/>
  </w:style>
  <w:style w:type="character" w:customStyle="1" w:styleId="HeaderChar">
    <w:name w:val="Header Char"/>
    <w:link w:val="Header"/>
    <w:locked/>
    <w:rsid w:val="003B283B"/>
    <w:rPr>
      <w:rFonts w:ascii="Times New Roman" w:eastAsia="Times New Roman" w:hAnsi="Times New Roman"/>
      <w:sz w:val="22"/>
      <w:szCs w:val="22"/>
      <w:lang w:val="lv-LV" w:eastAsia="lv-LV" w:bidi="lv-LV"/>
    </w:rPr>
  </w:style>
  <w:style w:type="character" w:styleId="FootnoteReference">
    <w:name w:val="footnote reference"/>
    <w:basedOn w:val="DefaultParagraphFont"/>
    <w:unhideWhenUsed/>
    <w:qFormat/>
    <w:rsid w:val="00796D74"/>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style>
  <w:style w:type="paragraph" w:customStyle="1" w:styleId="quotes">
    <w:name w:val="quotes"/>
    <w:basedOn w:val="Normal"/>
    <w:next w:val="Normal"/>
    <w:rsid w:val="00796D74"/>
    <w:pPr>
      <w:ind w:left="720"/>
    </w:pPr>
    <w:rPr>
      <w:i/>
    </w:rPr>
  </w:style>
  <w:style w:type="paragraph" w:styleId="BalloonText">
    <w:name w:val="Balloon Text"/>
    <w:basedOn w:val="Normal"/>
    <w:link w:val="BalloonTextChar"/>
    <w:rsid w:val="00FD65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6560"/>
    <w:rPr>
      <w:rFonts w:ascii="Tahoma" w:eastAsia="Times New Roman" w:hAnsi="Tahoma" w:cs="Tahoma"/>
      <w:sz w:val="16"/>
      <w:szCs w:val="16"/>
      <w:lang w:val="lv-LV" w:eastAsia="lv-LV" w:bidi="lv-LV"/>
    </w:rPr>
  </w:style>
  <w:style w:type="paragraph" w:styleId="TOC1">
    <w:name w:val="toc 1"/>
    <w:basedOn w:val="Normal"/>
    <w:next w:val="Normal"/>
    <w:autoRedefine/>
    <w:uiPriority w:val="39"/>
    <w:locked/>
    <w:rsid w:val="004A39D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lv-LV"/>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D74"/>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6D74"/>
    <w:pPr>
      <w:numPr>
        <w:numId w:val="1"/>
      </w:numPr>
      <w:ind w:left="720" w:hanging="720"/>
      <w:outlineLvl w:val="0"/>
    </w:pPr>
    <w:rPr>
      <w:kern w:val="28"/>
    </w:rPr>
  </w:style>
  <w:style w:type="paragraph" w:styleId="Heading2">
    <w:name w:val="heading 2"/>
    <w:basedOn w:val="Normal"/>
    <w:next w:val="Normal"/>
    <w:link w:val="Heading2Char"/>
    <w:qFormat/>
    <w:rsid w:val="00796D74"/>
    <w:pPr>
      <w:numPr>
        <w:ilvl w:val="1"/>
        <w:numId w:val="1"/>
      </w:numPr>
      <w:ind w:left="720" w:hanging="720"/>
      <w:outlineLvl w:val="1"/>
    </w:pPr>
  </w:style>
  <w:style w:type="paragraph" w:styleId="Heading3">
    <w:name w:val="heading 3"/>
    <w:basedOn w:val="Normal"/>
    <w:next w:val="Normal"/>
    <w:link w:val="Heading3Char"/>
    <w:qFormat/>
    <w:rsid w:val="00796D74"/>
    <w:pPr>
      <w:numPr>
        <w:ilvl w:val="2"/>
        <w:numId w:val="1"/>
      </w:numPr>
      <w:ind w:left="720" w:hanging="720"/>
      <w:outlineLvl w:val="2"/>
    </w:pPr>
  </w:style>
  <w:style w:type="paragraph" w:styleId="Heading4">
    <w:name w:val="heading 4"/>
    <w:basedOn w:val="Normal"/>
    <w:next w:val="Normal"/>
    <w:link w:val="Heading4Char"/>
    <w:qFormat/>
    <w:rsid w:val="00796D74"/>
    <w:pPr>
      <w:numPr>
        <w:ilvl w:val="3"/>
        <w:numId w:val="1"/>
      </w:numPr>
      <w:ind w:left="720" w:hanging="720"/>
      <w:outlineLvl w:val="3"/>
    </w:pPr>
  </w:style>
  <w:style w:type="paragraph" w:styleId="Heading5">
    <w:name w:val="heading 5"/>
    <w:basedOn w:val="Normal"/>
    <w:next w:val="Normal"/>
    <w:link w:val="Heading5Char"/>
    <w:qFormat/>
    <w:rsid w:val="00796D74"/>
    <w:pPr>
      <w:numPr>
        <w:ilvl w:val="4"/>
        <w:numId w:val="1"/>
      </w:numPr>
      <w:ind w:left="720" w:hanging="720"/>
      <w:outlineLvl w:val="4"/>
    </w:pPr>
  </w:style>
  <w:style w:type="paragraph" w:styleId="Heading6">
    <w:name w:val="heading 6"/>
    <w:basedOn w:val="Normal"/>
    <w:next w:val="Normal"/>
    <w:link w:val="Heading6Char"/>
    <w:qFormat/>
    <w:rsid w:val="00796D74"/>
    <w:pPr>
      <w:numPr>
        <w:ilvl w:val="5"/>
        <w:numId w:val="1"/>
      </w:numPr>
      <w:ind w:left="720" w:hanging="720"/>
      <w:outlineLvl w:val="5"/>
    </w:pPr>
  </w:style>
  <w:style w:type="paragraph" w:styleId="Heading7">
    <w:name w:val="heading 7"/>
    <w:basedOn w:val="Normal"/>
    <w:next w:val="Normal"/>
    <w:link w:val="Heading7Char"/>
    <w:qFormat/>
    <w:rsid w:val="00796D74"/>
    <w:pPr>
      <w:numPr>
        <w:ilvl w:val="6"/>
        <w:numId w:val="1"/>
      </w:numPr>
      <w:ind w:left="720" w:hanging="720"/>
      <w:outlineLvl w:val="6"/>
    </w:pPr>
  </w:style>
  <w:style w:type="paragraph" w:styleId="Heading8">
    <w:name w:val="heading 8"/>
    <w:basedOn w:val="Normal"/>
    <w:next w:val="Normal"/>
    <w:link w:val="Heading8Char"/>
    <w:qFormat/>
    <w:rsid w:val="00796D74"/>
    <w:pPr>
      <w:numPr>
        <w:ilvl w:val="7"/>
        <w:numId w:val="1"/>
      </w:numPr>
      <w:ind w:left="720" w:hanging="720"/>
      <w:outlineLvl w:val="7"/>
    </w:pPr>
  </w:style>
  <w:style w:type="paragraph" w:styleId="Heading9">
    <w:name w:val="heading 9"/>
    <w:basedOn w:val="Normal"/>
    <w:next w:val="Normal"/>
    <w:link w:val="Heading9Char"/>
    <w:qFormat/>
    <w:rsid w:val="00796D7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lv-LV" w:eastAsia="lv-LV" w:bidi="lv-LV"/>
    </w:rPr>
  </w:style>
  <w:style w:type="character" w:customStyle="1" w:styleId="Heading2Char">
    <w:name w:val="Heading 2 Char"/>
    <w:link w:val="Heading2"/>
    <w:locked/>
    <w:rsid w:val="003B283B"/>
    <w:rPr>
      <w:rFonts w:ascii="Times New Roman" w:eastAsia="Times New Roman" w:hAnsi="Times New Roman"/>
      <w:sz w:val="22"/>
      <w:szCs w:val="22"/>
      <w:lang w:val="lv-LV" w:eastAsia="lv-LV" w:bidi="lv-LV"/>
    </w:rPr>
  </w:style>
  <w:style w:type="character" w:customStyle="1" w:styleId="Heading3Char">
    <w:name w:val="Heading 3 Char"/>
    <w:link w:val="Heading3"/>
    <w:locked/>
    <w:rsid w:val="003B283B"/>
    <w:rPr>
      <w:rFonts w:ascii="Times New Roman" w:eastAsia="Times New Roman" w:hAnsi="Times New Roman"/>
      <w:sz w:val="22"/>
      <w:szCs w:val="22"/>
      <w:lang w:val="lv-LV" w:eastAsia="lv-LV" w:bidi="lv-LV"/>
    </w:rPr>
  </w:style>
  <w:style w:type="character" w:customStyle="1" w:styleId="Heading4Char">
    <w:name w:val="Heading 4 Char"/>
    <w:link w:val="Heading4"/>
    <w:locked/>
    <w:rsid w:val="003B283B"/>
    <w:rPr>
      <w:rFonts w:ascii="Times New Roman" w:eastAsia="Times New Roman" w:hAnsi="Times New Roman"/>
      <w:sz w:val="22"/>
      <w:szCs w:val="22"/>
      <w:lang w:val="lv-LV" w:eastAsia="lv-LV" w:bidi="lv-LV"/>
    </w:rPr>
  </w:style>
  <w:style w:type="character" w:customStyle="1" w:styleId="Heading5Char">
    <w:name w:val="Heading 5 Char"/>
    <w:link w:val="Heading5"/>
    <w:locked/>
    <w:rsid w:val="003B283B"/>
    <w:rPr>
      <w:rFonts w:ascii="Times New Roman" w:eastAsia="Times New Roman" w:hAnsi="Times New Roman"/>
      <w:sz w:val="22"/>
      <w:szCs w:val="22"/>
      <w:lang w:val="lv-LV" w:eastAsia="lv-LV" w:bidi="lv-LV"/>
    </w:rPr>
  </w:style>
  <w:style w:type="character" w:customStyle="1" w:styleId="Heading6Char">
    <w:name w:val="Heading 6 Char"/>
    <w:link w:val="Heading6"/>
    <w:locked/>
    <w:rsid w:val="003B283B"/>
    <w:rPr>
      <w:rFonts w:ascii="Times New Roman" w:eastAsia="Times New Roman" w:hAnsi="Times New Roman"/>
      <w:sz w:val="22"/>
      <w:szCs w:val="22"/>
      <w:lang w:val="lv-LV" w:eastAsia="lv-LV" w:bidi="lv-LV"/>
    </w:rPr>
  </w:style>
  <w:style w:type="character" w:customStyle="1" w:styleId="Heading7Char">
    <w:name w:val="Heading 7 Char"/>
    <w:link w:val="Heading7"/>
    <w:locked/>
    <w:rsid w:val="003B283B"/>
    <w:rPr>
      <w:rFonts w:ascii="Times New Roman" w:eastAsia="Times New Roman" w:hAnsi="Times New Roman"/>
      <w:sz w:val="22"/>
      <w:szCs w:val="22"/>
      <w:lang w:val="lv-LV" w:eastAsia="lv-LV" w:bidi="lv-LV"/>
    </w:rPr>
  </w:style>
  <w:style w:type="character" w:customStyle="1" w:styleId="Heading8Char">
    <w:name w:val="Heading 8 Char"/>
    <w:link w:val="Heading8"/>
    <w:locked/>
    <w:rsid w:val="003B283B"/>
    <w:rPr>
      <w:rFonts w:ascii="Times New Roman" w:eastAsia="Times New Roman" w:hAnsi="Times New Roman"/>
      <w:sz w:val="22"/>
      <w:szCs w:val="22"/>
      <w:lang w:val="lv-LV" w:eastAsia="lv-LV" w:bidi="lv-LV"/>
    </w:rPr>
  </w:style>
  <w:style w:type="character" w:customStyle="1" w:styleId="Heading9Char">
    <w:name w:val="Heading 9 Char"/>
    <w:link w:val="Heading9"/>
    <w:locked/>
    <w:rsid w:val="003B283B"/>
    <w:rPr>
      <w:rFonts w:ascii="Times New Roman" w:eastAsia="Times New Roman" w:hAnsi="Times New Roman"/>
      <w:sz w:val="22"/>
      <w:szCs w:val="22"/>
      <w:lang w:val="lv-LV" w:eastAsia="lv-LV" w:bidi="lv-LV"/>
    </w:rPr>
  </w:style>
  <w:style w:type="paragraph" w:styleId="Footer">
    <w:name w:val="footer"/>
    <w:basedOn w:val="Normal"/>
    <w:link w:val="FooterChar"/>
    <w:qFormat/>
    <w:rsid w:val="00796D74"/>
  </w:style>
  <w:style w:type="character" w:customStyle="1" w:styleId="FooterChar">
    <w:name w:val="Footer Char"/>
    <w:link w:val="Footer"/>
    <w:locked/>
    <w:rsid w:val="003B283B"/>
    <w:rPr>
      <w:rFonts w:ascii="Times New Roman" w:eastAsia="Times New Roman" w:hAnsi="Times New Roman"/>
      <w:sz w:val="22"/>
      <w:szCs w:val="22"/>
      <w:lang w:val="lv-LV" w:eastAsia="lv-LV" w:bidi="lv-LV"/>
    </w:rPr>
  </w:style>
  <w:style w:type="paragraph" w:styleId="FootnoteText">
    <w:name w:val="footnote text"/>
    <w:basedOn w:val="Normal"/>
    <w:link w:val="FootnoteTextChar"/>
    <w:qFormat/>
    <w:rsid w:val="00796D74"/>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lv-LV" w:eastAsia="lv-LV" w:bidi="lv-LV"/>
    </w:rPr>
  </w:style>
  <w:style w:type="paragraph" w:styleId="Header">
    <w:name w:val="header"/>
    <w:basedOn w:val="Normal"/>
    <w:link w:val="HeaderChar"/>
    <w:qFormat/>
    <w:rsid w:val="00796D74"/>
  </w:style>
  <w:style w:type="character" w:customStyle="1" w:styleId="HeaderChar">
    <w:name w:val="Header Char"/>
    <w:link w:val="Header"/>
    <w:locked/>
    <w:rsid w:val="003B283B"/>
    <w:rPr>
      <w:rFonts w:ascii="Times New Roman" w:eastAsia="Times New Roman" w:hAnsi="Times New Roman"/>
      <w:sz w:val="22"/>
      <w:szCs w:val="22"/>
      <w:lang w:val="lv-LV" w:eastAsia="lv-LV" w:bidi="lv-LV"/>
    </w:rPr>
  </w:style>
  <w:style w:type="character" w:styleId="FootnoteReference">
    <w:name w:val="footnote reference"/>
    <w:basedOn w:val="DefaultParagraphFont"/>
    <w:unhideWhenUsed/>
    <w:qFormat/>
    <w:rsid w:val="00796D74"/>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style>
  <w:style w:type="paragraph" w:customStyle="1" w:styleId="quotes">
    <w:name w:val="quotes"/>
    <w:basedOn w:val="Normal"/>
    <w:next w:val="Normal"/>
    <w:rsid w:val="00796D74"/>
    <w:pPr>
      <w:ind w:left="720"/>
    </w:pPr>
    <w:rPr>
      <w:i/>
    </w:rPr>
  </w:style>
  <w:style w:type="paragraph" w:styleId="BalloonText">
    <w:name w:val="Balloon Text"/>
    <w:basedOn w:val="Normal"/>
    <w:link w:val="BalloonTextChar"/>
    <w:rsid w:val="00FD65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6560"/>
    <w:rPr>
      <w:rFonts w:ascii="Tahoma" w:eastAsia="Times New Roman" w:hAnsi="Tahoma" w:cs="Tahoma"/>
      <w:sz w:val="16"/>
      <w:szCs w:val="16"/>
      <w:lang w:val="lv-LV" w:eastAsia="lv-LV" w:bidi="lv-LV"/>
    </w:rPr>
  </w:style>
  <w:style w:type="paragraph" w:styleId="TOC1">
    <w:name w:val="toc 1"/>
    <w:basedOn w:val="Normal"/>
    <w:next w:val="Normal"/>
    <w:autoRedefine/>
    <w:uiPriority w:val="39"/>
    <w:locked/>
    <w:rsid w:val="004A39D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yperlink" Target="mailto:irina.fomina@eesc.europa.e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gerald.klec@eesc.europa.eu" TargetMode="External"/><Relationship Id="rId42" Type="http://schemas.openxmlformats.org/officeDocument/2006/relationships/hyperlink" Target="mailto:Alain.Colbach@eesc.europa.eu" TargetMode="Externa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mailto:Cedric.Cabanne@eesc.europa.eu" TargetMode="External"/><Relationship Id="rId38" Type="http://schemas.openxmlformats.org/officeDocument/2006/relationships/hyperlink" Target="mailto:LucaVenerando.Giuffrida@eesc.europa.eu" TargetMode="Externa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hyperlink" Target="mailto:Aleksandra.Wieczorek@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mailto:GeorgesHenry.Carrard@eesc.europa.eu" TargetMode="External"/><Relationship Id="rId37" Type="http://schemas.openxmlformats.org/officeDocument/2006/relationships/hyperlink" Target="mailto:alice.tetu@eesc.europa.eu" TargetMode="External"/><Relationship Id="rId40" Type="http://schemas.openxmlformats.org/officeDocument/2006/relationships/hyperlink" Target="mailto:Adam.Plezer@eesc.europa.eu" TargetMode="External"/><Relationship Id="rId45"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yperlink" Target="http://www.eesc.europa.eu/?i=portal.fr.opinions-search" TargetMode="External"/><Relationship Id="rId28" Type="http://schemas.openxmlformats.org/officeDocument/2006/relationships/header" Target="header6.xml"/><Relationship Id="rId36" Type="http://schemas.openxmlformats.org/officeDocument/2006/relationships/hyperlink" Target="mailto:stella.brozekeveraert@eesc.europa.eu"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nnemarie.wiersma@eesc.europa.eu"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yperlink" Target="http://www.eesc.europa.eu/?i=portal.fr.documents" TargetMode="External"/><Relationship Id="rId27" Type="http://schemas.openxmlformats.org/officeDocument/2006/relationships/footer" Target="footer5.xml"/><Relationship Id="rId30" Type="http://schemas.openxmlformats.org/officeDocument/2006/relationships/hyperlink" Target="mailto:annemarie.wiersma@eesc.europa.eu" TargetMode="External"/><Relationship Id="rId35" Type="http://schemas.openxmlformats.org/officeDocument/2006/relationships/hyperlink" Target="mailto:maarit.laurila@eesc.europa.eu" TargetMode="External"/><Relationship Id="rId43" Type="http://schemas.openxmlformats.org/officeDocument/2006/relationships/header" Target="header7.xml"/><Relationship Id="rId48" Type="http://schemas.openxmlformats.org/officeDocument/2006/relationships/footer" Target="footer9.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SNS6YXTC77FS-8-5984</_dlc_DocId>
    <_dlc_DocIdUrl xmlns="9f264e46-9252-4f01-a3b2-4cb67eb6fc3c">
      <Url>http://dm/EESC/2015/_layouts/DocIdRedir.aspx?ID=SNS6YXTC77FS-8-5984</Url>
      <Description>SNS6YXTC77FS-8-5984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57dbe824-75b7-48a3-bfa5-af99f883c842">512</MeetingNumber>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2016-01-08T12:00:00+00:00</ProductionDate>
    <FicheYear xmlns="9f264e46-9252-4f01-a3b2-4cb67eb6fc3c">2015</FicheYear>
    <DocumentNumber xmlns="57dbe824-75b7-48a3-bfa5-af99f883c842">5366</DocumentNumbe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TaxCatchAll xmlns="9f264e46-9252-4f01-a3b2-4cb67eb6fc3c">
      <Value>43</Value>
      <Value>90</Value>
      <Value>41</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TaxCatchAll>
    <MeetingDate xmlns="9f264e46-9252-4f01-a3b2-4cb67eb6fc3c">2015-12-09T12:00:00+00:00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12815</FicheNumber>
    <DocumentPart xmlns="9f264e46-9252-4f01-a3b2-4cb67eb6fc3c">0</DocumentPart>
    <AdoptionDate xmlns="9f264e46-9252-4f01-a3b2-4cb67eb6fc3c"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2.xml><?xml version="1.0" encoding="utf-8"?>
<ds:datastoreItem xmlns:ds="http://schemas.openxmlformats.org/officeDocument/2006/customXml" ds:itemID="{27172C6D-F210-4BCC-96B9-D59A42C1E6F5}">
  <ds:schemaRefs>
    <ds:schemaRef ds:uri="http://purl.org/dc/terms/"/>
    <ds:schemaRef ds:uri="http://schemas.microsoft.com/office/2006/documentManagement/types"/>
    <ds:schemaRef ds:uri="57dbe824-75b7-48a3-bfa5-af99f883c842"/>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9f264e46-9252-4f01-a3b2-4cb67eb6fc3c"/>
    <ds:schemaRef ds:uri="http://purl.org/dc/dcmitype/"/>
  </ds:schemaRefs>
</ds:datastoreItem>
</file>

<file path=customXml/itemProps3.xml><?xml version="1.0" encoding="utf-8"?>
<ds:datastoreItem xmlns:ds="http://schemas.openxmlformats.org/officeDocument/2006/customXml" ds:itemID="{7F22134C-E3FF-480D-9E03-86EE1738B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33870126-86CF-4824-AE32-EF541B72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18</Pages>
  <Words>4455</Words>
  <Characters>24506</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Pilnsapulcē 2015. gada 9. un 10. decembrī pieņemto atzinumu kopsavilkums</vt:lpstr>
      <vt:lpstr> </vt:lpstr>
    </vt:vector>
  </TitlesOfParts>
  <Company>CESE-CdR</Company>
  <LinksUpToDate>false</LinksUpToDate>
  <CharactersWithSpaces>28904</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Pilnsapulcē 2015. gada 9. un 10. decembrī pieņemto atzinumu kopsavilkums</dc:title>
  <dc:subject>Konsultatīvs darbs/dažādi</dc:subject>
  <dc:creator>Stuart Shelley</dc:creator>
  <cp:keywords>EESC-2015-05366-00-01-TCD-TRA-LV</cp:keywords>
  <dc:description>Rapporteur: -_x000d_
Original language: FR, EN_x000d_
Date of document: 08/01/2016_x000d_
Date of meeting: 09/12/2015_x000d_
External documents: -_x000d_
Administrator responsible: Cosmai Domenico, telephone: +32 (0)2 546 9041_x000d_
_x000d_
Abstract:</dc:description>
  <cp:lastModifiedBy>Stuart Shelley</cp:lastModifiedBy>
  <cp:revision>2</cp:revision>
  <cp:lastPrinted>2015-12-18T08:41:00Z</cp:lastPrinted>
  <dcterms:created xsi:type="dcterms:W3CDTF">2016-01-11T13:00:00Z</dcterms:created>
  <dcterms:modified xsi:type="dcterms:W3CDTF">2016-01-11T13:00:00Z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22/12/2015, 17/12/2015, 17/12/2015, 17/09/2015, 17/09/2015, 02/07/2015, 02/07/2015, 26/05/2015, 26/05/2015, 26/05/2015, 28/04/2015, 28/04/2015, 16/04/2015, 16/04/2015, 17/03/2015, 17/03/2015</vt:lpwstr>
  </property>
  <property fmtid="{D5CDD505-2E9C-101B-9397-08002B2CF9AE}" pid="4" name="Pref_Time">
    <vt:lpwstr>10/27/57, 15/05/42, 11/13/53, 16:35:31, 16/17/21, 11/06/52, 09/02/14, 11:36:17, 10/24/48, 10/08/29, 10/48/07, 08/46/16, 16/41/11, 09/47/16, 17/45/27, 14:54:56</vt:lpwstr>
  </property>
  <property fmtid="{D5CDD505-2E9C-101B-9397-08002B2CF9AE}" pid="5" name="Pref_User">
    <vt:lpwstr>amett, vvos, vvos, mkop, nmcg, amett, htoo, tvoc, dtai, nmcg, amett, ymur, amett, YMUR, jhvi, gharr</vt:lpwstr>
  </property>
  <property fmtid="{D5CDD505-2E9C-101B-9397-08002B2CF9AE}" pid="6" name="Pref_FileName">
    <vt:lpwstr>EESC-2015-05366-00-01-TCD-ORI.docx, EESC-2015-05366-00-00-TCD-ORI.docx, EESC-2015-03529-00-00-TCD-ORI.docx, EESC-2015-04700-00-00-TCD-TRA-EN-CRR.docx, EESC-2015-04700-00-00-TCD-CRR-FR_aleo and EN.docx, EESC-2015-02850-00-00-TCD-TRA-EN-CRR.docx, EESC-2015-</vt:lpwstr>
  </property>
  <property fmtid="{D5CDD505-2E9C-101B-9397-08002B2CF9AE}" pid="7" name="ContentTypeId">
    <vt:lpwstr>0x010100EA97B91038054C99906057A708A1480A006BE9BADFBD73E64CAFEDF2E8B27ED9C0</vt:lpwstr>
  </property>
  <property fmtid="{D5CDD505-2E9C-101B-9397-08002B2CF9AE}" pid="8" name="_dlc_DocIdItemGuid">
    <vt:lpwstr>94988b76-1a75-46b5-8d98-d1afc67b8bc1</vt:lpwstr>
  </property>
  <property fmtid="{D5CDD505-2E9C-101B-9397-08002B2CF9AE}" pid="9" name="AvailableTranslations">
    <vt:lpwstr>21;#HR|2f555653-ed1a-4fe6-8362-9082d95989e5;#35;#ET|ff6c3f4c-b02c-4c3c-ab07-2c37995a7a0a;#36;#FI|87606a43-d45f-42d6-b8c9-e1a3457db5b7;#4;#FR|d2afafd3-4c81-4f60-8f52-ee33f2f54ff3;#13;#SL|98a412ae-eb01-49e9-ae3d-585a81724cfc;#11;#EL|6d4f4d51-af9b-4650-94b4-</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90;#SPL-CES|32d8cb1f-c9ec-4365-95c7-8385a18618ac</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22;#LV|46f7e311-5d9f-4663-b433-18aeccb7ace7</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43;#SK|46d9fce0-ef79-4f71-b89b-cd6aa82426b8;#90;#SPL-CES|32d8cb1f-c9ec-4365-95c7-8385a18618ac;#41;#NL|55c6556c-b4f4-441d-9acf-c498d4f838bd;#39;#CS|72f9705b-0217-4fd3-bea2-cbc7ed80e26e;#38;#IT|0774613c-01ed-4e5d-a25d-11d2388de825;#37;#BG|1a1b3951-7821-4e6a</vt:lpwstr>
  </property>
  <property fmtid="{D5CDD505-2E9C-101B-9397-08002B2CF9AE}" pid="28" name="AvailableTranslations_0">
    <vt:lpwstr>HR|2f555653-ed1a-4fe6-8362-9082d95989e5;ET|ff6c3f4c-b02c-4c3c-ab07-2c37995a7a0a;FR|d2afafd3-4c81-4f60-8f52-ee33f2f54ff3;SL|98a412ae-eb01-49e9-ae3d-585a81724cfc;EL|6d4f4d51-af9b-4650-94b4-4276bee85c91;PT|50ccc04a-eadd-42ae-a0cb-acaf45f812ba;NL|55c6556c-b4f</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2015</vt:i4>
  </property>
  <property fmtid="{D5CDD505-2E9C-101B-9397-08002B2CF9AE}" pid="32" name="DocumentNumber">
    <vt:i4>5366</vt:i4>
  </property>
  <property fmtid="{D5CDD505-2E9C-101B-9397-08002B2CF9AE}" pid="33" name="DocumentVersion">
    <vt:i4>1</vt:i4>
  </property>
  <property fmtid="{D5CDD505-2E9C-101B-9397-08002B2CF9AE}" pid="34" name="DocumentYear">
    <vt:i4>2015</vt:i4>
  </property>
  <property fmtid="{D5CDD505-2E9C-101B-9397-08002B2CF9AE}" pid="35" name="FicheNumber">
    <vt:i4>12815</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512</vt:i4>
  </property>
  <property fmtid="{D5CDD505-2E9C-101B-9397-08002B2CF9AE}" pid="40" name="MeetingDate">
    <vt:filetime>2015-12-09T12:00:00Z</vt:filetime>
  </property>
</Properties>
</file>