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343132" w:rsidRDefault="008405A0" w:rsidP="00000CE8">
      <w:pPr>
        <w:snapToGrid w:val="0"/>
        <w:jc w:val="center"/>
      </w:pPr>
      <w:bookmarkStart w:id="0" w:name="_GoBack"/>
      <w:bookmarkEnd w:id="0"/>
      <w:r w:rsidRPr="00343132">
        <w:rPr>
          <w:noProof/>
          <w:lang w:val="fr-BE" w:eastAsia="fr-BE" w:bidi="ar-SA"/>
        </w:rPr>
        <w:drawing>
          <wp:inline distT="0" distB="0" distL="0" distR="0" wp14:anchorId="507108FA" wp14:editId="1B723777">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343132">
        <w:rPr>
          <w:noProof/>
          <w:lang w:val="fr-BE" w:eastAsia="fr-BE" w:bidi="ar-SA"/>
        </w:rPr>
        <mc:AlternateContent>
          <mc:Choice Requires="wps">
            <w:drawing>
              <wp:anchor distT="0" distB="0" distL="114300" distR="114300" simplePos="0" relativeHeight="251659264" behindDoc="1" locked="0" layoutInCell="0" allowOverlap="1" wp14:anchorId="07C67F24" wp14:editId="65083050">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snapToGrid w:val="0"/>
                              <w:jc w:val="center"/>
                              <w:rPr>
                                <w:rFonts w:ascii="Arial" w:hAnsi="Arial" w:cs="Arial"/>
                                <w:b/>
                                <w:sz w:val="48"/>
                              </w:rPr>
                            </w:pPr>
                            <w:r>
                              <w:rPr>
                                <w:rFonts w:ascii="Arial" w:hAnsi="Arial"/>
                                <w:b/>
                                <w:noProof/>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9516A" w:rsidRPr="00796D74" w:rsidRDefault="0019516A" w:rsidP="00000CE8">
                      <w:pPr>
                        <w:snapToGrid w:val="0"/>
                        <w:jc w:val="center"/>
                        <w:rPr>
                          <w:rFonts w:ascii="Arial" w:hAnsi="Arial" w:cs="Arial"/>
                          <w:b/>
                          <w:sz w:val="48"/>
                        </w:rPr>
                      </w:pPr>
                      <w:r>
                        <w:rPr>
                          <w:rFonts w:ascii="Arial" w:hAnsi="Arial"/>
                          <w:b/>
                          <w:noProof/>
                          <w:sz w:val="48"/>
                        </w:rPr>
                        <w:t>HR</w:t>
                      </w:r>
                    </w:p>
                  </w:txbxContent>
                </v:textbox>
                <w10:wrap anchorx="page" anchory="page"/>
              </v:shape>
            </w:pict>
          </mc:Fallback>
        </mc:AlternateContent>
      </w:r>
      <w:r w:rsidRPr="00343132">
        <w:rPr>
          <w:noProof/>
          <w:lang w:val="fr-BE" w:eastAsia="fr-BE" w:bidi="ar-SA"/>
        </w:rPr>
        <mc:AlternateContent>
          <mc:Choice Requires="wps">
            <w:drawing>
              <wp:anchor distT="0" distB="0" distL="114300" distR="114300" simplePos="0" relativeHeight="251660288" behindDoc="1" locked="0" layoutInCell="0" allowOverlap="1" wp14:anchorId="06325BA9" wp14:editId="54F319C4">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16A" w:rsidRPr="00796D74" w:rsidRDefault="0019516A" w:rsidP="00000CE8">
                            <w:pPr>
                              <w:pBdr>
                                <w:top w:val="single" w:sz="4" w:space="1" w:color="auto"/>
                              </w:pBdr>
                              <w:snapToGrid w:val="0"/>
                              <w:jc w:val="center"/>
                              <w:rPr>
                                <w:b/>
                                <w:sz w:val="16"/>
                              </w:rPr>
                            </w:pPr>
                            <w:r>
                              <w:rPr>
                                <w:b/>
                                <w:noProof/>
                                <w:sz w:val="16"/>
                              </w:rPr>
                              <w:t>Rue Belliard/Belliardstraat 99 — 1040 Bruxelles/Brussel — BELGIQUE/BELGIË</w:t>
                            </w:r>
                          </w:p>
                          <w:p w:rsidR="0019516A" w:rsidRPr="00796D74" w:rsidRDefault="0019516A" w:rsidP="00000CE8">
                            <w:pPr>
                              <w:pBdr>
                                <w:top w:val="single" w:sz="4" w:space="1" w:color="auto"/>
                              </w:pBdr>
                              <w:snapToGrid w:val="0"/>
                              <w:jc w:val="center"/>
                              <w:rPr>
                                <w:b/>
                                <w:sz w:val="16"/>
                              </w:rPr>
                            </w:pPr>
                            <w:r>
                              <w:rPr>
                                <w:b/>
                                <w:noProof/>
                                <w:sz w:val="16"/>
                              </w:rPr>
                              <w:t xml:space="preserve">Telefon +32 25469011 — Faks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19516A" w:rsidRPr="00796D74" w:rsidRDefault="0019516A" w:rsidP="00000CE8">
                      <w:pPr>
                        <w:pBdr>
                          <w:top w:val="single" w:sz="4" w:space="1" w:color="auto"/>
                        </w:pBdr>
                        <w:snapToGrid w:val="0"/>
                        <w:jc w:val="center"/>
                        <w:rPr>
                          <w:b/>
                          <w:sz w:val="16"/>
                        </w:rPr>
                      </w:pPr>
                      <w:r>
                        <w:rPr>
                          <w:b/>
                          <w:noProof/>
                          <w:sz w:val="16"/>
                        </w:rPr>
                        <w:t>Rue Belliard/Belliardstraat 99 — 1040 Bruxelles/Brussel — BELGIQUE/BELGIË</w:t>
                      </w:r>
                    </w:p>
                    <w:p w:rsidR="0019516A" w:rsidRPr="00796D74" w:rsidRDefault="0019516A" w:rsidP="00000CE8">
                      <w:pPr>
                        <w:pBdr>
                          <w:top w:val="single" w:sz="4" w:space="1" w:color="auto"/>
                        </w:pBdr>
                        <w:snapToGrid w:val="0"/>
                        <w:jc w:val="center"/>
                        <w:rPr>
                          <w:b/>
                          <w:sz w:val="16"/>
                        </w:rPr>
                      </w:pPr>
                      <w:r>
                        <w:rPr>
                          <w:b/>
                          <w:noProof/>
                          <w:sz w:val="16"/>
                        </w:rPr>
                        <w:t xml:space="preserve">Telefon +32 25469011 — Faks +32 25134893 — Internet: </w:t>
                      </w:r>
                      <w:hyperlink r:id="rId15">
                        <w:r>
                          <w:rPr>
                            <w:rStyle w:val="Hyperlink"/>
                            <w:b/>
                            <w:noProof/>
                            <w:sz w:val="16"/>
                          </w:rPr>
                          <w:t>http://www.eesc.europa.eu</w:t>
                        </w:r>
                      </w:hyperlink>
                    </w:p>
                  </w:txbxContent>
                </v:textbox>
                <w10:wrap anchorx="page" anchory="page"/>
              </v:shape>
            </w:pict>
          </mc:Fallback>
        </mc:AlternateContent>
      </w:r>
    </w:p>
    <w:p w:rsidR="008405A0" w:rsidRPr="00343132" w:rsidRDefault="008405A0" w:rsidP="00000CE8">
      <w:pPr>
        <w:snapToGrid w:val="0"/>
        <w:spacing w:line="280" w:lineRule="auto"/>
        <w:jc w:val="center"/>
        <w:rPr>
          <w:rFonts w:ascii="Arial" w:eastAsia="MS Mincho" w:hAnsi="Arial" w:cs="Arial"/>
          <w:b/>
          <w:i/>
          <w:sz w:val="20"/>
        </w:rPr>
      </w:pPr>
      <w:r w:rsidRPr="00343132">
        <w:rPr>
          <w:rFonts w:ascii="Arial" w:hAnsi="Arial"/>
          <w:b/>
          <w:i/>
          <w:sz w:val="20"/>
        </w:rPr>
        <w:t>Europski gospodarski i socijalni odbor</w:t>
      </w:r>
    </w:p>
    <w:p w:rsidR="008405A0" w:rsidRPr="00343132" w:rsidRDefault="008405A0" w:rsidP="00000CE8">
      <w:pPr>
        <w:jc w:val="left"/>
        <w:rPr>
          <w:rFonts w:ascii="Arial" w:eastAsia="SimSun" w:hAnsi="Arial" w:cs="Arial"/>
          <w:b/>
          <w:i/>
          <w:sz w:val="20"/>
        </w:rPr>
        <w:sectPr w:rsidR="008405A0" w:rsidRPr="00343132" w:rsidSect="002903CB">
          <w:footerReference w:type="default" r:id="rId16"/>
          <w:pgSz w:w="11907" w:h="16839" w:code="9"/>
          <w:pgMar w:top="567" w:right="1440" w:bottom="1928" w:left="1440" w:header="283" w:footer="1134" w:gutter="0"/>
          <w:pgNumType w:start="1"/>
          <w:cols w:space="708"/>
          <w:docGrid w:linePitch="360"/>
        </w:sectPr>
      </w:pPr>
    </w:p>
    <w:p w:rsidR="008405A0" w:rsidRPr="00343132" w:rsidRDefault="008405A0" w:rsidP="00000CE8">
      <w:pPr>
        <w:snapToGrid w:val="0"/>
        <w:jc w:val="center"/>
      </w:pPr>
    </w:p>
    <w:p w:rsidR="008405A0" w:rsidRPr="00343132" w:rsidRDefault="008405A0" w:rsidP="00000CE8">
      <w:pPr>
        <w:snapToGrid w:val="0"/>
      </w:pPr>
    </w:p>
    <w:p w:rsidR="008405A0" w:rsidRPr="00343132" w:rsidRDefault="008405A0" w:rsidP="00000CE8">
      <w:pPr>
        <w:snapToGrid w:val="0"/>
      </w:pPr>
    </w:p>
    <w:p w:rsidR="008405A0" w:rsidRPr="00343132" w:rsidRDefault="008405A0" w:rsidP="00000CE8">
      <w:pPr>
        <w:snapToGrid w:val="0"/>
        <w:spacing w:line="280" w:lineRule="auto"/>
        <w:jc w:val="right"/>
        <w:rPr>
          <w:rFonts w:eastAsia="MS Mincho"/>
        </w:rPr>
      </w:pPr>
      <w:r w:rsidRPr="00343132">
        <w:t>Bruxelles, 22. prosinca 2015.</w:t>
      </w:r>
    </w:p>
    <w:p w:rsidR="008405A0" w:rsidRPr="00343132" w:rsidRDefault="008405A0" w:rsidP="00000CE8">
      <w:pPr>
        <w:snapToGrid w:val="0"/>
      </w:pPr>
    </w:p>
    <w:p w:rsidR="008405A0" w:rsidRPr="00343132" w:rsidRDefault="008405A0" w:rsidP="00000CE8">
      <w:pPr>
        <w:snapToGrid w:val="0"/>
      </w:pPr>
    </w:p>
    <w:p w:rsidR="008405A0" w:rsidRPr="00343132" w:rsidRDefault="008405A0" w:rsidP="00000CE8">
      <w:pPr>
        <w:snapToGrid w:val="0"/>
      </w:pPr>
    </w:p>
    <w:p w:rsidR="008405A0" w:rsidRPr="00343132" w:rsidRDefault="008405A0" w:rsidP="00000CE8">
      <w:pPr>
        <w:snapToGrid w:val="0"/>
      </w:pPr>
    </w:p>
    <w:p w:rsidR="008405A0" w:rsidRPr="00343132" w:rsidRDefault="008405A0" w:rsidP="00000CE8">
      <w:pPr>
        <w:snapToGrid w:val="0"/>
      </w:pPr>
    </w:p>
    <w:tbl>
      <w:tblPr>
        <w:tblW w:w="0" w:type="auto"/>
        <w:tblLayout w:type="fixed"/>
        <w:tblLook w:val="0000" w:firstRow="0" w:lastRow="0" w:firstColumn="0" w:lastColumn="0" w:noHBand="0" w:noVBand="0"/>
      </w:tblPr>
      <w:tblGrid>
        <w:gridCol w:w="9243"/>
      </w:tblGrid>
      <w:tr w:rsidR="008405A0" w:rsidRPr="00343132" w:rsidTr="008405A0">
        <w:tc>
          <w:tcPr>
            <w:tcW w:w="9243" w:type="dxa"/>
            <w:tcBorders>
              <w:top w:val="nil"/>
              <w:left w:val="nil"/>
              <w:bottom w:val="double" w:sz="4" w:space="0" w:color="auto"/>
              <w:right w:val="nil"/>
            </w:tcBorders>
          </w:tcPr>
          <w:p w:rsidR="008405A0" w:rsidRPr="00343132" w:rsidRDefault="008405A0" w:rsidP="00000CE8">
            <w:pPr>
              <w:snapToGrid w:val="0"/>
              <w:spacing w:line="280" w:lineRule="auto"/>
              <w:jc w:val="center"/>
              <w:rPr>
                <w:rFonts w:eastAsia="MS Mincho"/>
                <w:b/>
                <w:sz w:val="32"/>
              </w:rPr>
            </w:pPr>
            <w:r w:rsidRPr="00343132">
              <w:rPr>
                <w:b/>
                <w:sz w:val="32"/>
              </w:rPr>
              <w:t>PLENARNA SKUPŠTINA</w:t>
            </w:r>
            <w:r w:rsidRPr="00343132">
              <w:rPr>
                <w:b/>
                <w:sz w:val="32"/>
              </w:rPr>
              <w:br/>
            </w:r>
            <w:r w:rsidR="009B388A" w:rsidRPr="00343132">
              <w:rPr>
                <w:b/>
                <w:sz w:val="32"/>
              </w:rPr>
              <w:br/>
              <w:t>9. i 10. prosinca 2015.</w:t>
            </w:r>
            <w:r w:rsidRPr="00343132">
              <w:rPr>
                <w:b/>
                <w:sz w:val="32"/>
              </w:rPr>
              <w:br/>
            </w:r>
            <w:r w:rsidRPr="00343132">
              <w:rPr>
                <w:b/>
                <w:sz w:val="32"/>
              </w:rPr>
              <w:br/>
              <w:t>SAŽETAK USVOJENIH MIŠLJENJA</w:t>
            </w:r>
          </w:p>
          <w:p w:rsidR="008405A0" w:rsidRPr="00343132" w:rsidRDefault="008405A0" w:rsidP="00000CE8">
            <w:pPr>
              <w:snapToGrid w:val="0"/>
              <w:jc w:val="center"/>
              <w:rPr>
                <w:b/>
                <w:sz w:val="32"/>
              </w:rPr>
            </w:pPr>
          </w:p>
          <w:p w:rsidR="008405A0" w:rsidRPr="00343132" w:rsidRDefault="008405A0" w:rsidP="00000CE8">
            <w:pPr>
              <w:snapToGrid w:val="0"/>
              <w:jc w:val="center"/>
              <w:rPr>
                <w:rFonts w:eastAsia="Calibri"/>
                <w:b/>
                <w:bCs/>
              </w:rPr>
            </w:pPr>
          </w:p>
        </w:tc>
      </w:tr>
      <w:tr w:rsidR="008405A0" w:rsidRPr="00343132" w:rsidTr="008405A0">
        <w:tc>
          <w:tcPr>
            <w:tcW w:w="9243" w:type="dxa"/>
            <w:tcBorders>
              <w:top w:val="double" w:sz="4" w:space="0" w:color="auto"/>
              <w:left w:val="double" w:sz="4" w:space="0" w:color="auto"/>
              <w:bottom w:val="double" w:sz="4" w:space="0" w:color="auto"/>
              <w:right w:val="double" w:sz="4" w:space="0" w:color="auto"/>
            </w:tcBorders>
          </w:tcPr>
          <w:p w:rsidR="008405A0" w:rsidRPr="00343132" w:rsidRDefault="00A31921" w:rsidP="00000CE8">
            <w:pPr>
              <w:snapToGrid w:val="0"/>
              <w:spacing w:line="280" w:lineRule="auto"/>
              <w:jc w:val="center"/>
              <w:rPr>
                <w:rFonts w:eastAsia="MS Mincho"/>
                <w:b/>
              </w:rPr>
            </w:pPr>
            <w:r w:rsidRPr="00343132">
              <w:rPr>
                <w:b/>
              </w:rPr>
              <w:t>Ovaj dokument dostupan je na službenim jezicima na internetskim stranicama Odbora na sljedećoj adresi:</w:t>
            </w:r>
          </w:p>
          <w:p w:rsidR="008405A0" w:rsidRPr="00343132" w:rsidRDefault="008405A0" w:rsidP="00000CE8">
            <w:pPr>
              <w:snapToGrid w:val="0"/>
              <w:jc w:val="center"/>
              <w:rPr>
                <w:b/>
              </w:rPr>
            </w:pPr>
          </w:p>
          <w:p w:rsidR="008405A0" w:rsidRPr="00343132" w:rsidRDefault="00E9203C" w:rsidP="00000CE8">
            <w:pPr>
              <w:spacing w:line="280" w:lineRule="auto"/>
              <w:jc w:val="center"/>
              <w:rPr>
                <w:rFonts w:eastAsia="MS Mincho"/>
                <w:color w:val="0000FF"/>
                <w:u w:val="single"/>
              </w:rPr>
            </w:pPr>
            <w:hyperlink r:id="rId17" w:anchor="/boxTab1-2">
              <w:r w:rsidR="0036180C" w:rsidRPr="00343132">
                <w:rPr>
                  <w:rStyle w:val="Hyperlink"/>
                  <w:b/>
                </w:rPr>
                <w:t>http://www.eesc.europa.eu/?i=portal.fr.documents#/boxTab1-2</w:t>
              </w:r>
            </w:hyperlink>
          </w:p>
          <w:p w:rsidR="008405A0" w:rsidRPr="00343132" w:rsidRDefault="008405A0" w:rsidP="00000CE8">
            <w:pPr>
              <w:snapToGrid w:val="0"/>
              <w:jc w:val="center"/>
            </w:pPr>
          </w:p>
          <w:p w:rsidR="008405A0" w:rsidRPr="00343132" w:rsidRDefault="008405A0" w:rsidP="00000CE8">
            <w:pPr>
              <w:snapToGrid w:val="0"/>
              <w:jc w:val="center"/>
              <w:rPr>
                <w:rFonts w:eastAsia="SimSun"/>
                <w:b/>
              </w:rPr>
            </w:pPr>
          </w:p>
          <w:p w:rsidR="008405A0" w:rsidRPr="00343132" w:rsidRDefault="008405A0" w:rsidP="00000CE8">
            <w:pPr>
              <w:snapToGrid w:val="0"/>
              <w:spacing w:line="280" w:lineRule="auto"/>
              <w:jc w:val="center"/>
              <w:rPr>
                <w:rFonts w:eastAsia="MS Mincho"/>
                <w:b/>
              </w:rPr>
            </w:pPr>
            <w:r w:rsidRPr="00343132">
              <w:rPr>
                <w:b/>
              </w:rPr>
              <w:t xml:space="preserve">Spomenuta mišljenja možete naći na </w:t>
            </w:r>
            <w:proofErr w:type="spellStart"/>
            <w:r w:rsidRPr="00343132">
              <w:rPr>
                <w:b/>
              </w:rPr>
              <w:t>internetu</w:t>
            </w:r>
            <w:proofErr w:type="spellEnd"/>
            <w:r w:rsidRPr="00343132">
              <w:rPr>
                <w:b/>
              </w:rPr>
              <w:t xml:space="preserve"> putem tražilice Odbora:</w:t>
            </w:r>
          </w:p>
          <w:p w:rsidR="008405A0" w:rsidRPr="00343132" w:rsidRDefault="008405A0" w:rsidP="00000CE8">
            <w:pPr>
              <w:snapToGrid w:val="0"/>
              <w:jc w:val="center"/>
              <w:rPr>
                <w:b/>
              </w:rPr>
            </w:pPr>
          </w:p>
          <w:p w:rsidR="008405A0" w:rsidRPr="00343132" w:rsidRDefault="00E9203C" w:rsidP="00000CE8">
            <w:pPr>
              <w:snapToGrid w:val="0"/>
              <w:spacing w:line="280" w:lineRule="auto"/>
              <w:jc w:val="center"/>
              <w:rPr>
                <w:rFonts w:eastAsia="MS Mincho"/>
                <w:b/>
              </w:rPr>
            </w:pPr>
            <w:hyperlink r:id="rId18">
              <w:r w:rsidR="0036180C" w:rsidRPr="00343132">
                <w:rPr>
                  <w:rStyle w:val="Hyperlink"/>
                  <w:b/>
                </w:rPr>
                <w:t>http://www.eesc.europa.eu/?i=portal.fr.opinions-search</w:t>
              </w:r>
            </w:hyperlink>
          </w:p>
          <w:p w:rsidR="008405A0" w:rsidRPr="00343132" w:rsidRDefault="008405A0" w:rsidP="00000CE8">
            <w:pPr>
              <w:snapToGrid w:val="0"/>
              <w:jc w:val="center"/>
              <w:rPr>
                <w:rFonts w:eastAsia="Calibri"/>
                <w:b/>
                <w:bCs/>
              </w:rPr>
            </w:pPr>
          </w:p>
        </w:tc>
      </w:tr>
    </w:tbl>
    <w:p w:rsidR="008405A0" w:rsidRPr="00343132" w:rsidRDefault="008405A0" w:rsidP="00000CE8"/>
    <w:p w:rsidR="008405A0" w:rsidRPr="00343132" w:rsidRDefault="008405A0" w:rsidP="00000CE8">
      <w:pPr>
        <w:snapToGrid w:val="0"/>
      </w:pPr>
    </w:p>
    <w:p w:rsidR="008405A0" w:rsidRPr="00343132" w:rsidRDefault="008405A0" w:rsidP="00000CE8">
      <w:pPr>
        <w:jc w:val="left"/>
        <w:rPr>
          <w:rFonts w:eastAsia="SimSun"/>
          <w:b/>
          <w:sz w:val="28"/>
          <w:u w:val="single"/>
        </w:rPr>
        <w:sectPr w:rsidR="008405A0" w:rsidRPr="00343132" w:rsidSect="002903CB">
          <w:headerReference w:type="even" r:id="rId19"/>
          <w:headerReference w:type="default" r:id="rId20"/>
          <w:footerReference w:type="even" r:id="rId21"/>
          <w:footerReference w:type="default" r:id="rId22"/>
          <w:headerReference w:type="first" r:id="rId23"/>
          <w:footerReference w:type="first" r:id="rId24"/>
          <w:type w:val="continuous"/>
          <w:pgSz w:w="11907" w:h="16839"/>
          <w:pgMar w:top="1701" w:right="1440" w:bottom="1928" w:left="1440" w:header="1020" w:footer="1247" w:gutter="0"/>
          <w:cols w:space="720"/>
          <w:docGrid w:linePitch="299"/>
        </w:sectPr>
      </w:pPr>
    </w:p>
    <w:p w:rsidR="008405A0" w:rsidRPr="00343132" w:rsidRDefault="008405A0" w:rsidP="00000CE8">
      <w:pPr>
        <w:snapToGrid w:val="0"/>
        <w:rPr>
          <w:b/>
          <w:sz w:val="28"/>
          <w:u w:val="single"/>
        </w:rPr>
      </w:pPr>
    </w:p>
    <w:p w:rsidR="008405A0" w:rsidRPr="00343132" w:rsidRDefault="008405A0" w:rsidP="00000CE8">
      <w:pPr>
        <w:snapToGrid w:val="0"/>
        <w:spacing w:line="280" w:lineRule="auto"/>
        <w:rPr>
          <w:rFonts w:eastAsia="MS Mincho"/>
          <w:b/>
          <w:sz w:val="28"/>
          <w:u w:val="single"/>
        </w:rPr>
      </w:pPr>
      <w:r w:rsidRPr="00343132">
        <w:rPr>
          <w:b/>
        </w:rPr>
        <w:t>Sadržaj:</w:t>
      </w:r>
    </w:p>
    <w:p w:rsidR="00B939A6" w:rsidRPr="00343132" w:rsidRDefault="00B939A6" w:rsidP="00000CE8">
      <w:pPr>
        <w:snapToGrid w:val="0"/>
        <w:rPr>
          <w:b/>
          <w:sz w:val="28"/>
          <w:u w:val="single"/>
        </w:rPr>
      </w:pPr>
    </w:p>
    <w:p w:rsidR="003F2414" w:rsidRPr="00343132" w:rsidRDefault="00B97C33">
      <w:pPr>
        <w:pStyle w:val="TOC1"/>
        <w:tabs>
          <w:tab w:val="left" w:pos="440"/>
          <w:tab w:val="right" w:leader="dot" w:pos="9017"/>
        </w:tabs>
      </w:pPr>
      <w:r w:rsidRPr="00343132">
        <w:fldChar w:fldCharType="begin"/>
      </w:r>
      <w:r w:rsidRPr="00343132">
        <w:instrText xml:space="preserve"> TOC \o "1-3" \h \z \u </w:instrText>
      </w:r>
      <w:r w:rsidRPr="00343132">
        <w:fldChar w:fldCharType="separate"/>
      </w:r>
      <w:hyperlink w:anchor="_Toc439931963" w:history="1">
        <w:r w:rsidR="003F2414" w:rsidRPr="00343132">
          <w:rPr>
            <w:rStyle w:val="Hyperlink"/>
          </w:rPr>
          <w:t>1.</w:t>
        </w:r>
        <w:r w:rsidR="003F2414" w:rsidRPr="00343132">
          <w:tab/>
        </w:r>
        <w:r w:rsidR="003F2414" w:rsidRPr="00343132">
          <w:rPr>
            <w:rStyle w:val="Hyperlink"/>
            <w:b/>
          </w:rPr>
          <w:t>MIGRACIJA</w:t>
        </w:r>
        <w:r w:rsidR="003F2414" w:rsidRPr="00343132">
          <w:rPr>
            <w:webHidden/>
          </w:rPr>
          <w:tab/>
        </w:r>
        <w:r w:rsidR="003F2414" w:rsidRPr="00343132">
          <w:rPr>
            <w:webHidden/>
          </w:rPr>
          <w:fldChar w:fldCharType="begin"/>
        </w:r>
        <w:r w:rsidR="003F2414" w:rsidRPr="00343132">
          <w:rPr>
            <w:webHidden/>
          </w:rPr>
          <w:instrText xml:space="preserve"> PAGEREF _Toc439931963 \h </w:instrText>
        </w:r>
        <w:r w:rsidR="003F2414" w:rsidRPr="00343132">
          <w:rPr>
            <w:webHidden/>
          </w:rPr>
        </w:r>
        <w:r w:rsidR="003F2414" w:rsidRPr="00343132">
          <w:rPr>
            <w:webHidden/>
          </w:rPr>
          <w:fldChar w:fldCharType="separate"/>
        </w:r>
        <w:r w:rsidR="003F2414" w:rsidRPr="00343132">
          <w:rPr>
            <w:webHidden/>
          </w:rPr>
          <w:t>3</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4" w:history="1">
        <w:r w:rsidR="003F2414" w:rsidRPr="00343132">
          <w:rPr>
            <w:rStyle w:val="Hyperlink"/>
          </w:rPr>
          <w:t>2.</w:t>
        </w:r>
        <w:r w:rsidR="003F2414" w:rsidRPr="00343132">
          <w:tab/>
        </w:r>
        <w:r w:rsidR="003F2414" w:rsidRPr="00343132">
          <w:rPr>
            <w:rStyle w:val="Hyperlink"/>
            <w:rFonts w:ascii="Times New Roman Bold" w:hAnsi="Times New Roman Bold"/>
            <w:b/>
            <w:spacing w:val="-4"/>
          </w:rPr>
          <w:t>GOSPODARSKO UPRAVLJANJE / FINANCIJSKI INSTRUMENTI / OPOREZIVANJE</w:t>
        </w:r>
        <w:r w:rsidR="003F2414" w:rsidRPr="00343132">
          <w:rPr>
            <w:webHidden/>
          </w:rPr>
          <w:tab/>
        </w:r>
        <w:r w:rsidR="003F2414" w:rsidRPr="00343132">
          <w:rPr>
            <w:webHidden/>
          </w:rPr>
          <w:fldChar w:fldCharType="begin"/>
        </w:r>
        <w:r w:rsidR="003F2414" w:rsidRPr="00343132">
          <w:rPr>
            <w:webHidden/>
          </w:rPr>
          <w:instrText xml:space="preserve"> PAGEREF _Toc439931964 \h </w:instrText>
        </w:r>
        <w:r w:rsidR="003F2414" w:rsidRPr="00343132">
          <w:rPr>
            <w:webHidden/>
          </w:rPr>
        </w:r>
        <w:r w:rsidR="003F2414" w:rsidRPr="00343132">
          <w:rPr>
            <w:webHidden/>
          </w:rPr>
          <w:fldChar w:fldCharType="separate"/>
        </w:r>
        <w:r w:rsidR="003F2414" w:rsidRPr="00343132">
          <w:rPr>
            <w:webHidden/>
          </w:rPr>
          <w:t>8</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5" w:history="1">
        <w:r w:rsidR="003F2414" w:rsidRPr="00343132">
          <w:rPr>
            <w:rStyle w:val="Hyperlink"/>
          </w:rPr>
          <w:t>3.</w:t>
        </w:r>
        <w:r w:rsidR="003F2414" w:rsidRPr="00343132">
          <w:tab/>
        </w:r>
        <w:r w:rsidR="003F2414" w:rsidRPr="00343132">
          <w:rPr>
            <w:rStyle w:val="Hyperlink"/>
            <w:b/>
          </w:rPr>
          <w:t>ZAŠTITA OKOLIŠA / POLJOPRIVREDA I RIBARSTVO</w:t>
        </w:r>
        <w:r w:rsidR="003F2414" w:rsidRPr="00343132">
          <w:rPr>
            <w:webHidden/>
          </w:rPr>
          <w:tab/>
        </w:r>
        <w:r w:rsidR="003F2414" w:rsidRPr="00343132">
          <w:rPr>
            <w:webHidden/>
          </w:rPr>
          <w:fldChar w:fldCharType="begin"/>
        </w:r>
        <w:r w:rsidR="003F2414" w:rsidRPr="00343132">
          <w:rPr>
            <w:webHidden/>
          </w:rPr>
          <w:instrText xml:space="preserve"> PAGEREF _Toc439931965 \h </w:instrText>
        </w:r>
        <w:r w:rsidR="003F2414" w:rsidRPr="00343132">
          <w:rPr>
            <w:webHidden/>
          </w:rPr>
        </w:r>
        <w:r w:rsidR="003F2414" w:rsidRPr="00343132">
          <w:rPr>
            <w:webHidden/>
          </w:rPr>
          <w:fldChar w:fldCharType="separate"/>
        </w:r>
        <w:r w:rsidR="003F2414" w:rsidRPr="00343132">
          <w:rPr>
            <w:webHidden/>
          </w:rPr>
          <w:t>9</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6" w:history="1">
        <w:r w:rsidR="003F2414" w:rsidRPr="00343132">
          <w:rPr>
            <w:rStyle w:val="Hyperlink"/>
          </w:rPr>
          <w:t>4.</w:t>
        </w:r>
        <w:r w:rsidR="003F2414" w:rsidRPr="00343132">
          <w:tab/>
        </w:r>
        <w:r w:rsidR="003F2414" w:rsidRPr="00343132">
          <w:rPr>
            <w:rStyle w:val="Hyperlink"/>
            <w:b/>
          </w:rPr>
          <w:t>UNUTARNJE TRŽIŠTE</w:t>
        </w:r>
        <w:r w:rsidR="003F2414" w:rsidRPr="00343132">
          <w:rPr>
            <w:webHidden/>
          </w:rPr>
          <w:tab/>
        </w:r>
        <w:r w:rsidR="003F2414" w:rsidRPr="00343132">
          <w:rPr>
            <w:webHidden/>
          </w:rPr>
          <w:fldChar w:fldCharType="begin"/>
        </w:r>
        <w:r w:rsidR="003F2414" w:rsidRPr="00343132">
          <w:rPr>
            <w:webHidden/>
          </w:rPr>
          <w:instrText xml:space="preserve"> PAGEREF _Toc439931966 \h </w:instrText>
        </w:r>
        <w:r w:rsidR="003F2414" w:rsidRPr="00343132">
          <w:rPr>
            <w:webHidden/>
          </w:rPr>
        </w:r>
        <w:r w:rsidR="003F2414" w:rsidRPr="00343132">
          <w:rPr>
            <w:webHidden/>
          </w:rPr>
          <w:fldChar w:fldCharType="separate"/>
        </w:r>
        <w:r w:rsidR="003F2414" w:rsidRPr="00343132">
          <w:rPr>
            <w:webHidden/>
          </w:rPr>
          <w:t>11</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7" w:history="1">
        <w:r w:rsidR="003F2414" w:rsidRPr="00343132">
          <w:rPr>
            <w:rStyle w:val="Hyperlink"/>
          </w:rPr>
          <w:t>5.</w:t>
        </w:r>
        <w:r w:rsidR="003F2414" w:rsidRPr="00343132">
          <w:tab/>
        </w:r>
        <w:r w:rsidR="003F2414" w:rsidRPr="00343132">
          <w:rPr>
            <w:rStyle w:val="Hyperlink"/>
            <w:b/>
          </w:rPr>
          <w:t>OBRAZOVANJE/ZAPOŠLJAVANJE</w:t>
        </w:r>
        <w:r w:rsidR="003F2414" w:rsidRPr="00343132">
          <w:rPr>
            <w:webHidden/>
          </w:rPr>
          <w:tab/>
        </w:r>
        <w:r w:rsidR="003F2414" w:rsidRPr="00343132">
          <w:rPr>
            <w:webHidden/>
          </w:rPr>
          <w:fldChar w:fldCharType="begin"/>
        </w:r>
        <w:r w:rsidR="003F2414" w:rsidRPr="00343132">
          <w:rPr>
            <w:webHidden/>
          </w:rPr>
          <w:instrText xml:space="preserve"> PAGEREF _Toc439931967 \h </w:instrText>
        </w:r>
        <w:r w:rsidR="003F2414" w:rsidRPr="00343132">
          <w:rPr>
            <w:webHidden/>
          </w:rPr>
        </w:r>
        <w:r w:rsidR="003F2414" w:rsidRPr="00343132">
          <w:rPr>
            <w:webHidden/>
          </w:rPr>
          <w:fldChar w:fldCharType="separate"/>
        </w:r>
        <w:r w:rsidR="003F2414" w:rsidRPr="00343132">
          <w:rPr>
            <w:webHidden/>
          </w:rPr>
          <w:t>13</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8" w:history="1">
        <w:r w:rsidR="003F2414" w:rsidRPr="00343132">
          <w:rPr>
            <w:rStyle w:val="Hyperlink"/>
          </w:rPr>
          <w:t>6.</w:t>
        </w:r>
        <w:r w:rsidR="003F2414" w:rsidRPr="00343132">
          <w:tab/>
        </w:r>
        <w:r w:rsidR="003F2414" w:rsidRPr="00343132">
          <w:rPr>
            <w:rStyle w:val="Hyperlink"/>
            <w:b/>
          </w:rPr>
          <w:t>ENERGETIKA</w:t>
        </w:r>
        <w:r w:rsidR="003F2414" w:rsidRPr="00343132">
          <w:rPr>
            <w:webHidden/>
          </w:rPr>
          <w:tab/>
        </w:r>
        <w:r w:rsidR="003F2414" w:rsidRPr="00343132">
          <w:rPr>
            <w:webHidden/>
          </w:rPr>
          <w:fldChar w:fldCharType="begin"/>
        </w:r>
        <w:r w:rsidR="003F2414" w:rsidRPr="00343132">
          <w:rPr>
            <w:webHidden/>
          </w:rPr>
          <w:instrText xml:space="preserve"> PAGEREF _Toc439931968 \h </w:instrText>
        </w:r>
        <w:r w:rsidR="003F2414" w:rsidRPr="00343132">
          <w:rPr>
            <w:webHidden/>
          </w:rPr>
        </w:r>
        <w:r w:rsidR="003F2414" w:rsidRPr="00343132">
          <w:rPr>
            <w:webHidden/>
          </w:rPr>
          <w:fldChar w:fldCharType="separate"/>
        </w:r>
        <w:r w:rsidR="003F2414" w:rsidRPr="00343132">
          <w:rPr>
            <w:webHidden/>
          </w:rPr>
          <w:t>14</w:t>
        </w:r>
        <w:r w:rsidR="003F2414" w:rsidRPr="00343132">
          <w:rPr>
            <w:webHidden/>
          </w:rPr>
          <w:fldChar w:fldCharType="end"/>
        </w:r>
      </w:hyperlink>
    </w:p>
    <w:p w:rsidR="003F2414" w:rsidRPr="00343132" w:rsidRDefault="00E9203C">
      <w:pPr>
        <w:pStyle w:val="TOC1"/>
        <w:tabs>
          <w:tab w:val="left" w:pos="440"/>
          <w:tab w:val="right" w:leader="dot" w:pos="9017"/>
        </w:tabs>
      </w:pPr>
      <w:hyperlink w:anchor="_Toc439931969" w:history="1">
        <w:r w:rsidR="003F2414" w:rsidRPr="00343132">
          <w:rPr>
            <w:rStyle w:val="Hyperlink"/>
          </w:rPr>
          <w:t>7.</w:t>
        </w:r>
        <w:r w:rsidR="003F2414" w:rsidRPr="00343132">
          <w:tab/>
        </w:r>
        <w:r w:rsidR="003F2414" w:rsidRPr="00343132">
          <w:rPr>
            <w:rStyle w:val="Hyperlink"/>
            <w:b/>
          </w:rPr>
          <w:t>INDUSTRIJA / INOVACIJE</w:t>
        </w:r>
        <w:r w:rsidR="003F2414" w:rsidRPr="00343132">
          <w:rPr>
            <w:webHidden/>
          </w:rPr>
          <w:tab/>
        </w:r>
        <w:r w:rsidR="003F2414" w:rsidRPr="00343132">
          <w:rPr>
            <w:webHidden/>
          </w:rPr>
          <w:fldChar w:fldCharType="begin"/>
        </w:r>
        <w:r w:rsidR="003F2414" w:rsidRPr="00343132">
          <w:rPr>
            <w:webHidden/>
          </w:rPr>
          <w:instrText xml:space="preserve"> PAGEREF _Toc439931969 \h </w:instrText>
        </w:r>
        <w:r w:rsidR="003F2414" w:rsidRPr="00343132">
          <w:rPr>
            <w:webHidden/>
          </w:rPr>
        </w:r>
        <w:r w:rsidR="003F2414" w:rsidRPr="00343132">
          <w:rPr>
            <w:webHidden/>
          </w:rPr>
          <w:fldChar w:fldCharType="separate"/>
        </w:r>
        <w:r w:rsidR="003F2414" w:rsidRPr="00343132">
          <w:rPr>
            <w:webHidden/>
          </w:rPr>
          <w:t>16</w:t>
        </w:r>
        <w:r w:rsidR="003F2414" w:rsidRPr="00343132">
          <w:rPr>
            <w:webHidden/>
          </w:rPr>
          <w:fldChar w:fldCharType="end"/>
        </w:r>
      </w:hyperlink>
    </w:p>
    <w:p w:rsidR="006F0D9E" w:rsidRPr="00343132" w:rsidRDefault="00B97C33" w:rsidP="00000CE8">
      <w:pPr>
        <w:tabs>
          <w:tab w:val="left" w:pos="426"/>
          <w:tab w:val="right" w:leader="dot" w:pos="9017"/>
        </w:tabs>
        <w:spacing w:after="100"/>
        <w:rPr>
          <w:rFonts w:eastAsiaTheme="minorEastAsia"/>
        </w:rPr>
      </w:pPr>
      <w:r w:rsidRPr="00343132">
        <w:fldChar w:fldCharType="end"/>
      </w:r>
    </w:p>
    <w:p w:rsidR="00B97C33" w:rsidRPr="00343132" w:rsidRDefault="00B97C33" w:rsidP="00000CE8">
      <w:pPr>
        <w:snapToGrid w:val="0"/>
        <w:rPr>
          <w:b/>
          <w:sz w:val="28"/>
        </w:rPr>
      </w:pPr>
    </w:p>
    <w:p w:rsidR="008405A0" w:rsidRPr="00343132" w:rsidRDefault="008405A0" w:rsidP="00000CE8">
      <w:pPr>
        <w:spacing w:after="200"/>
        <w:jc w:val="left"/>
      </w:pPr>
      <w:r w:rsidRPr="00343132">
        <w:br w:type="page"/>
      </w:r>
    </w:p>
    <w:p w:rsidR="008405A0" w:rsidRPr="00343132" w:rsidRDefault="008405A0" w:rsidP="00000CE8">
      <w:pPr>
        <w:spacing w:line="280" w:lineRule="auto"/>
        <w:rPr>
          <w:b/>
          <w:color w:val="000000" w:themeColor="text1"/>
        </w:rPr>
      </w:pPr>
      <w:r w:rsidRPr="00343132">
        <w:lastRenderedPageBreak/>
        <w:t xml:space="preserve">Na plenarnom zasjedanju 9. i 10. prosinca 2015. sudjelovali su </w:t>
      </w:r>
      <w:proofErr w:type="spellStart"/>
      <w:r w:rsidRPr="00343132">
        <w:t>lusemburški</w:t>
      </w:r>
      <w:proofErr w:type="spellEnd"/>
      <w:r w:rsidRPr="00343132">
        <w:t xml:space="preserve"> ministar rada, zapošljavanja i socijalnog i solidarnog gospodarstva </w:t>
      </w:r>
      <w:r w:rsidRPr="00343132">
        <w:rPr>
          <w:b/>
        </w:rPr>
        <w:t>g. Nicolas SCHMIT</w:t>
      </w:r>
      <w:r w:rsidRPr="00343132">
        <w:t xml:space="preserve"> te prvi potpredsjednik Europske komisije </w:t>
      </w:r>
      <w:r w:rsidRPr="00343132">
        <w:rPr>
          <w:b/>
        </w:rPr>
        <w:t>g. Frans TIMMERMANS</w:t>
      </w:r>
      <w:r w:rsidRPr="00343132">
        <w:t xml:space="preserve">, a dodijeljena je i </w:t>
      </w:r>
      <w:r w:rsidRPr="00343132">
        <w:rPr>
          <w:b/>
        </w:rPr>
        <w:t>Nagrada civilnog društva</w:t>
      </w:r>
      <w:r w:rsidRPr="00343132">
        <w:t>.</w:t>
      </w:r>
    </w:p>
    <w:p w:rsidR="008405A0" w:rsidRPr="00343132" w:rsidRDefault="008405A0" w:rsidP="00000CE8">
      <w:pPr>
        <w:rPr>
          <w:sz w:val="16"/>
        </w:rPr>
      </w:pPr>
    </w:p>
    <w:p w:rsidR="008405A0" w:rsidRPr="00343132" w:rsidRDefault="008405A0" w:rsidP="00000CE8">
      <w:pPr>
        <w:spacing w:line="280" w:lineRule="auto"/>
        <w:rPr>
          <w:rFonts w:eastAsia="MS Mincho"/>
        </w:rPr>
      </w:pPr>
      <w:r w:rsidRPr="00343132">
        <w:t>Za vrijeme zasjedanja usvojena su sljedeća mišljenja:</w:t>
      </w:r>
    </w:p>
    <w:p w:rsidR="008405A0" w:rsidRPr="00343132" w:rsidRDefault="008405A0" w:rsidP="00000CE8">
      <w:pPr>
        <w:rPr>
          <w:sz w:val="16"/>
        </w:rPr>
      </w:pPr>
    </w:p>
    <w:p w:rsidR="00900EA0" w:rsidRPr="00343132" w:rsidRDefault="007E6BCE" w:rsidP="00000CE8">
      <w:pPr>
        <w:keepNext/>
        <w:keepLines/>
        <w:numPr>
          <w:ilvl w:val="0"/>
          <w:numId w:val="2"/>
        </w:numPr>
        <w:ind w:hanging="720"/>
        <w:jc w:val="left"/>
        <w:outlineLvl w:val="0"/>
        <w:rPr>
          <w:b/>
          <w:sz w:val="28"/>
        </w:rPr>
      </w:pPr>
      <w:bookmarkStart w:id="1" w:name="_Toc437942482"/>
      <w:bookmarkStart w:id="2" w:name="_Toc439931963"/>
      <w:r w:rsidRPr="00343132">
        <w:rPr>
          <w:b/>
          <w:sz w:val="28"/>
        </w:rPr>
        <w:t>MIGRACIJA</w:t>
      </w:r>
      <w:bookmarkEnd w:id="1"/>
      <w:bookmarkEnd w:id="2"/>
    </w:p>
    <w:p w:rsidR="00EC2AB1" w:rsidRPr="00343132" w:rsidRDefault="00EC2AB1" w:rsidP="00BD4EB5">
      <w:pPr>
        <w:keepNext/>
        <w:keepLines/>
        <w:jc w:val="left"/>
        <w:outlineLvl w:val="0"/>
        <w:rPr>
          <w:b/>
          <w:u w:val="single"/>
        </w:rPr>
      </w:pPr>
    </w:p>
    <w:p w:rsidR="00EC2AB1" w:rsidRPr="00343132" w:rsidRDefault="00000CE8" w:rsidP="00000CE8">
      <w:pPr>
        <w:pStyle w:val="ListParagraph"/>
        <w:widowControl w:val="0"/>
        <w:numPr>
          <w:ilvl w:val="0"/>
          <w:numId w:val="55"/>
        </w:numPr>
        <w:ind w:left="567" w:hanging="567"/>
        <w:rPr>
          <w:sz w:val="24"/>
        </w:rPr>
      </w:pPr>
      <w:r w:rsidRPr="00343132">
        <w:rPr>
          <w:b/>
          <w:i/>
          <w:sz w:val="28"/>
        </w:rPr>
        <w:t>Europski migracijski program</w:t>
      </w:r>
    </w:p>
    <w:p w:rsidR="00EC2AB1" w:rsidRPr="00343132" w:rsidRDefault="00EC2AB1" w:rsidP="00000CE8">
      <w:pPr>
        <w:tabs>
          <w:tab w:val="center" w:pos="284"/>
        </w:tabs>
        <w:ind w:left="266" w:hanging="266"/>
        <w:rPr>
          <w:b/>
        </w:rPr>
      </w:pPr>
    </w:p>
    <w:p w:rsidR="00EC2AB1" w:rsidRPr="00343132" w:rsidRDefault="00EC2AB1" w:rsidP="00BB3B72">
      <w:pPr>
        <w:ind w:left="2268" w:hanging="2268"/>
      </w:pPr>
      <w:r w:rsidRPr="00343132">
        <w:rPr>
          <w:b/>
        </w:rPr>
        <w:t>Izvjestitelj:</w:t>
      </w:r>
      <w:r w:rsidR="00BB3B72" w:rsidRPr="00343132">
        <w:tab/>
      </w:r>
      <w:proofErr w:type="spellStart"/>
      <w:r w:rsidRPr="00343132">
        <w:t>Stefano</w:t>
      </w:r>
      <w:proofErr w:type="spellEnd"/>
      <w:r w:rsidRPr="00343132">
        <w:t xml:space="preserve"> MALLIA (Skupina poslodavaca – MT)</w:t>
      </w:r>
    </w:p>
    <w:p w:rsidR="00EC2AB1" w:rsidRPr="00343132" w:rsidRDefault="00EC2AB1" w:rsidP="00BB3B72">
      <w:pPr>
        <w:tabs>
          <w:tab w:val="center" w:pos="284"/>
        </w:tabs>
        <w:ind w:left="2268" w:hanging="2268"/>
      </w:pPr>
    </w:p>
    <w:p w:rsidR="00EC2AB1" w:rsidRPr="00343132" w:rsidRDefault="00EC2AB1" w:rsidP="00BB3B72">
      <w:pPr>
        <w:ind w:left="2268" w:hanging="2268"/>
        <w:rPr>
          <w:b/>
        </w:rPr>
      </w:pPr>
      <w:r w:rsidRPr="00343132">
        <w:rPr>
          <w:b/>
        </w:rPr>
        <w:t>Suizvjestitelj:</w:t>
      </w:r>
      <w:r w:rsidRPr="00343132">
        <w:tab/>
      </w:r>
      <w:proofErr w:type="spellStart"/>
      <w:r w:rsidRPr="00343132">
        <w:t>Cristian</w:t>
      </w:r>
      <w:proofErr w:type="spellEnd"/>
      <w:r w:rsidRPr="00343132">
        <w:t xml:space="preserve"> PÎRVULESCU (Skupina raznih interesa – RO)</w:t>
      </w:r>
    </w:p>
    <w:p w:rsidR="00EC2AB1" w:rsidRPr="00343132" w:rsidRDefault="00EC2AB1" w:rsidP="00BB3B72">
      <w:pPr>
        <w:ind w:left="2268" w:hanging="2268"/>
        <w:rPr>
          <w:b/>
        </w:rPr>
      </w:pPr>
    </w:p>
    <w:p w:rsidR="00EC2AB1" w:rsidRPr="00343132" w:rsidRDefault="00EC2AB1" w:rsidP="00BB3B72">
      <w:pPr>
        <w:tabs>
          <w:tab w:val="left" w:pos="4536"/>
        </w:tabs>
        <w:ind w:left="2268" w:hanging="2268"/>
      </w:pPr>
      <w:r w:rsidRPr="00343132">
        <w:rPr>
          <w:b/>
        </w:rPr>
        <w:t>Referentni dokumenti:</w:t>
      </w:r>
      <w:r w:rsidR="00BB3B72" w:rsidRPr="00343132">
        <w:tab/>
        <w:t xml:space="preserve">COM(2015) 240 </w:t>
      </w:r>
      <w:proofErr w:type="spellStart"/>
      <w:r w:rsidR="00BB3B72" w:rsidRPr="00343132">
        <w:t>final</w:t>
      </w:r>
      <w:proofErr w:type="spellEnd"/>
      <w:r w:rsidR="00BB3B72" w:rsidRPr="00343132">
        <w:tab/>
      </w:r>
      <w:r w:rsidRPr="00343132">
        <w:t>EESC-2015-04319-00-</w:t>
      </w:r>
      <w:proofErr w:type="spellStart"/>
      <w:r w:rsidRPr="00343132">
        <w:t>00</w:t>
      </w:r>
      <w:proofErr w:type="spellEnd"/>
      <w:r w:rsidRPr="00343132">
        <w:t>-AC</w:t>
      </w:r>
    </w:p>
    <w:p w:rsidR="00EC2AB1" w:rsidRPr="00343132" w:rsidRDefault="00EC2AB1" w:rsidP="00BB3B72">
      <w:pPr>
        <w:ind w:left="2268" w:hanging="2268"/>
      </w:pPr>
    </w:p>
    <w:p w:rsidR="00EC2AB1" w:rsidRPr="00343132" w:rsidRDefault="00EC2AB1" w:rsidP="00BD4EB5">
      <w:pPr>
        <w:keepNext/>
        <w:tabs>
          <w:tab w:val="center" w:pos="284"/>
        </w:tabs>
        <w:ind w:left="266" w:hanging="266"/>
        <w:rPr>
          <w:b/>
        </w:rPr>
      </w:pPr>
      <w:r w:rsidRPr="00343132">
        <w:rPr>
          <w:b/>
        </w:rPr>
        <w:t>Ključne točke:</w:t>
      </w:r>
    </w:p>
    <w:p w:rsidR="00033DA8" w:rsidRPr="00343132" w:rsidRDefault="00033DA8" w:rsidP="00BD4EB5">
      <w:pPr>
        <w:keepNext/>
      </w:pPr>
    </w:p>
    <w:p w:rsidR="00EC2AB1" w:rsidRPr="00343132" w:rsidRDefault="00EC2AB1" w:rsidP="00000CE8">
      <w:r w:rsidRPr="00343132">
        <w:t>EGSO pozdravlja Komisijin „Europski migracijski program“ te potiče države članice da zajedno podrže provedbu tog programa.</w:t>
      </w:r>
    </w:p>
    <w:p w:rsidR="00EC2AB1" w:rsidRPr="00343132" w:rsidRDefault="00EC2AB1" w:rsidP="00000CE8"/>
    <w:p w:rsidR="00EC2AB1" w:rsidRPr="00343132" w:rsidRDefault="00EC2AB1" w:rsidP="00000CE8">
      <w:r w:rsidRPr="00343132">
        <w:t xml:space="preserve">Hitni je izazov za EU osigurati pravilno postupanje s ljudima koji traže međunarodnu zaštitu. EGSO podržava hitnu uspostavu sustava </w:t>
      </w:r>
      <w:proofErr w:type="spellStart"/>
      <w:r w:rsidRPr="00343132">
        <w:rPr>
          <w:i/>
        </w:rPr>
        <w:t>hotspotova</w:t>
      </w:r>
      <w:proofErr w:type="spellEnd"/>
      <w:r w:rsidRPr="00343132">
        <w:t xml:space="preserve"> kako bi se pomoglo državama koje se suočavaju s velikim priljevom </w:t>
      </w:r>
      <w:proofErr w:type="spellStart"/>
      <w:r w:rsidRPr="00343132">
        <w:t>migranata</w:t>
      </w:r>
      <w:proofErr w:type="spellEnd"/>
      <w:r w:rsidRPr="00343132">
        <w:t xml:space="preserve"> te insistira na tome da se tom sustavu osiguraju potrebni resursi i podrška.</w:t>
      </w:r>
    </w:p>
    <w:p w:rsidR="00EC2AB1" w:rsidRPr="00343132" w:rsidRDefault="00EC2AB1" w:rsidP="00000CE8"/>
    <w:p w:rsidR="00EC2AB1" w:rsidRPr="00343132" w:rsidRDefault="00EC2AB1" w:rsidP="00000CE8">
      <w:r w:rsidRPr="00343132">
        <w:t xml:space="preserve">EGSO smatra da je potrebno uspostaviti istinski europski sustav azila zasnovan na usklađenim postupcima, uključujući uzajamno priznavanje odluka o azilu te reviziju </w:t>
      </w:r>
      <w:proofErr w:type="spellStart"/>
      <w:r w:rsidRPr="00343132">
        <w:t>Dublinske</w:t>
      </w:r>
      <w:proofErr w:type="spellEnd"/>
      <w:r w:rsidRPr="00343132">
        <w:t xml:space="preserve"> uredbe.</w:t>
      </w:r>
    </w:p>
    <w:p w:rsidR="00EC2AB1" w:rsidRPr="00343132" w:rsidRDefault="00EC2AB1" w:rsidP="00BB3B72">
      <w:pPr>
        <w:spacing w:line="240" w:lineRule="auto"/>
      </w:pPr>
    </w:p>
    <w:p w:rsidR="00EC2AB1" w:rsidRPr="00343132" w:rsidRDefault="00EC2AB1" w:rsidP="00000CE8">
      <w:r w:rsidRPr="00343132">
        <w:t>EU mora imati transparentnu, predvidljivu i poštenu imigracijsku politiku kako bi se mogao suočiti s izazovima koje postavljaju starenje njegovog stanovništva i sve veće pomanjkanje vještina.</w:t>
      </w:r>
    </w:p>
    <w:p w:rsidR="00EC2AB1" w:rsidRPr="00343132" w:rsidRDefault="00EC2AB1" w:rsidP="00BB3B72">
      <w:pPr>
        <w:spacing w:line="240" w:lineRule="auto"/>
      </w:pPr>
    </w:p>
    <w:p w:rsidR="00EC2AB1" w:rsidRPr="00343132" w:rsidRDefault="00EC2AB1" w:rsidP="00000CE8">
      <w:r w:rsidRPr="00343132">
        <w:t xml:space="preserve">Troškovi </w:t>
      </w:r>
      <w:proofErr w:type="spellStart"/>
      <w:r w:rsidRPr="00343132">
        <w:t>neintegracije</w:t>
      </w:r>
      <w:proofErr w:type="spellEnd"/>
      <w:r w:rsidRPr="00343132">
        <w:t xml:space="preserve"> daleko su veći od troškova integracije. Socijalni partneri, lokalne vlasti i civilno društvo moraju igrati ključnu ulogu u izgradnji čvrstih integracijskih sustava.</w:t>
      </w:r>
    </w:p>
    <w:p w:rsidR="00EC2AB1" w:rsidRPr="00343132" w:rsidRDefault="00EC2AB1" w:rsidP="00BB3B72">
      <w:pPr>
        <w:spacing w:line="240" w:lineRule="auto"/>
      </w:pPr>
    </w:p>
    <w:p w:rsidR="00EC2AB1" w:rsidRPr="00343132" w:rsidRDefault="00EC2AB1" w:rsidP="00000CE8">
      <w:r w:rsidRPr="00343132">
        <w:t>Europski napori u osiguravanju vanjskih granica mogli bi iziskivati dijeljenje nacionalnih kompetencija.</w:t>
      </w:r>
    </w:p>
    <w:p w:rsidR="00EC2AB1" w:rsidRPr="00343132" w:rsidRDefault="00EC2AB1" w:rsidP="00BB3B72">
      <w:pPr>
        <w:spacing w:line="240" w:lineRule="auto"/>
      </w:pPr>
    </w:p>
    <w:p w:rsidR="00EC2AB1" w:rsidRPr="00343132" w:rsidRDefault="00EC2AB1" w:rsidP="00000CE8">
      <w:r w:rsidRPr="00343132">
        <w:t>Potrebno je osigurati suradnju na području ponovnog prihvata kako bi se zajamčila učinkovita i pravovremena provedba Direktive o vraćanju.</w:t>
      </w:r>
    </w:p>
    <w:p w:rsidR="00EC2AB1" w:rsidRPr="00343132" w:rsidRDefault="00EC2AB1" w:rsidP="00BB3B72">
      <w:pPr>
        <w:spacing w:line="240" w:lineRule="auto"/>
      </w:pPr>
    </w:p>
    <w:p w:rsidR="00EC2AB1" w:rsidRPr="00343132" w:rsidRDefault="00EC2AB1" w:rsidP="00000CE8">
      <w:r w:rsidRPr="00343132">
        <w:t>Potrebno je uložiti veća sredstava i pružiti veću potporu organizacijama civilnog društva koje se bave izbjegličkom krizom.</w:t>
      </w:r>
    </w:p>
    <w:p w:rsidR="00EC2AB1" w:rsidRPr="00343132" w:rsidRDefault="00EC2AB1" w:rsidP="00BB3B72">
      <w:pPr>
        <w:spacing w:line="240" w:lineRule="auto"/>
      </w:pPr>
    </w:p>
    <w:p w:rsidR="00EC2AB1" w:rsidRPr="00343132" w:rsidRDefault="00EC2AB1" w:rsidP="00000CE8">
      <w:r w:rsidRPr="00343132">
        <w:lastRenderedPageBreak/>
        <w:t>Rashodi država članica povezani s prihvatom i integracijom tražitelja azila i izbjeglica ne bi se trebali uzimati u obzir pri izračunavanju strukturnih proračunskih deficita.</w:t>
      </w:r>
    </w:p>
    <w:p w:rsidR="00EC2AB1" w:rsidRPr="00343132" w:rsidRDefault="00EC2AB1" w:rsidP="00000CE8"/>
    <w:p w:rsidR="00EC2AB1" w:rsidRPr="00343132" w:rsidRDefault="00EC2AB1" w:rsidP="00000CE8">
      <w:pPr>
        <w:rPr>
          <w:i/>
        </w:rPr>
      </w:pPr>
      <w:r w:rsidRPr="00343132">
        <w:rPr>
          <w:b/>
          <w:i/>
        </w:rPr>
        <w:t>Kontakt:</w:t>
      </w:r>
      <w:r w:rsidRPr="00343132">
        <w:tab/>
      </w:r>
      <w:proofErr w:type="spellStart"/>
      <w:r w:rsidRPr="00343132">
        <w:rPr>
          <w:i/>
        </w:rPr>
        <w:t>Annemarie</w:t>
      </w:r>
      <w:proofErr w:type="spellEnd"/>
      <w:r w:rsidRPr="00343132">
        <w:rPr>
          <w:i/>
        </w:rPr>
        <w:t xml:space="preserve"> </w:t>
      </w:r>
      <w:proofErr w:type="spellStart"/>
      <w:r w:rsidRPr="00343132">
        <w:rPr>
          <w:i/>
        </w:rPr>
        <w:t>Wiersma</w:t>
      </w:r>
      <w:proofErr w:type="spellEnd"/>
    </w:p>
    <w:p w:rsidR="00EC2AB1" w:rsidRPr="00343132" w:rsidRDefault="00EC2AB1" w:rsidP="00000CE8">
      <w:pPr>
        <w:rPr>
          <w:i/>
        </w:rPr>
      </w:pPr>
      <w:r w:rsidRPr="00343132">
        <w:tab/>
      </w:r>
      <w:r w:rsidRPr="00343132">
        <w:tab/>
      </w:r>
      <w:r w:rsidRPr="00343132">
        <w:rPr>
          <w:i/>
        </w:rPr>
        <w:t xml:space="preserve">(Tel.: 00 32 2 546 93 76 – e-mail: </w:t>
      </w:r>
      <w:hyperlink r:id="rId25">
        <w:r w:rsidRPr="00343132">
          <w:rPr>
            <w:rStyle w:val="Hyperlink"/>
            <w:i/>
          </w:rPr>
          <w:t>annemarie.wiersma@eesc.europa.eu</w:t>
        </w:r>
      </w:hyperlink>
      <w:r w:rsidRPr="00343132">
        <w:rPr>
          <w:i/>
        </w:rPr>
        <w:t xml:space="preserve">) </w:t>
      </w:r>
    </w:p>
    <w:p w:rsidR="00EC2AB1" w:rsidRPr="00343132" w:rsidRDefault="00EC2AB1" w:rsidP="00000CE8">
      <w:pPr>
        <w:spacing w:line="240" w:lineRule="auto"/>
        <w:jc w:val="left"/>
        <w:rPr>
          <w:i/>
        </w:rPr>
      </w:pPr>
      <w:r w:rsidRPr="00343132">
        <w:br w:type="page"/>
      </w:r>
    </w:p>
    <w:p w:rsidR="00EC2AB1" w:rsidRPr="00343132" w:rsidRDefault="00EC2AB1" w:rsidP="00000CE8">
      <w:pPr>
        <w:widowControl w:val="0"/>
        <w:numPr>
          <w:ilvl w:val="0"/>
          <w:numId w:val="22"/>
        </w:numPr>
        <w:ind w:left="567" w:hanging="567"/>
        <w:rPr>
          <w:sz w:val="24"/>
        </w:rPr>
      </w:pPr>
      <w:r w:rsidRPr="00343132">
        <w:rPr>
          <w:b/>
          <w:i/>
          <w:sz w:val="28"/>
        </w:rPr>
        <w:lastRenderedPageBreak/>
        <w:t>Europski migracijski program: Drugi provedbeni paket</w:t>
      </w:r>
    </w:p>
    <w:p w:rsidR="00EC2AB1" w:rsidRPr="00343132" w:rsidRDefault="00EC2AB1" w:rsidP="00000CE8">
      <w:pPr>
        <w:tabs>
          <w:tab w:val="center" w:pos="284"/>
        </w:tabs>
        <w:ind w:left="266" w:hanging="266"/>
        <w:rPr>
          <w:b/>
        </w:rPr>
      </w:pPr>
    </w:p>
    <w:p w:rsidR="00EC2AB1" w:rsidRPr="00343132" w:rsidRDefault="00EC2AB1" w:rsidP="00BB3B72">
      <w:pPr>
        <w:ind w:left="2268" w:hanging="2268"/>
      </w:pPr>
      <w:r w:rsidRPr="00343132">
        <w:rPr>
          <w:b/>
        </w:rPr>
        <w:t>Izvjestitelj:</w:t>
      </w:r>
      <w:r w:rsidRPr="00343132">
        <w:tab/>
      </w:r>
      <w:proofErr w:type="spellStart"/>
      <w:r w:rsidRPr="00343132">
        <w:t>Cristian</w:t>
      </w:r>
      <w:proofErr w:type="spellEnd"/>
      <w:r w:rsidRPr="00343132">
        <w:t xml:space="preserve"> PÎRVULESCU (Skupina raznih interesa – RO)</w:t>
      </w:r>
    </w:p>
    <w:p w:rsidR="00EC2AB1" w:rsidRPr="00343132" w:rsidRDefault="00EC2AB1" w:rsidP="00BB3B72">
      <w:pPr>
        <w:ind w:left="2268" w:hanging="2268"/>
        <w:rPr>
          <w:b/>
        </w:rPr>
      </w:pPr>
    </w:p>
    <w:p w:rsidR="00EC2AB1" w:rsidRPr="00343132" w:rsidRDefault="00EC2AB1" w:rsidP="00BB3B72">
      <w:pPr>
        <w:tabs>
          <w:tab w:val="left" w:pos="4536"/>
        </w:tabs>
        <w:ind w:left="2268" w:hanging="2268"/>
      </w:pPr>
      <w:r w:rsidRPr="00343132">
        <w:rPr>
          <w:b/>
        </w:rPr>
        <w:t>Referentni dokumenti:</w:t>
      </w:r>
      <w:r w:rsidR="00BB3B72" w:rsidRPr="00343132">
        <w:tab/>
        <w:t xml:space="preserve">COM(2015) 450 </w:t>
      </w:r>
      <w:proofErr w:type="spellStart"/>
      <w:r w:rsidR="00BB3B72" w:rsidRPr="00343132">
        <w:t>final</w:t>
      </w:r>
      <w:proofErr w:type="spellEnd"/>
      <w:r w:rsidR="00BB3B72" w:rsidRPr="00343132">
        <w:tab/>
      </w:r>
      <w:r w:rsidRPr="00343132">
        <w:t>EESC-2015-05408-00-</w:t>
      </w:r>
      <w:proofErr w:type="spellStart"/>
      <w:r w:rsidRPr="00343132">
        <w:t>00</w:t>
      </w:r>
      <w:proofErr w:type="spellEnd"/>
      <w:r w:rsidRPr="00343132">
        <w:t>-AC-TRA</w:t>
      </w:r>
    </w:p>
    <w:p w:rsidR="00EC2AB1" w:rsidRPr="00343132" w:rsidRDefault="00EC2AB1" w:rsidP="00000CE8"/>
    <w:p w:rsidR="00EC2AB1" w:rsidRPr="00343132" w:rsidRDefault="00EC2AB1" w:rsidP="00000CE8">
      <w:pPr>
        <w:keepNext/>
        <w:keepLines/>
        <w:tabs>
          <w:tab w:val="center" w:pos="284"/>
        </w:tabs>
        <w:ind w:left="266" w:hanging="266"/>
        <w:rPr>
          <w:b/>
        </w:rPr>
      </w:pPr>
      <w:r w:rsidRPr="00343132">
        <w:rPr>
          <w:b/>
        </w:rPr>
        <w:t>Ključne točke:</w:t>
      </w:r>
    </w:p>
    <w:p w:rsidR="00CF5F66" w:rsidRPr="00343132" w:rsidRDefault="00CF5F66" w:rsidP="00BD4EB5">
      <w:pPr>
        <w:keepNext/>
        <w:keepLines/>
        <w:tabs>
          <w:tab w:val="center" w:pos="284"/>
        </w:tabs>
        <w:ind w:left="266" w:hanging="266"/>
        <w:rPr>
          <w:b/>
        </w:rPr>
      </w:pPr>
    </w:p>
    <w:p w:rsidR="00EC2AB1" w:rsidRPr="00343132" w:rsidRDefault="00EC2AB1" w:rsidP="00000CE8">
      <w:r w:rsidRPr="00343132">
        <w:t>Izbjeglička kriza u EU-u dostigla je točku na kojoj se temeljna načela zaštite ljudskih prava i demokracije dovode u pitanje. EGSO čvrsto vjeruje da se ta načela moraju poštovati i pravilno provoditi te da nam je u ovim izvanrednim okolnostima potrebno više Europe, više demokracije i više solidarnosti.</w:t>
      </w:r>
    </w:p>
    <w:p w:rsidR="00EC2AB1" w:rsidRPr="00343132" w:rsidRDefault="00EC2AB1" w:rsidP="00000CE8"/>
    <w:p w:rsidR="00EC2AB1" w:rsidRPr="00343132" w:rsidRDefault="00EC2AB1" w:rsidP="00000CE8">
      <w:r w:rsidRPr="00343132">
        <w:t>Do sadašnje je izbjegličke krize, iako se ona mogla predvidjeti, došlo zbog nepostojanja zajedničke politike azila. EGSO stoga poziva Europsko vijeće, Europsku komisiju i Europski parlament da provedu članak 67. stavak 2. i članak 78. Ugovora o funkcioniranju Europske unije, kojima se utvrđuju uvjeti za izgradnju istinske politike azila EU-a.</w:t>
      </w:r>
    </w:p>
    <w:p w:rsidR="00EC2AB1" w:rsidRPr="00343132" w:rsidRDefault="00EC2AB1" w:rsidP="00000CE8"/>
    <w:p w:rsidR="00EC2AB1" w:rsidRPr="00343132" w:rsidRDefault="00EC2AB1" w:rsidP="00000CE8">
      <w:r w:rsidRPr="00343132">
        <w:t>EGSO pozdravlja napore koje Europska komisija ulaže kako bi koordinirala zajednički odgovor na izbjegličku krizu.</w:t>
      </w:r>
    </w:p>
    <w:p w:rsidR="00EC2AB1" w:rsidRPr="00343132" w:rsidRDefault="00EC2AB1" w:rsidP="00000CE8"/>
    <w:p w:rsidR="00EC2AB1" w:rsidRPr="00343132" w:rsidRDefault="00EC2AB1" w:rsidP="00000CE8">
      <w:r w:rsidRPr="00343132">
        <w:t>Mehanizam premještanja u kriznim situacijama konkretan je primjer suradnje utemeljene na solidarnosti i odgovornosti. EGSO želi da se navedeni mehanizam premještanja uključi u opću strategiju kako bi se osigurale dosljednost i učinkovitost. Potrebni su snažni, solidarni sustavi raspodjele tereta, a osobito trajan, pravedan i obvezujući sustav prema kojemu se osobe koje traže zaštitu raspoređuju među svim zemljama EU-a.</w:t>
      </w:r>
    </w:p>
    <w:p w:rsidR="00EC2AB1" w:rsidRPr="00343132" w:rsidRDefault="00EC2AB1" w:rsidP="00000CE8"/>
    <w:p w:rsidR="00EC2AB1" w:rsidRPr="00343132" w:rsidRDefault="00EC2AB1" w:rsidP="00000CE8">
      <w:r w:rsidRPr="00343132">
        <w:t>Europska komisija i ostale institucije EU-a moraju aktivno podupirati države članice kako bi osigurale odgovarajuće uvjete i izglede za integraciju premještenih podnositelja zahtjeva za azil. U tom kontekstu trebalo bi, između ostalog, pojasniti da su izdaci država članica u vezi s prihvatom i integracijom tražitelja azila i izbjeglica dugoročni, strukturni rashodi i da stoga ne bi trebali biti uključeni u izračunavanje strukturnog proračunskog deficita.</w:t>
      </w:r>
    </w:p>
    <w:p w:rsidR="00EC2AB1" w:rsidRPr="00343132" w:rsidRDefault="00EC2AB1" w:rsidP="00000CE8"/>
    <w:p w:rsidR="00EC2AB1" w:rsidRPr="00343132" w:rsidRDefault="00EC2AB1" w:rsidP="00000CE8">
      <w:pPr>
        <w:rPr>
          <w:i/>
        </w:rPr>
      </w:pPr>
      <w:r w:rsidRPr="00343132">
        <w:rPr>
          <w:b/>
          <w:i/>
        </w:rPr>
        <w:t>Kontakt:</w:t>
      </w:r>
      <w:r w:rsidRPr="00343132">
        <w:tab/>
      </w:r>
      <w:proofErr w:type="spellStart"/>
      <w:r w:rsidRPr="00343132">
        <w:rPr>
          <w:i/>
        </w:rPr>
        <w:t>Annemarie</w:t>
      </w:r>
      <w:proofErr w:type="spellEnd"/>
      <w:r w:rsidRPr="00343132">
        <w:rPr>
          <w:i/>
        </w:rPr>
        <w:t xml:space="preserve"> </w:t>
      </w:r>
      <w:proofErr w:type="spellStart"/>
      <w:r w:rsidRPr="00343132">
        <w:rPr>
          <w:i/>
        </w:rPr>
        <w:t>Wiersma</w:t>
      </w:r>
      <w:proofErr w:type="spellEnd"/>
    </w:p>
    <w:p w:rsidR="00EC2AB1" w:rsidRPr="00343132" w:rsidRDefault="00EC2AB1" w:rsidP="00000CE8">
      <w:r w:rsidRPr="00343132">
        <w:tab/>
      </w:r>
      <w:r w:rsidRPr="00343132">
        <w:tab/>
      </w:r>
      <w:r w:rsidRPr="00343132">
        <w:rPr>
          <w:i/>
        </w:rPr>
        <w:t xml:space="preserve">(Tel.: 00 32 2 546 93 76 – e-mail: </w:t>
      </w:r>
      <w:hyperlink r:id="rId26">
        <w:r w:rsidRPr="00343132">
          <w:rPr>
            <w:rStyle w:val="Hyperlink"/>
            <w:i/>
          </w:rPr>
          <w:t>annemarie.wiersma@eesc.europa.eu</w:t>
        </w:r>
      </w:hyperlink>
      <w:r w:rsidRPr="00343132">
        <w:rPr>
          <w:i/>
        </w:rPr>
        <w:t>)</w:t>
      </w:r>
    </w:p>
    <w:p w:rsidR="00EC2AB1" w:rsidRPr="00343132" w:rsidRDefault="00EC2AB1" w:rsidP="00000CE8">
      <w:pPr>
        <w:spacing w:line="240" w:lineRule="auto"/>
        <w:jc w:val="left"/>
      </w:pPr>
      <w:r w:rsidRPr="00343132">
        <w:br w:type="page"/>
      </w:r>
    </w:p>
    <w:p w:rsidR="008D10DE" w:rsidRPr="00343132" w:rsidRDefault="008D10DE" w:rsidP="00000CE8">
      <w:pPr>
        <w:widowControl w:val="0"/>
        <w:numPr>
          <w:ilvl w:val="0"/>
          <w:numId w:val="5"/>
        </w:numPr>
        <w:ind w:hanging="567"/>
        <w:rPr>
          <w:b/>
          <w:i/>
          <w:sz w:val="28"/>
        </w:rPr>
      </w:pPr>
      <w:r w:rsidRPr="00343132">
        <w:rPr>
          <w:b/>
          <w:i/>
          <w:sz w:val="28"/>
        </w:rPr>
        <w:lastRenderedPageBreak/>
        <w:t xml:space="preserve">Akcijski plan EU-a protiv krijumčarenja </w:t>
      </w:r>
      <w:proofErr w:type="spellStart"/>
      <w:r w:rsidRPr="00343132">
        <w:rPr>
          <w:b/>
          <w:i/>
          <w:sz w:val="28"/>
        </w:rPr>
        <w:t>migranata</w:t>
      </w:r>
      <w:proofErr w:type="spellEnd"/>
    </w:p>
    <w:p w:rsidR="008D10DE" w:rsidRPr="00343132" w:rsidRDefault="008D10DE" w:rsidP="00000CE8"/>
    <w:p w:rsidR="00242890" w:rsidRPr="00343132" w:rsidRDefault="00242890" w:rsidP="00BB3B72">
      <w:pPr>
        <w:ind w:left="2268" w:hanging="2268"/>
      </w:pPr>
      <w:r w:rsidRPr="00343132">
        <w:rPr>
          <w:b/>
        </w:rPr>
        <w:t>Izvjestiteljica:</w:t>
      </w:r>
      <w:r w:rsidRPr="00343132">
        <w:tab/>
      </w:r>
      <w:proofErr w:type="spellStart"/>
      <w:r w:rsidRPr="00343132">
        <w:t>Brenda</w:t>
      </w:r>
      <w:proofErr w:type="spellEnd"/>
      <w:r w:rsidRPr="00343132">
        <w:t xml:space="preserve"> KING (Skupina poslodavaca - UK)</w:t>
      </w:r>
    </w:p>
    <w:p w:rsidR="00EC2AB1" w:rsidRPr="00343132" w:rsidRDefault="00EC2AB1" w:rsidP="00BB3B72">
      <w:pPr>
        <w:ind w:left="2268" w:hanging="2268"/>
      </w:pPr>
    </w:p>
    <w:p w:rsidR="00EC2AB1" w:rsidRPr="00343132" w:rsidRDefault="00EC2AB1" w:rsidP="00BB3B72">
      <w:pPr>
        <w:widowControl w:val="0"/>
        <w:tabs>
          <w:tab w:val="left" w:pos="4536"/>
        </w:tabs>
        <w:spacing w:line="276" w:lineRule="auto"/>
        <w:ind w:left="2268" w:hanging="2268"/>
      </w:pPr>
      <w:r w:rsidRPr="00343132">
        <w:rPr>
          <w:b/>
        </w:rPr>
        <w:t>Referentni dokumenti:</w:t>
      </w:r>
      <w:r w:rsidRPr="00343132">
        <w:tab/>
      </w:r>
      <w:r w:rsidR="00BB3B72" w:rsidRPr="00343132">
        <w:t xml:space="preserve">COM(2015) 285 </w:t>
      </w:r>
      <w:proofErr w:type="spellStart"/>
      <w:r w:rsidR="00BB3B72" w:rsidRPr="00343132">
        <w:t>final</w:t>
      </w:r>
      <w:proofErr w:type="spellEnd"/>
      <w:r w:rsidR="00BB3B72" w:rsidRPr="00343132">
        <w:tab/>
      </w:r>
      <w:r w:rsidRPr="00343132">
        <w:t>EESC-2015-03940-00-01-AC</w:t>
      </w:r>
    </w:p>
    <w:p w:rsidR="00242890" w:rsidRPr="00343132" w:rsidRDefault="00242890" w:rsidP="00000CE8"/>
    <w:p w:rsidR="008D10DE" w:rsidRPr="00343132" w:rsidRDefault="008D10DE" w:rsidP="00BD4EB5">
      <w:pPr>
        <w:keepNext/>
        <w:rPr>
          <w:b/>
        </w:rPr>
      </w:pPr>
      <w:r w:rsidRPr="00343132">
        <w:rPr>
          <w:b/>
        </w:rPr>
        <w:t>Ključne točke:</w:t>
      </w:r>
    </w:p>
    <w:p w:rsidR="00BD2639" w:rsidRPr="00343132" w:rsidRDefault="00BD2639" w:rsidP="00BD4EB5">
      <w:pPr>
        <w:keepNext/>
      </w:pPr>
    </w:p>
    <w:p w:rsidR="008D10DE" w:rsidRPr="00343132" w:rsidRDefault="008D10DE" w:rsidP="00000CE8">
      <w:r w:rsidRPr="00343132">
        <w:t xml:space="preserve">Europski gospodarski i socijalni odbor (EGSO) pozdravlja zacrtane ciljeve Akcijskog plana EU-a protiv krijumčarenja </w:t>
      </w:r>
      <w:proofErr w:type="spellStart"/>
      <w:r w:rsidRPr="00343132">
        <w:t>migranata</w:t>
      </w:r>
      <w:proofErr w:type="spellEnd"/>
      <w:r w:rsidRPr="00343132">
        <w:t xml:space="preserve"> „da se spriječi i suzbije krijumčarenje </w:t>
      </w:r>
      <w:proofErr w:type="spellStart"/>
      <w:r w:rsidRPr="00343132">
        <w:t>migranata</w:t>
      </w:r>
      <w:proofErr w:type="spellEnd"/>
      <w:r w:rsidRPr="00343132">
        <w:t xml:space="preserve">, istovremeno osiguravajući zaštitu ljudskih prava </w:t>
      </w:r>
      <w:proofErr w:type="spellStart"/>
      <w:r w:rsidRPr="00343132">
        <w:t>migranata</w:t>
      </w:r>
      <w:proofErr w:type="spellEnd"/>
      <w:r w:rsidRPr="00343132">
        <w:t xml:space="preserve">“ i „da se riješe osnovni uzroci nezakonite migracije“ te podržava namjeru Akcijskog plana da se uz pomoć obavještajnog rada i financijskih istraga onesposobe mreže organiziranog kriminala, da se suzbije pranje novca i zaplijeni imovina stečena nezakonitim radnjama. Međutim, snažno preporučuje da se za potrebe Plana usvoji uravnoteženiji i </w:t>
      </w:r>
      <w:proofErr w:type="spellStart"/>
      <w:r w:rsidRPr="00343132">
        <w:t>sveobuhvatniji</w:t>
      </w:r>
      <w:proofErr w:type="spellEnd"/>
      <w:r w:rsidRPr="00343132">
        <w:t xml:space="preserve"> pristup i navedu pojedinosti o tome kako EU namjerava zaštititi i pomoći osobama koje su predmet krijumčarenja.</w:t>
      </w:r>
    </w:p>
    <w:p w:rsidR="008D10DE" w:rsidRPr="00343132" w:rsidRDefault="008D10DE" w:rsidP="00000CE8"/>
    <w:p w:rsidR="008D10DE" w:rsidRPr="00343132" w:rsidRDefault="008D10DE" w:rsidP="00000CE8">
      <w:r w:rsidRPr="00343132">
        <w:t>EGSO stoga preporučuje uvođenje preventivnih mjera u skladu sa zahtjevom glavnog tajnika UN-a da EU „razmotri povećanje legalnih i sigurnih putova u Europu za izbjeglice i migrante, kako oni ne bi bili prepušteni kriminalnim mrežama i ne bi kretali na opasna putovanja“. Te se tvrdnje podudaraju s preporukama iz brojnih mišljenja EGSO-a o migraciji.</w:t>
      </w:r>
    </w:p>
    <w:p w:rsidR="008D10DE" w:rsidRPr="00343132" w:rsidRDefault="008D10DE" w:rsidP="00BB3B72">
      <w:pPr>
        <w:spacing w:line="240" w:lineRule="auto"/>
      </w:pPr>
    </w:p>
    <w:p w:rsidR="008D10DE" w:rsidRPr="00343132" w:rsidRDefault="008D10DE" w:rsidP="00000CE8">
      <w:r w:rsidRPr="00343132">
        <w:t>EGSO također preporučuje da se Europskom potpornom uredu za azil (EASO) daju veće ovlasti, pri čemu posebnu pozornost treba posvetiti njegovim operativnim aktivnostima potpore te timovima zajedničke potpore za azil u državama članicama koje zahtijevaju posebnu ili hitnu potporu. Unija mora osigurati usklađenije, dosljednije, neovisnije i fleksibilnije izdavanje viza u humanitarne svrhe u državama članicama, kako je navedeno u zajedničkom Zakoniku o vizama.</w:t>
      </w:r>
    </w:p>
    <w:p w:rsidR="008D10DE" w:rsidRPr="00343132" w:rsidRDefault="008D10DE" w:rsidP="00BB3B72">
      <w:pPr>
        <w:spacing w:line="240" w:lineRule="auto"/>
      </w:pPr>
    </w:p>
    <w:p w:rsidR="008D10DE" w:rsidRPr="00343132" w:rsidRDefault="008D10DE" w:rsidP="00000CE8">
      <w:r w:rsidRPr="00343132">
        <w:t>EGSO se slaže da se moraju primjenjivati načela solidarnosti i zajedničke odgovornosti kako bi se osigurala uravnoteženija raspodjela zahtjeva za azil među državama članicama.</w:t>
      </w:r>
    </w:p>
    <w:p w:rsidR="008D10DE" w:rsidRPr="00343132" w:rsidRDefault="008D10DE" w:rsidP="00BB3B72">
      <w:pPr>
        <w:spacing w:line="240" w:lineRule="auto"/>
      </w:pPr>
    </w:p>
    <w:p w:rsidR="008D10DE" w:rsidRPr="00343132" w:rsidRDefault="008D10DE" w:rsidP="00000CE8">
      <w:r w:rsidRPr="00343132">
        <w:t xml:space="preserve">EGSO također preporučuje primjenu Programa održivog razvoja u svrhu pronalaženja dugotrajnog rješenja temeljnih društveno-ekonomskih uzroka krijumčarenja </w:t>
      </w:r>
      <w:proofErr w:type="spellStart"/>
      <w:r w:rsidRPr="00343132">
        <w:t>migranata</w:t>
      </w:r>
      <w:proofErr w:type="spellEnd"/>
      <w:r w:rsidRPr="00343132">
        <w:t>.</w:t>
      </w:r>
    </w:p>
    <w:p w:rsidR="008D10DE" w:rsidRPr="00343132" w:rsidRDefault="008D10DE" w:rsidP="00BB3B72">
      <w:pPr>
        <w:spacing w:line="240" w:lineRule="auto"/>
      </w:pPr>
    </w:p>
    <w:p w:rsidR="008D10DE" w:rsidRPr="00343132" w:rsidRDefault="008D10DE" w:rsidP="00000CE8">
      <w:r w:rsidRPr="00343132">
        <w:t>Odbor poziva predstavnike europskih institucija i nacionalnih vlada da uvažavaju ključnu ulogu socijalnih partnera i organiziranog civilnog društva u osiguravanju socijalne dimenzije i dodane vrijednosti europskih migracijskih politika. EGSO također zahtijeva da se više pažnje posvećuje sustavnom financiranju organizacija civilnog društva koje su od presudne važnosti za pružanje pomoći migrantima na njihovu putu prema sigurnim područjima kao i za integraciju, čime se često nadoknađuje pomanjkanje institucionalnih kapaciteta.</w:t>
      </w:r>
    </w:p>
    <w:p w:rsidR="008D10DE" w:rsidRPr="00343132" w:rsidRDefault="008D10DE" w:rsidP="00BB3B72">
      <w:pPr>
        <w:widowControl w:val="0"/>
        <w:spacing w:line="240" w:lineRule="auto"/>
      </w:pPr>
    </w:p>
    <w:p w:rsidR="008D10DE" w:rsidRPr="00343132" w:rsidRDefault="008D10DE" w:rsidP="00000CE8">
      <w:pPr>
        <w:rPr>
          <w:i/>
        </w:rPr>
      </w:pPr>
      <w:r w:rsidRPr="00343132">
        <w:rPr>
          <w:b/>
          <w:i/>
        </w:rPr>
        <w:t>Kontakt:</w:t>
      </w:r>
      <w:r w:rsidRPr="00343132">
        <w:tab/>
      </w:r>
      <w:proofErr w:type="spellStart"/>
      <w:r w:rsidRPr="00343132">
        <w:rPr>
          <w:i/>
        </w:rPr>
        <w:t>Georges</w:t>
      </w:r>
      <w:proofErr w:type="spellEnd"/>
      <w:r w:rsidRPr="00343132">
        <w:rPr>
          <w:i/>
        </w:rPr>
        <w:t>-</w:t>
      </w:r>
      <w:proofErr w:type="spellStart"/>
      <w:r w:rsidRPr="00343132">
        <w:rPr>
          <w:i/>
        </w:rPr>
        <w:t>Henry</w:t>
      </w:r>
      <w:proofErr w:type="spellEnd"/>
      <w:r w:rsidRPr="00343132">
        <w:rPr>
          <w:i/>
        </w:rPr>
        <w:t xml:space="preserve"> </w:t>
      </w:r>
      <w:proofErr w:type="spellStart"/>
      <w:r w:rsidRPr="00343132">
        <w:rPr>
          <w:i/>
        </w:rPr>
        <w:t>Carrard</w:t>
      </w:r>
      <w:proofErr w:type="spellEnd"/>
    </w:p>
    <w:p w:rsidR="008D10DE" w:rsidRPr="00343132" w:rsidRDefault="00242890" w:rsidP="00000CE8">
      <w:pPr>
        <w:tabs>
          <w:tab w:val="left" w:pos="1418"/>
          <w:tab w:val="left" w:pos="2420"/>
        </w:tabs>
        <w:rPr>
          <w:i/>
        </w:rPr>
      </w:pPr>
      <w:r w:rsidRPr="00343132">
        <w:tab/>
      </w:r>
      <w:r w:rsidRPr="00343132">
        <w:rPr>
          <w:i/>
        </w:rPr>
        <w:t xml:space="preserve">(Tel.: 00 32 2 546 95 93 – e-mail: </w:t>
      </w:r>
      <w:hyperlink r:id="rId27">
        <w:r w:rsidRPr="00343132">
          <w:rPr>
            <w:rStyle w:val="Hyperlink"/>
            <w:i/>
          </w:rPr>
          <w:t>GeorgesHenry.Carrard@eesc.europa.eu</w:t>
        </w:r>
      </w:hyperlink>
      <w:r w:rsidRPr="00343132">
        <w:rPr>
          <w:i/>
        </w:rPr>
        <w:t>)</w:t>
      </w:r>
    </w:p>
    <w:p w:rsidR="00C87EFC" w:rsidRPr="00343132" w:rsidRDefault="00C87EFC" w:rsidP="00000CE8">
      <w:pPr>
        <w:spacing w:line="240" w:lineRule="auto"/>
        <w:jc w:val="left"/>
      </w:pPr>
      <w:r w:rsidRPr="00343132">
        <w:br w:type="page"/>
      </w:r>
    </w:p>
    <w:p w:rsidR="008D10DE" w:rsidRPr="00343132" w:rsidRDefault="006F0D9E" w:rsidP="00000CE8">
      <w:pPr>
        <w:widowControl w:val="0"/>
        <w:numPr>
          <w:ilvl w:val="0"/>
          <w:numId w:val="46"/>
        </w:numPr>
        <w:spacing w:line="240" w:lineRule="auto"/>
        <w:rPr>
          <w:b/>
          <w:i/>
          <w:spacing w:val="-2"/>
          <w:sz w:val="28"/>
        </w:rPr>
      </w:pPr>
      <w:r w:rsidRPr="00343132">
        <w:rPr>
          <w:b/>
          <w:i/>
          <w:spacing w:val="-2"/>
          <w:sz w:val="28"/>
        </w:rPr>
        <w:lastRenderedPageBreak/>
        <w:t>Zajednički popis sigurnih zemalja porijekla</w:t>
      </w:r>
    </w:p>
    <w:p w:rsidR="008D10DE" w:rsidRPr="00343132" w:rsidRDefault="008D10DE" w:rsidP="00000CE8">
      <w:pPr>
        <w:widowControl w:val="0"/>
        <w:spacing w:line="240" w:lineRule="auto"/>
      </w:pPr>
    </w:p>
    <w:p w:rsidR="008D10DE" w:rsidRPr="00343132" w:rsidRDefault="008D10DE" w:rsidP="00BB3B72">
      <w:pPr>
        <w:ind w:left="2268" w:hanging="2268"/>
      </w:pPr>
      <w:r w:rsidRPr="00343132">
        <w:rPr>
          <w:b/>
        </w:rPr>
        <w:t>Izvjestitelj:</w:t>
      </w:r>
      <w:r w:rsidRPr="00343132">
        <w:tab/>
        <w:t>José Antonio MORENO DIAZ (Skupina radnika – ES)</w:t>
      </w:r>
    </w:p>
    <w:p w:rsidR="00EC2AB1" w:rsidRPr="00343132" w:rsidRDefault="00EC2AB1" w:rsidP="00BB3B72">
      <w:pPr>
        <w:widowControl w:val="0"/>
        <w:spacing w:line="276" w:lineRule="auto"/>
        <w:ind w:left="2268" w:hanging="2268"/>
      </w:pPr>
    </w:p>
    <w:p w:rsidR="00EC2AB1" w:rsidRPr="00343132" w:rsidRDefault="00EC2AB1" w:rsidP="00BB3B72">
      <w:pPr>
        <w:widowControl w:val="0"/>
        <w:spacing w:line="276" w:lineRule="auto"/>
        <w:ind w:left="2268" w:hanging="2268"/>
      </w:pPr>
      <w:r w:rsidRPr="00343132">
        <w:rPr>
          <w:b/>
        </w:rPr>
        <w:t>Referentni dokument:</w:t>
      </w:r>
      <w:r w:rsidR="00BB3B72" w:rsidRPr="00343132">
        <w:tab/>
        <w:t xml:space="preserve">COM(2015) 452 </w:t>
      </w:r>
      <w:proofErr w:type="spellStart"/>
      <w:r w:rsidR="00BB3B72" w:rsidRPr="00343132">
        <w:t>final</w:t>
      </w:r>
      <w:proofErr w:type="spellEnd"/>
      <w:r w:rsidR="00BB3B72" w:rsidRPr="00343132">
        <w:tab/>
      </w:r>
      <w:r w:rsidRPr="00343132">
        <w:t>EESC-2015-05379-00-</w:t>
      </w:r>
      <w:proofErr w:type="spellStart"/>
      <w:r w:rsidRPr="00343132">
        <w:t>00</w:t>
      </w:r>
      <w:proofErr w:type="spellEnd"/>
      <w:r w:rsidRPr="00343132">
        <w:t>-AC</w:t>
      </w:r>
    </w:p>
    <w:p w:rsidR="008D10DE" w:rsidRPr="00343132" w:rsidRDefault="008D10DE" w:rsidP="00000CE8">
      <w:pPr>
        <w:widowControl w:val="0"/>
        <w:spacing w:line="240" w:lineRule="auto"/>
        <w:rPr>
          <w:b/>
        </w:rPr>
      </w:pPr>
    </w:p>
    <w:p w:rsidR="008D10DE" w:rsidRPr="00343132" w:rsidRDefault="008D10DE" w:rsidP="00BD4EB5">
      <w:pPr>
        <w:keepNext/>
        <w:rPr>
          <w:b/>
        </w:rPr>
      </w:pPr>
      <w:r w:rsidRPr="00343132">
        <w:rPr>
          <w:b/>
        </w:rPr>
        <w:t>Ključne točke:</w:t>
      </w:r>
    </w:p>
    <w:p w:rsidR="00BD2639" w:rsidRPr="00343132" w:rsidRDefault="00BD2639" w:rsidP="00BD4EB5">
      <w:pPr>
        <w:keepNext/>
      </w:pPr>
    </w:p>
    <w:p w:rsidR="008D10DE" w:rsidRPr="00343132" w:rsidRDefault="008D10DE" w:rsidP="00000CE8">
      <w:r w:rsidRPr="00343132">
        <w:t>Komisija predlaže prilog s popisom sigurnih trećih zemalja porijekla koje će biti uvrštene na zajednički popis EU-a, a to su Albanija, Bosna i Hercegovina, bivša jugoslavenska republika Makedonija, Kosovo, Crna Gora, Srbija i Turska.</w:t>
      </w:r>
    </w:p>
    <w:p w:rsidR="008D10DE" w:rsidRPr="00343132" w:rsidRDefault="008D10DE" w:rsidP="00000CE8"/>
    <w:p w:rsidR="008D10DE" w:rsidRPr="00343132" w:rsidRDefault="008D10DE" w:rsidP="00000CE8">
      <w:r w:rsidRPr="00343132">
        <w:t>EGSO smatra da je izrada popisa zemalja koje se smatraju sigurnima možda preuranjena. EGSO smatra da se na konkretniji i sigurniji način koji nudi veća jamstva moraju utvrditi posebni kriteriji za određivanje sigurnih zemalja za potrebe predviđene Direktivom 2011/95/EU, a posebice u pogledu Priloga I. Direktive 2013/32/EU.</w:t>
      </w:r>
    </w:p>
    <w:p w:rsidR="008D10DE" w:rsidRPr="00343132" w:rsidRDefault="008D10DE" w:rsidP="00000CE8"/>
    <w:p w:rsidR="008D10DE" w:rsidRPr="00343132" w:rsidRDefault="008D10DE" w:rsidP="00000CE8">
      <w:r w:rsidRPr="00343132">
        <w:t>EGSO smatra da odluka o uvrštavanju neke zemlje na zajednički popis mora biti obrazložena i opravdana te se temeljiti na posebnim, konkretnim i preciznim kriterijima. U tom smislu EGSO preporučuje da se u članku 2. Uredbe izričito navedu kriteriji koje treba ocijeniti pri uvrštavanju zemlje na popis sigurnih zemalja porijekla, i to na temelju ažuriranih informacija od Europskog suda za ljudska prava, UNHCR-a, Europskog potpornog ureda za azil (EASO-a), Vijeća Europe i organizacija za ljudska prava.</w:t>
      </w:r>
    </w:p>
    <w:p w:rsidR="008D10DE" w:rsidRPr="00343132" w:rsidRDefault="008D10DE" w:rsidP="00000CE8"/>
    <w:p w:rsidR="008D10DE" w:rsidRPr="00343132" w:rsidRDefault="008D10DE" w:rsidP="00000CE8">
      <w:r w:rsidRPr="00343132">
        <w:t>U pogledu izmjene zajedničkog popisa EGSO predlaže da se predvidi fleksibilni mehanizam za izmjenu kojim se u razumnom vremenskom roku može odgovoriti na promijenjene okolnosti u zemljama uvrštenim na taj popis. EGSO smatra da je važno obrazložiti i opravdati sve izmjene popisa, uz uzimanje u obzir stručnog mišljenja UNHCR-a, EASO-a, Vijeća Europe i organizacija za ljudska prava.</w:t>
      </w:r>
    </w:p>
    <w:p w:rsidR="008D10DE" w:rsidRPr="00343132" w:rsidRDefault="008D10DE" w:rsidP="00000CE8"/>
    <w:p w:rsidR="008D10DE" w:rsidRPr="00343132" w:rsidRDefault="008D10DE" w:rsidP="00000CE8">
      <w:r w:rsidRPr="00343132">
        <w:t>Osim toga, EGSO smatra da je potrebno uspostaviti mehanizam s pomoću kojeg će priznate organizacije na području zaštite ljudskih prava, kao i pučki pravobranitelji te gospodarska i socijalna vijeća moći pokrenuti postupak izmjene popisa.</w:t>
      </w:r>
    </w:p>
    <w:p w:rsidR="008D10DE" w:rsidRPr="00343132" w:rsidRDefault="008D10DE" w:rsidP="00000CE8"/>
    <w:p w:rsidR="008D10DE" w:rsidRPr="00343132" w:rsidRDefault="008D10DE" w:rsidP="00000CE8">
      <w:r w:rsidRPr="00343132">
        <w:t>EGSO smatra da se koncept sigurne zemlje porijekla nikako ne smije primjenjivati u slučajevima gdje se ne poštuje sloboda medija ili se narušava politički pluralizam, kao i u zemljama u kojima su osobe predmet progona zbog rodne pripadnosti i/ili spolne orijentacije odnosno zbog pripadnosti nacionalnim, etničkim, kulturnim ili vjerskim manjinama.</w:t>
      </w:r>
    </w:p>
    <w:p w:rsidR="008D10DE" w:rsidRPr="00343132" w:rsidRDefault="008D10DE" w:rsidP="00000CE8"/>
    <w:p w:rsidR="008D10DE" w:rsidRPr="00343132" w:rsidRDefault="008D10DE" w:rsidP="00000CE8">
      <w:pPr>
        <w:rPr>
          <w:i/>
        </w:rPr>
      </w:pPr>
      <w:r w:rsidRPr="00343132">
        <w:rPr>
          <w:b/>
          <w:i/>
        </w:rPr>
        <w:t>Kontakt:</w:t>
      </w:r>
      <w:r w:rsidRPr="00343132">
        <w:tab/>
      </w:r>
      <w:r w:rsidRPr="00343132">
        <w:rPr>
          <w:i/>
        </w:rPr>
        <w:t>Cédric Cabanne</w:t>
      </w:r>
    </w:p>
    <w:p w:rsidR="00CE653A" w:rsidRPr="00343132" w:rsidRDefault="00242890" w:rsidP="00000CE8">
      <w:pPr>
        <w:rPr>
          <w:i/>
          <w:color w:val="0000FF"/>
          <w:u w:val="single"/>
        </w:rPr>
      </w:pPr>
      <w:r w:rsidRPr="00343132">
        <w:tab/>
      </w:r>
      <w:r w:rsidRPr="00343132">
        <w:tab/>
      </w:r>
      <w:r w:rsidRPr="00343132">
        <w:rPr>
          <w:i/>
        </w:rPr>
        <w:t xml:space="preserve">(Tel.: 00 32 2 546 93 55 – e-mail: </w:t>
      </w:r>
      <w:hyperlink r:id="rId28">
        <w:r w:rsidRPr="00343132">
          <w:rPr>
            <w:rStyle w:val="Hyperlink"/>
            <w:i/>
          </w:rPr>
          <w:t>Cedric.Cabanne@eesc.europa.eu</w:t>
        </w:r>
      </w:hyperlink>
      <w:r w:rsidRPr="00343132">
        <w:rPr>
          <w:i/>
          <w:color w:val="0000FF"/>
          <w:u w:val="single"/>
        </w:rPr>
        <w:t>)</w:t>
      </w:r>
    </w:p>
    <w:p w:rsidR="00C87EFC" w:rsidRPr="00343132" w:rsidRDefault="00C87EFC" w:rsidP="00000CE8">
      <w:pPr>
        <w:rPr>
          <w:b/>
          <w:i/>
          <w:sz w:val="28"/>
        </w:rPr>
      </w:pPr>
      <w:r w:rsidRPr="00343132">
        <w:br w:type="page"/>
      </w:r>
    </w:p>
    <w:p w:rsidR="00900EA0" w:rsidRPr="00343132" w:rsidRDefault="00900EA0" w:rsidP="00000CE8">
      <w:pPr>
        <w:keepNext/>
        <w:keepLines/>
        <w:numPr>
          <w:ilvl w:val="0"/>
          <w:numId w:val="2"/>
        </w:numPr>
        <w:ind w:hanging="720"/>
        <w:jc w:val="left"/>
        <w:outlineLvl w:val="0"/>
        <w:rPr>
          <w:b/>
          <w:sz w:val="28"/>
        </w:rPr>
      </w:pPr>
      <w:bookmarkStart w:id="3" w:name="_Toc437942483"/>
      <w:bookmarkStart w:id="4" w:name="_Toc439931964"/>
      <w:r w:rsidRPr="00343132">
        <w:rPr>
          <w:b/>
          <w:color w:val="000000" w:themeColor="text1"/>
          <w:sz w:val="28"/>
        </w:rPr>
        <w:lastRenderedPageBreak/>
        <w:t>GOSPODARSKO UPRAVLJANJE / FINANCIJSKI INSTRUMENTI / OPOREZIVANJE</w:t>
      </w:r>
      <w:bookmarkEnd w:id="3"/>
      <w:bookmarkEnd w:id="4"/>
    </w:p>
    <w:p w:rsidR="00A36A65" w:rsidRPr="00343132" w:rsidRDefault="00A36A65" w:rsidP="00BD4EB5">
      <w:pPr>
        <w:widowControl w:val="0"/>
        <w:ind w:left="-567"/>
        <w:rPr>
          <w:i/>
          <w:u w:val="single"/>
        </w:rPr>
      </w:pPr>
    </w:p>
    <w:p w:rsidR="00A36A65" w:rsidRPr="00343132" w:rsidRDefault="00A36A65" w:rsidP="00000CE8">
      <w:pPr>
        <w:widowControl w:val="0"/>
        <w:numPr>
          <w:ilvl w:val="0"/>
          <w:numId w:val="52"/>
        </w:numPr>
        <w:ind w:left="360"/>
        <w:rPr>
          <w:i/>
          <w:sz w:val="28"/>
        </w:rPr>
      </w:pPr>
      <w:r w:rsidRPr="00343132">
        <w:rPr>
          <w:b/>
          <w:i/>
          <w:sz w:val="28"/>
        </w:rPr>
        <w:t>Akcijski program za poštenije oporezivanje poduzeća</w:t>
      </w:r>
    </w:p>
    <w:p w:rsidR="00A36A65" w:rsidRPr="00343132" w:rsidRDefault="00A36A65" w:rsidP="00000CE8">
      <w:pPr>
        <w:tabs>
          <w:tab w:val="center" w:pos="284"/>
        </w:tabs>
        <w:ind w:left="266" w:hanging="266"/>
        <w:rPr>
          <w:b/>
        </w:rPr>
      </w:pPr>
    </w:p>
    <w:p w:rsidR="00A36A65" w:rsidRPr="00343132" w:rsidRDefault="00A36A65" w:rsidP="00BB3B72">
      <w:pPr>
        <w:ind w:left="2268" w:hanging="2268"/>
      </w:pPr>
      <w:r w:rsidRPr="00343132">
        <w:rPr>
          <w:b/>
        </w:rPr>
        <w:t>Izvjestitelj:</w:t>
      </w:r>
      <w:r w:rsidRPr="00343132">
        <w:tab/>
        <w:t xml:space="preserve">Petru </w:t>
      </w:r>
      <w:proofErr w:type="spellStart"/>
      <w:r w:rsidRPr="00343132">
        <w:t>Sorin</w:t>
      </w:r>
      <w:proofErr w:type="spellEnd"/>
      <w:r w:rsidRPr="00343132">
        <w:t xml:space="preserve"> DANDEA (Skupina radnika – RO)</w:t>
      </w:r>
    </w:p>
    <w:p w:rsidR="00A36A65" w:rsidRPr="00343132" w:rsidRDefault="00A36A65" w:rsidP="00BB3B72">
      <w:pPr>
        <w:ind w:left="2268" w:hanging="2268"/>
        <w:rPr>
          <w:b/>
        </w:rPr>
      </w:pPr>
    </w:p>
    <w:p w:rsidR="00A36A65" w:rsidRPr="00343132" w:rsidRDefault="00A36A65" w:rsidP="00BB3B72">
      <w:pPr>
        <w:ind w:left="2268" w:hanging="2268"/>
      </w:pPr>
      <w:r w:rsidRPr="00343132">
        <w:rPr>
          <w:b/>
        </w:rPr>
        <w:t>Suizvjestitelj:</w:t>
      </w:r>
      <w:r w:rsidRPr="00343132">
        <w:tab/>
        <w:t>Paulo BARROS VALE (Skupina poslodavaca – PT)</w:t>
      </w:r>
    </w:p>
    <w:p w:rsidR="00A36A65" w:rsidRPr="00343132" w:rsidRDefault="00A36A65" w:rsidP="00BB3B72">
      <w:pPr>
        <w:ind w:left="2268" w:hanging="2268"/>
      </w:pPr>
    </w:p>
    <w:p w:rsidR="00A36A65" w:rsidRPr="00343132" w:rsidRDefault="00A36A65" w:rsidP="00BB3B72">
      <w:pPr>
        <w:tabs>
          <w:tab w:val="left" w:pos="4536"/>
        </w:tabs>
        <w:ind w:left="2268" w:hanging="2268"/>
      </w:pPr>
      <w:r w:rsidRPr="00343132">
        <w:rPr>
          <w:b/>
        </w:rPr>
        <w:t>Referentni dokument:</w:t>
      </w:r>
      <w:r w:rsidR="00BB3B72" w:rsidRPr="00343132">
        <w:tab/>
      </w:r>
      <w:r w:rsidRPr="00343132">
        <w:t xml:space="preserve">COM(2015) 302 </w:t>
      </w:r>
      <w:proofErr w:type="spellStart"/>
      <w:r w:rsidRPr="00343132">
        <w:t>final</w:t>
      </w:r>
      <w:proofErr w:type="spellEnd"/>
      <w:r w:rsidRPr="00343132">
        <w:tab/>
        <w:t>EESC-2015-02961-00-</w:t>
      </w:r>
      <w:proofErr w:type="spellStart"/>
      <w:r w:rsidRPr="00343132">
        <w:t>00</w:t>
      </w:r>
      <w:proofErr w:type="spellEnd"/>
      <w:r w:rsidRPr="00343132">
        <w:t>-AC</w:t>
      </w:r>
    </w:p>
    <w:p w:rsidR="00A36A65" w:rsidRPr="00343132" w:rsidRDefault="00A36A65" w:rsidP="00000CE8">
      <w:pPr>
        <w:tabs>
          <w:tab w:val="center" w:pos="284"/>
        </w:tabs>
        <w:ind w:left="266" w:hanging="266"/>
      </w:pPr>
    </w:p>
    <w:p w:rsidR="00A36A65" w:rsidRPr="00343132" w:rsidRDefault="00A36A65" w:rsidP="00BD4EB5">
      <w:pPr>
        <w:keepNext/>
        <w:tabs>
          <w:tab w:val="center" w:pos="284"/>
        </w:tabs>
        <w:ind w:left="266" w:hanging="266"/>
        <w:rPr>
          <w:b/>
        </w:rPr>
      </w:pPr>
      <w:r w:rsidRPr="00343132">
        <w:rPr>
          <w:b/>
        </w:rPr>
        <w:t>Ključne točke:</w:t>
      </w:r>
    </w:p>
    <w:p w:rsidR="00BD2639" w:rsidRPr="00343132" w:rsidRDefault="00BD2639" w:rsidP="00BD4EB5">
      <w:pPr>
        <w:keepNext/>
      </w:pPr>
    </w:p>
    <w:p w:rsidR="00A36A65" w:rsidRPr="00343132" w:rsidRDefault="00A36A65" w:rsidP="00000CE8">
      <w:r w:rsidRPr="00343132">
        <w:t>EGSO:</w:t>
      </w:r>
    </w:p>
    <w:p w:rsidR="00A36A65" w:rsidRPr="00343132" w:rsidRDefault="00A36A65" w:rsidP="00000CE8">
      <w:pPr>
        <w:numPr>
          <w:ilvl w:val="0"/>
          <w:numId w:val="4"/>
        </w:numPr>
        <w:ind w:left="1089"/>
      </w:pPr>
      <w:r w:rsidRPr="00343132">
        <w:t>pozdravlja predstavljanje ovog akcijskog programa i izražava svoju podršku Komisiji u njezinoj borbi protiv erozije poreznih osnovica država članica i nepoštenog tržišnog natjecanja;</w:t>
      </w:r>
    </w:p>
    <w:p w:rsidR="00A36A65" w:rsidRPr="00343132" w:rsidRDefault="00A36A65" w:rsidP="00000CE8">
      <w:pPr>
        <w:numPr>
          <w:ilvl w:val="0"/>
          <w:numId w:val="4"/>
        </w:numPr>
        <w:ind w:left="1089"/>
      </w:pPr>
      <w:r w:rsidRPr="00343132">
        <w:t>podupire uvođenje zajedničke konsolidirane osnovice poreza na dobit (CCCTB) koja bi bila obavezna za transnacionalna poduzeća;</w:t>
      </w:r>
    </w:p>
    <w:p w:rsidR="00A36A65" w:rsidRPr="00343132" w:rsidRDefault="00A36A65" w:rsidP="00000CE8">
      <w:pPr>
        <w:numPr>
          <w:ilvl w:val="0"/>
          <w:numId w:val="4"/>
        </w:numPr>
        <w:ind w:left="1089"/>
      </w:pPr>
      <w:r w:rsidRPr="00343132">
        <w:t>se zalaže za proširenje zajedničke konsolidirane osnovice poreza na dobit na sva poduzeća u budućnosti kako bi se izbjeglo postojanje dvaju različitih poreznih sustava;</w:t>
      </w:r>
    </w:p>
    <w:p w:rsidR="00A36A65" w:rsidRPr="00343132" w:rsidRDefault="00A36A65" w:rsidP="00000CE8">
      <w:pPr>
        <w:numPr>
          <w:ilvl w:val="0"/>
          <w:numId w:val="4"/>
        </w:numPr>
        <w:ind w:left="1089"/>
      </w:pPr>
      <w:r w:rsidRPr="00343132">
        <w:t>preporučuje Komisiji da pripazi na jasnoću definicija i pojmova kojima će se odrediti zajednička porezna osnovica;</w:t>
      </w:r>
    </w:p>
    <w:p w:rsidR="00A36A65" w:rsidRPr="00343132" w:rsidRDefault="00A36A65" w:rsidP="00BD4EB5">
      <w:pPr>
        <w:numPr>
          <w:ilvl w:val="0"/>
          <w:numId w:val="4"/>
        </w:numPr>
        <w:ind w:left="1089"/>
      </w:pPr>
      <w:r w:rsidRPr="00343132">
        <w:t>izražava zadovoljstvo time što je Komisija objavila popis nekooperativnih poreznih vlasti;</w:t>
      </w:r>
    </w:p>
    <w:p w:rsidR="00A36A65" w:rsidRPr="00343132" w:rsidRDefault="00A36A65" w:rsidP="00000CE8">
      <w:pPr>
        <w:numPr>
          <w:ilvl w:val="0"/>
          <w:numId w:val="4"/>
        </w:numPr>
        <w:ind w:left="1089"/>
      </w:pPr>
      <w:r w:rsidRPr="00343132">
        <w:t>traži da se u zakonodavstvu EU-a predvide kazne za poduzeća koja će svojim poslovanjem i dalje upravljati iz poreznih oaza;</w:t>
      </w:r>
    </w:p>
    <w:p w:rsidR="00A36A65" w:rsidRPr="00343132" w:rsidRDefault="00A36A65" w:rsidP="00000CE8">
      <w:pPr>
        <w:numPr>
          <w:ilvl w:val="0"/>
          <w:numId w:val="4"/>
        </w:numPr>
        <w:ind w:left="1089"/>
      </w:pPr>
      <w:r w:rsidRPr="00343132">
        <w:t>preporučuje da nakon usvajanja direktive o zajedničkoj konsolidiranoj osnovici poreza na dobit i uvođenja mehanizma konsolidacije, Komisija napravi analizu učinka novih propisa. Ako analiza pokaže da se premještanje dobiti u države članice s nižim poreznim stopama nije smanjilo, EGSO predlaže usvajanje novih odgovarajućih mjera.</w:t>
      </w:r>
    </w:p>
    <w:p w:rsidR="00A36A65" w:rsidRPr="00343132" w:rsidRDefault="00A36A65" w:rsidP="00000CE8"/>
    <w:p w:rsidR="00A36A65" w:rsidRPr="00343132" w:rsidRDefault="00A36A65" w:rsidP="00000CE8">
      <w:pPr>
        <w:rPr>
          <w:i/>
        </w:rPr>
      </w:pPr>
      <w:r w:rsidRPr="00343132">
        <w:rPr>
          <w:b/>
          <w:i/>
        </w:rPr>
        <w:t>Kontakt:</w:t>
      </w:r>
      <w:r w:rsidRPr="00343132">
        <w:tab/>
      </w:r>
      <w:r w:rsidRPr="00343132">
        <w:rPr>
          <w:i/>
        </w:rPr>
        <w:t>Gerald Klec</w:t>
      </w:r>
    </w:p>
    <w:p w:rsidR="00A36A65" w:rsidRPr="00343132" w:rsidRDefault="003E693F" w:rsidP="00000CE8">
      <w:pPr>
        <w:rPr>
          <w:i/>
        </w:rPr>
      </w:pPr>
      <w:r w:rsidRPr="00343132">
        <w:tab/>
      </w:r>
      <w:r w:rsidRPr="00343132">
        <w:tab/>
      </w:r>
      <w:r w:rsidRPr="00343132">
        <w:rPr>
          <w:i/>
        </w:rPr>
        <w:t>(</w:t>
      </w:r>
      <w:proofErr w:type="spellStart"/>
      <w:r w:rsidRPr="00343132">
        <w:rPr>
          <w:i/>
        </w:rPr>
        <w:t>Tel</w:t>
      </w:r>
      <w:proofErr w:type="spellEnd"/>
      <w:r w:rsidRPr="00343132">
        <w:rPr>
          <w:i/>
        </w:rPr>
        <w:t xml:space="preserve">: 00 32 2 546 99 09 – e-mail: </w:t>
      </w:r>
      <w:hyperlink r:id="rId29">
        <w:r w:rsidRPr="00343132">
          <w:rPr>
            <w:rStyle w:val="Hyperlink"/>
            <w:i/>
          </w:rPr>
          <w:t>gerald.klec@eesc.europa.eu</w:t>
        </w:r>
      </w:hyperlink>
      <w:r w:rsidRPr="00343132">
        <w:rPr>
          <w:i/>
        </w:rPr>
        <w:t>)</w:t>
      </w:r>
    </w:p>
    <w:p w:rsidR="00A36A65" w:rsidRPr="00343132" w:rsidRDefault="00A36A65" w:rsidP="00000CE8">
      <w:pPr>
        <w:jc w:val="center"/>
      </w:pPr>
    </w:p>
    <w:p w:rsidR="00A36A65" w:rsidRPr="00343132" w:rsidRDefault="00A36A65" w:rsidP="00000CE8">
      <w:pPr>
        <w:spacing w:line="240" w:lineRule="auto"/>
        <w:jc w:val="left"/>
        <w:rPr>
          <w:b/>
          <w:color w:val="000000" w:themeColor="text1"/>
          <w:sz w:val="28"/>
        </w:rPr>
      </w:pPr>
      <w:r w:rsidRPr="00343132">
        <w:br w:type="page"/>
      </w:r>
    </w:p>
    <w:p w:rsidR="00A36A65" w:rsidRPr="00343132" w:rsidRDefault="00900EA0" w:rsidP="00000CE8">
      <w:pPr>
        <w:keepNext/>
        <w:keepLines/>
        <w:numPr>
          <w:ilvl w:val="0"/>
          <w:numId w:val="2"/>
        </w:numPr>
        <w:ind w:hanging="720"/>
        <w:jc w:val="left"/>
        <w:outlineLvl w:val="0"/>
        <w:rPr>
          <w:b/>
          <w:sz w:val="28"/>
        </w:rPr>
      </w:pPr>
      <w:bookmarkStart w:id="5" w:name="_Toc437942484"/>
      <w:bookmarkStart w:id="6" w:name="_Toc439931965"/>
      <w:r w:rsidRPr="00343132">
        <w:rPr>
          <w:b/>
          <w:sz w:val="28"/>
        </w:rPr>
        <w:lastRenderedPageBreak/>
        <w:t>ZAŠTITA OKOLIŠA / POLJOPRIVREDA I RIBARSTVO</w:t>
      </w:r>
      <w:bookmarkEnd w:id="5"/>
      <w:bookmarkEnd w:id="6"/>
    </w:p>
    <w:p w:rsidR="00BD2639" w:rsidRPr="00343132" w:rsidRDefault="00BD2639" w:rsidP="00BB3B72">
      <w:pPr>
        <w:rPr>
          <w:b/>
          <w:i/>
          <w:highlight w:val="yellow"/>
        </w:rPr>
      </w:pPr>
    </w:p>
    <w:p w:rsidR="00A36A65" w:rsidRPr="00343132" w:rsidRDefault="00A71A8D" w:rsidP="00BD4EB5">
      <w:pPr>
        <w:widowControl w:val="0"/>
        <w:numPr>
          <w:ilvl w:val="0"/>
          <w:numId w:val="45"/>
        </w:numPr>
        <w:spacing w:line="240" w:lineRule="auto"/>
        <w:ind w:left="283"/>
        <w:jc w:val="left"/>
        <w:rPr>
          <w:b/>
          <w:i/>
          <w:spacing w:val="-2"/>
          <w:sz w:val="28"/>
        </w:rPr>
      </w:pPr>
      <w:r w:rsidRPr="00343132">
        <w:rPr>
          <w:b/>
          <w:i/>
          <w:spacing w:val="-2"/>
          <w:sz w:val="28"/>
        </w:rPr>
        <w:t>Pojednostavnjenje ZPP-a (</w:t>
      </w:r>
      <w:proofErr w:type="spellStart"/>
      <w:r w:rsidRPr="00343132">
        <w:rPr>
          <w:b/>
          <w:i/>
          <w:spacing w:val="-2"/>
          <w:sz w:val="28"/>
        </w:rPr>
        <w:t>razmatračko</w:t>
      </w:r>
      <w:proofErr w:type="spellEnd"/>
      <w:r w:rsidRPr="00343132">
        <w:rPr>
          <w:b/>
          <w:i/>
          <w:spacing w:val="-2"/>
          <w:sz w:val="28"/>
        </w:rPr>
        <w:t xml:space="preserve"> mišljenje)</w:t>
      </w:r>
    </w:p>
    <w:p w:rsidR="00A36A65" w:rsidRPr="00343132" w:rsidRDefault="00A36A65" w:rsidP="00000CE8">
      <w:pPr>
        <w:widowControl w:val="0"/>
        <w:suppressAutoHyphens/>
        <w:spacing w:line="240" w:lineRule="auto"/>
      </w:pPr>
    </w:p>
    <w:p w:rsidR="00A36A65" w:rsidRPr="00343132" w:rsidRDefault="00A36A65" w:rsidP="00BB3B72">
      <w:pPr>
        <w:ind w:left="2268" w:hanging="2268"/>
        <w:rPr>
          <w:i/>
        </w:rPr>
      </w:pPr>
      <w:r w:rsidRPr="00343132">
        <w:rPr>
          <w:b/>
        </w:rPr>
        <w:t>Izvjestitelj:</w:t>
      </w:r>
      <w:r w:rsidRPr="00343132">
        <w:tab/>
      </w:r>
      <w:proofErr w:type="spellStart"/>
      <w:r w:rsidRPr="00343132">
        <w:t>Seamus</w:t>
      </w:r>
      <w:proofErr w:type="spellEnd"/>
      <w:r w:rsidRPr="00343132">
        <w:t xml:space="preserve"> BOLAND (Skupina raznih interesa – IE)</w:t>
      </w:r>
    </w:p>
    <w:p w:rsidR="00A36A65" w:rsidRPr="00343132" w:rsidRDefault="00A36A65" w:rsidP="00BB3B72">
      <w:pPr>
        <w:ind w:left="2268" w:hanging="2268"/>
        <w:rPr>
          <w:i/>
        </w:rPr>
      </w:pPr>
    </w:p>
    <w:p w:rsidR="00A36A65" w:rsidRPr="00343132" w:rsidRDefault="00A36A65" w:rsidP="00BB3B72">
      <w:pPr>
        <w:widowControl w:val="0"/>
        <w:spacing w:line="240" w:lineRule="auto"/>
        <w:ind w:left="2268" w:hanging="2268"/>
      </w:pPr>
      <w:r w:rsidRPr="00343132">
        <w:rPr>
          <w:b/>
        </w:rPr>
        <w:t>Referentni dokumenti:</w:t>
      </w:r>
      <w:r w:rsidRPr="00343132">
        <w:tab/>
        <w:t>EESC-2015-04293-00-</w:t>
      </w:r>
      <w:proofErr w:type="spellStart"/>
      <w:r w:rsidRPr="00343132">
        <w:t>00</w:t>
      </w:r>
      <w:proofErr w:type="spellEnd"/>
      <w:r w:rsidRPr="00343132">
        <w:t>-AC</w:t>
      </w:r>
    </w:p>
    <w:p w:rsidR="00A36A65" w:rsidRPr="00343132" w:rsidRDefault="00A36A65" w:rsidP="00000CE8">
      <w:pPr>
        <w:spacing w:line="240" w:lineRule="auto"/>
        <w:jc w:val="left"/>
      </w:pPr>
    </w:p>
    <w:p w:rsidR="00A36A65" w:rsidRPr="00343132" w:rsidRDefault="00A36A65" w:rsidP="00BD4EB5">
      <w:pPr>
        <w:keepNext/>
        <w:rPr>
          <w:b/>
        </w:rPr>
      </w:pPr>
      <w:r w:rsidRPr="00343132">
        <w:rPr>
          <w:b/>
        </w:rPr>
        <w:t>Ključne točke:</w:t>
      </w:r>
    </w:p>
    <w:p w:rsidR="00BD2639" w:rsidRPr="00343132" w:rsidRDefault="00BD2639" w:rsidP="00BD4EB5">
      <w:pPr>
        <w:keepNext/>
      </w:pPr>
    </w:p>
    <w:p w:rsidR="00A36A65" w:rsidRPr="00343132" w:rsidRDefault="00A36A65" w:rsidP="00000CE8">
      <w:r w:rsidRPr="00343132">
        <w:t>EGSO uvažava činjenicu da je Europska komisija kao prioritet postavila temeljito pojednostavnjenje provedbe zajedničke poljoprivredne politike (ZPP) te da je već predložila, i nastavit će predlagati, pojednostavnjenje određenih akata Komisije, čime bi razumijevanje i praktična provedba zakonodavstva EU-a postali jednostavniji.</w:t>
      </w:r>
    </w:p>
    <w:p w:rsidR="00A36A65" w:rsidRPr="00343132" w:rsidRDefault="00A36A65" w:rsidP="00000CE8"/>
    <w:p w:rsidR="00A36A65" w:rsidRPr="00343132" w:rsidRDefault="00A36A65" w:rsidP="00000CE8">
      <w:r w:rsidRPr="00343132">
        <w:t>EGSO smatra da su neophodan dio pojednostavnjenja povećana transparentnost i pravna sigurnost, kao i smanjenje nepotrebne administracije i povezanih troškova za poljoprivrednike, ostale korisnike, organizacije proizvođača i nacionalne uprave.</w:t>
      </w:r>
    </w:p>
    <w:p w:rsidR="00A36A65" w:rsidRPr="00343132" w:rsidRDefault="00A36A65" w:rsidP="00BB3B72">
      <w:pPr>
        <w:spacing w:line="20" w:lineRule="atLeast"/>
      </w:pPr>
    </w:p>
    <w:p w:rsidR="00A36A65" w:rsidRPr="00343132" w:rsidRDefault="00A36A65" w:rsidP="00BD4EB5">
      <w:pPr>
        <w:spacing w:line="240" w:lineRule="auto"/>
        <w:rPr>
          <w:szCs w:val="20"/>
        </w:rPr>
      </w:pPr>
      <w:r w:rsidRPr="00343132">
        <w:t xml:space="preserve">Inspekcije i moguće kazne moraju biti razmjerne iznosu novca koji je korisnik primio, razlozima neispunjavanja zahtjeva i spremnosti da se poduzmu korektivne mjere. Očiti slučajevi namjerne prijevare moraju se rješavati u okviru uobičajenih postupaka. EGSO preporučuje smanjenje </w:t>
      </w:r>
      <w:proofErr w:type="spellStart"/>
      <w:r w:rsidRPr="00343132">
        <w:t>nesrazmjera</w:t>
      </w:r>
      <w:proofErr w:type="spellEnd"/>
      <w:r w:rsidRPr="00343132">
        <w:t xml:space="preserve"> u vidu velikog smanjenja potpora čak i za lakše prekršaje.</w:t>
      </w:r>
    </w:p>
    <w:p w:rsidR="00A36A65" w:rsidRPr="00343132" w:rsidRDefault="00A36A65" w:rsidP="00BB3B72">
      <w:pPr>
        <w:spacing w:line="20" w:lineRule="atLeast"/>
      </w:pPr>
    </w:p>
    <w:p w:rsidR="00A36A65" w:rsidRPr="00343132" w:rsidRDefault="00A36A65" w:rsidP="00000CE8">
      <w:r w:rsidRPr="00343132">
        <w:t xml:space="preserve">Pri primjeni mjera </w:t>
      </w:r>
      <w:proofErr w:type="spellStart"/>
      <w:r w:rsidRPr="00343132">
        <w:t>ekologizacije</w:t>
      </w:r>
      <w:proofErr w:type="spellEnd"/>
      <w:r w:rsidRPr="00343132">
        <w:t xml:space="preserve"> moraju se uzeti u obzir neočekivani čimbenici poput vremenskih uvjeta, suše ili drugih sličnih događaja koji onemogućuju provedbu tih mjera.</w:t>
      </w:r>
    </w:p>
    <w:p w:rsidR="00A36A65" w:rsidRPr="00343132" w:rsidRDefault="00A36A65" w:rsidP="00BB3B72">
      <w:pPr>
        <w:spacing w:line="20" w:lineRule="atLeast"/>
      </w:pPr>
    </w:p>
    <w:p w:rsidR="00A36A65" w:rsidRPr="00343132" w:rsidRDefault="00A36A65" w:rsidP="00000CE8">
      <w:r w:rsidRPr="00343132">
        <w:t>U slučaju kad su pitanja poput trajnih travnjaka predmet odluka Suda Europske unije, važno je da se pravila utvrđena radi poštovanja presude osmisle na način da se broj propisa smanji, a ne poveća.</w:t>
      </w:r>
    </w:p>
    <w:p w:rsidR="00A36A65" w:rsidRPr="00343132" w:rsidRDefault="00A36A65" w:rsidP="00BB3B72">
      <w:pPr>
        <w:spacing w:line="20" w:lineRule="atLeast"/>
      </w:pPr>
    </w:p>
    <w:p w:rsidR="00A36A65" w:rsidRPr="00343132" w:rsidRDefault="00A36A65" w:rsidP="00000CE8">
      <w:r w:rsidRPr="00343132">
        <w:t>Privremeni travnjak trebao bi zadržati status obradivog zemljišta neovisno o tome koliko dugo se koristi kao travnjak.</w:t>
      </w:r>
    </w:p>
    <w:p w:rsidR="00A36A65" w:rsidRPr="00343132" w:rsidRDefault="00A36A65" w:rsidP="00BB3B72">
      <w:pPr>
        <w:spacing w:line="20" w:lineRule="atLeast"/>
      </w:pPr>
    </w:p>
    <w:p w:rsidR="00A36A65" w:rsidRPr="00343132" w:rsidRDefault="00A36A65" w:rsidP="00000CE8">
      <w:r w:rsidRPr="00343132">
        <w:t>Postojećom definicijom „aktivnog poljoprivrednika“ ne smije se poljoprivrednike dovoditi u nepovoljan položaj te se definicija treba temeljiti na činjenici da poljoprivrednik zemljište koje zadovoljava uvjete za potpore iskorištava u poljoprivredne svrhe.</w:t>
      </w:r>
    </w:p>
    <w:p w:rsidR="0023002B" w:rsidRPr="00343132" w:rsidRDefault="0023002B" w:rsidP="00BB3B72">
      <w:pPr>
        <w:spacing w:line="20" w:lineRule="atLeast"/>
      </w:pPr>
    </w:p>
    <w:p w:rsidR="0023002B" w:rsidRPr="00343132" w:rsidRDefault="0023002B" w:rsidP="00000CE8">
      <w:pPr>
        <w:spacing w:line="240" w:lineRule="auto"/>
      </w:pPr>
      <w:r w:rsidRPr="00343132">
        <w:t>Treba odmah razmotriti i uvesti mjere za olakšavanje pristupa mladih poljoprivrednika Programu za mlade poljoprivrednike (</w:t>
      </w:r>
      <w:proofErr w:type="spellStart"/>
      <w:r w:rsidRPr="00343132">
        <w:t>eng</w:t>
      </w:r>
      <w:proofErr w:type="spellEnd"/>
      <w:r w:rsidRPr="00343132">
        <w:t xml:space="preserve">. </w:t>
      </w:r>
      <w:proofErr w:type="spellStart"/>
      <w:r w:rsidRPr="00343132">
        <w:t>Young</w:t>
      </w:r>
      <w:proofErr w:type="spellEnd"/>
      <w:r w:rsidRPr="00343132">
        <w:t xml:space="preserve"> </w:t>
      </w:r>
      <w:proofErr w:type="spellStart"/>
      <w:r w:rsidRPr="00343132">
        <w:t>Farmers</w:t>
      </w:r>
      <w:proofErr w:type="spellEnd"/>
      <w:r w:rsidRPr="00343132">
        <w:t xml:space="preserve"> </w:t>
      </w:r>
      <w:proofErr w:type="spellStart"/>
      <w:r w:rsidRPr="00343132">
        <w:t>Scheme</w:t>
      </w:r>
      <w:proofErr w:type="spellEnd"/>
      <w:r w:rsidRPr="00343132">
        <w:t>). Treba podupirati pristup mladih poljoprivredi.</w:t>
      </w:r>
    </w:p>
    <w:p w:rsidR="00A36A65" w:rsidRPr="00343132" w:rsidRDefault="00A36A65" w:rsidP="00BB3B72">
      <w:pPr>
        <w:spacing w:line="20" w:lineRule="atLeast"/>
      </w:pPr>
    </w:p>
    <w:p w:rsidR="00A36A65" w:rsidRPr="00343132" w:rsidRDefault="00A36A65" w:rsidP="00000CE8">
      <w:r w:rsidRPr="00343132">
        <w:t>EGSO preporučuje da se utvrdi pravilo za ograničenje povećane birokracije. Primjerice, usvajanje pravila kojim bi se omogućilo ukidanje postojeće uredbe pri predlaganju nove.</w:t>
      </w:r>
    </w:p>
    <w:p w:rsidR="00A36A65" w:rsidRPr="00343132" w:rsidRDefault="00A36A65" w:rsidP="00BB3B72">
      <w:pPr>
        <w:spacing w:line="20" w:lineRule="atLeast"/>
      </w:pPr>
    </w:p>
    <w:p w:rsidR="00A36A65" w:rsidRPr="00343132" w:rsidRDefault="00A36A65" w:rsidP="00000CE8">
      <w:pPr>
        <w:rPr>
          <w:i/>
        </w:rPr>
      </w:pPr>
      <w:r w:rsidRPr="00343132">
        <w:rPr>
          <w:b/>
          <w:i/>
        </w:rPr>
        <w:t>Kontakt:</w:t>
      </w:r>
      <w:r w:rsidRPr="00343132">
        <w:tab/>
      </w:r>
      <w:proofErr w:type="spellStart"/>
      <w:r w:rsidRPr="00343132">
        <w:rPr>
          <w:i/>
        </w:rPr>
        <w:t>Laurila</w:t>
      </w:r>
      <w:proofErr w:type="spellEnd"/>
      <w:r w:rsidRPr="00343132">
        <w:rPr>
          <w:i/>
        </w:rPr>
        <w:t xml:space="preserve"> </w:t>
      </w:r>
      <w:proofErr w:type="spellStart"/>
      <w:r w:rsidRPr="00343132">
        <w:rPr>
          <w:i/>
        </w:rPr>
        <w:t>Maarit</w:t>
      </w:r>
      <w:proofErr w:type="spellEnd"/>
    </w:p>
    <w:p w:rsidR="00A36A65" w:rsidRPr="00343132" w:rsidRDefault="003E693F" w:rsidP="00000CE8">
      <w:pPr>
        <w:tabs>
          <w:tab w:val="left" w:pos="990"/>
        </w:tabs>
        <w:rPr>
          <w:i/>
        </w:rPr>
      </w:pPr>
      <w:r w:rsidRPr="00343132">
        <w:tab/>
      </w:r>
      <w:r w:rsidRPr="00343132">
        <w:tab/>
      </w:r>
      <w:r w:rsidRPr="00343132">
        <w:rPr>
          <w:i/>
        </w:rPr>
        <w:t xml:space="preserve">(Tel.: 00 32 2 546 97 39 – </w:t>
      </w:r>
      <w:proofErr w:type="spellStart"/>
      <w:r w:rsidRPr="00343132">
        <w:rPr>
          <w:i/>
        </w:rPr>
        <w:t>email</w:t>
      </w:r>
      <w:proofErr w:type="spellEnd"/>
      <w:r w:rsidRPr="00343132">
        <w:rPr>
          <w:i/>
        </w:rPr>
        <w:t xml:space="preserve">: </w:t>
      </w:r>
      <w:hyperlink r:id="rId30">
        <w:r w:rsidRPr="00343132">
          <w:rPr>
            <w:rStyle w:val="Hyperlink"/>
            <w:i/>
          </w:rPr>
          <w:t>maarit.laurila@eesc.europa.eu</w:t>
        </w:r>
      </w:hyperlink>
      <w:r w:rsidRPr="00343132">
        <w:rPr>
          <w:i/>
        </w:rPr>
        <w:t>)</w:t>
      </w:r>
    </w:p>
    <w:p w:rsidR="00CF5F66" w:rsidRPr="00343132" w:rsidRDefault="00A36A65" w:rsidP="00000CE8">
      <w:pPr>
        <w:ind w:left="-567"/>
        <w:rPr>
          <w:b/>
          <w:i/>
          <w:highlight w:val="yellow"/>
        </w:rPr>
      </w:pPr>
      <w:r w:rsidRPr="00343132">
        <w:br w:type="page"/>
      </w:r>
    </w:p>
    <w:p w:rsidR="00A36A65" w:rsidRPr="00343132" w:rsidRDefault="00681787" w:rsidP="00BD4EB5">
      <w:pPr>
        <w:widowControl w:val="0"/>
        <w:numPr>
          <w:ilvl w:val="0"/>
          <w:numId w:val="45"/>
        </w:numPr>
        <w:spacing w:line="240" w:lineRule="auto"/>
        <w:ind w:left="283"/>
        <w:jc w:val="left"/>
        <w:rPr>
          <w:b/>
          <w:i/>
          <w:spacing w:val="-2"/>
          <w:sz w:val="28"/>
        </w:rPr>
      </w:pPr>
      <w:r w:rsidRPr="00343132">
        <w:rPr>
          <w:b/>
          <w:i/>
          <w:spacing w:val="-2"/>
          <w:sz w:val="28"/>
        </w:rPr>
        <w:lastRenderedPageBreak/>
        <w:t>Revizija sustava trgovanja emisijama EU-a (ETS)</w:t>
      </w:r>
    </w:p>
    <w:p w:rsidR="00A36A65" w:rsidRPr="00343132" w:rsidRDefault="00A36A65" w:rsidP="00967AC4">
      <w:pPr>
        <w:widowControl w:val="0"/>
        <w:suppressAutoHyphens/>
        <w:spacing w:line="20" w:lineRule="atLeast"/>
        <w:rPr>
          <w:i/>
          <w:sz w:val="16"/>
        </w:rPr>
      </w:pPr>
    </w:p>
    <w:p w:rsidR="00A36A65" w:rsidRPr="00343132" w:rsidRDefault="00A36A65" w:rsidP="00BB3B72">
      <w:pPr>
        <w:ind w:left="2268" w:hanging="2268"/>
        <w:rPr>
          <w:i/>
        </w:rPr>
      </w:pPr>
      <w:r w:rsidRPr="00343132">
        <w:rPr>
          <w:b/>
        </w:rPr>
        <w:t>Izvjestitelj:</w:t>
      </w:r>
      <w:r w:rsidRPr="00343132">
        <w:tab/>
        <w:t>Antonello PEZZINI (Skupina poslodavaca – IT)</w:t>
      </w:r>
    </w:p>
    <w:p w:rsidR="00A36A65" w:rsidRPr="00343132" w:rsidRDefault="00A36A65" w:rsidP="00967AC4">
      <w:pPr>
        <w:spacing w:line="20" w:lineRule="atLeast"/>
        <w:ind w:left="2268" w:hanging="2268"/>
        <w:rPr>
          <w:i/>
          <w:sz w:val="18"/>
        </w:rPr>
      </w:pPr>
    </w:p>
    <w:p w:rsidR="00A36A65" w:rsidRPr="00343132" w:rsidRDefault="00A36A65" w:rsidP="00BB3B72">
      <w:pPr>
        <w:widowControl w:val="0"/>
        <w:tabs>
          <w:tab w:val="left" w:pos="4536"/>
        </w:tabs>
        <w:spacing w:line="240" w:lineRule="auto"/>
        <w:ind w:left="2268" w:hanging="2268"/>
      </w:pPr>
      <w:r w:rsidRPr="00343132">
        <w:rPr>
          <w:b/>
        </w:rPr>
        <w:t>Referentni dokumenti:</w:t>
      </w:r>
      <w:r w:rsidR="00BB3B72" w:rsidRPr="00343132">
        <w:tab/>
        <w:t xml:space="preserve">COM(2015) 337 </w:t>
      </w:r>
      <w:proofErr w:type="spellStart"/>
      <w:r w:rsidR="00BB3B72" w:rsidRPr="00343132">
        <w:t>final</w:t>
      </w:r>
      <w:proofErr w:type="spellEnd"/>
      <w:r w:rsidR="00BB3B72" w:rsidRPr="00343132">
        <w:tab/>
      </w:r>
      <w:r w:rsidRPr="00343132">
        <w:t>EESC-2015-04053-00-</w:t>
      </w:r>
      <w:proofErr w:type="spellStart"/>
      <w:r w:rsidRPr="00343132">
        <w:t>00</w:t>
      </w:r>
      <w:proofErr w:type="spellEnd"/>
      <w:r w:rsidRPr="00343132">
        <w:t>-AC</w:t>
      </w:r>
    </w:p>
    <w:p w:rsidR="00A36A65" w:rsidRPr="00343132" w:rsidRDefault="00A36A65" w:rsidP="00967AC4">
      <w:pPr>
        <w:spacing w:line="20" w:lineRule="atLeast"/>
        <w:jc w:val="left"/>
        <w:rPr>
          <w:sz w:val="18"/>
        </w:rPr>
      </w:pPr>
    </w:p>
    <w:p w:rsidR="00A36A65" w:rsidRPr="00343132" w:rsidRDefault="00A36A65" w:rsidP="00BD4EB5">
      <w:pPr>
        <w:keepNext/>
        <w:rPr>
          <w:b/>
        </w:rPr>
      </w:pPr>
      <w:r w:rsidRPr="00343132">
        <w:rPr>
          <w:b/>
        </w:rPr>
        <w:t>Ključne točke:</w:t>
      </w:r>
    </w:p>
    <w:p w:rsidR="00F051B3" w:rsidRPr="00343132" w:rsidRDefault="00F051B3" w:rsidP="00967AC4">
      <w:pPr>
        <w:keepNext/>
        <w:spacing w:line="20" w:lineRule="atLeast"/>
        <w:rPr>
          <w:sz w:val="18"/>
        </w:rPr>
      </w:pPr>
    </w:p>
    <w:p w:rsidR="00A36A65" w:rsidRPr="00343132" w:rsidRDefault="00A36A65" w:rsidP="00BD4EB5">
      <w:pPr>
        <w:keepNext/>
      </w:pPr>
      <w:r w:rsidRPr="00343132">
        <w:t xml:space="preserve">Odbor je uvjeren da je za Europu od ključne važnosti održiva </w:t>
      </w:r>
      <w:proofErr w:type="spellStart"/>
      <w:r w:rsidRPr="00343132">
        <w:t>reindustrijalizacija</w:t>
      </w:r>
      <w:proofErr w:type="spellEnd"/>
      <w:r w:rsidRPr="00343132">
        <w:t xml:space="preserve"> s konkurentnim rastom koji stvara nova i bolja radna mjesta, kao i pozicioniranje sustava EU ETS u tom kontekstu kao ključnog instrumenta politike EU-a za borbu protiv klimatskih promjena i proces </w:t>
      </w:r>
      <w:proofErr w:type="spellStart"/>
      <w:r w:rsidRPr="00343132">
        <w:t>dekarbonizacije</w:t>
      </w:r>
      <w:proofErr w:type="spellEnd"/>
      <w:r w:rsidRPr="00343132">
        <w:t xml:space="preserve"> svjetskog gospodarstva. EGSO smatra da tržište ugljika treba postati stabilnije, fleksibilnije i otvoreno za sve velike partnere na svjetskoj razini. Pored toga, potrebno je osigurati odgovarajuće prijelazne mehanizme za zaštitu konkurentnosti europske industrije i spriječiti rizike odlaska ulaganja i izloženosti europske industrije nelojalnoj konkurenciji iz zemalja gdje ne postoje klimatski propisi koji su usporedivi s europskim propisima.</w:t>
      </w:r>
    </w:p>
    <w:p w:rsidR="00A36A65" w:rsidRPr="00343132" w:rsidRDefault="00A36A65" w:rsidP="00967AC4">
      <w:pPr>
        <w:spacing w:line="20" w:lineRule="atLeast"/>
        <w:rPr>
          <w:sz w:val="18"/>
        </w:rPr>
      </w:pPr>
    </w:p>
    <w:p w:rsidR="00A36A65" w:rsidRPr="00343132" w:rsidRDefault="00A36A65" w:rsidP="00000CE8">
      <w:r w:rsidRPr="00343132">
        <w:t>EGSO preporučuje sljedeće točke značajne za reformu:</w:t>
      </w:r>
    </w:p>
    <w:p w:rsidR="00A36A65" w:rsidRPr="00343132" w:rsidRDefault="00A36A65" w:rsidP="00967AC4">
      <w:pPr>
        <w:spacing w:line="20" w:lineRule="atLeast"/>
        <w:rPr>
          <w:sz w:val="18"/>
        </w:rPr>
      </w:pPr>
    </w:p>
    <w:p w:rsidR="00A36A65" w:rsidRPr="00343132" w:rsidRDefault="00A36A65" w:rsidP="00000CE8">
      <w:pPr>
        <w:numPr>
          <w:ilvl w:val="0"/>
          <w:numId w:val="4"/>
        </w:numPr>
        <w:ind w:left="1089"/>
      </w:pPr>
      <w:r w:rsidRPr="00343132">
        <w:t>ukidanje međusektorskog korektivnog faktora za neizravne troškove;</w:t>
      </w:r>
    </w:p>
    <w:p w:rsidR="00A36A65" w:rsidRPr="00343132" w:rsidRDefault="00A36A65" w:rsidP="00000CE8">
      <w:pPr>
        <w:numPr>
          <w:ilvl w:val="0"/>
          <w:numId w:val="4"/>
        </w:numPr>
        <w:ind w:left="1089"/>
      </w:pPr>
      <w:r w:rsidRPr="00343132">
        <w:t>mehanizmi usklađeni na razini EU-a za naknadu neizravnih troškova u cijelom EU-u kako bi se izbjeglo narušavanje tržišnog natjecanja;</w:t>
      </w:r>
    </w:p>
    <w:p w:rsidR="00A36A65" w:rsidRPr="00343132" w:rsidRDefault="00A36A65" w:rsidP="00000CE8">
      <w:pPr>
        <w:numPr>
          <w:ilvl w:val="0"/>
          <w:numId w:val="4"/>
        </w:numPr>
        <w:ind w:left="1089"/>
      </w:pPr>
      <w:r w:rsidRPr="00343132">
        <w:t>sustavi koji nagrađuju, a ne kažnjavaju najbolje izvođače, bez obzira na način izvedbe, uključujući hvatanje i korištenje CO</w:t>
      </w:r>
      <w:r w:rsidRPr="00343132">
        <w:rPr>
          <w:vertAlign w:val="subscript"/>
        </w:rPr>
        <w:t>2</w:t>
      </w:r>
      <w:r w:rsidRPr="00343132">
        <w:t>;</w:t>
      </w:r>
    </w:p>
    <w:p w:rsidR="00A36A65" w:rsidRPr="00343132" w:rsidRDefault="00A36A65" w:rsidP="00000CE8">
      <w:pPr>
        <w:numPr>
          <w:ilvl w:val="0"/>
          <w:numId w:val="4"/>
        </w:numPr>
        <w:ind w:left="1089"/>
      </w:pPr>
      <w:r w:rsidRPr="00343132">
        <w:t>referentne vrijednosti na temelju pouzdanih podataka iz industrije, postavljene samo jednom na početku razdoblja;</w:t>
      </w:r>
    </w:p>
    <w:p w:rsidR="00A36A65" w:rsidRPr="00343132" w:rsidRDefault="00A36A65" w:rsidP="00000CE8">
      <w:pPr>
        <w:numPr>
          <w:ilvl w:val="0"/>
          <w:numId w:val="4"/>
        </w:numPr>
        <w:ind w:left="1089"/>
      </w:pPr>
      <w:r w:rsidRPr="00343132">
        <w:t>besplatna dodjela emisijskih jedinica na temelju stvarne, a ne povijesne proizvodnje;</w:t>
      </w:r>
    </w:p>
    <w:p w:rsidR="00A36A65" w:rsidRPr="00343132" w:rsidRDefault="00A36A65" w:rsidP="00000CE8">
      <w:pPr>
        <w:numPr>
          <w:ilvl w:val="0"/>
          <w:numId w:val="4"/>
        </w:numPr>
        <w:ind w:left="1089"/>
      </w:pPr>
      <w:r w:rsidRPr="00343132">
        <w:t>mogućnost nadomjesnog pristupa (</w:t>
      </w:r>
      <w:proofErr w:type="spellStart"/>
      <w:r w:rsidRPr="00343132">
        <w:rPr>
          <w:i/>
        </w:rPr>
        <w:t>fall</w:t>
      </w:r>
      <w:proofErr w:type="spellEnd"/>
      <w:r w:rsidRPr="00343132">
        <w:rPr>
          <w:i/>
        </w:rPr>
        <w:t>-</w:t>
      </w:r>
      <w:proofErr w:type="spellStart"/>
      <w:r w:rsidRPr="00343132">
        <w:rPr>
          <w:i/>
        </w:rPr>
        <w:t>back</w:t>
      </w:r>
      <w:proofErr w:type="spellEnd"/>
      <w:r w:rsidRPr="00343132">
        <w:rPr>
          <w:i/>
        </w:rPr>
        <w:t xml:space="preserve"> </w:t>
      </w:r>
      <w:proofErr w:type="spellStart"/>
      <w:r w:rsidRPr="00343132">
        <w:rPr>
          <w:i/>
        </w:rPr>
        <w:t>approach</w:t>
      </w:r>
      <w:proofErr w:type="spellEnd"/>
      <w:r w:rsidRPr="00343132">
        <w:t>) u 4. fazi za sektore bez prijašnjih referentnih mjerila;</w:t>
      </w:r>
    </w:p>
    <w:p w:rsidR="00A36A65" w:rsidRPr="00343132" w:rsidRDefault="00A36A65" w:rsidP="00000CE8">
      <w:pPr>
        <w:numPr>
          <w:ilvl w:val="0"/>
          <w:numId w:val="4"/>
        </w:numPr>
        <w:ind w:left="1089"/>
      </w:pPr>
      <w:r w:rsidRPr="00343132">
        <w:t>fleksibilnija definicija rizika za istjecanje ugljika kroz aktualna kvalitativna mjerila rizika bez uvođenja graničnih vrijednosti;</w:t>
      </w:r>
    </w:p>
    <w:p w:rsidR="00A36A65" w:rsidRPr="00343132" w:rsidRDefault="00A36A65" w:rsidP="00000CE8">
      <w:pPr>
        <w:numPr>
          <w:ilvl w:val="0"/>
          <w:numId w:val="4"/>
        </w:numPr>
        <w:ind w:left="1089"/>
      </w:pPr>
      <w:r w:rsidRPr="00343132">
        <w:t>korištenje dijela rezerve za stabilnost za podršku u fazi postupnog ukidanja onim sektorima koji su isključeni iz popisa sektora izloženih riziku od istjecanja ugljika;</w:t>
      </w:r>
    </w:p>
    <w:p w:rsidR="00A36A65" w:rsidRPr="00343132" w:rsidRDefault="00A36A65" w:rsidP="00000CE8">
      <w:pPr>
        <w:numPr>
          <w:ilvl w:val="0"/>
          <w:numId w:val="4"/>
        </w:numPr>
        <w:ind w:left="1089"/>
      </w:pPr>
      <w:r w:rsidRPr="00343132">
        <w:t>izuzeće od ovog mehanizma za postrojenja čije su emisije niže od 50 000 tona ugljičnog dioksida;</w:t>
      </w:r>
    </w:p>
    <w:p w:rsidR="00A36A65" w:rsidRPr="00343132" w:rsidRDefault="00A36A65" w:rsidP="00000CE8">
      <w:pPr>
        <w:numPr>
          <w:ilvl w:val="0"/>
          <w:numId w:val="4"/>
        </w:numPr>
        <w:ind w:left="1089"/>
      </w:pPr>
      <w:r w:rsidRPr="00343132">
        <w:t>potpuna integracija socijalne dimenzije u sustav EU ETS kako bi se podržao prijelaz procesa i vještina u industriji i na tržištu rada na gospodarstvo bez ugljika;</w:t>
      </w:r>
    </w:p>
    <w:p w:rsidR="00A36A65" w:rsidRPr="00343132" w:rsidRDefault="00A36A65" w:rsidP="00000CE8">
      <w:pPr>
        <w:numPr>
          <w:ilvl w:val="0"/>
          <w:numId w:val="4"/>
        </w:numPr>
        <w:ind w:left="1089"/>
      </w:pPr>
      <w:r w:rsidRPr="00343132">
        <w:t>studiju o načinima proširenja mehanizama za nagrađivanje najboljih izvođača u civilnom društvu, pri čemu bi se osiguravali bonusi ETS-a obiteljima, zajednicama i javnim upravama koje znatno smanje svoju potrošnju energije kojom se proizvodi CO</w:t>
      </w:r>
      <w:r w:rsidRPr="00343132">
        <w:rPr>
          <w:vertAlign w:val="subscript"/>
        </w:rPr>
        <w:t>2</w:t>
      </w:r>
      <w:r w:rsidRPr="00343132">
        <w:t xml:space="preserve"> ili kompenziraju emisije CO</w:t>
      </w:r>
      <w:r w:rsidRPr="00343132">
        <w:rPr>
          <w:vertAlign w:val="subscript"/>
        </w:rPr>
        <w:t>2</w:t>
      </w:r>
      <w:r w:rsidRPr="00343132">
        <w:t xml:space="preserve"> sa zelenim ulaganjima.</w:t>
      </w:r>
    </w:p>
    <w:p w:rsidR="003E693F" w:rsidRPr="00343132" w:rsidRDefault="003E693F" w:rsidP="00967AC4">
      <w:pPr>
        <w:spacing w:line="20" w:lineRule="atLeast"/>
        <w:rPr>
          <w:b/>
          <w:i/>
          <w:sz w:val="18"/>
        </w:rPr>
      </w:pPr>
    </w:p>
    <w:p w:rsidR="00A36A65" w:rsidRPr="00343132" w:rsidRDefault="00A36A65" w:rsidP="00000CE8">
      <w:pPr>
        <w:rPr>
          <w:i/>
        </w:rPr>
      </w:pPr>
      <w:r w:rsidRPr="00343132">
        <w:rPr>
          <w:b/>
          <w:i/>
        </w:rPr>
        <w:t>Kontakt:</w:t>
      </w:r>
      <w:r w:rsidRPr="00343132">
        <w:tab/>
      </w:r>
      <w:r w:rsidRPr="00343132">
        <w:rPr>
          <w:i/>
        </w:rPr>
        <w:t xml:space="preserve">Stella </w:t>
      </w:r>
      <w:proofErr w:type="spellStart"/>
      <w:r w:rsidRPr="00343132">
        <w:rPr>
          <w:i/>
        </w:rPr>
        <w:t>Brožek</w:t>
      </w:r>
      <w:proofErr w:type="spellEnd"/>
      <w:r w:rsidRPr="00343132">
        <w:rPr>
          <w:i/>
        </w:rPr>
        <w:t>-</w:t>
      </w:r>
      <w:proofErr w:type="spellStart"/>
      <w:r w:rsidRPr="00343132">
        <w:rPr>
          <w:i/>
        </w:rPr>
        <w:t>Everaert</w:t>
      </w:r>
      <w:proofErr w:type="spellEnd"/>
    </w:p>
    <w:p w:rsidR="00A36A65" w:rsidRPr="00343132" w:rsidRDefault="003E693F" w:rsidP="00000CE8">
      <w:pPr>
        <w:rPr>
          <w:i/>
        </w:rPr>
      </w:pPr>
      <w:r w:rsidRPr="00343132">
        <w:tab/>
      </w:r>
      <w:r w:rsidRPr="00343132">
        <w:tab/>
      </w:r>
      <w:r w:rsidRPr="00343132">
        <w:rPr>
          <w:i/>
        </w:rPr>
        <w:t xml:space="preserve">(Tel.: 00 32 2 546 92 02 – </w:t>
      </w:r>
      <w:proofErr w:type="spellStart"/>
      <w:r w:rsidRPr="00343132">
        <w:rPr>
          <w:i/>
        </w:rPr>
        <w:t>email</w:t>
      </w:r>
      <w:proofErr w:type="spellEnd"/>
      <w:r w:rsidRPr="00343132">
        <w:rPr>
          <w:i/>
        </w:rPr>
        <w:t xml:space="preserve">: </w:t>
      </w:r>
      <w:hyperlink r:id="rId31">
        <w:r w:rsidRPr="00343132">
          <w:rPr>
            <w:rStyle w:val="Hyperlink"/>
            <w:i/>
          </w:rPr>
          <w:t>stella.brozekeveraert@eesc.europa.eu</w:t>
        </w:r>
      </w:hyperlink>
      <w:r w:rsidRPr="00343132">
        <w:rPr>
          <w:i/>
        </w:rPr>
        <w:t>)</w:t>
      </w:r>
    </w:p>
    <w:p w:rsidR="00967AC4" w:rsidRPr="00343132" w:rsidRDefault="00967AC4" w:rsidP="00967AC4">
      <w:pPr>
        <w:spacing w:line="240" w:lineRule="auto"/>
        <w:jc w:val="center"/>
        <w:rPr>
          <w:i/>
        </w:rPr>
      </w:pPr>
      <w:r w:rsidRPr="00343132">
        <w:br w:type="page"/>
      </w:r>
    </w:p>
    <w:p w:rsidR="00A36A65" w:rsidRPr="00343132" w:rsidRDefault="00A36A65" w:rsidP="00000CE8">
      <w:pPr>
        <w:jc w:val="center"/>
      </w:pPr>
    </w:p>
    <w:p w:rsidR="00DE59B3" w:rsidRPr="00343132" w:rsidRDefault="007E6BCE" w:rsidP="00000CE8">
      <w:pPr>
        <w:keepNext/>
        <w:keepLines/>
        <w:numPr>
          <w:ilvl w:val="0"/>
          <w:numId w:val="2"/>
        </w:numPr>
        <w:ind w:hanging="720"/>
        <w:jc w:val="left"/>
        <w:outlineLvl w:val="0"/>
        <w:rPr>
          <w:b/>
          <w:sz w:val="28"/>
        </w:rPr>
      </w:pPr>
      <w:bookmarkStart w:id="7" w:name="_Toc437942485"/>
      <w:bookmarkStart w:id="8" w:name="_Toc439931966"/>
      <w:r w:rsidRPr="00343132">
        <w:rPr>
          <w:b/>
          <w:sz w:val="28"/>
        </w:rPr>
        <w:t>UNUTARNJE TRŽIŠTE</w:t>
      </w:r>
      <w:bookmarkEnd w:id="7"/>
      <w:bookmarkEnd w:id="8"/>
    </w:p>
    <w:p w:rsidR="00927AA9" w:rsidRPr="00343132" w:rsidRDefault="00927AA9" w:rsidP="00BD4EB5">
      <w:pPr>
        <w:keepNext/>
        <w:ind w:left="284" w:hanging="284"/>
        <w:rPr>
          <w:b/>
          <w:highlight w:val="yellow"/>
          <w:u w:val="single"/>
        </w:rPr>
      </w:pPr>
    </w:p>
    <w:p w:rsidR="00DE59B3" w:rsidRPr="00343132" w:rsidRDefault="00DE59B3" w:rsidP="00BD4EB5">
      <w:pPr>
        <w:widowControl w:val="0"/>
        <w:numPr>
          <w:ilvl w:val="0"/>
          <w:numId w:val="47"/>
        </w:numPr>
        <w:ind w:left="360"/>
        <w:rPr>
          <w:sz w:val="24"/>
        </w:rPr>
      </w:pPr>
      <w:r w:rsidRPr="00343132">
        <w:rPr>
          <w:b/>
          <w:i/>
          <w:sz w:val="28"/>
        </w:rPr>
        <w:t>Izvješće o politici tržišnog natjecanja 2014.</w:t>
      </w:r>
    </w:p>
    <w:p w:rsidR="00DE59B3" w:rsidRPr="00343132" w:rsidRDefault="00DE59B3" w:rsidP="00000CE8">
      <w:pPr>
        <w:tabs>
          <w:tab w:val="center" w:pos="284"/>
        </w:tabs>
        <w:ind w:left="266" w:hanging="266"/>
        <w:rPr>
          <w:b/>
        </w:rPr>
      </w:pPr>
    </w:p>
    <w:p w:rsidR="00DE59B3" w:rsidRPr="00343132" w:rsidRDefault="00DE59B3" w:rsidP="00967AC4">
      <w:pPr>
        <w:ind w:left="2268" w:hanging="2268"/>
      </w:pPr>
      <w:r w:rsidRPr="00343132">
        <w:rPr>
          <w:b/>
        </w:rPr>
        <w:t>Izvjestiteljica:</w:t>
      </w:r>
      <w:r w:rsidRPr="00343132">
        <w:tab/>
        <w:t>Reine-Claude MADER (Skupina raznih interesa – FR)</w:t>
      </w:r>
    </w:p>
    <w:p w:rsidR="00DE59B3" w:rsidRPr="00343132" w:rsidRDefault="00DE59B3" w:rsidP="00967AC4">
      <w:pPr>
        <w:ind w:left="2268" w:hanging="2268"/>
        <w:rPr>
          <w:b/>
        </w:rPr>
      </w:pPr>
    </w:p>
    <w:p w:rsidR="00DE59B3" w:rsidRPr="00343132" w:rsidRDefault="00DE59B3" w:rsidP="00967AC4">
      <w:pPr>
        <w:tabs>
          <w:tab w:val="left" w:pos="4536"/>
        </w:tabs>
        <w:ind w:left="2268" w:hanging="2268"/>
      </w:pPr>
      <w:r w:rsidRPr="00343132">
        <w:rPr>
          <w:b/>
        </w:rPr>
        <w:t>Referentni dokument:</w:t>
      </w:r>
      <w:r w:rsidR="00967AC4" w:rsidRPr="00343132">
        <w:tab/>
        <w:t xml:space="preserve">COM (2015) 247 </w:t>
      </w:r>
      <w:proofErr w:type="spellStart"/>
      <w:r w:rsidR="00967AC4" w:rsidRPr="00343132">
        <w:t>final</w:t>
      </w:r>
      <w:proofErr w:type="spellEnd"/>
      <w:r w:rsidR="00967AC4" w:rsidRPr="00343132">
        <w:tab/>
      </w:r>
      <w:r w:rsidRPr="00343132">
        <w:t>EESC-2015-03837-00-</w:t>
      </w:r>
      <w:proofErr w:type="spellStart"/>
      <w:r w:rsidRPr="00343132">
        <w:t>00</w:t>
      </w:r>
      <w:proofErr w:type="spellEnd"/>
      <w:r w:rsidRPr="00343132">
        <w:t>-AC</w:t>
      </w:r>
    </w:p>
    <w:p w:rsidR="00DE59B3" w:rsidRPr="00343132" w:rsidRDefault="00DE59B3" w:rsidP="00000CE8">
      <w:pPr>
        <w:tabs>
          <w:tab w:val="center" w:pos="284"/>
        </w:tabs>
        <w:ind w:left="266" w:hanging="266"/>
      </w:pPr>
    </w:p>
    <w:p w:rsidR="00DE59B3" w:rsidRPr="00343132" w:rsidRDefault="00DE59B3" w:rsidP="00000CE8">
      <w:pPr>
        <w:keepNext/>
        <w:keepLines/>
        <w:tabs>
          <w:tab w:val="center" w:pos="284"/>
        </w:tabs>
        <w:ind w:left="266" w:hanging="266"/>
        <w:rPr>
          <w:b/>
        </w:rPr>
      </w:pPr>
      <w:r w:rsidRPr="00343132">
        <w:rPr>
          <w:b/>
        </w:rPr>
        <w:t>Ključne točke:</w:t>
      </w:r>
    </w:p>
    <w:p w:rsidR="00927AA9" w:rsidRPr="00343132" w:rsidRDefault="00927AA9" w:rsidP="00BD4EB5">
      <w:pPr>
        <w:keepNext/>
        <w:keepLines/>
      </w:pPr>
    </w:p>
    <w:p w:rsidR="00DE59B3" w:rsidRPr="00343132" w:rsidRDefault="00DE59B3" w:rsidP="00000CE8">
      <w:r w:rsidRPr="00343132">
        <w:t>EGSO:</w:t>
      </w:r>
    </w:p>
    <w:p w:rsidR="00DE59B3" w:rsidRPr="00343132" w:rsidRDefault="00DE59B3" w:rsidP="00000CE8">
      <w:pPr>
        <w:numPr>
          <w:ilvl w:val="0"/>
          <w:numId w:val="4"/>
        </w:numPr>
        <w:ind w:left="1089"/>
      </w:pPr>
      <w:r w:rsidRPr="00343132">
        <w:t>podržava korake koje je Komisija poduzela kako bi zajamčila poštovanje pravila tržišnoga natjecanja, posebice mjere protiv praksi suprotnih načelima tržišnoga natjecanja, poput zlouporabe vladajućeg položaja, kojima se ugrožava gospodarski razvoj EU-a;</w:t>
      </w:r>
    </w:p>
    <w:p w:rsidR="00DE59B3" w:rsidRPr="00343132" w:rsidRDefault="00DE59B3" w:rsidP="00000CE8">
      <w:pPr>
        <w:numPr>
          <w:ilvl w:val="0"/>
          <w:numId w:val="4"/>
        </w:numPr>
        <w:ind w:left="1089"/>
      </w:pPr>
      <w:r w:rsidRPr="00343132">
        <w:t>međutim, izražava žaljenje zbog toga što Komisija nije donijela istinski pravni mehanizam za kolektivne postupke kako bi se učinkovito ostvarila prava žrtava monopolističkih praksi na naknadu štete;</w:t>
      </w:r>
    </w:p>
    <w:p w:rsidR="00DE59B3" w:rsidRPr="00343132" w:rsidRDefault="00DE59B3" w:rsidP="00000CE8">
      <w:pPr>
        <w:numPr>
          <w:ilvl w:val="0"/>
          <w:numId w:val="4"/>
        </w:numPr>
        <w:ind w:left="1089"/>
      </w:pPr>
      <w:r w:rsidRPr="00343132">
        <w:t>pozdravlja poticaj koji je Komisija dala suradnji s nacionalnim tijelima nadležnima za tržišno natjecanje, koja imaju ključnu ulogu i koja za to na raspolaganju moraju imati potrebna sredstva;</w:t>
      </w:r>
    </w:p>
    <w:p w:rsidR="00DE59B3" w:rsidRPr="00343132" w:rsidRDefault="00DE59B3" w:rsidP="00000CE8">
      <w:pPr>
        <w:numPr>
          <w:ilvl w:val="0"/>
          <w:numId w:val="4"/>
        </w:numPr>
        <w:ind w:left="1089"/>
      </w:pPr>
      <w:r w:rsidRPr="00343132">
        <w:t>potiče razvoj pravila o državnim potporama, koja su usklađena kako bi poticala inovativna poduzeća, posebice ona u digitalnom sektoru;</w:t>
      </w:r>
    </w:p>
    <w:p w:rsidR="00DE59B3" w:rsidRPr="00343132" w:rsidRDefault="00DE59B3" w:rsidP="00000CE8">
      <w:pPr>
        <w:numPr>
          <w:ilvl w:val="0"/>
          <w:numId w:val="4"/>
        </w:numPr>
        <w:ind w:left="1089"/>
      </w:pPr>
      <w:r w:rsidRPr="00343132">
        <w:t>želi da Komisija nastavi poduzimati korake usmjerene na ispravljanje fiskalnih i socijalnih nepravilnosti, pazeći pritom da to ne prouzroči opći pad;</w:t>
      </w:r>
    </w:p>
    <w:p w:rsidR="00DE59B3" w:rsidRPr="00343132" w:rsidRDefault="00DE59B3" w:rsidP="00000CE8">
      <w:pPr>
        <w:numPr>
          <w:ilvl w:val="0"/>
          <w:numId w:val="4"/>
        </w:numPr>
        <w:ind w:left="1089"/>
      </w:pPr>
      <w:r w:rsidRPr="00343132">
        <w:t>vjeruje da od otvaranja energetskog tržišta koristi moraju imati individualni potrošači, koji nemaju stvarnu mogućnost pregovaranja;</w:t>
      </w:r>
    </w:p>
    <w:p w:rsidR="00DE59B3" w:rsidRPr="00343132" w:rsidRDefault="00DE59B3" w:rsidP="00000CE8">
      <w:pPr>
        <w:numPr>
          <w:ilvl w:val="0"/>
          <w:numId w:val="4"/>
        </w:numPr>
        <w:ind w:left="1089"/>
      </w:pPr>
      <w:r w:rsidRPr="00343132">
        <w:t>poziva da se sve poduzme kako bi se osigurao slobodni pristup digitalnoj infrastrukturi čime bi se omogućio razvoj ruralnih područja;</w:t>
      </w:r>
    </w:p>
    <w:p w:rsidR="00DE59B3" w:rsidRPr="00343132" w:rsidRDefault="00DE59B3" w:rsidP="00000CE8">
      <w:pPr>
        <w:numPr>
          <w:ilvl w:val="0"/>
          <w:numId w:val="4"/>
        </w:numPr>
        <w:ind w:left="1089"/>
      </w:pPr>
      <w:r w:rsidRPr="00343132">
        <w:t>podsjeća da je prijeko potrebno pratiti i ocijeniti poduzete političke mjere.</w:t>
      </w:r>
    </w:p>
    <w:p w:rsidR="00DE59B3" w:rsidRPr="00343132" w:rsidRDefault="00DE59B3" w:rsidP="00000CE8"/>
    <w:p w:rsidR="00DE59B3" w:rsidRPr="00343132" w:rsidRDefault="00DE59B3" w:rsidP="00000CE8">
      <w:pPr>
        <w:rPr>
          <w:i/>
        </w:rPr>
      </w:pPr>
      <w:r w:rsidRPr="00343132">
        <w:rPr>
          <w:b/>
          <w:i/>
        </w:rPr>
        <w:t>Kontakt:</w:t>
      </w:r>
      <w:r w:rsidRPr="00343132">
        <w:tab/>
      </w:r>
      <w:r w:rsidRPr="00343132">
        <w:rPr>
          <w:i/>
        </w:rPr>
        <w:t>Alice Tetu</w:t>
      </w:r>
    </w:p>
    <w:p w:rsidR="00DE59B3" w:rsidRPr="00343132" w:rsidRDefault="003E693F" w:rsidP="00000CE8">
      <w:pPr>
        <w:rPr>
          <w:i/>
        </w:rPr>
      </w:pPr>
      <w:r w:rsidRPr="00343132">
        <w:tab/>
      </w:r>
      <w:r w:rsidRPr="00343132">
        <w:tab/>
      </w:r>
      <w:r w:rsidRPr="00343132">
        <w:rPr>
          <w:i/>
        </w:rPr>
        <w:t xml:space="preserve">(Tel.: 00 32 2 546 82 86 – e-mail: </w:t>
      </w:r>
      <w:hyperlink r:id="rId32">
        <w:r w:rsidRPr="00343132">
          <w:rPr>
            <w:rStyle w:val="Hyperlink"/>
            <w:i/>
          </w:rPr>
          <w:t>alice.tetu@eesc.europa.eu</w:t>
        </w:r>
      </w:hyperlink>
      <w:r w:rsidRPr="00343132">
        <w:rPr>
          <w:i/>
        </w:rPr>
        <w:t>)</w:t>
      </w:r>
    </w:p>
    <w:p w:rsidR="00DE59B3" w:rsidRPr="00343132" w:rsidRDefault="00DE59B3" w:rsidP="00000CE8">
      <w:pPr>
        <w:rPr>
          <w:sz w:val="16"/>
        </w:rPr>
      </w:pPr>
    </w:p>
    <w:p w:rsidR="003E693F" w:rsidRPr="00343132" w:rsidRDefault="003E693F" w:rsidP="00000CE8">
      <w:pPr>
        <w:spacing w:line="240" w:lineRule="auto"/>
        <w:jc w:val="left"/>
        <w:rPr>
          <w:highlight w:val="yellow"/>
        </w:rPr>
      </w:pPr>
      <w:r w:rsidRPr="00343132">
        <w:br w:type="page"/>
      </w:r>
    </w:p>
    <w:p w:rsidR="001768E2" w:rsidRPr="00343132" w:rsidRDefault="001768E2" w:rsidP="00BD4EB5">
      <w:pPr>
        <w:widowControl w:val="0"/>
        <w:numPr>
          <w:ilvl w:val="0"/>
          <w:numId w:val="47"/>
        </w:numPr>
        <w:ind w:left="360"/>
        <w:rPr>
          <w:i/>
        </w:rPr>
      </w:pPr>
      <w:r w:rsidRPr="00343132">
        <w:rPr>
          <w:b/>
          <w:i/>
          <w:sz w:val="28"/>
        </w:rPr>
        <w:lastRenderedPageBreak/>
        <w:t>Strategija jedinstvenog digitalnog tržišta</w:t>
      </w:r>
    </w:p>
    <w:p w:rsidR="001768E2" w:rsidRPr="00343132" w:rsidRDefault="001768E2" w:rsidP="00000CE8">
      <w:pPr>
        <w:widowControl w:val="0"/>
        <w:spacing w:line="240" w:lineRule="auto"/>
      </w:pPr>
    </w:p>
    <w:p w:rsidR="002D41B7" w:rsidRPr="00343132" w:rsidRDefault="001768E2" w:rsidP="00967AC4">
      <w:pPr>
        <w:ind w:left="2268" w:hanging="2268"/>
      </w:pPr>
      <w:r w:rsidRPr="00343132">
        <w:rPr>
          <w:b/>
        </w:rPr>
        <w:t>Izvjestitelj</w:t>
      </w:r>
      <w:r w:rsidRPr="00343132">
        <w:tab/>
      </w:r>
      <w:proofErr w:type="spellStart"/>
      <w:r w:rsidRPr="00343132">
        <w:t>Raymond</w:t>
      </w:r>
      <w:proofErr w:type="spellEnd"/>
      <w:r w:rsidRPr="00343132">
        <w:t xml:space="preserve"> HENCKS (Skupina poslodavaca – LU)</w:t>
      </w:r>
    </w:p>
    <w:p w:rsidR="002D41B7" w:rsidRPr="00343132" w:rsidRDefault="002D41B7" w:rsidP="00967AC4">
      <w:pPr>
        <w:ind w:left="2268" w:hanging="2268"/>
      </w:pPr>
    </w:p>
    <w:p w:rsidR="001768E2" w:rsidRPr="00343132" w:rsidRDefault="00681787" w:rsidP="00967AC4">
      <w:pPr>
        <w:ind w:left="2268" w:hanging="2268"/>
      </w:pPr>
      <w:r w:rsidRPr="00343132">
        <w:rPr>
          <w:b/>
        </w:rPr>
        <w:t>Suizvjestitelj:</w:t>
      </w:r>
      <w:r w:rsidRPr="00343132">
        <w:tab/>
        <w:t xml:space="preserve">Thomas </w:t>
      </w:r>
      <w:proofErr w:type="spellStart"/>
      <w:r w:rsidRPr="00343132">
        <w:t>McDONOGH</w:t>
      </w:r>
      <w:proofErr w:type="spellEnd"/>
      <w:r w:rsidRPr="00343132">
        <w:t xml:space="preserve"> (Skupina poslodavaca – IE)</w:t>
      </w:r>
    </w:p>
    <w:p w:rsidR="002D41B7" w:rsidRPr="00343132" w:rsidRDefault="002D41B7" w:rsidP="00967AC4">
      <w:pPr>
        <w:ind w:left="2268" w:hanging="2268"/>
      </w:pPr>
    </w:p>
    <w:p w:rsidR="001768E2" w:rsidRPr="00343132" w:rsidRDefault="001768E2" w:rsidP="00967AC4">
      <w:pPr>
        <w:tabs>
          <w:tab w:val="num" w:pos="550"/>
          <w:tab w:val="left" w:pos="4536"/>
        </w:tabs>
        <w:ind w:left="2268" w:hanging="2268"/>
      </w:pPr>
      <w:r w:rsidRPr="00343132">
        <w:rPr>
          <w:b/>
        </w:rPr>
        <w:t>Referentni dokumenti:</w:t>
      </w:r>
      <w:r w:rsidRPr="00343132">
        <w:tab/>
        <w:t xml:space="preserve">COM(2015) 192 </w:t>
      </w:r>
      <w:proofErr w:type="spellStart"/>
      <w:r w:rsidRPr="00343132">
        <w:t>final</w:t>
      </w:r>
      <w:proofErr w:type="spellEnd"/>
      <w:r w:rsidRPr="00343132">
        <w:tab/>
        <w:t>EESC-2015-03604-00-</w:t>
      </w:r>
      <w:proofErr w:type="spellStart"/>
      <w:r w:rsidRPr="00343132">
        <w:t>00</w:t>
      </w:r>
      <w:proofErr w:type="spellEnd"/>
      <w:r w:rsidRPr="00343132">
        <w:t>-AC</w:t>
      </w:r>
    </w:p>
    <w:p w:rsidR="001768E2" w:rsidRPr="00343132" w:rsidRDefault="001768E2" w:rsidP="00000CE8">
      <w:pPr>
        <w:jc w:val="left"/>
        <w:rPr>
          <w:sz w:val="16"/>
        </w:rPr>
      </w:pPr>
    </w:p>
    <w:p w:rsidR="001768E2" w:rsidRPr="00343132" w:rsidRDefault="001768E2" w:rsidP="00BD4EB5">
      <w:pPr>
        <w:keepNext/>
      </w:pPr>
      <w:r w:rsidRPr="00343132">
        <w:rPr>
          <w:b/>
        </w:rPr>
        <w:t>Ključne točke</w:t>
      </w:r>
      <w:r w:rsidRPr="00343132">
        <w:rPr>
          <w:b/>
          <w:i/>
        </w:rPr>
        <w:t>:</w:t>
      </w:r>
    </w:p>
    <w:p w:rsidR="001768E2" w:rsidRPr="00343132" w:rsidRDefault="001768E2" w:rsidP="00BD4EB5">
      <w:pPr>
        <w:keepNext/>
        <w:widowControl w:val="0"/>
        <w:rPr>
          <w:highlight w:val="yellow"/>
          <w:u w:val="single"/>
        </w:rPr>
      </w:pPr>
    </w:p>
    <w:p w:rsidR="001768E2" w:rsidRPr="00343132" w:rsidRDefault="001768E2" w:rsidP="00000CE8">
      <w:r w:rsidRPr="00343132">
        <w:t xml:space="preserve">EGSO podržava strategiju jedinstvenog europskog digitalnog tržišta koju predlaže </w:t>
      </w:r>
      <w:proofErr w:type="spellStart"/>
      <w:r w:rsidRPr="00343132">
        <w:t>Junckerova</w:t>
      </w:r>
      <w:proofErr w:type="spellEnd"/>
      <w:r w:rsidRPr="00343132">
        <w:t xml:space="preserve"> Komisija i koja je nastavak postojećih digitalnih strategija i programa. Cilj je strategije okončati podjelu europske digitalne politike na 28 strategija i nacionalnih digitalnih tržišta te ih spojiti u okviru europskog pristupa kako bi se EU-u osigurao vodeći položaj u svjetskoj digitalnoj ekonomiji, koja je postala obilježje trećih zemalja.</w:t>
      </w:r>
    </w:p>
    <w:p w:rsidR="001768E2" w:rsidRPr="00343132" w:rsidRDefault="001768E2" w:rsidP="00967AC4">
      <w:pPr>
        <w:rPr>
          <w:highlight w:val="yellow"/>
          <w:u w:val="single"/>
        </w:rPr>
      </w:pPr>
    </w:p>
    <w:p w:rsidR="001768E2" w:rsidRPr="00343132" w:rsidRDefault="001768E2" w:rsidP="00000CE8">
      <w:r w:rsidRPr="00343132">
        <w:t xml:space="preserve">EGSO je uvjeren da Europska unija može nadoknaditi svoje zaostajanje jer ima izvrsne vještine i veliko iskustvo u određenim digitalnim područjima. U tom kontekstu, EGSO insistira na razvijanju multidisciplinarnih istraživačkih centara i europske sinergije u okviru europskog istraživačkog prostora na područjima poput računalstva u oblacima, </w:t>
      </w:r>
      <w:proofErr w:type="spellStart"/>
      <w:r w:rsidRPr="00343132">
        <w:t>nanoelektronike</w:t>
      </w:r>
      <w:proofErr w:type="spellEnd"/>
      <w:r w:rsidRPr="00343132">
        <w:t>, pohrane i obrade velike količine podataka, uređaja koji se mogu očitavati ili kojima se može upravljati na daljinu (povezani predmeti) te pametnih usluga.</w:t>
      </w:r>
    </w:p>
    <w:p w:rsidR="001768E2" w:rsidRPr="00343132" w:rsidRDefault="001768E2" w:rsidP="00967AC4">
      <w:pPr>
        <w:rPr>
          <w:highlight w:val="yellow"/>
          <w:u w:val="single"/>
        </w:rPr>
      </w:pPr>
    </w:p>
    <w:p w:rsidR="001768E2" w:rsidRPr="00343132" w:rsidRDefault="001768E2" w:rsidP="00000CE8">
      <w:r w:rsidRPr="00343132">
        <w:t>EGSO izražava žaljenje zbog toga što se u digitalnoj strategiji ne spominje socijalna dimenzija (osim pitanja koja se tiču digitalnih vještina) premda razvoj usluga i poslovnih modela za sobom povlači duboke promjene u radnom okruženju. EGSO smatra da je uz potencijalne prednosti potrebno uzeti u obzir i brojne rizike i izazove, osobito na području sigurnosti i organizacije zaposlenja te socijalne zaštite, kao i postupke predviđene Ugovorom u vezi sa socijalnim dijalogom te horizontalnu socijalnu klauzulu, za koje se mora naći mjesto u strategiji jedinstvenog digitalnog tržišta. EGSO smatra da bi socijalna dimenzija, s obzirom na sve posljedice na zapošljavanje, trebala biti četvrti stup strategije za jedinstveno europsko digitalno tržište.</w:t>
      </w:r>
    </w:p>
    <w:p w:rsidR="001768E2" w:rsidRPr="00343132" w:rsidRDefault="001768E2" w:rsidP="00000CE8"/>
    <w:p w:rsidR="001768E2" w:rsidRPr="00343132" w:rsidRDefault="001768E2" w:rsidP="00000CE8">
      <w:pPr>
        <w:rPr>
          <w:i/>
        </w:rPr>
      </w:pPr>
      <w:r w:rsidRPr="00343132">
        <w:rPr>
          <w:b/>
          <w:i/>
        </w:rPr>
        <w:footnoteReference w:customMarkFollows="1" w:id="1"/>
        <w:t>Kontakt:</w:t>
      </w:r>
      <w:r w:rsidRPr="00343132">
        <w:tab/>
      </w:r>
      <w:proofErr w:type="spellStart"/>
      <w:r w:rsidRPr="00343132">
        <w:rPr>
          <w:i/>
        </w:rPr>
        <w:t>Luca</w:t>
      </w:r>
      <w:proofErr w:type="spellEnd"/>
      <w:r w:rsidRPr="00343132">
        <w:rPr>
          <w:i/>
        </w:rPr>
        <w:t xml:space="preserve"> </w:t>
      </w:r>
      <w:proofErr w:type="spellStart"/>
      <w:r w:rsidRPr="00343132">
        <w:rPr>
          <w:i/>
        </w:rPr>
        <w:t>Venerando</w:t>
      </w:r>
      <w:proofErr w:type="spellEnd"/>
      <w:r w:rsidRPr="00343132">
        <w:rPr>
          <w:i/>
        </w:rPr>
        <w:t xml:space="preserve"> </w:t>
      </w:r>
      <w:proofErr w:type="spellStart"/>
      <w:r w:rsidRPr="00343132">
        <w:rPr>
          <w:i/>
        </w:rPr>
        <w:t>Giuffrida</w:t>
      </w:r>
      <w:proofErr w:type="spellEnd"/>
    </w:p>
    <w:p w:rsidR="001768E2" w:rsidRPr="00343132" w:rsidRDefault="003E693F" w:rsidP="00000CE8">
      <w:pPr>
        <w:widowControl w:val="0"/>
        <w:rPr>
          <w:i/>
        </w:rPr>
      </w:pPr>
      <w:r w:rsidRPr="00343132">
        <w:tab/>
      </w:r>
      <w:r w:rsidRPr="00343132">
        <w:tab/>
      </w:r>
      <w:r w:rsidRPr="00343132">
        <w:rPr>
          <w:i/>
        </w:rPr>
        <w:t xml:space="preserve">(Tel.: 00 32 2 546 92 12 – e-mail: </w:t>
      </w:r>
      <w:hyperlink r:id="rId33">
        <w:r w:rsidRPr="00343132">
          <w:rPr>
            <w:rStyle w:val="Hyperlink"/>
            <w:i/>
          </w:rPr>
          <w:t>LucaVenerando.Giuffrida@eesc.europa.eu</w:t>
        </w:r>
      </w:hyperlink>
      <w:r w:rsidRPr="00343132">
        <w:rPr>
          <w:i/>
        </w:rPr>
        <w:t>)</w:t>
      </w:r>
    </w:p>
    <w:p w:rsidR="001768E2" w:rsidRPr="00343132" w:rsidRDefault="001768E2" w:rsidP="00000CE8">
      <w:pPr>
        <w:spacing w:line="240" w:lineRule="auto"/>
        <w:jc w:val="left"/>
        <w:rPr>
          <w:i/>
        </w:rPr>
      </w:pPr>
      <w:r w:rsidRPr="00343132">
        <w:br w:type="page"/>
      </w:r>
    </w:p>
    <w:p w:rsidR="001768E2" w:rsidRPr="00343132" w:rsidRDefault="003F2414" w:rsidP="00000CE8">
      <w:pPr>
        <w:keepNext/>
        <w:keepLines/>
        <w:numPr>
          <w:ilvl w:val="0"/>
          <w:numId w:val="2"/>
        </w:numPr>
        <w:ind w:hanging="720"/>
        <w:jc w:val="left"/>
        <w:outlineLvl w:val="0"/>
        <w:rPr>
          <w:b/>
          <w:sz w:val="28"/>
        </w:rPr>
      </w:pPr>
      <w:bookmarkStart w:id="9" w:name="_Toc439931967"/>
      <w:r w:rsidRPr="00343132">
        <w:rPr>
          <w:b/>
          <w:sz w:val="28"/>
        </w:rPr>
        <w:lastRenderedPageBreak/>
        <w:t>OBRAZOVANJE/ZAPOŠLJAVANJE</w:t>
      </w:r>
      <w:bookmarkEnd w:id="9"/>
    </w:p>
    <w:p w:rsidR="00567A1B" w:rsidRPr="00343132" w:rsidRDefault="00567A1B" w:rsidP="00000CE8">
      <w:pPr>
        <w:rPr>
          <w:b/>
          <w:highlight w:val="yellow"/>
          <w:u w:val="single"/>
        </w:rPr>
      </w:pPr>
    </w:p>
    <w:p w:rsidR="001768E2" w:rsidRPr="00343132" w:rsidRDefault="001768E2" w:rsidP="00BD4EB5">
      <w:pPr>
        <w:widowControl w:val="0"/>
        <w:numPr>
          <w:ilvl w:val="0"/>
          <w:numId w:val="47"/>
        </w:numPr>
        <w:ind w:left="567" w:hanging="567"/>
        <w:rPr>
          <w:rFonts w:ascii="Times New Roman Bold Italic" w:hAnsi="Times New Roman Bold Italic"/>
          <w:b/>
          <w:i/>
          <w:spacing w:val="-4"/>
          <w:sz w:val="28"/>
        </w:rPr>
      </w:pPr>
      <w:r w:rsidRPr="00343132">
        <w:rPr>
          <w:rFonts w:ascii="Times New Roman Bold Italic" w:hAnsi="Times New Roman Bold Italic"/>
          <w:b/>
          <w:i/>
          <w:spacing w:val="-4"/>
          <w:sz w:val="28"/>
        </w:rPr>
        <w:t>Angažirana s</w:t>
      </w:r>
      <w:r w:rsidR="00841497" w:rsidRPr="00343132">
        <w:rPr>
          <w:rFonts w:ascii="Times New Roman Bold Italic" w:hAnsi="Times New Roman Bold Italic"/>
          <w:b/>
          <w:i/>
          <w:spacing w:val="-4"/>
          <w:sz w:val="28"/>
        </w:rPr>
        <w:t>veučilišta u oblikovanju Europe</w:t>
      </w:r>
      <w:r w:rsidRPr="00343132">
        <w:rPr>
          <w:rFonts w:ascii="Times New Roman Bold Italic" w:hAnsi="Times New Roman Bold Italic"/>
          <w:b/>
          <w:spacing w:val="-4"/>
          <w:sz w:val="28"/>
          <w:vertAlign w:val="superscript"/>
        </w:rPr>
        <w:t xml:space="preserve"> </w:t>
      </w:r>
      <w:r w:rsidRPr="00343132">
        <w:rPr>
          <w:rFonts w:ascii="Times New Roman Bold Italic" w:hAnsi="Times New Roman Bold Italic"/>
          <w:b/>
          <w:i/>
          <w:spacing w:val="-4"/>
          <w:sz w:val="28"/>
        </w:rPr>
        <w:t>(samoinicijativno mišljenje)</w:t>
      </w:r>
    </w:p>
    <w:p w:rsidR="001768E2" w:rsidRPr="00343132" w:rsidRDefault="001768E2" w:rsidP="00BD4EB5">
      <w:pPr>
        <w:ind w:firstLine="17"/>
        <w:rPr>
          <w:highlight w:val="yellow"/>
        </w:rPr>
      </w:pPr>
    </w:p>
    <w:p w:rsidR="001768E2" w:rsidRPr="00343132" w:rsidRDefault="001768E2" w:rsidP="00967AC4">
      <w:pPr>
        <w:ind w:left="2268" w:hanging="2268"/>
      </w:pPr>
      <w:r w:rsidRPr="00343132">
        <w:rPr>
          <w:b/>
        </w:rPr>
        <w:t>Izvjestitelj:</w:t>
      </w:r>
      <w:r w:rsidRPr="00343132">
        <w:tab/>
      </w:r>
      <w:proofErr w:type="spellStart"/>
      <w:r w:rsidRPr="00343132">
        <w:t>Joost</w:t>
      </w:r>
      <w:proofErr w:type="spellEnd"/>
      <w:r w:rsidRPr="00343132">
        <w:t xml:space="preserve"> VAN IERSEL (Skupina poslodavaca – NL)</w:t>
      </w:r>
    </w:p>
    <w:p w:rsidR="001768E2" w:rsidRPr="00343132" w:rsidRDefault="001768E2" w:rsidP="00967AC4">
      <w:pPr>
        <w:ind w:left="2268" w:hanging="2268"/>
      </w:pPr>
    </w:p>
    <w:p w:rsidR="001768E2" w:rsidRPr="00343132" w:rsidRDefault="001768E2" w:rsidP="00967AC4">
      <w:pPr>
        <w:ind w:left="2268" w:hanging="2268"/>
      </w:pPr>
      <w:r w:rsidRPr="00343132">
        <w:rPr>
          <w:b/>
        </w:rPr>
        <w:t>Referentni dokumenti:</w:t>
      </w:r>
      <w:r w:rsidRPr="00343132">
        <w:tab/>
        <w:t>EESC-2015-02595-00-</w:t>
      </w:r>
      <w:proofErr w:type="spellStart"/>
      <w:r w:rsidRPr="00343132">
        <w:t>00</w:t>
      </w:r>
      <w:proofErr w:type="spellEnd"/>
      <w:r w:rsidRPr="00343132">
        <w:t>-AC</w:t>
      </w:r>
    </w:p>
    <w:p w:rsidR="001768E2" w:rsidRPr="00343132" w:rsidRDefault="001768E2" w:rsidP="00000CE8">
      <w:pPr>
        <w:tabs>
          <w:tab w:val="left" w:pos="0"/>
        </w:tabs>
        <w:ind w:left="364" w:hanging="369"/>
      </w:pPr>
    </w:p>
    <w:p w:rsidR="001768E2" w:rsidRPr="00343132" w:rsidRDefault="001768E2" w:rsidP="00BD4EB5">
      <w:pPr>
        <w:keepNext/>
        <w:ind w:left="-6"/>
        <w:rPr>
          <w:b/>
        </w:rPr>
      </w:pPr>
      <w:r w:rsidRPr="00343132">
        <w:rPr>
          <w:b/>
        </w:rPr>
        <w:t>Ključne točke:</w:t>
      </w:r>
    </w:p>
    <w:p w:rsidR="0019516A" w:rsidRPr="00343132" w:rsidRDefault="0019516A" w:rsidP="00BD4EB5">
      <w:pPr>
        <w:keepNext/>
        <w:rPr>
          <w:b/>
          <w:highlight w:val="yellow"/>
          <w:u w:val="single"/>
        </w:rPr>
      </w:pPr>
    </w:p>
    <w:p w:rsidR="001768E2" w:rsidRPr="00343132" w:rsidRDefault="001768E2" w:rsidP="00000CE8">
      <w:pPr>
        <w:numPr>
          <w:ilvl w:val="0"/>
          <w:numId w:val="4"/>
        </w:numPr>
        <w:ind w:left="1089"/>
      </w:pPr>
      <w:r w:rsidRPr="00343132">
        <w:t>Budućnost Europe ovisi o dostupnosti najsuvremenijeg znanja i talentiranih ljudi u otvorenom društvu temeljenom na znanju. U tom pogledu sveučilišta igraju ključnu ulogu.</w:t>
      </w:r>
    </w:p>
    <w:p w:rsidR="001768E2" w:rsidRPr="00343132" w:rsidRDefault="001768E2" w:rsidP="00000CE8">
      <w:pPr>
        <w:numPr>
          <w:ilvl w:val="0"/>
          <w:numId w:val="4"/>
        </w:numPr>
        <w:ind w:left="1089"/>
      </w:pPr>
      <w:r w:rsidRPr="00343132">
        <w:t>Trebalo bi dijeliti i urediti nacionalne nadležnosti i nadležnosti EU-a kako bi se stvorilo europsko područje visokog obrazovanja. Koncept građanskog i poduzetničkog sveučilišta može biti vrlo koristan u poticanju kvalitete visokog obrazovanja.</w:t>
      </w:r>
    </w:p>
    <w:p w:rsidR="001768E2" w:rsidRPr="00343132" w:rsidRDefault="001768E2" w:rsidP="00000CE8">
      <w:pPr>
        <w:numPr>
          <w:ilvl w:val="0"/>
          <w:numId w:val="4"/>
        </w:numPr>
        <w:ind w:left="1089"/>
      </w:pPr>
      <w:r w:rsidRPr="00343132">
        <w:t>Trenutačno stanje pokazuje da, unatoč napretku, još uvijek postoji mnogo prepreka i ograničenja koji otežavaju učinkovit angažman EU-a.</w:t>
      </w:r>
    </w:p>
    <w:p w:rsidR="001768E2" w:rsidRPr="00343132" w:rsidRDefault="001768E2" w:rsidP="00000CE8">
      <w:pPr>
        <w:numPr>
          <w:ilvl w:val="0"/>
          <w:numId w:val="4"/>
        </w:numPr>
        <w:ind w:left="1089"/>
      </w:pPr>
      <w:r w:rsidRPr="00343132">
        <w:t>EGSO smatra da institucije EU-a moraju dati poticaj i ubrzati proces osuvremenjivanja europskog visokog obrazovanja kako u smislu obrazovanja tako i u smislu istraživanja i inovacija.</w:t>
      </w:r>
    </w:p>
    <w:p w:rsidR="001768E2" w:rsidRPr="00343132" w:rsidRDefault="001768E2" w:rsidP="00000CE8">
      <w:pPr>
        <w:numPr>
          <w:ilvl w:val="0"/>
          <w:numId w:val="4"/>
        </w:numPr>
        <w:ind w:left="1089"/>
      </w:pPr>
      <w:r w:rsidRPr="00343132">
        <w:t xml:space="preserve">Europska komisija bi trebala poticati i promicati plan za transformaciju europskih sveučilišta u </w:t>
      </w:r>
      <w:proofErr w:type="spellStart"/>
      <w:r w:rsidRPr="00343132">
        <w:t>supokretače</w:t>
      </w:r>
      <w:proofErr w:type="spellEnd"/>
      <w:r w:rsidRPr="00343132">
        <w:t xml:space="preserve"> rasta i socijalne kohezije te dobrobiti društva.</w:t>
      </w:r>
    </w:p>
    <w:p w:rsidR="001768E2" w:rsidRPr="00343132" w:rsidRDefault="001768E2" w:rsidP="00000CE8">
      <w:pPr>
        <w:numPr>
          <w:ilvl w:val="0"/>
          <w:numId w:val="4"/>
        </w:numPr>
        <w:ind w:left="1089"/>
      </w:pPr>
      <w:r w:rsidRPr="00343132">
        <w:t>Strateška savjetovanja na razini EU-a trebaju doprinijeti raspravama i projektima u i među državama i sveučilištima kako bi se povećala kvaliteta europskih sveučilišta.</w:t>
      </w:r>
    </w:p>
    <w:p w:rsidR="001768E2" w:rsidRPr="00343132" w:rsidRDefault="001768E2" w:rsidP="00000CE8">
      <w:pPr>
        <w:numPr>
          <w:ilvl w:val="0"/>
          <w:numId w:val="4"/>
        </w:numPr>
        <w:ind w:left="1089"/>
      </w:pPr>
      <w:r w:rsidRPr="00343132">
        <w:t>EGSO naglašava potrebu za stvarnom autonomijom, odgovornošću i transparentnošću visokoobrazovnih ustanova kao ključnim preduvjetima za modernizaciju.</w:t>
      </w:r>
    </w:p>
    <w:p w:rsidR="001768E2" w:rsidRPr="00343132" w:rsidRDefault="001768E2" w:rsidP="00000CE8">
      <w:pPr>
        <w:numPr>
          <w:ilvl w:val="0"/>
          <w:numId w:val="4"/>
        </w:numPr>
        <w:ind w:left="1089"/>
      </w:pPr>
      <w:r w:rsidRPr="00343132">
        <w:t>Sveučilišta moraju razviti otvorenost prema potrebama društva te uključiti druge dionike u suradnju.</w:t>
      </w:r>
    </w:p>
    <w:p w:rsidR="001768E2" w:rsidRPr="00343132" w:rsidRDefault="001768E2" w:rsidP="00000CE8">
      <w:pPr>
        <w:numPr>
          <w:ilvl w:val="0"/>
          <w:numId w:val="4"/>
        </w:numPr>
        <w:ind w:left="1089"/>
      </w:pPr>
      <w:r w:rsidRPr="00343132">
        <w:t>Razina podučavanja i odgovarajuća pripremljenost za kasnije poslove trebaju ostati prioriteti neovisno o specijalizaciji (vrhunskog) sveučilišta.</w:t>
      </w:r>
    </w:p>
    <w:p w:rsidR="001768E2" w:rsidRPr="00343132" w:rsidRDefault="001768E2" w:rsidP="00000CE8">
      <w:pPr>
        <w:numPr>
          <w:ilvl w:val="0"/>
          <w:numId w:val="4"/>
        </w:numPr>
        <w:ind w:left="1089"/>
      </w:pPr>
      <w:r w:rsidRPr="00343132">
        <w:t>Europska komisija trebala bi poticati prekogranične projekte unakrsnog obogaćivanja između sveučilišta, predavača i studenata, kao i otvorenost prema svijetu.</w:t>
      </w:r>
    </w:p>
    <w:p w:rsidR="001768E2" w:rsidRPr="00343132" w:rsidRDefault="001768E2" w:rsidP="00000CE8">
      <w:pPr>
        <w:tabs>
          <w:tab w:val="left" w:pos="770"/>
        </w:tabs>
        <w:ind w:left="1430" w:hanging="1430"/>
        <w:rPr>
          <w:b/>
          <w:i/>
        </w:rPr>
      </w:pPr>
    </w:p>
    <w:p w:rsidR="001768E2" w:rsidRPr="00343132" w:rsidRDefault="00DE59B3" w:rsidP="00000CE8">
      <w:pPr>
        <w:tabs>
          <w:tab w:val="left" w:pos="770"/>
        </w:tabs>
        <w:ind w:left="1430" w:hanging="1430"/>
        <w:rPr>
          <w:i/>
        </w:rPr>
      </w:pPr>
      <w:r w:rsidRPr="00343132">
        <w:rPr>
          <w:b/>
          <w:i/>
        </w:rPr>
        <w:t>Kontakt:</w:t>
      </w:r>
      <w:r w:rsidRPr="00343132">
        <w:tab/>
      </w:r>
      <w:r w:rsidRPr="00343132">
        <w:rPr>
          <w:i/>
        </w:rPr>
        <w:t xml:space="preserve">Irina </w:t>
      </w:r>
      <w:proofErr w:type="spellStart"/>
      <w:r w:rsidRPr="00343132">
        <w:rPr>
          <w:i/>
        </w:rPr>
        <w:t>Fomina</w:t>
      </w:r>
      <w:proofErr w:type="spellEnd"/>
    </w:p>
    <w:p w:rsidR="001768E2" w:rsidRPr="00343132" w:rsidRDefault="00307A61" w:rsidP="00000CE8">
      <w:pPr>
        <w:rPr>
          <w:b/>
          <w:highlight w:val="yellow"/>
          <w:u w:val="single"/>
        </w:rPr>
      </w:pPr>
      <w:r w:rsidRPr="00343132">
        <w:tab/>
      </w:r>
      <w:r w:rsidRPr="00343132">
        <w:tab/>
      </w:r>
      <w:r w:rsidRPr="00343132">
        <w:rPr>
          <w:i/>
        </w:rPr>
        <w:t xml:space="preserve">(Tel.: 00 32 2 546 80 91 – </w:t>
      </w:r>
      <w:proofErr w:type="spellStart"/>
      <w:r w:rsidRPr="00343132">
        <w:rPr>
          <w:i/>
        </w:rPr>
        <w:t>email</w:t>
      </w:r>
      <w:proofErr w:type="spellEnd"/>
      <w:r w:rsidRPr="00343132">
        <w:rPr>
          <w:i/>
        </w:rPr>
        <w:t xml:space="preserve">: </w:t>
      </w:r>
      <w:hyperlink r:id="rId34">
        <w:r w:rsidRPr="00343132">
          <w:rPr>
            <w:rStyle w:val="Hyperlink"/>
            <w:i/>
          </w:rPr>
          <w:t>irina.fomina@eesc.europa.eu</w:t>
        </w:r>
      </w:hyperlink>
      <w:r w:rsidRPr="00343132">
        <w:rPr>
          <w:i/>
        </w:rPr>
        <w:t>)</w:t>
      </w:r>
    </w:p>
    <w:p w:rsidR="002D41B7" w:rsidRPr="00343132" w:rsidRDefault="002D41B7" w:rsidP="00000CE8">
      <w:pPr>
        <w:spacing w:line="240" w:lineRule="auto"/>
        <w:jc w:val="left"/>
      </w:pPr>
      <w:r w:rsidRPr="00343132">
        <w:br w:type="page"/>
      </w:r>
    </w:p>
    <w:p w:rsidR="005D652A" w:rsidRPr="00343132" w:rsidRDefault="007E6BCE" w:rsidP="00000CE8">
      <w:pPr>
        <w:keepNext/>
        <w:keepLines/>
        <w:numPr>
          <w:ilvl w:val="0"/>
          <w:numId w:val="2"/>
        </w:numPr>
        <w:ind w:hanging="720"/>
        <w:jc w:val="left"/>
        <w:outlineLvl w:val="0"/>
        <w:rPr>
          <w:b/>
          <w:sz w:val="28"/>
        </w:rPr>
      </w:pPr>
      <w:bookmarkStart w:id="10" w:name="_Toc437942487"/>
      <w:bookmarkStart w:id="11" w:name="_Toc439931968"/>
      <w:r w:rsidRPr="00343132">
        <w:rPr>
          <w:b/>
          <w:sz w:val="28"/>
        </w:rPr>
        <w:lastRenderedPageBreak/>
        <w:t>ENERGETIKA</w:t>
      </w:r>
      <w:bookmarkEnd w:id="10"/>
      <w:bookmarkEnd w:id="11"/>
    </w:p>
    <w:p w:rsidR="003D05FE" w:rsidRPr="00343132" w:rsidRDefault="003D05FE" w:rsidP="00000CE8">
      <w:pPr>
        <w:rPr>
          <w:b/>
          <w:highlight w:val="yellow"/>
          <w:u w:val="single"/>
        </w:rPr>
      </w:pPr>
    </w:p>
    <w:p w:rsidR="003D05FE" w:rsidRPr="00343132" w:rsidRDefault="003D05FE" w:rsidP="00000CE8">
      <w:pPr>
        <w:numPr>
          <w:ilvl w:val="0"/>
          <w:numId w:val="3"/>
        </w:numPr>
        <w:rPr>
          <w:b/>
          <w:i/>
          <w:sz w:val="28"/>
        </w:rPr>
      </w:pPr>
      <w:r w:rsidRPr="00343132">
        <w:rPr>
          <w:b/>
          <w:i/>
          <w:sz w:val="28"/>
        </w:rPr>
        <w:t>Doprinos ugljena i lignita kao autohtonih resursa energetskoj sigurnosti EU-a (samoinicijativno mišljenje)</w:t>
      </w:r>
    </w:p>
    <w:p w:rsidR="00307A61" w:rsidRPr="00343132" w:rsidRDefault="00307A61" w:rsidP="00000CE8">
      <w:pPr>
        <w:rPr>
          <w:b/>
        </w:rPr>
      </w:pPr>
    </w:p>
    <w:p w:rsidR="00307A61" w:rsidRPr="00343132" w:rsidRDefault="00307A61" w:rsidP="00967AC4">
      <w:pPr>
        <w:ind w:left="2268" w:hanging="2268"/>
      </w:pPr>
      <w:r w:rsidRPr="00343132">
        <w:rPr>
          <w:b/>
        </w:rPr>
        <w:t>Izvjestitelj:</w:t>
      </w:r>
      <w:r w:rsidRPr="00343132">
        <w:tab/>
      </w:r>
      <w:proofErr w:type="spellStart"/>
      <w:r w:rsidRPr="00343132">
        <w:t>Dimitru</w:t>
      </w:r>
      <w:proofErr w:type="spellEnd"/>
      <w:r w:rsidRPr="00343132">
        <w:t xml:space="preserve"> FORNEA</w:t>
      </w:r>
      <w:r w:rsidRPr="00343132">
        <w:rPr>
          <w:b/>
        </w:rPr>
        <w:t xml:space="preserve"> </w:t>
      </w:r>
      <w:r w:rsidRPr="00343132">
        <w:t>(Skupina radnika – RO)</w:t>
      </w:r>
    </w:p>
    <w:p w:rsidR="00307A61" w:rsidRPr="00343132" w:rsidRDefault="00307A61" w:rsidP="00967AC4">
      <w:pPr>
        <w:ind w:left="2268" w:hanging="2268"/>
      </w:pPr>
    </w:p>
    <w:p w:rsidR="00307A61" w:rsidRPr="00343132" w:rsidRDefault="00967AC4" w:rsidP="00967AC4">
      <w:pPr>
        <w:ind w:left="2268" w:hanging="2268"/>
      </w:pPr>
      <w:r w:rsidRPr="00343132">
        <w:rPr>
          <w:b/>
        </w:rPr>
        <w:t>Suizvjestiteljica</w:t>
      </w:r>
      <w:r w:rsidR="00307A61" w:rsidRPr="00343132">
        <w:rPr>
          <w:b/>
        </w:rPr>
        <w:t>:</w:t>
      </w:r>
      <w:r w:rsidRPr="00343132">
        <w:rPr>
          <w:b/>
        </w:rPr>
        <w:tab/>
      </w:r>
      <w:r w:rsidR="00307A61" w:rsidRPr="00343132">
        <w:t>Renata EISENVORTOVA (</w:t>
      </w:r>
      <w:proofErr w:type="spellStart"/>
      <w:r w:rsidR="00307A61" w:rsidRPr="00343132">
        <w:t>Cat</w:t>
      </w:r>
      <w:proofErr w:type="spellEnd"/>
      <w:r w:rsidR="00307A61" w:rsidRPr="00343132">
        <w:t>. I – CZ)</w:t>
      </w:r>
    </w:p>
    <w:p w:rsidR="00307A61" w:rsidRPr="00343132" w:rsidRDefault="00307A61" w:rsidP="00967AC4">
      <w:pPr>
        <w:tabs>
          <w:tab w:val="left" w:pos="0"/>
        </w:tabs>
        <w:ind w:left="2268" w:hanging="2268"/>
      </w:pPr>
    </w:p>
    <w:p w:rsidR="00307A61" w:rsidRPr="00343132" w:rsidRDefault="00307A61" w:rsidP="00967AC4">
      <w:pPr>
        <w:ind w:left="2268" w:hanging="2268"/>
      </w:pPr>
      <w:r w:rsidRPr="00343132">
        <w:rPr>
          <w:b/>
        </w:rPr>
        <w:t>Referentni dokumenti:</w:t>
      </w:r>
      <w:r w:rsidR="00967AC4" w:rsidRPr="00343132">
        <w:tab/>
      </w:r>
      <w:r w:rsidRPr="00343132">
        <w:t>EESC-2015-01360-00-</w:t>
      </w:r>
      <w:proofErr w:type="spellStart"/>
      <w:r w:rsidRPr="00343132">
        <w:t>00</w:t>
      </w:r>
      <w:proofErr w:type="spellEnd"/>
      <w:r w:rsidRPr="00343132">
        <w:t>-AC</w:t>
      </w:r>
    </w:p>
    <w:p w:rsidR="00307A61" w:rsidRPr="00343132" w:rsidRDefault="00307A61" w:rsidP="00000CE8">
      <w:pPr>
        <w:tabs>
          <w:tab w:val="left" w:pos="0"/>
        </w:tabs>
        <w:ind w:left="364" w:hanging="369"/>
      </w:pPr>
    </w:p>
    <w:p w:rsidR="00307A61" w:rsidRPr="00343132" w:rsidRDefault="00307A61" w:rsidP="00000CE8">
      <w:pPr>
        <w:ind w:left="-5"/>
        <w:rPr>
          <w:b/>
        </w:rPr>
      </w:pPr>
      <w:r w:rsidRPr="00343132">
        <w:rPr>
          <w:b/>
        </w:rPr>
        <w:t>Ključne točke:</w:t>
      </w:r>
    </w:p>
    <w:p w:rsidR="003D05FE" w:rsidRPr="00343132" w:rsidRDefault="003D05FE" w:rsidP="00BD4EB5">
      <w:pPr>
        <w:keepNext/>
        <w:rPr>
          <w:b/>
          <w:highlight w:val="yellow"/>
          <w:u w:val="single"/>
        </w:rPr>
      </w:pPr>
    </w:p>
    <w:p w:rsidR="003D05FE" w:rsidRPr="00343132" w:rsidRDefault="003D05FE" w:rsidP="00000CE8">
      <w:r w:rsidRPr="00343132">
        <w:t xml:space="preserve">EGSO preporučuje </w:t>
      </w:r>
      <w:r w:rsidRPr="00343132">
        <w:rPr>
          <w:b/>
        </w:rPr>
        <w:t>realističan i pragmatičan pristup EU-ovoj energetskoj mješavini</w:t>
      </w:r>
      <w:r w:rsidRPr="00343132">
        <w:t xml:space="preserve">. Za pouzdanu opskrbu energijom koja podržava održivo gospodarstvo i štiti od energetskog siromaštva potrebni su raznoliki i cjenovno pristupačni energetski izvori. Svi izvori energije koji se koriste na ekološki prihvatljiv način mogu biti dijelom </w:t>
      </w:r>
      <w:r w:rsidRPr="00343132">
        <w:rPr>
          <w:b/>
        </w:rPr>
        <w:t>tehnološki neutralnog rješenja</w:t>
      </w:r>
      <w:r w:rsidRPr="00343132">
        <w:t>.</w:t>
      </w:r>
    </w:p>
    <w:p w:rsidR="003D05FE" w:rsidRPr="00343132" w:rsidRDefault="003D05FE" w:rsidP="00000CE8"/>
    <w:p w:rsidR="003D05FE" w:rsidRPr="00343132" w:rsidRDefault="003D05FE" w:rsidP="00000CE8">
      <w:r w:rsidRPr="00343132">
        <w:t xml:space="preserve">Upotreba antracita i lignita iz domaćih izvora </w:t>
      </w:r>
      <w:r w:rsidRPr="00343132">
        <w:rPr>
          <w:b/>
        </w:rPr>
        <w:t>smanjuje ovisnost o uvozu energije te troškove energije</w:t>
      </w:r>
      <w:r w:rsidRPr="00343132">
        <w:t xml:space="preserve">. Vađenje ugljena osigurava </w:t>
      </w:r>
      <w:r w:rsidRPr="00343132">
        <w:rPr>
          <w:b/>
        </w:rPr>
        <w:t>kvalificirana radna mjesta</w:t>
      </w:r>
      <w:r w:rsidRPr="00343132">
        <w:t xml:space="preserve"> i pomaže u razvoju </w:t>
      </w:r>
      <w:r w:rsidRPr="00343132">
        <w:rPr>
          <w:b/>
        </w:rPr>
        <w:t>rudarstva</w:t>
      </w:r>
      <w:r w:rsidRPr="00343132">
        <w:t>.</w:t>
      </w:r>
    </w:p>
    <w:p w:rsidR="003D05FE" w:rsidRPr="00343132" w:rsidRDefault="003D05FE" w:rsidP="00000CE8"/>
    <w:p w:rsidR="003D05FE" w:rsidRPr="00343132" w:rsidRDefault="003D05FE" w:rsidP="00000CE8">
      <w:r w:rsidRPr="00343132">
        <w:t xml:space="preserve">EGSO preporučuje da Europska komisija podnosi izvješća o </w:t>
      </w:r>
      <w:r w:rsidRPr="00343132">
        <w:rPr>
          <w:b/>
        </w:rPr>
        <w:t>udjelima proizvodnje energije iz domaćih izvora u energetskim mješavinama država članica</w:t>
      </w:r>
      <w:r w:rsidRPr="00343132">
        <w:t>.</w:t>
      </w:r>
    </w:p>
    <w:p w:rsidR="003D05FE" w:rsidRPr="00343132" w:rsidRDefault="003D05FE" w:rsidP="00000CE8">
      <w:pPr>
        <w:rPr>
          <w:rFonts w:eastAsia="SimSun"/>
        </w:rPr>
      </w:pPr>
    </w:p>
    <w:p w:rsidR="003D05FE" w:rsidRPr="00343132" w:rsidRDefault="003D05FE" w:rsidP="00000CE8">
      <w:r w:rsidRPr="00343132">
        <w:t xml:space="preserve">Nadalje, EGSO preporuča da se izračuna </w:t>
      </w:r>
      <w:r w:rsidRPr="00343132">
        <w:rPr>
          <w:b/>
        </w:rPr>
        <w:t>pokazatelj prilagođenih kapaciteta (</w:t>
      </w:r>
      <w:proofErr w:type="spellStart"/>
      <w:r w:rsidRPr="00343132">
        <w:rPr>
          <w:b/>
        </w:rPr>
        <w:t>eng</w:t>
      </w:r>
      <w:proofErr w:type="spellEnd"/>
      <w:r w:rsidRPr="00343132">
        <w:rPr>
          <w:b/>
        </w:rPr>
        <w:t xml:space="preserve">. </w:t>
      </w:r>
      <w:r w:rsidRPr="00343132">
        <w:rPr>
          <w:b/>
          <w:i/>
        </w:rPr>
        <w:t>de-</w:t>
      </w:r>
      <w:proofErr w:type="spellStart"/>
      <w:r w:rsidRPr="00343132">
        <w:rPr>
          <w:b/>
          <w:i/>
        </w:rPr>
        <w:t>rated</w:t>
      </w:r>
      <w:proofErr w:type="spellEnd"/>
      <w:r w:rsidRPr="00343132">
        <w:rPr>
          <w:b/>
          <w:i/>
        </w:rPr>
        <w:t xml:space="preserve"> </w:t>
      </w:r>
      <w:proofErr w:type="spellStart"/>
      <w:r w:rsidRPr="00343132">
        <w:rPr>
          <w:b/>
          <w:i/>
        </w:rPr>
        <w:t>capacity</w:t>
      </w:r>
      <w:proofErr w:type="spellEnd"/>
      <w:r w:rsidRPr="00343132">
        <w:rPr>
          <w:b/>
          <w:i/>
        </w:rPr>
        <w:t xml:space="preserve"> </w:t>
      </w:r>
      <w:proofErr w:type="spellStart"/>
      <w:r w:rsidRPr="00343132">
        <w:rPr>
          <w:b/>
          <w:i/>
        </w:rPr>
        <w:t>margin</w:t>
      </w:r>
      <w:proofErr w:type="spellEnd"/>
      <w:r w:rsidRPr="00343132">
        <w:rPr>
          <w:b/>
        </w:rPr>
        <w:t>) za sektore električne energije svake od država članica</w:t>
      </w:r>
      <w:r w:rsidRPr="00343132">
        <w:t>.</w:t>
      </w:r>
    </w:p>
    <w:p w:rsidR="003D05FE" w:rsidRPr="00343132" w:rsidRDefault="003D05FE" w:rsidP="00000CE8"/>
    <w:p w:rsidR="003D05FE" w:rsidRPr="00343132" w:rsidRDefault="003D05FE" w:rsidP="00000CE8">
      <w:r w:rsidRPr="00343132">
        <w:t xml:space="preserve">EGSO preporučuje izradu </w:t>
      </w:r>
      <w:r w:rsidRPr="00343132">
        <w:rPr>
          <w:b/>
        </w:rPr>
        <w:t>Plana za podršku zajednicama koje ovise o proizvodnji ugljena</w:t>
      </w:r>
      <w:r w:rsidRPr="00343132">
        <w:t>.</w:t>
      </w:r>
    </w:p>
    <w:p w:rsidR="003D05FE" w:rsidRPr="00343132" w:rsidRDefault="003D05FE" w:rsidP="00000CE8"/>
    <w:p w:rsidR="003D05FE" w:rsidRPr="00343132" w:rsidRDefault="003D05FE" w:rsidP="00000CE8">
      <w:r w:rsidRPr="00343132">
        <w:t xml:space="preserve">EGSO preporučuje da prioriteti programa </w:t>
      </w:r>
      <w:r w:rsidRPr="00343132">
        <w:rPr>
          <w:b/>
        </w:rPr>
        <w:t>Obzor 2020.</w:t>
      </w:r>
      <w:r w:rsidRPr="00343132">
        <w:t xml:space="preserve"> za istraživanja i inovacije uključe energetske </w:t>
      </w:r>
      <w:r w:rsidRPr="00343132">
        <w:rPr>
          <w:b/>
        </w:rPr>
        <w:t>tehnologije koje povećavaju energetsku sigurnost i učinkovitost</w:t>
      </w:r>
      <w:r w:rsidRPr="00343132">
        <w:t>.</w:t>
      </w:r>
    </w:p>
    <w:p w:rsidR="003D05FE" w:rsidRPr="00343132" w:rsidRDefault="003D05FE" w:rsidP="00000CE8"/>
    <w:p w:rsidR="003D05FE" w:rsidRPr="00343132" w:rsidRDefault="003D05FE" w:rsidP="00000CE8">
      <w:r w:rsidRPr="00343132">
        <w:t xml:space="preserve">Kako bi se ubrzala tranzicija prema </w:t>
      </w:r>
      <w:r w:rsidRPr="00343132">
        <w:rPr>
          <w:b/>
        </w:rPr>
        <w:t>gospodarstvu s niskim emisijama</w:t>
      </w:r>
      <w:r w:rsidRPr="00343132">
        <w:t>, EGSO preporučuje strategiju od tri koraka:</w:t>
      </w:r>
    </w:p>
    <w:p w:rsidR="003D05FE" w:rsidRPr="00343132" w:rsidRDefault="003D05FE" w:rsidP="00000CE8"/>
    <w:p w:rsidR="003D05FE" w:rsidRPr="00343132" w:rsidRDefault="003D05FE" w:rsidP="00000CE8">
      <w:pPr>
        <w:numPr>
          <w:ilvl w:val="0"/>
          <w:numId w:val="4"/>
        </w:numPr>
        <w:ind w:left="1089"/>
      </w:pPr>
      <w:r w:rsidRPr="00343132">
        <w:t>zamjena i modernizacija starijih elektrana na ugljen radi poboljšanja učinkovitosti, smanjenja potrošnje goriva i smanjenja emisija;</w:t>
      </w:r>
    </w:p>
    <w:p w:rsidR="003D05FE" w:rsidRPr="00343132" w:rsidRDefault="003D05FE" w:rsidP="00000CE8">
      <w:pPr>
        <w:numPr>
          <w:ilvl w:val="0"/>
          <w:numId w:val="4"/>
        </w:numPr>
        <w:ind w:left="1089"/>
      </w:pPr>
      <w:r w:rsidRPr="00343132">
        <w:t>daljnje istraživanje i razvoj sljedeće generacije visoko učinkovitih elektrana na ugljen s niskom razinom emisija koje svojom fleksibilnošću mogu poslužiti kao dopuna obnovljivim izvorima energije;</w:t>
      </w:r>
    </w:p>
    <w:p w:rsidR="003D05FE" w:rsidRPr="00343132" w:rsidRDefault="003D05FE" w:rsidP="00000CE8">
      <w:pPr>
        <w:numPr>
          <w:ilvl w:val="0"/>
          <w:numId w:val="4"/>
        </w:numPr>
        <w:ind w:left="1089"/>
      </w:pPr>
      <w:r w:rsidRPr="00343132">
        <w:lastRenderedPageBreak/>
        <w:t>demonstracija i primjena hvatanja i skladištenja ugljika kako bi se taj paket tehnologija učinio konkurentnim u stvaranju pouzdane električne energije iz ugljena uz nisku razinu emisija.</w:t>
      </w:r>
    </w:p>
    <w:p w:rsidR="003D05FE" w:rsidRPr="00343132" w:rsidRDefault="003D05FE" w:rsidP="00000CE8">
      <w:pPr>
        <w:ind w:left="-567"/>
      </w:pPr>
    </w:p>
    <w:p w:rsidR="003D05FE" w:rsidRPr="00343132" w:rsidRDefault="003D05FE" w:rsidP="00000CE8">
      <w:pPr>
        <w:rPr>
          <w:i/>
        </w:rPr>
      </w:pPr>
      <w:r w:rsidRPr="00343132">
        <w:rPr>
          <w:b/>
          <w:i/>
        </w:rPr>
        <w:t>Kontakt:</w:t>
      </w:r>
      <w:r w:rsidRPr="00343132">
        <w:tab/>
      </w:r>
      <w:r w:rsidRPr="00343132">
        <w:rPr>
          <w:i/>
        </w:rPr>
        <w:t xml:space="preserve">Adam </w:t>
      </w:r>
      <w:proofErr w:type="spellStart"/>
      <w:r w:rsidRPr="00343132">
        <w:rPr>
          <w:i/>
        </w:rPr>
        <w:t>Plezer</w:t>
      </w:r>
      <w:proofErr w:type="spellEnd"/>
    </w:p>
    <w:p w:rsidR="003D05FE" w:rsidRPr="00343132" w:rsidRDefault="006F0D9E" w:rsidP="00000CE8">
      <w:pPr>
        <w:rPr>
          <w:i/>
        </w:rPr>
      </w:pPr>
      <w:r w:rsidRPr="00343132">
        <w:tab/>
      </w:r>
      <w:r w:rsidRPr="00343132">
        <w:tab/>
      </w:r>
      <w:r w:rsidRPr="00343132">
        <w:rPr>
          <w:i/>
        </w:rPr>
        <w:t xml:space="preserve">(Tel.: 00 32 2 546 86 28 – e-mail: </w:t>
      </w:r>
      <w:hyperlink r:id="rId35">
        <w:r w:rsidRPr="00343132">
          <w:rPr>
            <w:rStyle w:val="Hyperlink"/>
            <w:i/>
          </w:rPr>
          <w:t>Adam.Plezer@eesc.europa.eu</w:t>
        </w:r>
      </w:hyperlink>
      <w:r w:rsidRPr="00343132">
        <w:rPr>
          <w:i/>
        </w:rPr>
        <w:t>)</w:t>
      </w:r>
    </w:p>
    <w:p w:rsidR="00DE59B3" w:rsidRPr="00343132" w:rsidRDefault="00DE59B3" w:rsidP="00000CE8">
      <w:pPr>
        <w:spacing w:line="240" w:lineRule="auto"/>
        <w:jc w:val="left"/>
      </w:pPr>
      <w:r w:rsidRPr="00343132">
        <w:br w:type="page"/>
      </w:r>
    </w:p>
    <w:p w:rsidR="00900EA0" w:rsidRPr="00343132" w:rsidRDefault="00900EA0" w:rsidP="00000CE8">
      <w:pPr>
        <w:keepNext/>
        <w:keepLines/>
        <w:numPr>
          <w:ilvl w:val="0"/>
          <w:numId w:val="2"/>
        </w:numPr>
        <w:ind w:hanging="720"/>
        <w:jc w:val="left"/>
        <w:outlineLvl w:val="0"/>
        <w:rPr>
          <w:b/>
          <w:sz w:val="28"/>
        </w:rPr>
      </w:pPr>
      <w:bookmarkStart w:id="12" w:name="_Toc437942488"/>
      <w:bookmarkStart w:id="13" w:name="_Toc439931969"/>
      <w:r w:rsidRPr="00343132">
        <w:rPr>
          <w:b/>
          <w:sz w:val="28"/>
        </w:rPr>
        <w:lastRenderedPageBreak/>
        <w:t>INDUSTRIJA / INOVACIJE</w:t>
      </w:r>
      <w:bookmarkEnd w:id="12"/>
      <w:bookmarkEnd w:id="13"/>
    </w:p>
    <w:p w:rsidR="00DE59B3" w:rsidRPr="00343132" w:rsidRDefault="00DE59B3" w:rsidP="00BD4EB5">
      <w:pPr>
        <w:keepNext/>
        <w:rPr>
          <w:b/>
          <w:u w:val="single"/>
        </w:rPr>
      </w:pPr>
    </w:p>
    <w:p w:rsidR="00DE59B3" w:rsidRPr="00343132" w:rsidRDefault="00DE59B3" w:rsidP="00000CE8">
      <w:pPr>
        <w:numPr>
          <w:ilvl w:val="0"/>
          <w:numId w:val="3"/>
        </w:numPr>
        <w:rPr>
          <w:b/>
          <w:i/>
          <w:sz w:val="28"/>
        </w:rPr>
      </w:pPr>
      <w:r w:rsidRPr="00343132">
        <w:rPr>
          <w:b/>
          <w:i/>
          <w:sz w:val="28"/>
        </w:rPr>
        <w:t xml:space="preserve">Uloga inženjera u </w:t>
      </w:r>
      <w:proofErr w:type="spellStart"/>
      <w:r w:rsidRPr="00343132">
        <w:rPr>
          <w:b/>
          <w:i/>
          <w:sz w:val="28"/>
        </w:rPr>
        <w:t>reindustrijalizaciji</w:t>
      </w:r>
      <w:proofErr w:type="spellEnd"/>
      <w:r w:rsidRPr="00343132">
        <w:rPr>
          <w:b/>
          <w:i/>
          <w:sz w:val="28"/>
        </w:rPr>
        <w:t xml:space="preserve"> Europe (samoinicijativno mišljenje)</w:t>
      </w:r>
    </w:p>
    <w:p w:rsidR="00DE59B3" w:rsidRPr="00343132" w:rsidRDefault="00DE59B3" w:rsidP="00000CE8">
      <w:pPr>
        <w:ind w:left="-39"/>
        <w:rPr>
          <w:b/>
          <w:i/>
        </w:rPr>
      </w:pPr>
    </w:p>
    <w:p w:rsidR="00DE59B3" w:rsidRPr="00343132" w:rsidRDefault="00DE59B3" w:rsidP="00841497">
      <w:pPr>
        <w:ind w:left="2268" w:hanging="2268"/>
        <w:rPr>
          <w:b/>
          <w:vertAlign w:val="superscript"/>
        </w:rPr>
      </w:pPr>
      <w:r w:rsidRPr="00343132">
        <w:rPr>
          <w:b/>
        </w:rPr>
        <w:t>Izvjestitelj:</w:t>
      </w:r>
      <w:r w:rsidRPr="00343132">
        <w:tab/>
        <w:t>Antonello</w:t>
      </w:r>
      <w:r w:rsidRPr="00343132">
        <w:rPr>
          <w:vertAlign w:val="superscript"/>
        </w:rPr>
        <w:t xml:space="preserve"> </w:t>
      </w:r>
      <w:r w:rsidRPr="00343132">
        <w:rPr>
          <w:color w:val="00000A"/>
        </w:rPr>
        <w:t>PEZZINI (Skupina poslodavaca – IT)</w:t>
      </w:r>
    </w:p>
    <w:p w:rsidR="006F0D9E" w:rsidRPr="00343132" w:rsidRDefault="006F0D9E" w:rsidP="00841497">
      <w:pPr>
        <w:ind w:left="2268" w:hanging="2268"/>
        <w:rPr>
          <w:b/>
        </w:rPr>
      </w:pPr>
    </w:p>
    <w:p w:rsidR="00DE59B3" w:rsidRPr="00343132" w:rsidRDefault="00DE59B3" w:rsidP="00841497">
      <w:pPr>
        <w:ind w:left="2268" w:hanging="2268"/>
      </w:pPr>
      <w:r w:rsidRPr="00343132">
        <w:rPr>
          <w:b/>
        </w:rPr>
        <w:t>Suizvjestitelj</w:t>
      </w:r>
      <w:r w:rsidRPr="00343132">
        <w:t>:</w:t>
      </w:r>
      <w:r w:rsidR="00841497" w:rsidRPr="00343132">
        <w:tab/>
      </w:r>
      <w:proofErr w:type="spellStart"/>
      <w:r w:rsidRPr="00343132">
        <w:rPr>
          <w:color w:val="000000"/>
        </w:rPr>
        <w:t>Zbigniew</w:t>
      </w:r>
      <w:proofErr w:type="spellEnd"/>
      <w:r w:rsidRPr="00343132">
        <w:rPr>
          <w:color w:val="00000A"/>
        </w:rPr>
        <w:t xml:space="preserve"> KOTOWSKI (</w:t>
      </w:r>
      <w:proofErr w:type="spellStart"/>
      <w:r w:rsidRPr="00343132">
        <w:rPr>
          <w:color w:val="00000A"/>
        </w:rPr>
        <w:t>Cat</w:t>
      </w:r>
      <w:proofErr w:type="spellEnd"/>
      <w:r w:rsidRPr="00343132">
        <w:rPr>
          <w:color w:val="00000A"/>
        </w:rPr>
        <w:t>. 3 – PL)</w:t>
      </w:r>
    </w:p>
    <w:p w:rsidR="00DE59B3" w:rsidRPr="00343132" w:rsidRDefault="00DE59B3" w:rsidP="00841497">
      <w:pPr>
        <w:tabs>
          <w:tab w:val="left" w:pos="0"/>
        </w:tabs>
        <w:ind w:left="2268" w:hanging="2268"/>
      </w:pPr>
    </w:p>
    <w:p w:rsidR="00DE59B3" w:rsidRPr="00343132" w:rsidRDefault="00DE59B3" w:rsidP="00841497">
      <w:pPr>
        <w:ind w:left="2268" w:hanging="2268"/>
      </w:pPr>
      <w:r w:rsidRPr="00343132">
        <w:rPr>
          <w:b/>
        </w:rPr>
        <w:t>Referentni dokumenti:</w:t>
      </w:r>
      <w:r w:rsidRPr="00343132">
        <w:tab/>
        <w:t>EESC-2015-01068-00-</w:t>
      </w:r>
      <w:proofErr w:type="spellStart"/>
      <w:r w:rsidRPr="00343132">
        <w:t>00</w:t>
      </w:r>
      <w:proofErr w:type="spellEnd"/>
      <w:r w:rsidRPr="00343132">
        <w:t>-AC</w:t>
      </w:r>
    </w:p>
    <w:p w:rsidR="00DE59B3" w:rsidRPr="00343132" w:rsidRDefault="00DE59B3" w:rsidP="00000CE8">
      <w:pPr>
        <w:ind w:left="-39"/>
      </w:pPr>
    </w:p>
    <w:p w:rsidR="00DE59B3" w:rsidRPr="00343132" w:rsidRDefault="00DE59B3" w:rsidP="00BD4EB5">
      <w:pPr>
        <w:keepNext/>
        <w:ind w:left="-6"/>
        <w:rPr>
          <w:b/>
        </w:rPr>
      </w:pPr>
      <w:r w:rsidRPr="00343132">
        <w:rPr>
          <w:b/>
        </w:rPr>
        <w:t>Ključne točke:</w:t>
      </w:r>
    </w:p>
    <w:p w:rsidR="0019516A" w:rsidRPr="00343132" w:rsidRDefault="0019516A" w:rsidP="00BD4EB5">
      <w:pPr>
        <w:keepNext/>
        <w:rPr>
          <w:highlight w:val="yellow"/>
        </w:rPr>
      </w:pPr>
    </w:p>
    <w:p w:rsidR="003D05FE" w:rsidRPr="00343132" w:rsidRDefault="003D05FE" w:rsidP="00BD4EB5">
      <w:pPr>
        <w:rPr>
          <w:color w:val="00000A"/>
        </w:rPr>
      </w:pPr>
      <w:r w:rsidRPr="00343132">
        <w:t xml:space="preserve">EGSO smatra da su europski inženjeri i tehničari, kao i njihove nacionalne i europske organizacije, temeljni resurs u europskoj </w:t>
      </w:r>
      <w:proofErr w:type="spellStart"/>
      <w:r w:rsidRPr="00343132">
        <w:t>reindustrijalizaciji</w:t>
      </w:r>
      <w:proofErr w:type="spellEnd"/>
      <w:r w:rsidRPr="00343132">
        <w:t>.</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 xml:space="preserve">Gospodarski razvoj Europske unije sve je više povezan s procesom </w:t>
      </w:r>
      <w:proofErr w:type="spellStart"/>
      <w:r w:rsidRPr="00343132">
        <w:rPr>
          <w:color w:val="00000A"/>
        </w:rPr>
        <w:t>reindustrijalizacije</w:t>
      </w:r>
      <w:proofErr w:type="spellEnd"/>
      <w:r w:rsidRPr="00343132">
        <w:rPr>
          <w:color w:val="00000A"/>
        </w:rPr>
        <w:t>.</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 xml:space="preserve">EGSO preporučuje promicanje </w:t>
      </w:r>
      <w:r w:rsidRPr="00343132">
        <w:rPr>
          <w:b/>
          <w:color w:val="00000A"/>
        </w:rPr>
        <w:t>europske kulture poduzetništva</w:t>
      </w:r>
      <w:r w:rsidRPr="00343132">
        <w:rPr>
          <w:color w:val="00000A"/>
        </w:rPr>
        <w:t xml:space="preserve"> i inovacija i pokretanje konkretnih inicijativa kako bi se podigla vrijednost inženjerskih i tehničkih zanimanja.</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 xml:space="preserve">EGSO podržava potrebu stvaranja </w:t>
      </w:r>
      <w:r w:rsidRPr="00343132">
        <w:rPr>
          <w:b/>
          <w:color w:val="00000A"/>
        </w:rPr>
        <w:t>usklađenog europskog okvira</w:t>
      </w:r>
      <w:r w:rsidRPr="00343132">
        <w:rPr>
          <w:color w:val="00000A"/>
        </w:rPr>
        <w:t xml:space="preserve"> u svrhu poticanja tog zanimanja.</w:t>
      </w:r>
    </w:p>
    <w:p w:rsidR="003D05FE" w:rsidRPr="00343132" w:rsidRDefault="003D05FE" w:rsidP="00BD4EB5">
      <w:pPr>
        <w:rPr>
          <w:color w:val="00000A"/>
        </w:rPr>
      </w:pPr>
    </w:p>
    <w:p w:rsidR="003D05FE" w:rsidRPr="00343132" w:rsidRDefault="003D05FE" w:rsidP="00BD4EB5">
      <w:pPr>
        <w:rPr>
          <w:color w:val="00000A"/>
        </w:rPr>
      </w:pPr>
      <w:r w:rsidRPr="00343132">
        <w:rPr>
          <w:color w:val="00000A"/>
        </w:rPr>
        <w:t>Visoka razina obrazovanja i kvalifikacija na polju inženjerstva predstavlja osnovni preduvjet za učinkovit sustav međusobnog priznavanja.</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EGSO preporučuje stvaranje europskog foruma slobodnih zanimanja.</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EGSO preporučuje Komisiji da izradi europski kodeks dobrih praksi u inženjerstvu.</w:t>
      </w:r>
    </w:p>
    <w:p w:rsidR="003D05FE" w:rsidRPr="00343132" w:rsidRDefault="003D05FE" w:rsidP="00000CE8">
      <w:pPr>
        <w:rPr>
          <w:color w:val="00000A"/>
        </w:rPr>
      </w:pPr>
    </w:p>
    <w:p w:rsidR="003D05FE" w:rsidRPr="00343132" w:rsidRDefault="003D05FE" w:rsidP="00BD4EB5">
      <w:pPr>
        <w:rPr>
          <w:color w:val="00000A"/>
        </w:rPr>
      </w:pPr>
      <w:r w:rsidRPr="00343132">
        <w:rPr>
          <w:color w:val="00000A"/>
        </w:rPr>
        <w:t xml:space="preserve">To se zanimanje mora sve više usmjeravati na rješavanje složenih problema u vezi s gospodarskom, socijalnom i okolišnom </w:t>
      </w:r>
      <w:proofErr w:type="spellStart"/>
      <w:r w:rsidRPr="00343132">
        <w:rPr>
          <w:color w:val="00000A"/>
        </w:rPr>
        <w:t>održivošću..</w:t>
      </w:r>
      <w:proofErr w:type="spellEnd"/>
      <w:r w:rsidRPr="00343132">
        <w:rPr>
          <w:color w:val="00000A"/>
        </w:rPr>
        <w:t>.</w:t>
      </w:r>
    </w:p>
    <w:p w:rsidR="003D05FE" w:rsidRPr="00343132" w:rsidRDefault="003D05FE" w:rsidP="00000CE8">
      <w:pPr>
        <w:rPr>
          <w:color w:val="00000A"/>
        </w:rPr>
      </w:pPr>
    </w:p>
    <w:p w:rsidR="00B61251" w:rsidRPr="00343132" w:rsidRDefault="003D05FE" w:rsidP="00000CE8">
      <w:pPr>
        <w:ind w:left="-39"/>
        <w:rPr>
          <w:color w:val="00000A"/>
        </w:rPr>
      </w:pPr>
      <w:r w:rsidRPr="00343132">
        <w:rPr>
          <w:b/>
          <w:i/>
        </w:rPr>
        <w:t>Kontakt:</w:t>
      </w:r>
      <w:r w:rsidRPr="00343132">
        <w:tab/>
      </w:r>
      <w:r w:rsidRPr="00343132">
        <w:rPr>
          <w:color w:val="00000A"/>
        </w:rPr>
        <w:t xml:space="preserve">Aleksandra </w:t>
      </w:r>
      <w:proofErr w:type="spellStart"/>
      <w:r w:rsidRPr="00343132">
        <w:rPr>
          <w:color w:val="00000A"/>
        </w:rPr>
        <w:t>Wieczorek</w:t>
      </w:r>
      <w:proofErr w:type="spellEnd"/>
    </w:p>
    <w:p w:rsidR="00B61251" w:rsidRPr="00343132" w:rsidRDefault="006F0D9E" w:rsidP="00000CE8">
      <w:pPr>
        <w:ind w:left="-39"/>
        <w:rPr>
          <w:i/>
        </w:rPr>
      </w:pPr>
      <w:r w:rsidRPr="00343132">
        <w:tab/>
      </w:r>
      <w:r w:rsidRPr="00343132">
        <w:tab/>
      </w:r>
      <w:r w:rsidRPr="00343132">
        <w:tab/>
      </w:r>
      <w:r w:rsidRPr="00343132">
        <w:rPr>
          <w:i/>
        </w:rPr>
        <w:t xml:space="preserve">(Tel.: 00 32 2 546 93 89 – </w:t>
      </w:r>
      <w:proofErr w:type="spellStart"/>
      <w:r w:rsidRPr="00343132">
        <w:rPr>
          <w:i/>
        </w:rPr>
        <w:t>email</w:t>
      </w:r>
      <w:proofErr w:type="spellEnd"/>
      <w:r w:rsidRPr="00343132">
        <w:rPr>
          <w:i/>
        </w:rPr>
        <w:t xml:space="preserve">: </w:t>
      </w:r>
      <w:hyperlink r:id="rId36">
        <w:r w:rsidRPr="00343132">
          <w:rPr>
            <w:rStyle w:val="Hyperlink"/>
            <w:i/>
          </w:rPr>
          <w:t>Aleksandra.Wieczorek@eesc.europa.eu</w:t>
        </w:r>
      </w:hyperlink>
      <w:r w:rsidRPr="00343132">
        <w:rPr>
          <w:i/>
        </w:rPr>
        <w:t>)</w:t>
      </w:r>
    </w:p>
    <w:p w:rsidR="003D05FE" w:rsidRPr="00343132" w:rsidRDefault="003D05FE" w:rsidP="00000CE8">
      <w:pPr>
        <w:ind w:left="-39"/>
        <w:rPr>
          <w:color w:val="00000A"/>
        </w:rPr>
      </w:pPr>
      <w:r w:rsidRPr="00343132">
        <w:br w:type="page"/>
      </w:r>
    </w:p>
    <w:p w:rsidR="00DE59B3" w:rsidRPr="00343132" w:rsidRDefault="00DE59B3" w:rsidP="00000CE8">
      <w:pPr>
        <w:numPr>
          <w:ilvl w:val="0"/>
          <w:numId w:val="3"/>
        </w:numPr>
        <w:rPr>
          <w:b/>
          <w:i/>
          <w:sz w:val="28"/>
        </w:rPr>
      </w:pPr>
      <w:proofErr w:type="spellStart"/>
      <w:r w:rsidRPr="00343132">
        <w:rPr>
          <w:b/>
          <w:i/>
          <w:sz w:val="28"/>
        </w:rPr>
        <w:lastRenderedPageBreak/>
        <w:t>Nanotehnologija</w:t>
      </w:r>
      <w:proofErr w:type="spellEnd"/>
      <w:r w:rsidRPr="00343132">
        <w:rPr>
          <w:b/>
          <w:i/>
          <w:sz w:val="28"/>
        </w:rPr>
        <w:t xml:space="preserve"> za konkurentnu kemijsku industriju (samoinicijativno mišljenje)</w:t>
      </w:r>
    </w:p>
    <w:p w:rsidR="00DE59B3" w:rsidRPr="00343132" w:rsidRDefault="00DE59B3" w:rsidP="00841497">
      <w:pPr>
        <w:spacing w:line="20" w:lineRule="atLeast"/>
        <w:ind w:left="-39"/>
        <w:rPr>
          <w:b/>
          <w:i/>
        </w:rPr>
      </w:pPr>
    </w:p>
    <w:p w:rsidR="006F0D9E" w:rsidRPr="00343132" w:rsidRDefault="00DE59B3" w:rsidP="00841497">
      <w:pPr>
        <w:ind w:left="2268" w:hanging="2268"/>
      </w:pPr>
      <w:r w:rsidRPr="00343132">
        <w:rPr>
          <w:b/>
        </w:rPr>
        <w:t>Izvjestitelj:</w:t>
      </w:r>
      <w:r w:rsidRPr="00343132">
        <w:tab/>
      </w:r>
      <w:proofErr w:type="spellStart"/>
      <w:r w:rsidRPr="00343132">
        <w:t>Egbert</w:t>
      </w:r>
      <w:proofErr w:type="spellEnd"/>
      <w:r w:rsidRPr="00343132">
        <w:t xml:space="preserve"> BIERMANN (Skupina radnika – DE)</w:t>
      </w:r>
    </w:p>
    <w:p w:rsidR="006F0D9E" w:rsidRPr="00343132" w:rsidRDefault="006F0D9E" w:rsidP="00841497">
      <w:pPr>
        <w:spacing w:line="20" w:lineRule="atLeast"/>
        <w:ind w:left="2268" w:hanging="2268"/>
      </w:pPr>
    </w:p>
    <w:p w:rsidR="00DE59B3" w:rsidRPr="00343132" w:rsidRDefault="006F0D9E" w:rsidP="00841497">
      <w:pPr>
        <w:ind w:left="2268" w:hanging="2268"/>
        <w:rPr>
          <w:b/>
          <w:vertAlign w:val="superscript"/>
        </w:rPr>
      </w:pPr>
      <w:r w:rsidRPr="00343132">
        <w:rPr>
          <w:b/>
        </w:rPr>
        <w:t>Suizvjestitelj:</w:t>
      </w:r>
      <w:r w:rsidRPr="00343132">
        <w:tab/>
      </w:r>
      <w:proofErr w:type="spellStart"/>
      <w:r w:rsidRPr="00343132">
        <w:t>Tautvydas</w:t>
      </w:r>
      <w:proofErr w:type="spellEnd"/>
      <w:r w:rsidRPr="00343132">
        <w:t xml:space="preserve"> MISIUNAS (LT – </w:t>
      </w:r>
      <w:proofErr w:type="spellStart"/>
      <w:r w:rsidRPr="00343132">
        <w:t>Cat</w:t>
      </w:r>
      <w:proofErr w:type="spellEnd"/>
      <w:r w:rsidRPr="00343132">
        <w:t>. 1)</w:t>
      </w:r>
    </w:p>
    <w:p w:rsidR="00DE59B3" w:rsidRPr="00343132" w:rsidRDefault="00DE59B3" w:rsidP="00841497">
      <w:pPr>
        <w:spacing w:line="20" w:lineRule="atLeast"/>
        <w:ind w:left="2268" w:hanging="2268"/>
      </w:pPr>
    </w:p>
    <w:p w:rsidR="00DE59B3" w:rsidRPr="00343132" w:rsidRDefault="00DE59B3" w:rsidP="00841497">
      <w:pPr>
        <w:ind w:left="2268" w:hanging="2268"/>
      </w:pPr>
      <w:r w:rsidRPr="00343132">
        <w:rPr>
          <w:b/>
        </w:rPr>
        <w:t>Referentni dokumenti:</w:t>
      </w:r>
      <w:r w:rsidRPr="00343132">
        <w:tab/>
        <w:t>EESC-2015-03991-00-</w:t>
      </w:r>
      <w:proofErr w:type="spellStart"/>
      <w:r w:rsidRPr="00343132">
        <w:t>00</w:t>
      </w:r>
      <w:proofErr w:type="spellEnd"/>
      <w:r w:rsidRPr="00343132">
        <w:t>-AC</w:t>
      </w:r>
    </w:p>
    <w:p w:rsidR="006F0D9E" w:rsidRPr="00343132" w:rsidRDefault="006F0D9E" w:rsidP="00841497">
      <w:pPr>
        <w:spacing w:line="20" w:lineRule="atLeast"/>
        <w:ind w:left="-5"/>
      </w:pPr>
    </w:p>
    <w:p w:rsidR="00DE59B3" w:rsidRPr="00343132" w:rsidRDefault="00DE59B3" w:rsidP="00BD4EB5">
      <w:pPr>
        <w:keepNext/>
        <w:ind w:left="-6"/>
        <w:rPr>
          <w:b/>
        </w:rPr>
      </w:pPr>
      <w:r w:rsidRPr="00343132">
        <w:rPr>
          <w:b/>
        </w:rPr>
        <w:t>Ključne točke:</w:t>
      </w:r>
    </w:p>
    <w:p w:rsidR="00DE59B3" w:rsidRPr="00343132" w:rsidRDefault="00DE59B3" w:rsidP="00841497">
      <w:pPr>
        <w:keepNext/>
        <w:spacing w:line="20" w:lineRule="atLeast"/>
        <w:ind w:left="-6"/>
      </w:pPr>
    </w:p>
    <w:p w:rsidR="00DE59B3" w:rsidRPr="00343132" w:rsidRDefault="00DE59B3" w:rsidP="00000CE8">
      <w:pPr>
        <w:rPr>
          <w:color w:val="00000A"/>
        </w:rPr>
      </w:pPr>
      <w:r w:rsidRPr="00343132">
        <w:rPr>
          <w:color w:val="00000A"/>
        </w:rPr>
        <w:t xml:space="preserve">EGSO podržava aktivnosti za oblikovanje europske industrijske politike, posebice za poticanje ključnih tehnologija koje jačaju našu konkurentnost. Pritom veliku ulogu – posebice u kemijskoj industriji – ima inovativni kapacitet </w:t>
      </w:r>
      <w:proofErr w:type="spellStart"/>
      <w:r w:rsidRPr="00343132">
        <w:rPr>
          <w:color w:val="00000A"/>
        </w:rPr>
        <w:t>nanomaterijala</w:t>
      </w:r>
      <w:proofErr w:type="spellEnd"/>
      <w:r w:rsidRPr="00343132">
        <w:rPr>
          <w:color w:val="00000A"/>
        </w:rPr>
        <w:t xml:space="preserve"> i </w:t>
      </w:r>
      <w:proofErr w:type="spellStart"/>
      <w:r w:rsidRPr="00343132">
        <w:rPr>
          <w:color w:val="00000A"/>
        </w:rPr>
        <w:t>nanotehnologije</w:t>
      </w:r>
      <w:proofErr w:type="spellEnd"/>
      <w:r w:rsidRPr="00343132">
        <w:rPr>
          <w:color w:val="00000A"/>
        </w:rPr>
        <w:t>.</w:t>
      </w:r>
    </w:p>
    <w:p w:rsidR="00DE59B3" w:rsidRPr="00343132" w:rsidRDefault="00DE59B3" w:rsidP="00841497">
      <w:pPr>
        <w:spacing w:line="20" w:lineRule="atLeast"/>
        <w:rPr>
          <w:color w:val="00000A"/>
        </w:rPr>
      </w:pPr>
    </w:p>
    <w:p w:rsidR="00DE59B3" w:rsidRPr="00343132" w:rsidRDefault="00DE59B3" w:rsidP="00000CE8">
      <w:pPr>
        <w:rPr>
          <w:color w:val="00000A"/>
        </w:rPr>
      </w:pPr>
      <w:r w:rsidRPr="00343132">
        <w:rPr>
          <w:color w:val="00000A"/>
        </w:rPr>
        <w:t>Istraživanje i razvoj u tolikoj su mjeri složeni da ih pojedinačna poduzeća ili ustanove ne mogu ostvariti sami. Za to je nužna sveobuhvatna suradnja između sveučilišta, znanstvenih ustanova, poduzeća i poduzetničkih inkubatora. Pritom treba osigurati integraciju malih i srednjih poduzeća.</w:t>
      </w:r>
    </w:p>
    <w:p w:rsidR="00DE59B3" w:rsidRPr="00343132" w:rsidRDefault="00DE59B3" w:rsidP="00841497">
      <w:pPr>
        <w:spacing w:line="20" w:lineRule="atLeast"/>
        <w:rPr>
          <w:color w:val="00000A"/>
        </w:rPr>
      </w:pPr>
    </w:p>
    <w:p w:rsidR="007738AC" w:rsidRPr="00343132" w:rsidRDefault="00DE59B3" w:rsidP="00000CE8">
      <w:pPr>
        <w:rPr>
          <w:color w:val="00000A"/>
        </w:rPr>
      </w:pPr>
      <w:r w:rsidRPr="00343132">
        <w:rPr>
          <w:color w:val="00000A"/>
        </w:rPr>
        <w:t xml:space="preserve">Za potrebe </w:t>
      </w:r>
      <w:proofErr w:type="spellStart"/>
      <w:r w:rsidRPr="00343132">
        <w:rPr>
          <w:color w:val="00000A"/>
        </w:rPr>
        <w:t>nanotehnologije</w:t>
      </w:r>
      <w:proofErr w:type="spellEnd"/>
      <w:r w:rsidRPr="00343132">
        <w:rPr>
          <w:color w:val="00000A"/>
        </w:rPr>
        <w:t xml:space="preserve"> nužan je daljnji razvoj europskih </w:t>
      </w:r>
      <w:proofErr w:type="spellStart"/>
      <w:r w:rsidRPr="00343132">
        <w:rPr>
          <w:color w:val="00000A"/>
        </w:rPr>
        <w:t>klastera</w:t>
      </w:r>
      <w:proofErr w:type="spellEnd"/>
      <w:r w:rsidRPr="00343132">
        <w:rPr>
          <w:color w:val="00000A"/>
        </w:rPr>
        <w:t xml:space="preserve"> izvrsnosti (</w:t>
      </w:r>
      <w:proofErr w:type="spellStart"/>
      <w:r w:rsidRPr="00343132">
        <w:rPr>
          <w:color w:val="00000A"/>
        </w:rPr>
        <w:t>nanoklastera</w:t>
      </w:r>
      <w:proofErr w:type="spellEnd"/>
      <w:r w:rsidRPr="00343132">
        <w:rPr>
          <w:color w:val="00000A"/>
        </w:rPr>
        <w:t>).</w:t>
      </w:r>
    </w:p>
    <w:p w:rsidR="00DE59B3" w:rsidRPr="00343132" w:rsidRDefault="00DE59B3" w:rsidP="00841497">
      <w:pPr>
        <w:spacing w:line="20" w:lineRule="atLeast"/>
        <w:rPr>
          <w:color w:val="00000A"/>
        </w:rPr>
      </w:pPr>
    </w:p>
    <w:p w:rsidR="00DE59B3" w:rsidRPr="00343132" w:rsidRDefault="00DE59B3" w:rsidP="00000CE8">
      <w:pPr>
        <w:rPr>
          <w:color w:val="00000A"/>
        </w:rPr>
      </w:pPr>
      <w:r w:rsidRPr="00343132">
        <w:rPr>
          <w:color w:val="00000A"/>
        </w:rPr>
        <w:t xml:space="preserve">Instrumente financiranja iz okvirnog istraživačkog programa Obzor 2020. u području </w:t>
      </w:r>
      <w:proofErr w:type="spellStart"/>
      <w:r w:rsidRPr="00343132">
        <w:rPr>
          <w:color w:val="00000A"/>
        </w:rPr>
        <w:t>nanotehnologije</w:t>
      </w:r>
      <w:proofErr w:type="spellEnd"/>
      <w:r w:rsidRPr="00343132">
        <w:rPr>
          <w:color w:val="00000A"/>
        </w:rPr>
        <w:t xml:space="preserve"> potrebno je oblikovati na jednostavniji i fleksibilniji način, prije svega za potrebe malih i srednjih poduzeća. Mora se ustaliti financiranje javnim sredstvima te poticati mobiliziranje privatnih sredstava.</w:t>
      </w:r>
    </w:p>
    <w:p w:rsidR="00DE59B3" w:rsidRPr="00343132" w:rsidRDefault="00DE59B3" w:rsidP="00841497">
      <w:pPr>
        <w:spacing w:line="20" w:lineRule="atLeast"/>
        <w:rPr>
          <w:color w:val="00000A"/>
        </w:rPr>
      </w:pPr>
    </w:p>
    <w:p w:rsidR="00DE59B3" w:rsidRPr="00343132" w:rsidRDefault="00DE59B3" w:rsidP="00000CE8">
      <w:pPr>
        <w:rPr>
          <w:color w:val="00000A"/>
        </w:rPr>
      </w:pPr>
      <w:r w:rsidRPr="00343132">
        <w:rPr>
          <w:color w:val="00000A"/>
        </w:rPr>
        <w:t>Istodobno, na sve veću potrebu za kvalificiranom radnom snagom poduzeća moraju reagirati ciljanim mjerama za obuku i daljnje obrazovanje svojih zaposlenika. U to treba uključiti zaposlenike, koristeći njihovo iskustvo i vještine.</w:t>
      </w:r>
    </w:p>
    <w:p w:rsidR="00DE59B3" w:rsidRPr="00343132" w:rsidRDefault="00DE59B3" w:rsidP="00841497">
      <w:pPr>
        <w:spacing w:line="20" w:lineRule="atLeast"/>
        <w:rPr>
          <w:color w:val="00000A"/>
        </w:rPr>
      </w:pPr>
    </w:p>
    <w:p w:rsidR="00DE59B3" w:rsidRPr="00343132" w:rsidRDefault="00DE59B3" w:rsidP="00000CE8">
      <w:pPr>
        <w:rPr>
          <w:color w:val="00000A"/>
        </w:rPr>
      </w:pPr>
      <w:r w:rsidRPr="00343132">
        <w:rPr>
          <w:color w:val="00000A"/>
        </w:rPr>
        <w:t>I dalje treba poticati proces standardizacije na razini EU-a. Norme igraju ključnu ulogu za poštovanje zakonodavstva, posebno kada se zbog sigurnosti zaposlenika iziskuje procjena rizika.</w:t>
      </w:r>
    </w:p>
    <w:p w:rsidR="00DE59B3" w:rsidRPr="00343132" w:rsidRDefault="00DE59B3" w:rsidP="00841497">
      <w:pPr>
        <w:spacing w:line="20" w:lineRule="atLeast"/>
        <w:rPr>
          <w:color w:val="00000A"/>
        </w:rPr>
      </w:pPr>
    </w:p>
    <w:p w:rsidR="00DE59B3" w:rsidRPr="00343132" w:rsidRDefault="00DE59B3" w:rsidP="00000CE8">
      <w:pPr>
        <w:rPr>
          <w:color w:val="00000A"/>
        </w:rPr>
      </w:pPr>
      <w:r w:rsidRPr="00343132">
        <w:rPr>
          <w:color w:val="00000A"/>
        </w:rPr>
        <w:t xml:space="preserve">Potrošači moraju dobivati sveobuhvatne informacije o </w:t>
      </w:r>
      <w:proofErr w:type="spellStart"/>
      <w:r w:rsidRPr="00343132">
        <w:rPr>
          <w:color w:val="00000A"/>
        </w:rPr>
        <w:t>nanomaterijalima</w:t>
      </w:r>
      <w:proofErr w:type="spellEnd"/>
      <w:r w:rsidRPr="00343132">
        <w:rPr>
          <w:color w:val="00000A"/>
        </w:rPr>
        <w:t>. Od presudne je važnosti društveno poticanje prihvaćanja ove ključne tehnologije. U tu svrhu potrebno je osmisliti informativne platforme i instrumente za prihvaćanje diljem Europe.</w:t>
      </w:r>
    </w:p>
    <w:p w:rsidR="00DE59B3" w:rsidRPr="00343132" w:rsidRDefault="00DE59B3" w:rsidP="00841497">
      <w:pPr>
        <w:spacing w:line="20" w:lineRule="atLeast"/>
        <w:rPr>
          <w:color w:val="00000A"/>
        </w:rPr>
      </w:pPr>
    </w:p>
    <w:p w:rsidR="00DE59B3" w:rsidRPr="00343132" w:rsidRDefault="00DE59B3" w:rsidP="00000CE8">
      <w:r w:rsidRPr="00343132">
        <w:t xml:space="preserve">EGSO od Europske komisije očekuje da prati i ocjenjuje učinke tih procesa na zapošljavanje i tržište rada te iznosi političke, gospodarske i socijalne zaključke koji se iz njih mogu izvući. Prije 2020. godine treba izraditi aktualno izvješće o </w:t>
      </w:r>
      <w:proofErr w:type="spellStart"/>
      <w:r w:rsidRPr="00343132">
        <w:t>nanomaterijalima</w:t>
      </w:r>
      <w:proofErr w:type="spellEnd"/>
      <w:r w:rsidRPr="00343132">
        <w:t xml:space="preserve"> i </w:t>
      </w:r>
      <w:proofErr w:type="spellStart"/>
      <w:r w:rsidRPr="00343132">
        <w:t>nanotehnologiji</w:t>
      </w:r>
      <w:proofErr w:type="spellEnd"/>
      <w:r w:rsidRPr="00343132">
        <w:t xml:space="preserve"> u Europi u kojem će se izložiti mogući smjerovi razvoja do 2030. godine.</w:t>
      </w:r>
    </w:p>
    <w:p w:rsidR="00DE59B3" w:rsidRPr="00343132" w:rsidRDefault="00DE59B3" w:rsidP="00841497">
      <w:pPr>
        <w:suppressAutoHyphens/>
        <w:spacing w:line="20" w:lineRule="atLeast"/>
        <w:rPr>
          <w:color w:val="00000A"/>
        </w:rPr>
      </w:pPr>
    </w:p>
    <w:p w:rsidR="00DE59B3" w:rsidRPr="00343132" w:rsidRDefault="00DE59B3" w:rsidP="00000CE8">
      <w:pPr>
        <w:ind w:left="-39"/>
        <w:rPr>
          <w:color w:val="00000A"/>
        </w:rPr>
      </w:pPr>
      <w:r w:rsidRPr="00343132">
        <w:rPr>
          <w:b/>
          <w:i/>
        </w:rPr>
        <w:t>Kontakt:</w:t>
      </w:r>
      <w:r w:rsidRPr="00343132">
        <w:tab/>
      </w:r>
      <w:proofErr w:type="spellStart"/>
      <w:r w:rsidRPr="00343132">
        <w:t>Alain</w:t>
      </w:r>
      <w:proofErr w:type="spellEnd"/>
      <w:r w:rsidRPr="00343132">
        <w:t xml:space="preserve"> </w:t>
      </w:r>
      <w:proofErr w:type="spellStart"/>
      <w:r w:rsidRPr="00343132">
        <w:t>Colbach</w:t>
      </w:r>
      <w:proofErr w:type="spellEnd"/>
      <w:r w:rsidRPr="00343132">
        <w:rPr>
          <w:color w:val="00000A"/>
        </w:rPr>
        <w:t xml:space="preserve"> </w:t>
      </w:r>
    </w:p>
    <w:p w:rsidR="00DE59B3" w:rsidRPr="00343132" w:rsidRDefault="006F0D9E" w:rsidP="00000CE8">
      <w:pPr>
        <w:ind w:left="-39"/>
        <w:rPr>
          <w:i/>
        </w:rPr>
      </w:pPr>
      <w:r w:rsidRPr="00343132">
        <w:tab/>
      </w:r>
      <w:r w:rsidRPr="00343132">
        <w:tab/>
      </w:r>
      <w:r w:rsidRPr="00343132">
        <w:tab/>
      </w:r>
      <w:r w:rsidRPr="00343132">
        <w:rPr>
          <w:i/>
        </w:rPr>
        <w:t xml:space="preserve">(Tel.: 00 32 2 546 91 70 – </w:t>
      </w:r>
      <w:proofErr w:type="spellStart"/>
      <w:r w:rsidRPr="00343132">
        <w:rPr>
          <w:i/>
        </w:rPr>
        <w:t>email</w:t>
      </w:r>
      <w:proofErr w:type="spellEnd"/>
      <w:r w:rsidRPr="00343132">
        <w:rPr>
          <w:i/>
        </w:rPr>
        <w:t xml:space="preserve">: </w:t>
      </w:r>
      <w:hyperlink r:id="rId37">
        <w:r w:rsidRPr="00343132">
          <w:rPr>
            <w:rStyle w:val="Hyperlink"/>
            <w:i/>
          </w:rPr>
          <w:t>Alain.Colbach@eesc.europa.eu</w:t>
        </w:r>
      </w:hyperlink>
      <w:r w:rsidRPr="00343132">
        <w:rPr>
          <w:i/>
        </w:rPr>
        <w:t>)</w:t>
      </w:r>
    </w:p>
    <w:p w:rsidR="00E82F78" w:rsidRPr="00343132" w:rsidRDefault="00E82F78" w:rsidP="00841497">
      <w:pPr>
        <w:spacing w:line="20" w:lineRule="atLeast"/>
        <w:jc w:val="left"/>
        <w:rPr>
          <w:i/>
        </w:rPr>
      </w:pPr>
    </w:p>
    <w:p w:rsidR="00900EA0" w:rsidRPr="00343132" w:rsidRDefault="006F0D9E" w:rsidP="00000CE8">
      <w:pPr>
        <w:jc w:val="center"/>
      </w:pPr>
      <w:r w:rsidRPr="00343132">
        <w:t>_____________</w:t>
      </w:r>
    </w:p>
    <w:sectPr w:rsidR="00900EA0" w:rsidRPr="00343132" w:rsidSect="002903CB">
      <w:headerReference w:type="even" r:id="rId38"/>
      <w:headerReference w:type="default" r:id="rId39"/>
      <w:footerReference w:type="even" r:id="rId40"/>
      <w:footerReference w:type="default" r:id="rId41"/>
      <w:headerReference w:type="first" r:id="rId42"/>
      <w:footerReference w:type="first" r:id="rId43"/>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6A" w:rsidRDefault="0019516A" w:rsidP="003B283B">
      <w:pPr>
        <w:spacing w:line="240" w:lineRule="auto"/>
      </w:pPr>
      <w:r>
        <w:separator/>
      </w:r>
    </w:p>
  </w:endnote>
  <w:endnote w:type="continuationSeparator" w:id="0">
    <w:p w:rsidR="0019516A" w:rsidRDefault="0019516A"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E9203C">
      <w:rPr>
        <w:noProof/>
      </w:rPr>
      <w:t>1</w:t>
    </w:r>
    <w:r>
      <w:fldChar w:fldCharType="end"/>
    </w:r>
    <w:r>
      <w:t>/</w:t>
    </w:r>
    <w:r>
      <w:fldChar w:fldCharType="begin"/>
    </w:r>
    <w:r>
      <w:instrText xml:space="preserve"> = </w:instrText>
    </w:r>
    <w:fldSimple w:instr=" NUMPAGES ">
      <w:r w:rsidR="00E9203C">
        <w:rPr>
          <w:noProof/>
        </w:rPr>
        <w:instrText>17</w:instrText>
      </w:r>
    </w:fldSimple>
    <w:r>
      <w:instrText xml:space="preserve"> </w:instrText>
    </w:r>
    <w:r>
      <w:fldChar w:fldCharType="separate"/>
    </w:r>
    <w:r w:rsidR="00E9203C">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EESC-2015-05366-00-</w:t>
    </w:r>
    <w:proofErr w:type="spellStart"/>
    <w:r>
      <w:t>00</w:t>
    </w:r>
    <w:proofErr w:type="spellEnd"/>
    <w:r>
      <w:t xml:space="preserve">-TCD-TRA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sidR="003F2414">
        <w:rPr>
          <w:noProof/>
        </w:rPr>
        <w:instrText>17</w:instrText>
      </w:r>
    </w:fldSimple>
    <w:r>
      <w:instrText xml:space="preserve"> </w:instrText>
    </w:r>
    <w:r>
      <w:fldChar w:fldCharType="separate"/>
    </w:r>
    <w:r w:rsidR="003F2414">
      <w:rPr>
        <w:noProof/>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2903CB" w:rsidP="002903CB">
    <w:pPr>
      <w:pStyle w:val="Footer"/>
    </w:pPr>
    <w:r>
      <w:t xml:space="preserve">EESC-2015-05366-00-01-TCD-TRA (FR/EN) </w:t>
    </w:r>
    <w:r>
      <w:fldChar w:fldCharType="begin"/>
    </w:r>
    <w:r>
      <w:instrText xml:space="preserve"> PAGE  \* Arabic  \* MERGEFORMAT </w:instrText>
    </w:r>
    <w:r>
      <w:fldChar w:fldCharType="separate"/>
    </w:r>
    <w:r w:rsidR="00E9203C">
      <w:rPr>
        <w:noProof/>
      </w:rPr>
      <w:t>17</w:t>
    </w:r>
    <w:r>
      <w:fldChar w:fldCharType="end"/>
    </w:r>
    <w:r>
      <w:t>/</w:t>
    </w:r>
    <w:r>
      <w:fldChar w:fldCharType="begin"/>
    </w:r>
    <w:r>
      <w:instrText xml:space="preserve"> = </w:instrText>
    </w:r>
    <w:fldSimple w:instr=" NUMPAGES ">
      <w:r w:rsidR="00E9203C">
        <w:rPr>
          <w:noProof/>
        </w:rPr>
        <w:instrText>17</w:instrText>
      </w:r>
    </w:fldSimple>
    <w:r>
      <w:instrText xml:space="preserve"> </w:instrText>
    </w:r>
    <w:r>
      <w:fldChar w:fldCharType="separate"/>
    </w:r>
    <w:r w:rsidR="00E9203C">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6A" w:rsidRDefault="0019516A" w:rsidP="003B283B">
      <w:pPr>
        <w:spacing w:line="240" w:lineRule="auto"/>
      </w:pPr>
      <w:r>
        <w:separator/>
      </w:r>
    </w:p>
  </w:footnote>
  <w:footnote w:type="continuationSeparator" w:id="0">
    <w:p w:rsidR="0019516A" w:rsidRDefault="0019516A" w:rsidP="003B283B">
      <w:pPr>
        <w:spacing w:line="240" w:lineRule="auto"/>
      </w:pPr>
      <w:r>
        <w:continuationSeparator/>
      </w:r>
    </w:p>
  </w:footnote>
  <w:footnote w:id="1">
    <w:p w:rsidR="0019516A" w:rsidRPr="00796D74" w:rsidRDefault="0019516A" w:rsidP="00000CE8">
      <w:pPr>
        <w:pStyle w:val="FootnoteText"/>
      </w:pPr>
      <w:r>
        <w:rPr>
          <w:vertAlign w:val="superscript"/>
        </w:rPr>
        <w:t>[1]</w:t>
      </w:r>
      <w:r>
        <w:tab/>
      </w:r>
      <w:r>
        <w:tab/>
        <w:t>Mišljenje EGSO-a „Učinci digitalizacije na uslužne djelatnosti i zapošljavanje u okviru industrijskih promjena“ (još nije objavljeno u Službenom listu).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6A" w:rsidRPr="002903CB" w:rsidRDefault="0019516A" w:rsidP="0029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3">
    <w:nsid w:val="05530337"/>
    <w:multiLevelType w:val="singleLevel"/>
    <w:tmpl w:val="ACD4CDB0"/>
    <w:lvl w:ilvl="0">
      <w:numFmt w:val="decimal"/>
      <w:lvlText w:val="*"/>
      <w:lvlJc w:val="left"/>
      <w:rPr>
        <w:rFonts w:cs="Times New Roman"/>
      </w:rPr>
    </w:lvl>
  </w:abstractNum>
  <w:abstractNum w:abstractNumId="4">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6E4FB1"/>
    <w:multiLevelType w:val="singleLevel"/>
    <w:tmpl w:val="ACD4CDB0"/>
    <w:lvl w:ilvl="0">
      <w:numFmt w:val="decimal"/>
      <w:lvlText w:val="*"/>
      <w:lvlJc w:val="left"/>
      <w:rPr>
        <w:rFonts w:cs="Times New Roman"/>
      </w:rPr>
    </w:lvl>
  </w:abstractNum>
  <w:abstractNum w:abstractNumId="6">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8">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9">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15FE7426"/>
    <w:multiLevelType w:val="singleLevel"/>
    <w:tmpl w:val="ACD4CDB0"/>
    <w:lvl w:ilvl="0">
      <w:numFmt w:val="decimal"/>
      <w:lvlText w:val="*"/>
      <w:lvlJc w:val="left"/>
      <w:rPr>
        <w:rFonts w:cs="Times New Roman"/>
      </w:rPr>
    </w:lvl>
  </w:abstractNum>
  <w:abstractNum w:abstractNumId="12">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5">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3">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4">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26">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27">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5">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7">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8">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1">
    <w:nsid w:val="60BA7C7D"/>
    <w:multiLevelType w:val="singleLevel"/>
    <w:tmpl w:val="ACD4CDB0"/>
    <w:lvl w:ilvl="0">
      <w:numFmt w:val="decimal"/>
      <w:lvlText w:val="*"/>
      <w:lvlJc w:val="left"/>
      <w:rPr>
        <w:rFonts w:cs="Times New Roman"/>
      </w:rPr>
    </w:lvl>
  </w:abstractNum>
  <w:abstractNum w:abstractNumId="42">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46">
    <w:nsid w:val="6B5327B5"/>
    <w:multiLevelType w:val="singleLevel"/>
    <w:tmpl w:val="ACD4CDB0"/>
    <w:lvl w:ilvl="0">
      <w:numFmt w:val="decimal"/>
      <w:lvlText w:val="*"/>
      <w:lvlJc w:val="left"/>
      <w:rPr>
        <w:rFonts w:cs="Times New Roman"/>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4"/>
  </w:num>
  <w:num w:numId="3">
    <w:abstractNumId w:val="6"/>
  </w:num>
  <w:num w:numId="4">
    <w:abstractNumId w:val="1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8"/>
  </w:num>
  <w:num w:numId="7">
    <w:abstractNumId w:val="23"/>
  </w:num>
  <w:num w:numId="8">
    <w:abstractNumId w:val="5"/>
  </w:num>
  <w:num w:numId="9">
    <w:abstractNumId w:val="49"/>
  </w:num>
  <w:num w:numId="10">
    <w:abstractNumId w:val="10"/>
  </w:num>
  <w:num w:numId="11">
    <w:abstractNumId w:val="29"/>
  </w:num>
  <w:num w:numId="12">
    <w:abstractNumId w:val="50"/>
  </w:num>
  <w:num w:numId="13">
    <w:abstractNumId w:val="11"/>
  </w:num>
  <w:num w:numId="14">
    <w:abstractNumId w:val="46"/>
  </w:num>
  <w:num w:numId="15">
    <w:abstractNumId w:val="41"/>
  </w:num>
  <w:num w:numId="16">
    <w:abstractNumId w:val="3"/>
  </w:num>
  <w:num w:numId="17">
    <w:abstractNumId w:val="31"/>
  </w:num>
  <w:num w:numId="18">
    <w:abstractNumId w:val="40"/>
  </w:num>
  <w:num w:numId="19">
    <w:abstractNumId w:val="30"/>
  </w:num>
  <w:num w:numId="20">
    <w:abstractNumId w:val="48"/>
  </w:num>
  <w:num w:numId="21">
    <w:abstractNumId w:val="32"/>
  </w:num>
  <w:num w:numId="22">
    <w:abstractNumId w:val="28"/>
  </w:num>
  <w:num w:numId="23">
    <w:abstractNumId w:val="16"/>
  </w:num>
  <w:num w:numId="24">
    <w:abstractNumId w:val="47"/>
  </w:num>
  <w:num w:numId="25">
    <w:abstractNumId w:val="21"/>
  </w:num>
  <w:num w:numId="26">
    <w:abstractNumId w:val="20"/>
  </w:num>
  <w:num w:numId="27">
    <w:abstractNumId w:val="39"/>
  </w:num>
  <w:num w:numId="28">
    <w:abstractNumId w:val="35"/>
  </w:num>
  <w:num w:numId="29">
    <w:abstractNumId w:val="22"/>
  </w:num>
  <w:num w:numId="30">
    <w:abstractNumId w:val="51"/>
  </w:num>
  <w:num w:numId="31">
    <w:abstractNumId w:val="36"/>
  </w:num>
  <w:num w:numId="32">
    <w:abstractNumId w:val="27"/>
  </w:num>
  <w:num w:numId="33">
    <w:abstractNumId w:val="38"/>
  </w:num>
  <w:num w:numId="34">
    <w:abstractNumId w:val="9"/>
  </w:num>
  <w:num w:numId="35">
    <w:abstractNumId w:val="42"/>
  </w:num>
  <w:num w:numId="36">
    <w:abstractNumId w:val="19"/>
  </w:num>
  <w:num w:numId="37">
    <w:abstractNumId w:val="13"/>
  </w:num>
  <w:num w:numId="38">
    <w:abstractNumId w:val="17"/>
  </w:num>
  <w:num w:numId="39">
    <w:abstractNumId w:val="37"/>
  </w:num>
  <w:num w:numId="40">
    <w:abstractNumId w:val="43"/>
  </w:num>
  <w:num w:numId="41">
    <w:abstractNumId w:val="44"/>
  </w:num>
  <w:num w:numId="42">
    <w:abstractNumId w:val="8"/>
  </w:num>
  <w:num w:numId="43">
    <w:abstractNumId w:val="24"/>
  </w:num>
  <w:num w:numId="44">
    <w:abstractNumId w:val="34"/>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7"/>
  </w:num>
  <w:num w:numId="47">
    <w:abstractNumId w:val="26"/>
  </w:num>
  <w:num w:numId="48">
    <w:abstractNumId w:val="6"/>
  </w:num>
  <w:num w:numId="49">
    <w:abstractNumId w:val="2"/>
  </w:num>
  <w:num w:numId="50">
    <w:abstractNumId w:val="45"/>
  </w:num>
  <w:num w:numId="51">
    <w:abstractNumId w:val="12"/>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33"/>
  </w:num>
  <w:num w:numId="54">
    <w:abstractNumId w:val="4"/>
  </w:num>
  <w:num w:numId="55">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4D0F"/>
    <w:rsid w:val="000115A9"/>
    <w:rsid w:val="000138A1"/>
    <w:rsid w:val="00020A28"/>
    <w:rsid w:val="000215A9"/>
    <w:rsid w:val="00030B04"/>
    <w:rsid w:val="000316FF"/>
    <w:rsid w:val="000338E8"/>
    <w:rsid w:val="00033DA8"/>
    <w:rsid w:val="000349EE"/>
    <w:rsid w:val="00034A75"/>
    <w:rsid w:val="00035EF4"/>
    <w:rsid w:val="000378CC"/>
    <w:rsid w:val="00041EB7"/>
    <w:rsid w:val="00051C81"/>
    <w:rsid w:val="0005250A"/>
    <w:rsid w:val="00054E26"/>
    <w:rsid w:val="000562AF"/>
    <w:rsid w:val="000625FC"/>
    <w:rsid w:val="00071E53"/>
    <w:rsid w:val="00073A46"/>
    <w:rsid w:val="000814F6"/>
    <w:rsid w:val="00081813"/>
    <w:rsid w:val="000818D4"/>
    <w:rsid w:val="00087AE9"/>
    <w:rsid w:val="00094645"/>
    <w:rsid w:val="00096999"/>
    <w:rsid w:val="000A62E2"/>
    <w:rsid w:val="000C2679"/>
    <w:rsid w:val="000C3DF6"/>
    <w:rsid w:val="000D28F0"/>
    <w:rsid w:val="000D50A8"/>
    <w:rsid w:val="000D7F5A"/>
    <w:rsid w:val="000E4C16"/>
    <w:rsid w:val="000F16CE"/>
    <w:rsid w:val="000F42C4"/>
    <w:rsid w:val="000F77C3"/>
    <w:rsid w:val="0010339F"/>
    <w:rsid w:val="0010391E"/>
    <w:rsid w:val="00103CC0"/>
    <w:rsid w:val="00104975"/>
    <w:rsid w:val="00110344"/>
    <w:rsid w:val="001138B0"/>
    <w:rsid w:val="001158DF"/>
    <w:rsid w:val="00116CFB"/>
    <w:rsid w:val="00127660"/>
    <w:rsid w:val="0013146D"/>
    <w:rsid w:val="00136F53"/>
    <w:rsid w:val="00142A4E"/>
    <w:rsid w:val="00160DCC"/>
    <w:rsid w:val="001657F4"/>
    <w:rsid w:val="001737B7"/>
    <w:rsid w:val="001768E2"/>
    <w:rsid w:val="00182D03"/>
    <w:rsid w:val="00186D96"/>
    <w:rsid w:val="00191C0B"/>
    <w:rsid w:val="00194447"/>
    <w:rsid w:val="0019516A"/>
    <w:rsid w:val="00195479"/>
    <w:rsid w:val="001B0D26"/>
    <w:rsid w:val="001B18C2"/>
    <w:rsid w:val="001B4CC9"/>
    <w:rsid w:val="001C0535"/>
    <w:rsid w:val="001C05B2"/>
    <w:rsid w:val="001C6C93"/>
    <w:rsid w:val="001D6C48"/>
    <w:rsid w:val="001E2338"/>
    <w:rsid w:val="00200F03"/>
    <w:rsid w:val="00204864"/>
    <w:rsid w:val="00205EFC"/>
    <w:rsid w:val="00212787"/>
    <w:rsid w:val="00214451"/>
    <w:rsid w:val="00221123"/>
    <w:rsid w:val="00226823"/>
    <w:rsid w:val="0023002B"/>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5F58"/>
    <w:rsid w:val="002B4372"/>
    <w:rsid w:val="002C1999"/>
    <w:rsid w:val="002C3DCC"/>
    <w:rsid w:val="002D0F32"/>
    <w:rsid w:val="002D41B7"/>
    <w:rsid w:val="003002D3"/>
    <w:rsid w:val="003079A2"/>
    <w:rsid w:val="00307A61"/>
    <w:rsid w:val="00314E67"/>
    <w:rsid w:val="003160F4"/>
    <w:rsid w:val="00322BCE"/>
    <w:rsid w:val="00343132"/>
    <w:rsid w:val="0036180C"/>
    <w:rsid w:val="00361CF3"/>
    <w:rsid w:val="00362B7F"/>
    <w:rsid w:val="00365A43"/>
    <w:rsid w:val="00372D96"/>
    <w:rsid w:val="00380A9A"/>
    <w:rsid w:val="00394196"/>
    <w:rsid w:val="00397835"/>
    <w:rsid w:val="003B283B"/>
    <w:rsid w:val="003B38AA"/>
    <w:rsid w:val="003B5456"/>
    <w:rsid w:val="003C4AF5"/>
    <w:rsid w:val="003C4EF8"/>
    <w:rsid w:val="003D05FE"/>
    <w:rsid w:val="003D35EF"/>
    <w:rsid w:val="003D3D9E"/>
    <w:rsid w:val="003D7FAF"/>
    <w:rsid w:val="003E0B8C"/>
    <w:rsid w:val="003E387D"/>
    <w:rsid w:val="003E693F"/>
    <w:rsid w:val="003F2414"/>
    <w:rsid w:val="003F2CD5"/>
    <w:rsid w:val="003F2F97"/>
    <w:rsid w:val="003F4FF6"/>
    <w:rsid w:val="003F59AD"/>
    <w:rsid w:val="003F65E2"/>
    <w:rsid w:val="004221CC"/>
    <w:rsid w:val="00425526"/>
    <w:rsid w:val="00426306"/>
    <w:rsid w:val="00427C97"/>
    <w:rsid w:val="00434C77"/>
    <w:rsid w:val="00440808"/>
    <w:rsid w:val="00444C4C"/>
    <w:rsid w:val="00444D44"/>
    <w:rsid w:val="004452E3"/>
    <w:rsid w:val="00461E3E"/>
    <w:rsid w:val="0046446F"/>
    <w:rsid w:val="00470409"/>
    <w:rsid w:val="00480C50"/>
    <w:rsid w:val="00492EDB"/>
    <w:rsid w:val="004A7356"/>
    <w:rsid w:val="004A7AEE"/>
    <w:rsid w:val="004B7790"/>
    <w:rsid w:val="004C0FE5"/>
    <w:rsid w:val="004C4138"/>
    <w:rsid w:val="004C4D7B"/>
    <w:rsid w:val="004C6E55"/>
    <w:rsid w:val="004D1F3E"/>
    <w:rsid w:val="004E0268"/>
    <w:rsid w:val="004E16EC"/>
    <w:rsid w:val="004E21A8"/>
    <w:rsid w:val="004E2B3E"/>
    <w:rsid w:val="004E3528"/>
    <w:rsid w:val="004E46A8"/>
    <w:rsid w:val="004F7A13"/>
    <w:rsid w:val="005024F6"/>
    <w:rsid w:val="00504096"/>
    <w:rsid w:val="00504A01"/>
    <w:rsid w:val="00505516"/>
    <w:rsid w:val="00507B8C"/>
    <w:rsid w:val="0051243D"/>
    <w:rsid w:val="00523686"/>
    <w:rsid w:val="00523996"/>
    <w:rsid w:val="00531900"/>
    <w:rsid w:val="00534CC2"/>
    <w:rsid w:val="00535FFB"/>
    <w:rsid w:val="0054017F"/>
    <w:rsid w:val="005434EE"/>
    <w:rsid w:val="0054508A"/>
    <w:rsid w:val="005508F5"/>
    <w:rsid w:val="00560AD6"/>
    <w:rsid w:val="00561C94"/>
    <w:rsid w:val="005632D7"/>
    <w:rsid w:val="0056359E"/>
    <w:rsid w:val="00567A1B"/>
    <w:rsid w:val="005724ED"/>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5D2D"/>
    <w:rsid w:val="005B7EAD"/>
    <w:rsid w:val="005C6FD3"/>
    <w:rsid w:val="005D060D"/>
    <w:rsid w:val="005D460E"/>
    <w:rsid w:val="005D6008"/>
    <w:rsid w:val="005D652A"/>
    <w:rsid w:val="005E32A3"/>
    <w:rsid w:val="005E531B"/>
    <w:rsid w:val="005F54A5"/>
    <w:rsid w:val="006139AA"/>
    <w:rsid w:val="00622A2D"/>
    <w:rsid w:val="00630FCB"/>
    <w:rsid w:val="0063400F"/>
    <w:rsid w:val="00637052"/>
    <w:rsid w:val="00637DD7"/>
    <w:rsid w:val="00643E56"/>
    <w:rsid w:val="00647038"/>
    <w:rsid w:val="006501DC"/>
    <w:rsid w:val="0065504C"/>
    <w:rsid w:val="006552FD"/>
    <w:rsid w:val="006579F9"/>
    <w:rsid w:val="00657F8D"/>
    <w:rsid w:val="006600DC"/>
    <w:rsid w:val="006763EC"/>
    <w:rsid w:val="0067717C"/>
    <w:rsid w:val="006808D7"/>
    <w:rsid w:val="0068174F"/>
    <w:rsid w:val="00681787"/>
    <w:rsid w:val="00690AFD"/>
    <w:rsid w:val="006A4EAA"/>
    <w:rsid w:val="006A6090"/>
    <w:rsid w:val="006B02D0"/>
    <w:rsid w:val="006B4FD1"/>
    <w:rsid w:val="006B7240"/>
    <w:rsid w:val="006E07C3"/>
    <w:rsid w:val="006E28A4"/>
    <w:rsid w:val="006E4A32"/>
    <w:rsid w:val="006F0D9E"/>
    <w:rsid w:val="006F289E"/>
    <w:rsid w:val="006F2CA5"/>
    <w:rsid w:val="006F396D"/>
    <w:rsid w:val="007008B5"/>
    <w:rsid w:val="00701383"/>
    <w:rsid w:val="00701551"/>
    <w:rsid w:val="007056EF"/>
    <w:rsid w:val="007112FB"/>
    <w:rsid w:val="007200A7"/>
    <w:rsid w:val="007274A7"/>
    <w:rsid w:val="00732A09"/>
    <w:rsid w:val="00742995"/>
    <w:rsid w:val="0074514B"/>
    <w:rsid w:val="007460DB"/>
    <w:rsid w:val="00746BC1"/>
    <w:rsid w:val="0075179F"/>
    <w:rsid w:val="00754C10"/>
    <w:rsid w:val="00757CF0"/>
    <w:rsid w:val="007605C0"/>
    <w:rsid w:val="00771B7B"/>
    <w:rsid w:val="007738AC"/>
    <w:rsid w:val="00774ED8"/>
    <w:rsid w:val="00782FDA"/>
    <w:rsid w:val="00793CC7"/>
    <w:rsid w:val="00794E1C"/>
    <w:rsid w:val="00796D74"/>
    <w:rsid w:val="007B31B6"/>
    <w:rsid w:val="007C07C5"/>
    <w:rsid w:val="007C2D6B"/>
    <w:rsid w:val="007D135C"/>
    <w:rsid w:val="007D2AA2"/>
    <w:rsid w:val="007D31F4"/>
    <w:rsid w:val="007D4275"/>
    <w:rsid w:val="007E6BCE"/>
    <w:rsid w:val="007F00D3"/>
    <w:rsid w:val="007F0D28"/>
    <w:rsid w:val="007F0D84"/>
    <w:rsid w:val="007F2174"/>
    <w:rsid w:val="007F556F"/>
    <w:rsid w:val="008031D6"/>
    <w:rsid w:val="00805F7C"/>
    <w:rsid w:val="00810910"/>
    <w:rsid w:val="0081158D"/>
    <w:rsid w:val="00811CDA"/>
    <w:rsid w:val="00821A37"/>
    <w:rsid w:val="00822E71"/>
    <w:rsid w:val="008314D7"/>
    <w:rsid w:val="00831C5E"/>
    <w:rsid w:val="0083618B"/>
    <w:rsid w:val="008367AC"/>
    <w:rsid w:val="008405A0"/>
    <w:rsid w:val="00841497"/>
    <w:rsid w:val="00843DF6"/>
    <w:rsid w:val="008524D0"/>
    <w:rsid w:val="00860B63"/>
    <w:rsid w:val="008634DC"/>
    <w:rsid w:val="00863940"/>
    <w:rsid w:val="00875E52"/>
    <w:rsid w:val="00881E5F"/>
    <w:rsid w:val="008829A4"/>
    <w:rsid w:val="00883FCB"/>
    <w:rsid w:val="008874F5"/>
    <w:rsid w:val="0089503E"/>
    <w:rsid w:val="008A0BF5"/>
    <w:rsid w:val="008A2046"/>
    <w:rsid w:val="008A2A2F"/>
    <w:rsid w:val="008A6D95"/>
    <w:rsid w:val="008B5152"/>
    <w:rsid w:val="008B5EA0"/>
    <w:rsid w:val="008B6EE1"/>
    <w:rsid w:val="008C0CA5"/>
    <w:rsid w:val="008D10DE"/>
    <w:rsid w:val="008D3DE9"/>
    <w:rsid w:val="008D54FE"/>
    <w:rsid w:val="008D639A"/>
    <w:rsid w:val="008E212A"/>
    <w:rsid w:val="008E4FE2"/>
    <w:rsid w:val="008E5F8B"/>
    <w:rsid w:val="008F199D"/>
    <w:rsid w:val="008F1D0A"/>
    <w:rsid w:val="008F3933"/>
    <w:rsid w:val="00900EA0"/>
    <w:rsid w:val="0090367E"/>
    <w:rsid w:val="00906027"/>
    <w:rsid w:val="009110F8"/>
    <w:rsid w:val="00915EB8"/>
    <w:rsid w:val="00927AA9"/>
    <w:rsid w:val="00930D55"/>
    <w:rsid w:val="009335CB"/>
    <w:rsid w:val="00933610"/>
    <w:rsid w:val="0096362C"/>
    <w:rsid w:val="009650BD"/>
    <w:rsid w:val="00967AC4"/>
    <w:rsid w:val="00967E69"/>
    <w:rsid w:val="00974757"/>
    <w:rsid w:val="00977579"/>
    <w:rsid w:val="00977961"/>
    <w:rsid w:val="00983C32"/>
    <w:rsid w:val="00992591"/>
    <w:rsid w:val="0099424C"/>
    <w:rsid w:val="009967CB"/>
    <w:rsid w:val="009A0DEA"/>
    <w:rsid w:val="009A1F1D"/>
    <w:rsid w:val="009A24AD"/>
    <w:rsid w:val="009A51F0"/>
    <w:rsid w:val="009B0BC4"/>
    <w:rsid w:val="009B3504"/>
    <w:rsid w:val="009B388A"/>
    <w:rsid w:val="009B4402"/>
    <w:rsid w:val="009B5536"/>
    <w:rsid w:val="009C4B4E"/>
    <w:rsid w:val="009D3AE0"/>
    <w:rsid w:val="009D6AF9"/>
    <w:rsid w:val="009F02EC"/>
    <w:rsid w:val="009F09F1"/>
    <w:rsid w:val="009F40D9"/>
    <w:rsid w:val="009F475D"/>
    <w:rsid w:val="00A02258"/>
    <w:rsid w:val="00A0670F"/>
    <w:rsid w:val="00A07E52"/>
    <w:rsid w:val="00A108CC"/>
    <w:rsid w:val="00A1766C"/>
    <w:rsid w:val="00A17F1A"/>
    <w:rsid w:val="00A22001"/>
    <w:rsid w:val="00A222A7"/>
    <w:rsid w:val="00A31921"/>
    <w:rsid w:val="00A36A65"/>
    <w:rsid w:val="00A372EE"/>
    <w:rsid w:val="00A45CD8"/>
    <w:rsid w:val="00A56B6D"/>
    <w:rsid w:val="00A65DD2"/>
    <w:rsid w:val="00A71A8D"/>
    <w:rsid w:val="00A71EF4"/>
    <w:rsid w:val="00A76812"/>
    <w:rsid w:val="00A86D47"/>
    <w:rsid w:val="00A944F3"/>
    <w:rsid w:val="00A97E15"/>
    <w:rsid w:val="00AA18AE"/>
    <w:rsid w:val="00AA2776"/>
    <w:rsid w:val="00AB4252"/>
    <w:rsid w:val="00AE22F2"/>
    <w:rsid w:val="00AE2392"/>
    <w:rsid w:val="00AE24DF"/>
    <w:rsid w:val="00AF328F"/>
    <w:rsid w:val="00B311DC"/>
    <w:rsid w:val="00B33A06"/>
    <w:rsid w:val="00B34AF2"/>
    <w:rsid w:val="00B44DE2"/>
    <w:rsid w:val="00B50DEE"/>
    <w:rsid w:val="00B52FBD"/>
    <w:rsid w:val="00B54D58"/>
    <w:rsid w:val="00B60D9B"/>
    <w:rsid w:val="00B61251"/>
    <w:rsid w:val="00B614E6"/>
    <w:rsid w:val="00B6214E"/>
    <w:rsid w:val="00B65F77"/>
    <w:rsid w:val="00B72929"/>
    <w:rsid w:val="00B75A56"/>
    <w:rsid w:val="00B82F3D"/>
    <w:rsid w:val="00B92979"/>
    <w:rsid w:val="00B929A5"/>
    <w:rsid w:val="00B939A6"/>
    <w:rsid w:val="00B94955"/>
    <w:rsid w:val="00B97C33"/>
    <w:rsid w:val="00BA020D"/>
    <w:rsid w:val="00BA0C8A"/>
    <w:rsid w:val="00BA4901"/>
    <w:rsid w:val="00BA5F2A"/>
    <w:rsid w:val="00BB026F"/>
    <w:rsid w:val="00BB3B72"/>
    <w:rsid w:val="00BB5370"/>
    <w:rsid w:val="00BB65C4"/>
    <w:rsid w:val="00BC4431"/>
    <w:rsid w:val="00BC6E2E"/>
    <w:rsid w:val="00BD2639"/>
    <w:rsid w:val="00BD4CC9"/>
    <w:rsid w:val="00BD4EB5"/>
    <w:rsid w:val="00BE364C"/>
    <w:rsid w:val="00BF2010"/>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7A19"/>
    <w:rsid w:val="00C62955"/>
    <w:rsid w:val="00C64A18"/>
    <w:rsid w:val="00C70A83"/>
    <w:rsid w:val="00C72F05"/>
    <w:rsid w:val="00C74BBA"/>
    <w:rsid w:val="00C835B2"/>
    <w:rsid w:val="00C85AC8"/>
    <w:rsid w:val="00C87EFC"/>
    <w:rsid w:val="00C90C12"/>
    <w:rsid w:val="00C937E3"/>
    <w:rsid w:val="00CA1941"/>
    <w:rsid w:val="00CB10E5"/>
    <w:rsid w:val="00CB5CC4"/>
    <w:rsid w:val="00CC0E6A"/>
    <w:rsid w:val="00CC4171"/>
    <w:rsid w:val="00CC4385"/>
    <w:rsid w:val="00CD4639"/>
    <w:rsid w:val="00CD5F76"/>
    <w:rsid w:val="00CD6411"/>
    <w:rsid w:val="00CE27BF"/>
    <w:rsid w:val="00CE653A"/>
    <w:rsid w:val="00CF5F66"/>
    <w:rsid w:val="00D00275"/>
    <w:rsid w:val="00D033AB"/>
    <w:rsid w:val="00D0422F"/>
    <w:rsid w:val="00D14053"/>
    <w:rsid w:val="00D160F1"/>
    <w:rsid w:val="00D215F3"/>
    <w:rsid w:val="00D23740"/>
    <w:rsid w:val="00D32E3B"/>
    <w:rsid w:val="00D33B62"/>
    <w:rsid w:val="00D350C8"/>
    <w:rsid w:val="00D40BA4"/>
    <w:rsid w:val="00D4227C"/>
    <w:rsid w:val="00D502B8"/>
    <w:rsid w:val="00D606E2"/>
    <w:rsid w:val="00D62387"/>
    <w:rsid w:val="00D62A5F"/>
    <w:rsid w:val="00D67C7B"/>
    <w:rsid w:val="00D83969"/>
    <w:rsid w:val="00D92D5B"/>
    <w:rsid w:val="00D93206"/>
    <w:rsid w:val="00D95007"/>
    <w:rsid w:val="00D97EA9"/>
    <w:rsid w:val="00DA0BA0"/>
    <w:rsid w:val="00DA6571"/>
    <w:rsid w:val="00DB4A7C"/>
    <w:rsid w:val="00DB564E"/>
    <w:rsid w:val="00DB69D2"/>
    <w:rsid w:val="00DC543D"/>
    <w:rsid w:val="00DC7FAC"/>
    <w:rsid w:val="00DD3CE5"/>
    <w:rsid w:val="00DD64AF"/>
    <w:rsid w:val="00DD7D2B"/>
    <w:rsid w:val="00DE1B14"/>
    <w:rsid w:val="00DE25EF"/>
    <w:rsid w:val="00DE4C44"/>
    <w:rsid w:val="00DE4F63"/>
    <w:rsid w:val="00DE59B3"/>
    <w:rsid w:val="00DF2441"/>
    <w:rsid w:val="00DF29AB"/>
    <w:rsid w:val="00DF4971"/>
    <w:rsid w:val="00DF76D7"/>
    <w:rsid w:val="00E06D7D"/>
    <w:rsid w:val="00E07AE2"/>
    <w:rsid w:val="00E1002C"/>
    <w:rsid w:val="00E12B0C"/>
    <w:rsid w:val="00E17B8F"/>
    <w:rsid w:val="00E2126D"/>
    <w:rsid w:val="00E30A3C"/>
    <w:rsid w:val="00E32722"/>
    <w:rsid w:val="00E3526B"/>
    <w:rsid w:val="00E37047"/>
    <w:rsid w:val="00E44B09"/>
    <w:rsid w:val="00E45BEF"/>
    <w:rsid w:val="00E46012"/>
    <w:rsid w:val="00E53230"/>
    <w:rsid w:val="00E53AE5"/>
    <w:rsid w:val="00E54FA7"/>
    <w:rsid w:val="00E62608"/>
    <w:rsid w:val="00E65473"/>
    <w:rsid w:val="00E66299"/>
    <w:rsid w:val="00E70827"/>
    <w:rsid w:val="00E70DF7"/>
    <w:rsid w:val="00E71C7E"/>
    <w:rsid w:val="00E80D97"/>
    <w:rsid w:val="00E81A13"/>
    <w:rsid w:val="00E82F78"/>
    <w:rsid w:val="00E83F3B"/>
    <w:rsid w:val="00E9203C"/>
    <w:rsid w:val="00E94287"/>
    <w:rsid w:val="00EB6E7A"/>
    <w:rsid w:val="00EC1BD8"/>
    <w:rsid w:val="00EC2AB1"/>
    <w:rsid w:val="00EC423F"/>
    <w:rsid w:val="00EC69E1"/>
    <w:rsid w:val="00EC6D2D"/>
    <w:rsid w:val="00ED65ED"/>
    <w:rsid w:val="00EE278E"/>
    <w:rsid w:val="00EE3AEB"/>
    <w:rsid w:val="00EE4363"/>
    <w:rsid w:val="00EF2BED"/>
    <w:rsid w:val="00EF64A8"/>
    <w:rsid w:val="00F051B3"/>
    <w:rsid w:val="00F06136"/>
    <w:rsid w:val="00F21A6E"/>
    <w:rsid w:val="00F226CE"/>
    <w:rsid w:val="00F3080D"/>
    <w:rsid w:val="00F31ACB"/>
    <w:rsid w:val="00F33BFD"/>
    <w:rsid w:val="00F44F7C"/>
    <w:rsid w:val="00F47577"/>
    <w:rsid w:val="00F533AD"/>
    <w:rsid w:val="00F534B9"/>
    <w:rsid w:val="00F61E0A"/>
    <w:rsid w:val="00F671B2"/>
    <w:rsid w:val="00F673C4"/>
    <w:rsid w:val="00F70FF1"/>
    <w:rsid w:val="00F73B1E"/>
    <w:rsid w:val="00F74BB3"/>
    <w:rsid w:val="00F81B41"/>
    <w:rsid w:val="00F84C0F"/>
    <w:rsid w:val="00F87901"/>
    <w:rsid w:val="00F955CF"/>
    <w:rsid w:val="00FA0AD4"/>
    <w:rsid w:val="00FA27F5"/>
    <w:rsid w:val="00FA7B89"/>
    <w:rsid w:val="00FB4732"/>
    <w:rsid w:val="00FB50E4"/>
    <w:rsid w:val="00FC3325"/>
    <w:rsid w:val="00FD1A59"/>
    <w:rsid w:val="00FD6560"/>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hr-HR" w:eastAsia="hr-HR" w:bidi="hr-HR"/>
    </w:rPr>
  </w:style>
  <w:style w:type="character" w:customStyle="1" w:styleId="Heading2Char">
    <w:name w:val="Heading 2 Char"/>
    <w:link w:val="Heading2"/>
    <w:locked/>
    <w:rsid w:val="003B283B"/>
    <w:rPr>
      <w:rFonts w:ascii="Times New Roman" w:eastAsia="Times New Roman" w:hAnsi="Times New Roman"/>
      <w:sz w:val="22"/>
      <w:szCs w:val="22"/>
      <w:lang w:val="hr-HR" w:eastAsia="hr-HR" w:bidi="hr-HR"/>
    </w:rPr>
  </w:style>
  <w:style w:type="character" w:customStyle="1" w:styleId="Heading3Char">
    <w:name w:val="Heading 3 Char"/>
    <w:link w:val="Heading3"/>
    <w:locked/>
    <w:rsid w:val="003B283B"/>
    <w:rPr>
      <w:rFonts w:ascii="Times New Roman" w:eastAsia="Times New Roman" w:hAnsi="Times New Roman"/>
      <w:sz w:val="22"/>
      <w:szCs w:val="22"/>
      <w:lang w:val="hr-HR" w:eastAsia="hr-HR" w:bidi="hr-HR"/>
    </w:rPr>
  </w:style>
  <w:style w:type="character" w:customStyle="1" w:styleId="Heading4Char">
    <w:name w:val="Heading 4 Char"/>
    <w:link w:val="Heading4"/>
    <w:locked/>
    <w:rsid w:val="003B283B"/>
    <w:rPr>
      <w:rFonts w:ascii="Times New Roman" w:eastAsia="Times New Roman" w:hAnsi="Times New Roman"/>
      <w:sz w:val="22"/>
      <w:szCs w:val="22"/>
      <w:lang w:val="hr-HR" w:eastAsia="hr-HR" w:bidi="hr-HR"/>
    </w:rPr>
  </w:style>
  <w:style w:type="character" w:customStyle="1" w:styleId="Heading5Char">
    <w:name w:val="Heading 5 Char"/>
    <w:link w:val="Heading5"/>
    <w:locked/>
    <w:rsid w:val="003B283B"/>
    <w:rPr>
      <w:rFonts w:ascii="Times New Roman" w:eastAsia="Times New Roman" w:hAnsi="Times New Roman"/>
      <w:sz w:val="22"/>
      <w:szCs w:val="22"/>
      <w:lang w:val="hr-HR" w:eastAsia="hr-HR" w:bidi="hr-HR"/>
    </w:rPr>
  </w:style>
  <w:style w:type="character" w:customStyle="1" w:styleId="Heading6Char">
    <w:name w:val="Heading 6 Char"/>
    <w:link w:val="Heading6"/>
    <w:locked/>
    <w:rsid w:val="003B283B"/>
    <w:rPr>
      <w:rFonts w:ascii="Times New Roman" w:eastAsia="Times New Roman" w:hAnsi="Times New Roman"/>
      <w:sz w:val="22"/>
      <w:szCs w:val="22"/>
      <w:lang w:val="hr-HR" w:eastAsia="hr-HR" w:bidi="hr-HR"/>
    </w:rPr>
  </w:style>
  <w:style w:type="character" w:customStyle="1" w:styleId="Heading7Char">
    <w:name w:val="Heading 7 Char"/>
    <w:link w:val="Heading7"/>
    <w:locked/>
    <w:rsid w:val="003B283B"/>
    <w:rPr>
      <w:rFonts w:ascii="Times New Roman" w:eastAsia="Times New Roman" w:hAnsi="Times New Roman"/>
      <w:sz w:val="22"/>
      <w:szCs w:val="22"/>
      <w:lang w:val="hr-HR" w:eastAsia="hr-HR" w:bidi="hr-HR"/>
    </w:rPr>
  </w:style>
  <w:style w:type="character" w:customStyle="1" w:styleId="Heading8Char">
    <w:name w:val="Heading 8 Char"/>
    <w:link w:val="Heading8"/>
    <w:locked/>
    <w:rsid w:val="003B283B"/>
    <w:rPr>
      <w:rFonts w:ascii="Times New Roman" w:eastAsia="Times New Roman" w:hAnsi="Times New Roman"/>
      <w:sz w:val="22"/>
      <w:szCs w:val="22"/>
      <w:lang w:val="hr-HR" w:eastAsia="hr-HR" w:bidi="hr-HR"/>
    </w:rPr>
  </w:style>
  <w:style w:type="character" w:customStyle="1" w:styleId="Heading9Char">
    <w:name w:val="Heading 9 Char"/>
    <w:link w:val="Heading9"/>
    <w:locked/>
    <w:rsid w:val="003B283B"/>
    <w:rPr>
      <w:rFonts w:ascii="Times New Roman" w:eastAsia="Times New Roman" w:hAnsi="Times New Roman"/>
      <w:sz w:val="22"/>
      <w:szCs w:val="22"/>
      <w:lang w:val="hr-HR" w:eastAsia="hr-HR" w:bidi="hr-HR"/>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hr-HR" w:eastAsia="hr-HR" w:bidi="hr-HR"/>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hr-HR" w:eastAsia="hr-HR" w:bidi="hr-HR"/>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hr-HR" w:eastAsia="hr-HR" w:bidi="hr-HR"/>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hr-HR" w:eastAsia="hr-HR" w:bidi="hr-HR"/>
    </w:rPr>
  </w:style>
  <w:style w:type="paragraph" w:styleId="TOC1">
    <w:name w:val="toc 1"/>
    <w:basedOn w:val="Normal"/>
    <w:next w:val="Normal"/>
    <w:autoRedefine/>
    <w:uiPriority w:val="39"/>
    <w:locked/>
    <w:rsid w:val="003F241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hr-H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D74"/>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796D74"/>
    <w:pPr>
      <w:numPr>
        <w:numId w:val="1"/>
      </w:numPr>
      <w:ind w:left="720" w:hanging="720"/>
      <w:outlineLvl w:val="0"/>
    </w:pPr>
    <w:rPr>
      <w:kern w:val="28"/>
    </w:rPr>
  </w:style>
  <w:style w:type="paragraph" w:styleId="Heading2">
    <w:name w:val="heading 2"/>
    <w:basedOn w:val="Normal"/>
    <w:next w:val="Normal"/>
    <w:link w:val="Heading2Char"/>
    <w:qFormat/>
    <w:rsid w:val="00796D74"/>
    <w:pPr>
      <w:numPr>
        <w:ilvl w:val="1"/>
        <w:numId w:val="1"/>
      </w:numPr>
      <w:ind w:left="720" w:hanging="720"/>
      <w:outlineLvl w:val="1"/>
    </w:pPr>
  </w:style>
  <w:style w:type="paragraph" w:styleId="Heading3">
    <w:name w:val="heading 3"/>
    <w:basedOn w:val="Normal"/>
    <w:next w:val="Normal"/>
    <w:link w:val="Heading3Char"/>
    <w:qFormat/>
    <w:rsid w:val="00796D74"/>
    <w:pPr>
      <w:numPr>
        <w:ilvl w:val="2"/>
        <w:numId w:val="1"/>
      </w:numPr>
      <w:ind w:left="720" w:hanging="720"/>
      <w:outlineLvl w:val="2"/>
    </w:pPr>
  </w:style>
  <w:style w:type="paragraph" w:styleId="Heading4">
    <w:name w:val="heading 4"/>
    <w:basedOn w:val="Normal"/>
    <w:next w:val="Normal"/>
    <w:link w:val="Heading4Char"/>
    <w:qFormat/>
    <w:rsid w:val="00796D74"/>
    <w:pPr>
      <w:numPr>
        <w:ilvl w:val="3"/>
        <w:numId w:val="1"/>
      </w:numPr>
      <w:ind w:left="720" w:hanging="720"/>
      <w:outlineLvl w:val="3"/>
    </w:pPr>
  </w:style>
  <w:style w:type="paragraph" w:styleId="Heading5">
    <w:name w:val="heading 5"/>
    <w:basedOn w:val="Normal"/>
    <w:next w:val="Normal"/>
    <w:link w:val="Heading5Char"/>
    <w:qFormat/>
    <w:rsid w:val="00796D74"/>
    <w:pPr>
      <w:numPr>
        <w:ilvl w:val="4"/>
        <w:numId w:val="1"/>
      </w:numPr>
      <w:ind w:left="720" w:hanging="720"/>
      <w:outlineLvl w:val="4"/>
    </w:pPr>
  </w:style>
  <w:style w:type="paragraph" w:styleId="Heading6">
    <w:name w:val="heading 6"/>
    <w:basedOn w:val="Normal"/>
    <w:next w:val="Normal"/>
    <w:link w:val="Heading6Char"/>
    <w:qFormat/>
    <w:rsid w:val="00796D74"/>
    <w:pPr>
      <w:numPr>
        <w:ilvl w:val="5"/>
        <w:numId w:val="1"/>
      </w:numPr>
      <w:ind w:left="720" w:hanging="720"/>
      <w:outlineLvl w:val="5"/>
    </w:pPr>
  </w:style>
  <w:style w:type="paragraph" w:styleId="Heading7">
    <w:name w:val="heading 7"/>
    <w:basedOn w:val="Normal"/>
    <w:next w:val="Normal"/>
    <w:link w:val="Heading7Char"/>
    <w:qFormat/>
    <w:rsid w:val="00796D74"/>
    <w:pPr>
      <w:numPr>
        <w:ilvl w:val="6"/>
        <w:numId w:val="1"/>
      </w:numPr>
      <w:ind w:left="720" w:hanging="720"/>
      <w:outlineLvl w:val="6"/>
    </w:pPr>
  </w:style>
  <w:style w:type="paragraph" w:styleId="Heading8">
    <w:name w:val="heading 8"/>
    <w:basedOn w:val="Normal"/>
    <w:next w:val="Normal"/>
    <w:link w:val="Heading8Char"/>
    <w:qFormat/>
    <w:rsid w:val="00796D74"/>
    <w:pPr>
      <w:numPr>
        <w:ilvl w:val="7"/>
        <w:numId w:val="1"/>
      </w:numPr>
      <w:ind w:left="720" w:hanging="720"/>
      <w:outlineLvl w:val="7"/>
    </w:pPr>
  </w:style>
  <w:style w:type="paragraph" w:styleId="Heading9">
    <w:name w:val="heading 9"/>
    <w:basedOn w:val="Normal"/>
    <w:next w:val="Normal"/>
    <w:link w:val="Heading9Char"/>
    <w:qFormat/>
    <w:rsid w:val="00796D7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hr-HR" w:eastAsia="hr-HR" w:bidi="hr-HR"/>
    </w:rPr>
  </w:style>
  <w:style w:type="character" w:customStyle="1" w:styleId="Heading2Char">
    <w:name w:val="Heading 2 Char"/>
    <w:link w:val="Heading2"/>
    <w:locked/>
    <w:rsid w:val="003B283B"/>
    <w:rPr>
      <w:rFonts w:ascii="Times New Roman" w:eastAsia="Times New Roman" w:hAnsi="Times New Roman"/>
      <w:sz w:val="22"/>
      <w:szCs w:val="22"/>
      <w:lang w:val="hr-HR" w:eastAsia="hr-HR" w:bidi="hr-HR"/>
    </w:rPr>
  </w:style>
  <w:style w:type="character" w:customStyle="1" w:styleId="Heading3Char">
    <w:name w:val="Heading 3 Char"/>
    <w:link w:val="Heading3"/>
    <w:locked/>
    <w:rsid w:val="003B283B"/>
    <w:rPr>
      <w:rFonts w:ascii="Times New Roman" w:eastAsia="Times New Roman" w:hAnsi="Times New Roman"/>
      <w:sz w:val="22"/>
      <w:szCs w:val="22"/>
      <w:lang w:val="hr-HR" w:eastAsia="hr-HR" w:bidi="hr-HR"/>
    </w:rPr>
  </w:style>
  <w:style w:type="character" w:customStyle="1" w:styleId="Heading4Char">
    <w:name w:val="Heading 4 Char"/>
    <w:link w:val="Heading4"/>
    <w:locked/>
    <w:rsid w:val="003B283B"/>
    <w:rPr>
      <w:rFonts w:ascii="Times New Roman" w:eastAsia="Times New Roman" w:hAnsi="Times New Roman"/>
      <w:sz w:val="22"/>
      <w:szCs w:val="22"/>
      <w:lang w:val="hr-HR" w:eastAsia="hr-HR" w:bidi="hr-HR"/>
    </w:rPr>
  </w:style>
  <w:style w:type="character" w:customStyle="1" w:styleId="Heading5Char">
    <w:name w:val="Heading 5 Char"/>
    <w:link w:val="Heading5"/>
    <w:locked/>
    <w:rsid w:val="003B283B"/>
    <w:rPr>
      <w:rFonts w:ascii="Times New Roman" w:eastAsia="Times New Roman" w:hAnsi="Times New Roman"/>
      <w:sz w:val="22"/>
      <w:szCs w:val="22"/>
      <w:lang w:val="hr-HR" w:eastAsia="hr-HR" w:bidi="hr-HR"/>
    </w:rPr>
  </w:style>
  <w:style w:type="character" w:customStyle="1" w:styleId="Heading6Char">
    <w:name w:val="Heading 6 Char"/>
    <w:link w:val="Heading6"/>
    <w:locked/>
    <w:rsid w:val="003B283B"/>
    <w:rPr>
      <w:rFonts w:ascii="Times New Roman" w:eastAsia="Times New Roman" w:hAnsi="Times New Roman"/>
      <w:sz w:val="22"/>
      <w:szCs w:val="22"/>
      <w:lang w:val="hr-HR" w:eastAsia="hr-HR" w:bidi="hr-HR"/>
    </w:rPr>
  </w:style>
  <w:style w:type="character" w:customStyle="1" w:styleId="Heading7Char">
    <w:name w:val="Heading 7 Char"/>
    <w:link w:val="Heading7"/>
    <w:locked/>
    <w:rsid w:val="003B283B"/>
    <w:rPr>
      <w:rFonts w:ascii="Times New Roman" w:eastAsia="Times New Roman" w:hAnsi="Times New Roman"/>
      <w:sz w:val="22"/>
      <w:szCs w:val="22"/>
      <w:lang w:val="hr-HR" w:eastAsia="hr-HR" w:bidi="hr-HR"/>
    </w:rPr>
  </w:style>
  <w:style w:type="character" w:customStyle="1" w:styleId="Heading8Char">
    <w:name w:val="Heading 8 Char"/>
    <w:link w:val="Heading8"/>
    <w:locked/>
    <w:rsid w:val="003B283B"/>
    <w:rPr>
      <w:rFonts w:ascii="Times New Roman" w:eastAsia="Times New Roman" w:hAnsi="Times New Roman"/>
      <w:sz w:val="22"/>
      <w:szCs w:val="22"/>
      <w:lang w:val="hr-HR" w:eastAsia="hr-HR" w:bidi="hr-HR"/>
    </w:rPr>
  </w:style>
  <w:style w:type="character" w:customStyle="1" w:styleId="Heading9Char">
    <w:name w:val="Heading 9 Char"/>
    <w:link w:val="Heading9"/>
    <w:locked/>
    <w:rsid w:val="003B283B"/>
    <w:rPr>
      <w:rFonts w:ascii="Times New Roman" w:eastAsia="Times New Roman" w:hAnsi="Times New Roman"/>
      <w:sz w:val="22"/>
      <w:szCs w:val="22"/>
      <w:lang w:val="hr-HR" w:eastAsia="hr-HR" w:bidi="hr-HR"/>
    </w:rPr>
  </w:style>
  <w:style w:type="paragraph" w:styleId="Footer">
    <w:name w:val="footer"/>
    <w:basedOn w:val="Normal"/>
    <w:link w:val="FooterChar"/>
    <w:qFormat/>
    <w:rsid w:val="00796D74"/>
  </w:style>
  <w:style w:type="character" w:customStyle="1" w:styleId="FooterChar">
    <w:name w:val="Footer Char"/>
    <w:link w:val="Footer"/>
    <w:locked/>
    <w:rsid w:val="003B283B"/>
    <w:rPr>
      <w:rFonts w:ascii="Times New Roman" w:eastAsia="Times New Roman" w:hAnsi="Times New Roman"/>
      <w:sz w:val="22"/>
      <w:szCs w:val="22"/>
      <w:lang w:val="hr-HR" w:eastAsia="hr-HR" w:bidi="hr-HR"/>
    </w:rPr>
  </w:style>
  <w:style w:type="paragraph" w:styleId="FootnoteText">
    <w:name w:val="footnote text"/>
    <w:basedOn w:val="Normal"/>
    <w:link w:val="FootnoteTextChar"/>
    <w:qFormat/>
    <w:rsid w:val="00796D7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hr-HR" w:eastAsia="hr-HR" w:bidi="hr-HR"/>
    </w:rPr>
  </w:style>
  <w:style w:type="paragraph" w:styleId="Header">
    <w:name w:val="header"/>
    <w:basedOn w:val="Normal"/>
    <w:link w:val="HeaderChar"/>
    <w:qFormat/>
    <w:rsid w:val="00796D74"/>
  </w:style>
  <w:style w:type="character" w:customStyle="1" w:styleId="HeaderChar">
    <w:name w:val="Header Char"/>
    <w:link w:val="Header"/>
    <w:locked/>
    <w:rsid w:val="003B283B"/>
    <w:rPr>
      <w:rFonts w:ascii="Times New Roman" w:eastAsia="Times New Roman" w:hAnsi="Times New Roman"/>
      <w:sz w:val="22"/>
      <w:szCs w:val="22"/>
      <w:lang w:val="hr-HR" w:eastAsia="hr-HR" w:bidi="hr-HR"/>
    </w:rPr>
  </w:style>
  <w:style w:type="character" w:styleId="FootnoteReference">
    <w:name w:val="footnote reference"/>
    <w:basedOn w:val="DefaultParagraphFont"/>
    <w:unhideWhenUsed/>
    <w:qFormat/>
    <w:rsid w:val="00796D74"/>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customStyle="1" w:styleId="quotes">
    <w:name w:val="quotes"/>
    <w:basedOn w:val="Normal"/>
    <w:next w:val="Normal"/>
    <w:rsid w:val="00796D74"/>
    <w:pPr>
      <w:ind w:left="720"/>
    </w:pPr>
    <w:rPr>
      <w:i/>
    </w:rPr>
  </w:style>
  <w:style w:type="paragraph" w:styleId="BalloonText">
    <w:name w:val="Balloon Text"/>
    <w:basedOn w:val="Normal"/>
    <w:link w:val="BalloonTextChar"/>
    <w:rsid w:val="00FD65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60"/>
    <w:rPr>
      <w:rFonts w:ascii="Tahoma" w:eastAsia="Times New Roman" w:hAnsi="Tahoma" w:cs="Tahoma"/>
      <w:sz w:val="16"/>
      <w:szCs w:val="16"/>
      <w:lang w:val="hr-HR" w:eastAsia="hr-HR" w:bidi="hr-HR"/>
    </w:rPr>
  </w:style>
  <w:style w:type="paragraph" w:styleId="TOC1">
    <w:name w:val="toc 1"/>
    <w:basedOn w:val="Normal"/>
    <w:next w:val="Normal"/>
    <w:autoRedefine/>
    <w:uiPriority w:val="39"/>
    <w:locked/>
    <w:rsid w:val="003F241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fr.opinions-search" TargetMode="External"/><Relationship Id="rId26" Type="http://schemas.openxmlformats.org/officeDocument/2006/relationships/hyperlink" Target="mailto:annemarie.wiersma@eesc.europa.e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irina.fomina@eesc.europa.eu"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fr.documents" TargetMode="External"/><Relationship Id="rId25" Type="http://schemas.openxmlformats.org/officeDocument/2006/relationships/hyperlink" Target="mailto:annemarie.wiersma@eesc.europa.eu" TargetMode="External"/><Relationship Id="rId33" Type="http://schemas.openxmlformats.org/officeDocument/2006/relationships/hyperlink" Target="mailto:LucaVenerando.Giuffrida@eesc.europa.e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gerald.klec@eesc.europa.e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alice.tetu@eesc.europa.eu" TargetMode="External"/><Relationship Id="rId37" Type="http://schemas.openxmlformats.org/officeDocument/2006/relationships/hyperlink" Target="mailto:Alain.Colbach@eesc.europa.eu" TargetMode="Externa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3.xml"/><Relationship Id="rId28" Type="http://schemas.openxmlformats.org/officeDocument/2006/relationships/hyperlink" Target="mailto:Cedric.Cabanne@eesc.europa.eu" TargetMode="External"/><Relationship Id="rId36" Type="http://schemas.openxmlformats.org/officeDocument/2006/relationships/hyperlink" Target="mailto:Aleksandra.Wieczorek@eesc.europa.e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stella.brozekeveraert@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3.xml"/><Relationship Id="rId27" Type="http://schemas.openxmlformats.org/officeDocument/2006/relationships/hyperlink" Target="mailto:GeorgesHenry.Carrard@eesc.europa.eu" TargetMode="External"/><Relationship Id="rId30" Type="http://schemas.openxmlformats.org/officeDocument/2006/relationships/hyperlink" Target="mailto:maarit.laurila@eesc.europa.eu" TargetMode="External"/><Relationship Id="rId35" Type="http://schemas.openxmlformats.org/officeDocument/2006/relationships/hyperlink" Target="mailto:adam.plezer@eesc.europa.eu" TargetMode="External"/><Relationship Id="rId43"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SNS6YXTC77FS-8-5960</_dlc_DocId>
    <_dlc_DocIdUrl xmlns="9f264e46-9252-4f01-a3b2-4cb67eb6fc3c">
      <Url>http://dm/EESC/2015/_layouts/DocIdRedir.aspx?ID=SNS6YXTC77FS-8-5960</Url>
      <Description>SNS6YXTC77FS-8-5960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7dbe824-75b7-48a3-bfa5-af99f883c842">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2016-01-07T12:00:00+00:00</ProductionDate>
    <FicheYear xmlns="9f264e46-9252-4f01-a3b2-4cb67eb6fc3c">2015</FicheYear>
    <DocumentNumber xmlns="57dbe824-75b7-48a3-bfa5-af99f883c842">5366</DocumentNumbe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9f264e46-9252-4f01-a3b2-4cb67eb6fc3c">
      <Value>43</Value>
      <Value>90</Value>
      <Value>41</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12815</FicheNumber>
    <DocumentPart xmlns="9f264e46-9252-4f01-a3b2-4cb67eb6fc3c">0</DocumentPart>
    <AdoptionDate xmlns="9f264e46-9252-4f01-a3b2-4cb67eb6fc3c"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C0EE-AA27-4791-877D-725DBC15A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9f264e46-9252-4f01-a3b2-4cb67eb6fc3c"/>
    <ds:schemaRef ds:uri="http://www.w3.org/XML/1998/namespace"/>
    <ds:schemaRef ds:uri="http://purl.org/dc/elements/1.1/"/>
    <ds:schemaRef ds:uri="http://schemas.microsoft.com/office/infopath/2007/PartnerControls"/>
    <ds:schemaRef ds:uri="57dbe824-75b7-48a3-bfa5-af99f883c842"/>
    <ds:schemaRef ds:uri="http://schemas.microsoft.com/sharepoint/v3/fields"/>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5.xml><?xml version="1.0" encoding="utf-8"?>
<ds:datastoreItem xmlns:ds="http://schemas.openxmlformats.org/officeDocument/2006/customXml" ds:itemID="{82C66369-E581-497C-A212-D453116B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17</Pages>
  <Words>3621</Words>
  <Characters>25510</Characters>
  <Application>Microsoft Office Word</Application>
  <DocSecurity>0</DocSecurity>
  <Lines>212</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SAŽETAK USVOJENIH MIŠLJENJA</vt:lpstr>
      <vt:lpstr> </vt:lpstr>
    </vt:vector>
  </TitlesOfParts>
  <Company>CESE-CdR</Company>
  <LinksUpToDate>false</LinksUpToDate>
  <CharactersWithSpaces>29073</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dc:title>
  <dc:subject>Razni savjetodavni poslovi</dc:subject>
  <dc:creator>Stuart Shelley</dc:creator>
  <cp:keywords>EESC-2015-05366-00-01-TCD-TRA-HR</cp:keywords>
  <dc:description>Rapporteur: -_x000d_
Original language: FR, EN_x000d_
Date of document: 07/01/2016_x000d_
Date of meeting: 09/12/2015_x000d_
External documents: -_x000d_
Administrator responsible: Cosmai Domenico, telephone: +32 (0)2 546 9041_x000d_
_x000d_
Abstract:</dc:description>
  <cp:lastModifiedBy>Stuart Shelley</cp:lastModifiedBy>
  <cp:revision>2</cp:revision>
  <cp:lastPrinted>2015-12-18T08:41:00Z</cp:lastPrinted>
  <dcterms:created xsi:type="dcterms:W3CDTF">2016-01-11T12:59:00Z</dcterms:created>
  <dcterms:modified xsi:type="dcterms:W3CDTF">2016-01-11T12:59:00Z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22/12/2015, 17/12/2015, 17/12/2015, 17/09/2015, 17/09/2015, 02/07/2015, 02/07/2015, 26/05/2015, 26/05/2015, 26/05/2015, 28/04/2015, 28/04/2015, 16/04/2015, 16/04/2015, 17/03/2015, 17/03/2015</vt:lpwstr>
  </property>
  <property fmtid="{D5CDD505-2E9C-101B-9397-08002B2CF9AE}" pid="4" name="Pref_Time">
    <vt:lpwstr>10/27/57, 15/05/42, 11/13/53, 16:35:31, 16/17/21, 11/06/52, 09/02/14, 11:36:17, 10/24/48, 10/08/29, 10/48/07, 08/46/16, 16/41/11, 09/47/16, 17/45/27, 14:54:56</vt:lpwstr>
  </property>
  <property fmtid="{D5CDD505-2E9C-101B-9397-08002B2CF9AE}" pid="5" name="Pref_User">
    <vt:lpwstr>amett, vvos, vvos, mkop, nmcg, amett, htoo, tvoc, dtai, nmcg, amett, ymur, amett, YMUR, jhvi, gharr</vt:lpwstr>
  </property>
  <property fmtid="{D5CDD505-2E9C-101B-9397-08002B2CF9AE}" pid="6" name="Pref_FileName">
    <vt:lpwstr>EESC-2015-05366-00-01-TCD-ORI.docx, EESC-2015-05366-00-00-TCD-ORI.docx, EESC-2015-03529-00-00-TCD-ORI.docx, EESC-2015-04700-00-00-TCD-TRA-EN-CRR.docx, EESC-2015-04700-00-00-TCD-CRR-FR_aleo and EN.docx, EESC-2015-02850-00-00-TCD-TRA-EN-CRR.docx, EESC-2015-</vt:lpwstr>
  </property>
  <property fmtid="{D5CDD505-2E9C-101B-9397-08002B2CF9AE}" pid="7" name="ContentTypeId">
    <vt:lpwstr>0x010100EA97B91038054C99906057A708A1480A006BE9BADFBD73E64CAFEDF2E8B27ED9C0</vt:lpwstr>
  </property>
  <property fmtid="{D5CDD505-2E9C-101B-9397-08002B2CF9AE}" pid="8" name="_dlc_DocIdItemGuid">
    <vt:lpwstr>5d615025-fade-4f42-8685-0023eea3d0b1</vt:lpwstr>
  </property>
  <property fmtid="{D5CDD505-2E9C-101B-9397-08002B2CF9AE}" pid="9" name="AvailableTranslations">
    <vt:lpwstr>21;#HR|2f555653-ed1a-4fe6-8362-9082d95989e5;#35;#ET|ff6c3f4c-b02c-4c3c-ab07-2c37995a7a0a;#36;#FI|87606a43-d45f-42d6-b8c9-e1a3457db5b7;#4;#FR|d2afafd3-4c81-4f60-8f52-ee33f2f54ff3;#13;#SL|98a412ae-eb01-49e9-ae3d-585a81724cfc;#11;#EL|6d4f4d51-af9b-4650-94b4-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21;#HR|2f555653-ed1a-4fe6-8362-9082d95989e5</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90;#SPL-CES|32d8cb1f-c9ec-4365-95c7-8385a18618ac;#41;#NL|55c6556c-b4f4-441d-9acf-c498d4f838bd;#39;#CS|72f9705b-0217-4fd3-bea2-cbc7ed80e26e;#37;#BG|1a1b3951-7821-4e6a-85f5-5673fc08bd2c;#120;#Final|ea5e6674-7b27-4bac-b091-73adbb394efe;#20;#DE|f6b31e5a-26fa-</vt:lpwstr>
  </property>
  <property fmtid="{D5CDD505-2E9C-101B-9397-08002B2CF9AE}" pid="28" name="AvailableTranslations_0">
    <vt:lpwstr>FR|d2afafd3-4c81-4f60-8f52-ee33f2f54ff3;SL|98a412ae-eb01-49e9-ae3d-585a81724cfc;EL|6d4f4d51-af9b-4650-94b4-4276bee85c91;NL|55c6556c-b4f4-441d-9acf-c498d4f838bd;EN|f2175f21-25d7-44a3-96da-d6a61b075e1b;CS|72f9705b-0217-4fd3-bea2-cbc7ed80e26e;BG|1a1b3951-782</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2015</vt:i4>
  </property>
  <property fmtid="{D5CDD505-2E9C-101B-9397-08002B2CF9AE}" pid="32" name="DocumentNumber">
    <vt:i4>5366</vt:i4>
  </property>
  <property fmtid="{D5CDD505-2E9C-101B-9397-08002B2CF9AE}" pid="33" name="DocumentVersion">
    <vt:i4>1</vt:i4>
  </property>
  <property fmtid="{D5CDD505-2E9C-101B-9397-08002B2CF9AE}" pid="34" name="DocumentYear">
    <vt:i4>2015</vt:i4>
  </property>
  <property fmtid="{D5CDD505-2E9C-101B-9397-08002B2CF9AE}" pid="35" name="FicheNumber">
    <vt:i4>12815</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512</vt:i4>
  </property>
  <property fmtid="{D5CDD505-2E9C-101B-9397-08002B2CF9AE}" pid="40" name="MeetingDate">
    <vt:filetime>2015-12-09T12:00:00Z</vt:filetime>
  </property>
</Properties>
</file>