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000" w:firstRow="0" w:lastRow="0" w:firstColumn="0" w:lastColumn="0" w:noHBand="0" w:noVBand="0"/>
      </w:tblPr>
      <w:tblGrid>
        <w:gridCol w:w="9180"/>
      </w:tblGrid>
      <w:tr w:rsidR="00D107D2" w:rsidRPr="00166AB2" w:rsidTr="008A3AEE">
        <w:trPr>
          <w:trHeight w:val="1148"/>
        </w:trPr>
        <w:tc>
          <w:tcPr>
            <w:tcW w:w="9180" w:type="dxa"/>
            <w:tcBorders>
              <w:top w:val="nil"/>
              <w:left w:val="nil"/>
              <w:bottom w:val="nil"/>
              <w:right w:val="nil"/>
            </w:tcBorders>
          </w:tcPr>
          <w:p w:rsidR="00D107D2" w:rsidRPr="00166AB2" w:rsidRDefault="00166AB2" w:rsidP="005A5DF9">
            <w:pPr>
              <w:pStyle w:val="ces1"/>
              <w:jc w:val="center"/>
              <w:rPr>
                <w:rFonts w:ascii="Arial" w:eastAsia="Calibri" w:hAnsi="Arial" w:cs="Arial"/>
                <w:b/>
                <w:bCs/>
                <w:i/>
                <w:iCs/>
                <w:sz w:val="20"/>
                <w:szCs w:val="22"/>
                <w:lang w:val="pt-PT"/>
              </w:rPr>
            </w:pPr>
            <w:r w:rsidRPr="00166AB2">
              <w:rPr>
                <w:rFonts w:ascii="Arial" w:eastAsia="Calibri" w:hAnsi="Arial" w:cs="Arial"/>
                <w:b/>
                <w:bCs/>
                <w:i/>
                <w:iCs/>
                <w:sz w:val="20"/>
                <w:szCs w:val="22"/>
                <w:lang w:val="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42.55pt">
                  <v:imagedata r:id="rId13" o:title=""/>
                </v:shape>
              </w:pict>
            </w:r>
            <w:r w:rsidR="00E373B6" w:rsidRPr="00166AB2">
              <w:rPr>
                <w:rFonts w:ascii="Arial" w:eastAsia="Calibri" w:hAnsi="Arial" w:cs="Arial"/>
                <w:b/>
                <w:bCs/>
                <w:i/>
                <w:iCs/>
                <w:sz w:val="20"/>
                <w:szCs w:val="22"/>
                <w:lang w:val="pt-PT" w:eastAsia="pt-PT"/>
              </w:rPr>
              <mc:AlternateContent>
                <mc:Choice Requires="wps">
                  <w:drawing>
                    <wp:anchor distT="0" distB="0" distL="114300" distR="114300" simplePos="0" relativeHeight="251660288" behindDoc="1" locked="0" layoutInCell="0" allowOverlap="1" wp14:anchorId="1BAA5511" wp14:editId="708E243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0F1" w:rsidRPr="00260E65" w:rsidRDefault="000E70F1">
                                  <w:pPr>
                                    <w:jc w:val="center"/>
                                    <w:rPr>
                                      <w:rFonts w:ascii="Arial" w:hAnsi="Arial" w:cs="Arial"/>
                                      <w:b/>
                                      <w:bCs/>
                                      <w:sz w:val="48"/>
                                    </w:rPr>
                                  </w:pPr>
                                  <w:r>
                                    <w:rPr>
                                      <w:rFonts w:ascii="Arial" w:hAnsi="Arial"/>
                                      <w:b/>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0E70F1" w:rsidRPr="00260E65" w:rsidRDefault="000E70F1">
                            <w:pPr>
                              <w:jc w:val="center"/>
                              <w:rPr>
                                <w:rFonts w:ascii="Arial" w:hAnsi="Arial" w:cs="Arial"/>
                                <w:b/>
                                <w:bCs/>
                                <w:sz w:val="48"/>
                              </w:rPr>
                            </w:pPr>
                            <w:r>
                              <w:rPr>
                                <w:rFonts w:ascii="Arial" w:hAnsi="Arial"/>
                                <w:b/>
                                <w:sz w:val="48"/>
                              </w:rPr>
                              <w:t>PT</w:t>
                            </w:r>
                          </w:p>
                        </w:txbxContent>
                      </v:textbox>
                      <w10:wrap anchorx="page" anchory="page"/>
                    </v:shape>
                  </w:pict>
                </mc:Fallback>
              </mc:AlternateContent>
            </w:r>
          </w:p>
          <w:p w:rsidR="00D107D2" w:rsidRPr="00166AB2" w:rsidRDefault="00D107D2" w:rsidP="005A5DF9">
            <w:pPr>
              <w:jc w:val="center"/>
              <w:rPr>
                <w:rFonts w:ascii="Arial" w:hAnsi="Arial" w:cs="Arial"/>
                <w:b/>
                <w:bCs/>
                <w:i/>
                <w:iCs/>
                <w:sz w:val="20"/>
                <w:lang w:val="pt-PT"/>
              </w:rPr>
            </w:pPr>
            <w:r w:rsidRPr="00166AB2">
              <w:rPr>
                <w:rFonts w:ascii="Arial" w:hAnsi="Arial"/>
                <w:b/>
                <w:i/>
                <w:sz w:val="20"/>
                <w:lang w:val="pt-PT"/>
              </w:rPr>
              <w:t>Comité Económico e Social Europeu</w:t>
            </w:r>
          </w:p>
          <w:p w:rsidR="00D107D2" w:rsidRPr="00166AB2" w:rsidRDefault="008863FD" w:rsidP="005A5DF9">
            <w:pPr>
              <w:jc w:val="center"/>
              <w:rPr>
                <w:rFonts w:ascii="Arial" w:hAnsi="Arial"/>
                <w:b/>
                <w:i/>
                <w:sz w:val="20"/>
                <w:lang w:val="pt-PT"/>
              </w:rPr>
            </w:pPr>
            <w:r w:rsidRPr="00166AB2">
              <w:rPr>
                <w:rFonts w:ascii="Arial" w:hAnsi="Arial"/>
                <w:b/>
                <w:i/>
                <w:sz w:val="20"/>
                <w:lang w:val="pt-PT"/>
              </w:rPr>
              <w:t>Desenvolvimento económico sustentável – Oportunidades e desafios para a União Europeia, a América Latina e as Caraíbas</w:t>
            </w:r>
          </w:p>
        </w:tc>
      </w:tr>
    </w:tbl>
    <w:p w:rsidR="00E4293D" w:rsidRPr="00166AB2" w:rsidRDefault="00E4293D" w:rsidP="005A5DF9">
      <w:pPr>
        <w:tabs>
          <w:tab w:val="left" w:pos="5850"/>
        </w:tabs>
        <w:rPr>
          <w:lang w:val="pt-PT"/>
        </w:rPr>
        <w:sectPr w:rsidR="00E4293D" w:rsidRPr="00166AB2" w:rsidSect="00C327B6">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567" w:right="1440" w:bottom="1928" w:left="1440" w:header="284" w:footer="1247" w:gutter="0"/>
          <w:pgNumType w:start="1"/>
          <w:cols w:space="708"/>
          <w:docGrid w:linePitch="360"/>
        </w:sectPr>
      </w:pPr>
    </w:p>
    <w:p w:rsidR="00E4293D" w:rsidRPr="00166AB2" w:rsidRDefault="00E4293D" w:rsidP="005A5DF9">
      <w:pPr>
        <w:tabs>
          <w:tab w:val="left" w:pos="5850"/>
        </w:tabs>
        <w:rPr>
          <w:lang w:val="pt-PT"/>
        </w:rPr>
        <w:sectPr w:rsidR="00E4293D" w:rsidRPr="00166AB2" w:rsidSect="00C327B6">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567" w:right="1440" w:bottom="1928" w:left="1440" w:header="284" w:footer="1247" w:gutter="0"/>
          <w:cols w:space="708"/>
          <w:docGrid w:linePitch="360"/>
        </w:sectPr>
      </w:pPr>
    </w:p>
    <w:p w:rsidR="00D107D2" w:rsidRPr="00166AB2" w:rsidRDefault="00D107D2" w:rsidP="005A5DF9">
      <w:pPr>
        <w:tabs>
          <w:tab w:val="left" w:pos="5850"/>
        </w:tabs>
        <w:rPr>
          <w:lang w:val="pt-PT"/>
        </w:rPr>
      </w:pPr>
    </w:p>
    <w:p w:rsidR="00D107D2" w:rsidRPr="00166AB2" w:rsidRDefault="009D0F3D" w:rsidP="005A5DF9">
      <w:pPr>
        <w:jc w:val="center"/>
        <w:rPr>
          <w:lang w:val="pt-PT"/>
        </w:rPr>
      </w:pPr>
      <w:r w:rsidRPr="00166AB2">
        <w:rPr>
          <w:lang w:val="pt-PT"/>
        </w:rPr>
        <w:t>OITAVO ENCONTRO DA SOCIEDADE CIVIL ORGANIZADA DA UNIÃO EUROPEIA E DA AMÉRICA LATINA E CARAÍBAS</w:t>
      </w:r>
    </w:p>
    <w:p w:rsidR="009D0F3D" w:rsidRPr="00166AB2" w:rsidRDefault="009D0F3D" w:rsidP="005A5DF9">
      <w:pPr>
        <w:jc w:val="center"/>
        <w:rPr>
          <w:lang w:val="pt-PT"/>
        </w:rPr>
      </w:pPr>
    </w:p>
    <w:p w:rsidR="009D0F3D" w:rsidRPr="00166AB2" w:rsidRDefault="009D0F3D" w:rsidP="005A5DF9">
      <w:pPr>
        <w:jc w:val="center"/>
        <w:rPr>
          <w:lang w:val="pt-PT"/>
        </w:rPr>
      </w:pPr>
      <w:r w:rsidRPr="00166AB2">
        <w:rPr>
          <w:lang w:val="pt-PT"/>
        </w:rPr>
        <w:t>BRUXELAS (BÉLGICA), 11 E 12 DE MARÇO DE 2015</w:t>
      </w:r>
    </w:p>
    <w:p w:rsidR="009D0F3D" w:rsidRPr="00166AB2" w:rsidRDefault="009D0F3D" w:rsidP="005A5DF9">
      <w:pPr>
        <w:jc w:val="center"/>
        <w:rPr>
          <w:lang w:val="pt-PT"/>
        </w:rPr>
      </w:pPr>
    </w:p>
    <w:p w:rsidR="009D0F3D" w:rsidRPr="00166AB2" w:rsidRDefault="009D0F3D" w:rsidP="005A5DF9">
      <w:pPr>
        <w:jc w:val="center"/>
        <w:rPr>
          <w:lang w:val="pt-PT"/>
        </w:rPr>
      </w:pPr>
      <w:r w:rsidRPr="00166AB2">
        <w:rPr>
          <w:lang w:val="pt-PT"/>
        </w:rPr>
        <w:t>DECLARAÇÃO FINAL</w:t>
      </w:r>
    </w:p>
    <w:p w:rsidR="009D0F3D" w:rsidRPr="00166AB2" w:rsidRDefault="009D0F3D" w:rsidP="005A5DF9">
      <w:pPr>
        <w:jc w:val="center"/>
        <w:rPr>
          <w:lang w:val="pt-PT"/>
        </w:rPr>
      </w:pPr>
    </w:p>
    <w:p w:rsidR="009D0F3D" w:rsidRPr="00166AB2" w:rsidRDefault="009D0F3D" w:rsidP="005A5DF9">
      <w:pPr>
        <w:jc w:val="center"/>
        <w:rPr>
          <w:lang w:val="pt-PT"/>
        </w:rPr>
      </w:pPr>
      <w:r w:rsidRPr="00166AB2">
        <w:rPr>
          <w:lang w:val="pt-PT"/>
        </w:rPr>
        <w:t>***</w:t>
      </w:r>
    </w:p>
    <w:p w:rsidR="009D0F3D" w:rsidRPr="00166AB2" w:rsidRDefault="009D0F3D" w:rsidP="005A5DF9">
      <w:pPr>
        <w:jc w:val="center"/>
        <w:rPr>
          <w:lang w:val="pt-PT"/>
        </w:rPr>
      </w:pPr>
    </w:p>
    <w:p w:rsidR="009D0F3D" w:rsidRPr="00166AB2" w:rsidRDefault="009D0F3D" w:rsidP="005A5DF9">
      <w:pPr>
        <w:rPr>
          <w:lang w:val="pt-PT"/>
        </w:rPr>
      </w:pPr>
      <w:r w:rsidRPr="00166AB2">
        <w:rPr>
          <w:lang w:val="pt-PT"/>
        </w:rPr>
        <w:t>O Comité Económico e Social Europeu realizou na sua sede em Bruxelas, em 11 e 12 de março de 2015, o Oitavo Encontro da Sociedade Civil Organizada da União Europeia e da América Latina e Caraíbas.</w:t>
      </w:r>
    </w:p>
    <w:p w:rsidR="009D0F3D" w:rsidRPr="00166AB2" w:rsidRDefault="009D0F3D" w:rsidP="005A5DF9">
      <w:pPr>
        <w:rPr>
          <w:lang w:val="pt-PT"/>
        </w:rPr>
      </w:pPr>
    </w:p>
    <w:p w:rsidR="009D0F3D" w:rsidRPr="00166AB2" w:rsidRDefault="009D0F3D" w:rsidP="005A5DF9">
      <w:pPr>
        <w:rPr>
          <w:lang w:val="pt-PT"/>
        </w:rPr>
      </w:pPr>
      <w:r w:rsidRPr="00166AB2">
        <w:rPr>
          <w:lang w:val="pt-PT"/>
        </w:rPr>
        <w:t>O encontro reuniu representantes da sociedade civil organizada da UE, da América Latina e das Caraíbas, bem como representantes de órgãos consultivos regionais e nacionais, associações patronais, sindicatos e outras organizações económicas e sociais.</w:t>
      </w:r>
    </w:p>
    <w:p w:rsidR="001F7935" w:rsidRPr="00166AB2" w:rsidRDefault="001F7935" w:rsidP="005A5DF9">
      <w:pPr>
        <w:rPr>
          <w:lang w:val="pt-PT"/>
        </w:rPr>
      </w:pPr>
    </w:p>
    <w:p w:rsidR="001F7935" w:rsidRPr="00166AB2" w:rsidRDefault="000B46E8" w:rsidP="005A5DF9">
      <w:pPr>
        <w:rPr>
          <w:lang w:val="pt-PT"/>
        </w:rPr>
      </w:pPr>
      <w:r w:rsidRPr="00166AB2">
        <w:rPr>
          <w:lang w:val="pt-PT"/>
        </w:rPr>
        <w:t>Os participantes adotaram a presente declaração final, dirigida à Cimeira de Chefes de Estado e de Governo UE-CELAC, que se realizará em Bruxelas, em 10 e 11 de junho de 2015.</w:t>
      </w:r>
    </w:p>
    <w:p w:rsidR="001F7935" w:rsidRPr="00166AB2" w:rsidRDefault="001F7935" w:rsidP="005A5DF9">
      <w:pPr>
        <w:rPr>
          <w:lang w:val="pt-PT"/>
        </w:rPr>
      </w:pPr>
    </w:p>
    <w:p w:rsidR="00125835" w:rsidRPr="00166AB2" w:rsidRDefault="00166AB2" w:rsidP="005A5DF9">
      <w:pPr>
        <w:rPr>
          <w:lang w:val="pt-PT"/>
        </w:rPr>
      </w:pPr>
      <w:r w:rsidRPr="00166AB2">
        <w:rPr>
          <w:lang w:val="pt-PT" w:bidi="pt-PT"/>
        </w:rPr>
        <w:pict>
          <v:shapetype id="_x0000_t32" coordsize="21600,21600" o:spt="32" o:oned="t" path="m,l21600,21600e" filled="f">
            <v:path arrowok="t" fillok="f" o:connecttype="none"/>
            <o:lock v:ext="edit" shapetype="t"/>
          </v:shapetype>
          <v:shape id="_x0000_s1027" type="#_x0000_t32" style="position:absolute;left:0;text-align:left;margin-left:-.1pt;margin-top:2.65pt;width:452.65pt;height:1.85pt;z-index:251658240" o:connectortype="straight" strokeweight="3pt">
            <v:stroke dashstyle="1 1"/>
          </v:shape>
        </w:pict>
      </w:r>
    </w:p>
    <w:p w:rsidR="008863FD" w:rsidRPr="00166AB2" w:rsidRDefault="008863FD" w:rsidP="005A5DF9">
      <w:pPr>
        <w:rPr>
          <w:lang w:val="pt-PT"/>
        </w:rPr>
      </w:pPr>
    </w:p>
    <w:p w:rsidR="008863FD" w:rsidRPr="00166AB2" w:rsidRDefault="008863FD" w:rsidP="00F27D31">
      <w:pPr>
        <w:keepNext/>
        <w:numPr>
          <w:ilvl w:val="0"/>
          <w:numId w:val="10"/>
        </w:numPr>
        <w:ind w:left="709" w:hanging="709"/>
        <w:rPr>
          <w:lang w:val="pt-PT"/>
        </w:rPr>
      </w:pPr>
      <w:r w:rsidRPr="00166AB2">
        <w:rPr>
          <w:b/>
          <w:lang w:val="pt-PT"/>
        </w:rPr>
        <w:t>Introdução</w:t>
      </w:r>
    </w:p>
    <w:p w:rsidR="008863FD" w:rsidRPr="00166AB2" w:rsidRDefault="008863FD" w:rsidP="005A5DF9">
      <w:pPr>
        <w:keepNext/>
        <w:rPr>
          <w:lang w:val="pt-PT"/>
        </w:rPr>
      </w:pPr>
    </w:p>
    <w:p w:rsidR="00CA7FAD" w:rsidRPr="00166AB2" w:rsidRDefault="00CA7FAD" w:rsidP="005A5DF9">
      <w:pPr>
        <w:keepNext/>
        <w:rPr>
          <w:lang w:val="pt-PT"/>
        </w:rPr>
      </w:pPr>
    </w:p>
    <w:p w:rsidR="000B46E8" w:rsidRPr="00166AB2" w:rsidRDefault="008863FD" w:rsidP="005A5DF9">
      <w:pPr>
        <w:rPr>
          <w:lang w:val="pt-PT"/>
        </w:rPr>
      </w:pPr>
      <w:r w:rsidRPr="00166AB2">
        <w:rPr>
          <w:lang w:val="pt-PT"/>
        </w:rPr>
        <w:t>Os participantes:</w:t>
      </w:r>
    </w:p>
    <w:p w:rsidR="000B46E8" w:rsidRPr="00166AB2" w:rsidRDefault="000B46E8" w:rsidP="005A5DF9">
      <w:pPr>
        <w:rPr>
          <w:lang w:val="pt-PT"/>
        </w:rPr>
      </w:pPr>
    </w:p>
    <w:p w:rsidR="008863FD" w:rsidRPr="00166AB2" w:rsidRDefault="000B46E8" w:rsidP="00B0732A">
      <w:pPr>
        <w:numPr>
          <w:ilvl w:val="0"/>
          <w:numId w:val="20"/>
        </w:numPr>
        <w:rPr>
          <w:lang w:val="pt-PT"/>
        </w:rPr>
      </w:pPr>
      <w:r w:rsidRPr="00166AB2">
        <w:rPr>
          <w:lang w:val="pt-PT"/>
        </w:rPr>
        <w:t>Sublinham o seu empenho no diálogo, na cooperação e na ação conjunta da sociedade civil, tanto em cada uma das nossas regiões como entre elas, e reiteram a sua vontade de participar ativamente e de assumir um papel de liderança na Parceria Estratégica Birregional. No encontro, foram debatidas as alterações climáticas, a cooperação económica, a desigualdade e o setor informal.</w:t>
      </w:r>
    </w:p>
    <w:p w:rsidR="008863FD" w:rsidRPr="00166AB2" w:rsidRDefault="008863FD" w:rsidP="005A5DF9">
      <w:pPr>
        <w:rPr>
          <w:lang w:val="pt-PT"/>
        </w:rPr>
      </w:pPr>
    </w:p>
    <w:p w:rsidR="008863FD" w:rsidRPr="00166AB2" w:rsidRDefault="000B46E8" w:rsidP="00B0732A">
      <w:pPr>
        <w:numPr>
          <w:ilvl w:val="0"/>
          <w:numId w:val="20"/>
        </w:numPr>
        <w:rPr>
          <w:lang w:val="pt-PT"/>
        </w:rPr>
      </w:pPr>
      <w:r w:rsidRPr="00166AB2">
        <w:rPr>
          <w:lang w:val="pt-PT"/>
        </w:rPr>
        <w:t>Salientam que o trabalho conjunto entre as duas regiões é um instrumento poderoso não só para apoiar os aspetos potencialmente impulsionadores do desenvolvimento sustentável, mas também para combater os seus eventuais fatores de bloqueio. Esta ideia adquire ainda maior pertinência no contexto da próxima conferência sobre o clima, em Paris, da Conferência das Nações Unidas sobre o financiamento do desenvolvimento, das negociações sobre os Objetivos de Desenvolvimento Sustentável e do Ano Europeu para o Desenvolvimento.</w:t>
      </w:r>
    </w:p>
    <w:p w:rsidR="008863FD" w:rsidRPr="00166AB2" w:rsidRDefault="008863FD" w:rsidP="005A5DF9">
      <w:pPr>
        <w:rPr>
          <w:lang w:val="pt-PT"/>
        </w:rPr>
      </w:pPr>
      <w:bookmarkStart w:id="0" w:name="_GoBack"/>
      <w:bookmarkEnd w:id="0"/>
    </w:p>
    <w:p w:rsidR="008863FD" w:rsidRPr="00166AB2" w:rsidRDefault="000B46E8" w:rsidP="00B0732A">
      <w:pPr>
        <w:numPr>
          <w:ilvl w:val="0"/>
          <w:numId w:val="20"/>
        </w:numPr>
        <w:rPr>
          <w:lang w:val="pt-PT"/>
        </w:rPr>
      </w:pPr>
      <w:r w:rsidRPr="00166AB2">
        <w:rPr>
          <w:lang w:val="pt-PT"/>
        </w:rPr>
        <w:t>Chamam a atenção para a importância de as conclusões deste encontro serem pela primeira vez apresentadas diretamente aos chefes de Estado e de Governo durante a Cimeira UE</w:t>
      </w:r>
      <w:r w:rsidRPr="00166AB2">
        <w:rPr>
          <w:lang w:val="pt-PT"/>
        </w:rPr>
        <w:noBreakHyphen/>
        <w:t>CELAC, o que tem um significado duplo, implicando não só que os chefes de Estado e de Governo reconhecem o contributo dado pela sociedade civil organizada de ambos os continentes, mas também que estão mais empenhados em aceitar d</w:t>
      </w:r>
      <w:r w:rsidR="008F752D" w:rsidRPr="00166AB2">
        <w:rPr>
          <w:lang w:val="pt-PT"/>
        </w:rPr>
        <w:t>iretamente as nossas propostas.</w:t>
      </w:r>
    </w:p>
    <w:p w:rsidR="00DE7F21" w:rsidRPr="00166AB2" w:rsidRDefault="00DE7F21" w:rsidP="005A5DF9">
      <w:pPr>
        <w:rPr>
          <w:lang w:val="pt-PT"/>
        </w:rPr>
      </w:pPr>
    </w:p>
    <w:p w:rsidR="00CB02C4" w:rsidRPr="00166AB2" w:rsidRDefault="00F870A7" w:rsidP="00CB02C4">
      <w:pPr>
        <w:rPr>
          <w:lang w:val="pt-PT"/>
        </w:rPr>
      </w:pPr>
      <w:r w:rsidRPr="00166AB2">
        <w:rPr>
          <w:lang w:val="pt-PT"/>
        </w:rPr>
        <w:t>Após amplo debate, salienta-se na declaração final as seguintes mensagens:</w:t>
      </w:r>
    </w:p>
    <w:p w:rsidR="00CB02C4" w:rsidRPr="00166AB2" w:rsidRDefault="00CB02C4" w:rsidP="00CB02C4">
      <w:pPr>
        <w:rPr>
          <w:lang w:val="pt-PT"/>
        </w:rPr>
      </w:pPr>
    </w:p>
    <w:p w:rsidR="000B46E8" w:rsidRPr="00166AB2" w:rsidRDefault="00B57AC1" w:rsidP="00B0732A">
      <w:pPr>
        <w:numPr>
          <w:ilvl w:val="0"/>
          <w:numId w:val="23"/>
        </w:numPr>
        <w:ind w:left="567" w:hanging="567"/>
        <w:rPr>
          <w:lang w:val="pt-PT"/>
        </w:rPr>
      </w:pPr>
      <w:r w:rsidRPr="00166AB2">
        <w:rPr>
          <w:lang w:val="pt-PT"/>
        </w:rPr>
        <w:t>É necessário reforçar a Parceria Birregional com base em valores partilhados, a fim de:</w:t>
      </w:r>
    </w:p>
    <w:p w:rsidR="00B87A83" w:rsidRPr="00166AB2" w:rsidRDefault="00B87A83" w:rsidP="00B87A83">
      <w:pPr>
        <w:rPr>
          <w:lang w:val="pt-PT"/>
        </w:rPr>
      </w:pPr>
    </w:p>
    <w:p w:rsidR="000B46E8" w:rsidRPr="00166AB2" w:rsidRDefault="000B46E8" w:rsidP="00F27D31">
      <w:pPr>
        <w:numPr>
          <w:ilvl w:val="0"/>
          <w:numId w:val="21"/>
        </w:numPr>
        <w:ind w:left="993" w:hanging="426"/>
        <w:rPr>
          <w:lang w:val="pt-PT"/>
        </w:rPr>
      </w:pPr>
      <w:r w:rsidRPr="00166AB2">
        <w:rPr>
          <w:lang w:val="pt-PT"/>
        </w:rPr>
        <w:t>colaborar ativamente para a democratização da governação mundial e da gestão dos riscos emergentes a nível mundial;</w:t>
      </w:r>
    </w:p>
    <w:p w:rsidR="00CA7FAD" w:rsidRPr="00166AB2" w:rsidRDefault="00CA7FAD" w:rsidP="00CA7FAD">
      <w:pPr>
        <w:ind w:left="993"/>
        <w:rPr>
          <w:lang w:val="pt-PT"/>
        </w:rPr>
      </w:pPr>
    </w:p>
    <w:p w:rsidR="000B46E8" w:rsidRPr="00166AB2" w:rsidRDefault="000B46E8" w:rsidP="00F27D31">
      <w:pPr>
        <w:numPr>
          <w:ilvl w:val="0"/>
          <w:numId w:val="21"/>
        </w:numPr>
        <w:ind w:left="993" w:hanging="426"/>
        <w:rPr>
          <w:lang w:val="pt-PT"/>
        </w:rPr>
      </w:pPr>
      <w:r w:rsidRPr="00166AB2">
        <w:rPr>
          <w:lang w:val="pt-PT"/>
        </w:rPr>
        <w:t>atuar em conjunto em prol do desenvolvimento e da melhoria da inserção internacional de ambas as regiões num mundo multipolar;</w:t>
      </w:r>
    </w:p>
    <w:p w:rsidR="00872CC8" w:rsidRPr="00166AB2" w:rsidRDefault="00872CC8" w:rsidP="00872CC8">
      <w:pPr>
        <w:ind w:left="993"/>
        <w:rPr>
          <w:lang w:val="pt-PT"/>
        </w:rPr>
      </w:pPr>
    </w:p>
    <w:p w:rsidR="00872CC8" w:rsidRPr="00166AB2" w:rsidRDefault="00872CC8" w:rsidP="00F27D31">
      <w:pPr>
        <w:numPr>
          <w:ilvl w:val="0"/>
          <w:numId w:val="21"/>
        </w:numPr>
        <w:ind w:left="993" w:hanging="426"/>
        <w:rPr>
          <w:lang w:val="pt-PT"/>
        </w:rPr>
      </w:pPr>
      <w:r w:rsidRPr="00166AB2">
        <w:rPr>
          <w:lang w:val="pt-PT"/>
        </w:rPr>
        <w:t>estabelecer uma cooperação aprofundada sobre assuntos concretos e temas de interesse comum que contribuam para melhorar o bem-estar das pessoas.</w:t>
      </w:r>
    </w:p>
    <w:p w:rsidR="00CA7FAD" w:rsidRPr="00166AB2" w:rsidRDefault="00CA7FAD" w:rsidP="00CA7FAD">
      <w:pPr>
        <w:ind w:left="993"/>
        <w:rPr>
          <w:lang w:val="pt-PT"/>
        </w:rPr>
      </w:pPr>
    </w:p>
    <w:p w:rsidR="00DF5CA9" w:rsidRPr="00166AB2" w:rsidRDefault="0005469D" w:rsidP="008663DD">
      <w:pPr>
        <w:rPr>
          <w:lang w:val="pt-PT"/>
        </w:rPr>
      </w:pPr>
      <w:r w:rsidRPr="00166AB2">
        <w:rPr>
          <w:lang w:val="pt-PT"/>
        </w:rPr>
        <w:t>Os valores, as raízes históricas, a democracia partilhada e os fluxos migratórios, de investimentos e de bens entre as duas regiões são fatores que reforçam o elevado potencial de uma colaboração estratégica que poucas regiões do mundo desenvolvem e que seria lamentável desperdiçar.</w:t>
      </w:r>
    </w:p>
    <w:p w:rsidR="00CA7FAD" w:rsidRPr="00166AB2" w:rsidRDefault="00CA7FAD" w:rsidP="008663DD">
      <w:pPr>
        <w:rPr>
          <w:lang w:val="pt-PT"/>
        </w:rPr>
      </w:pPr>
    </w:p>
    <w:p w:rsidR="00744DD0" w:rsidRPr="00166AB2" w:rsidRDefault="00744DD0" w:rsidP="008663DD">
      <w:pPr>
        <w:rPr>
          <w:lang w:val="pt-PT"/>
        </w:rPr>
      </w:pPr>
      <w:r w:rsidRPr="00166AB2">
        <w:rPr>
          <w:lang w:val="pt-PT"/>
        </w:rPr>
        <w:t xml:space="preserve">Por conseguinte, é necessário negociar acordos mais concretos, viáveis, facilmente mensuráveis e objeto de um melhor seguimento, atualizando o conceito de aliança estratégica enquanto parceria baseada numa relação equitativa, dotada de objetivos mobilizadores, de uma maior vontade política e de uma maior participação da sociedade civil para lhe conferir mais legitimidade. </w:t>
      </w:r>
    </w:p>
    <w:p w:rsidR="00F43872" w:rsidRPr="00166AB2" w:rsidRDefault="00F43872" w:rsidP="00CB02C4">
      <w:pPr>
        <w:rPr>
          <w:lang w:val="pt-PT"/>
        </w:rPr>
      </w:pPr>
    </w:p>
    <w:p w:rsidR="00A250A5" w:rsidRPr="00166AB2" w:rsidRDefault="00382987" w:rsidP="00B0732A">
      <w:pPr>
        <w:numPr>
          <w:ilvl w:val="0"/>
          <w:numId w:val="23"/>
        </w:numPr>
        <w:ind w:left="567" w:hanging="567"/>
        <w:rPr>
          <w:lang w:val="pt-PT"/>
        </w:rPr>
      </w:pPr>
      <w:r w:rsidRPr="00166AB2">
        <w:rPr>
          <w:lang w:val="pt-PT"/>
        </w:rPr>
        <w:t>As alterações climáticas são um problema mundial incontornável e urgente, que afeta os direitos humanos. É por isso essencial uma mudança de paradigma que preveja uma transição justa para uma economia sustentável. Para tal, é indispensável que, na Conferência das Partes de Paris, se chegue a um acordo ambicioso com força vinculativa, com um sistema único de monitorização, comunicação e verificação, que inclua para todos os países compromissos sobre medidas de adaptação e/ou atenuação coerentes com o objetivo de conter o aumento da temperatura mundial até um máximo de 2 °C.</w:t>
      </w:r>
    </w:p>
    <w:p w:rsidR="00CB5364" w:rsidRPr="00166AB2" w:rsidRDefault="00CB5364" w:rsidP="00D40CFD">
      <w:pPr>
        <w:rPr>
          <w:lang w:val="pt-PT"/>
        </w:rPr>
      </w:pPr>
    </w:p>
    <w:p w:rsidR="00CB5364" w:rsidRPr="00166AB2" w:rsidRDefault="00CB5364" w:rsidP="00D40CFD">
      <w:pPr>
        <w:rPr>
          <w:lang w:val="pt-PT"/>
        </w:rPr>
      </w:pPr>
      <w:r w:rsidRPr="00166AB2">
        <w:rPr>
          <w:lang w:val="pt-PT"/>
        </w:rPr>
        <w:t>Solicitamos uma política ambiental para fazer face às assimetrias entre os países e no interior dos mesmos. Reconhecemos que o princípio das responsabilidades comuns, mas diferenciadas, e as diferentes capacidades constituem a pedra angular de um novo regime internacional no âmbito das alterações climáticas.</w:t>
      </w:r>
    </w:p>
    <w:p w:rsidR="00794B4C" w:rsidRPr="00166AB2" w:rsidRDefault="00794B4C" w:rsidP="00794B4C">
      <w:pPr>
        <w:rPr>
          <w:lang w:val="pt-PT"/>
        </w:rPr>
      </w:pPr>
    </w:p>
    <w:p w:rsidR="002447C8" w:rsidRPr="00166AB2" w:rsidRDefault="00CB5364" w:rsidP="008663DD">
      <w:pPr>
        <w:rPr>
          <w:lang w:val="pt-PT"/>
        </w:rPr>
      </w:pPr>
      <w:r w:rsidRPr="00166AB2">
        <w:rPr>
          <w:lang w:val="pt-PT"/>
        </w:rPr>
        <w:lastRenderedPageBreak/>
        <w:t>Afirmamos que é indispensável uma transição justa para assegurar o desenvolvimento sustentável. Para tal, é necessário criar um quadro regulamentar que favoreça a produção descentralizada e independente de energia limpa. Há também que realizar uma campanha de sensibilização ambiciosa, em parceria com a sociedade civil, e assegurar um financiamento que corresponda ao nível de ambição dos objetivos.</w:t>
      </w:r>
    </w:p>
    <w:p w:rsidR="00C8301E" w:rsidRPr="00166AB2" w:rsidRDefault="00C8301E" w:rsidP="00B0732A">
      <w:pPr>
        <w:ind w:left="567"/>
        <w:rPr>
          <w:lang w:val="pt-PT"/>
        </w:rPr>
      </w:pPr>
    </w:p>
    <w:p w:rsidR="00A250A5" w:rsidRPr="00166AB2" w:rsidRDefault="00A250A5" w:rsidP="00B0732A">
      <w:pPr>
        <w:numPr>
          <w:ilvl w:val="0"/>
          <w:numId w:val="23"/>
        </w:numPr>
        <w:ind w:left="567" w:hanging="567"/>
        <w:rPr>
          <w:lang w:val="pt-PT"/>
        </w:rPr>
      </w:pPr>
      <w:r w:rsidRPr="00166AB2">
        <w:rPr>
          <w:lang w:val="pt-PT"/>
        </w:rPr>
        <w:t xml:space="preserve">O desenvolvimento económico sustentável deve ser articulado através de uma cooperação benéfica para ambas as partes. As necessidades ambientais, assim como os desafios sociais agravados pela crise, tornam necessário analisar as consequências desta crise no modelo de produção e consumo. A crise atual requer uma transformação das prioridades económicas e sociais, o que exige investimentos públicos e privados em atividades económicas, na educação, na investigação e na inovação, para além da criação de infraestruturas eficazes e de uma melhor distribuição da riqueza. </w:t>
      </w:r>
    </w:p>
    <w:p w:rsidR="00C8301E" w:rsidRPr="00166AB2" w:rsidRDefault="00C8301E" w:rsidP="00C8301E">
      <w:pPr>
        <w:rPr>
          <w:lang w:val="pt-PT"/>
        </w:rPr>
      </w:pPr>
    </w:p>
    <w:p w:rsidR="00C8301E" w:rsidRPr="00166AB2" w:rsidRDefault="004E23D8" w:rsidP="00C8301E">
      <w:pPr>
        <w:numPr>
          <w:ilvl w:val="0"/>
          <w:numId w:val="23"/>
        </w:numPr>
        <w:ind w:left="567" w:hanging="567"/>
        <w:rPr>
          <w:lang w:val="pt-PT"/>
        </w:rPr>
      </w:pPr>
      <w:r w:rsidRPr="00166AB2">
        <w:rPr>
          <w:lang w:val="pt-PT"/>
        </w:rPr>
        <w:t xml:space="preserve">Os participantes defendem a aproximação das relações comerciais e de investimento entre as duas regiões. Há que abordar a questão da mobilidade do conhecimento entre as duas regiões e do seu impacto positivo na inovação e na dinamização da economia. Os participantes sublinham ainda a necessidade de aprofundar a integração regional e exortam a UE a apoiar processos neste sentido. </w:t>
      </w:r>
    </w:p>
    <w:p w:rsidR="000E70F1" w:rsidRPr="00166AB2" w:rsidRDefault="000E70F1" w:rsidP="00D40CFD">
      <w:pPr>
        <w:rPr>
          <w:lang w:val="pt-PT"/>
        </w:rPr>
      </w:pPr>
    </w:p>
    <w:p w:rsidR="00CB02C4" w:rsidRPr="00166AB2" w:rsidRDefault="004464B4" w:rsidP="00B0732A">
      <w:pPr>
        <w:numPr>
          <w:ilvl w:val="0"/>
          <w:numId w:val="23"/>
        </w:numPr>
        <w:ind w:left="567" w:hanging="567"/>
        <w:rPr>
          <w:lang w:val="pt-PT"/>
        </w:rPr>
      </w:pPr>
      <w:r w:rsidRPr="00166AB2">
        <w:rPr>
          <w:lang w:val="pt-PT"/>
        </w:rPr>
        <w:t>O setor informal e o trabalho informal são causas essenciais da perpetuação da pobreza, das desigualdades e do crescimento sustentável insuficiente. A transição para a economia formal implica o acesso a trabalho digno, maior segurança para os trabalhadores, melhor fiscalidade e, por conseguinte, a promoção das empresas sustentáveis. Os participantes instam à adoção de políticas públicas ativas de emprego para reduzir o trabalho informal, bem como de planos específicos para os setores mais vulneráveis. É desejável que haja um intercâmbio de boas experiências entre as duas regiões. Os participantes instam a que se promova um programa de transição da economia informal para a economia formal, no âmbito da cooperação para o desenvolvimento da União Europeia.</w:t>
      </w:r>
    </w:p>
    <w:p w:rsidR="00CB02C4" w:rsidRPr="00166AB2" w:rsidRDefault="00CB02C4" w:rsidP="005A5DF9">
      <w:pPr>
        <w:rPr>
          <w:lang w:val="pt-PT"/>
        </w:rPr>
      </w:pPr>
    </w:p>
    <w:p w:rsidR="008863FD" w:rsidRPr="00166AB2" w:rsidRDefault="00AF0148" w:rsidP="005A5DF9">
      <w:pPr>
        <w:keepNext/>
        <w:numPr>
          <w:ilvl w:val="0"/>
          <w:numId w:val="10"/>
        </w:numPr>
        <w:ind w:left="709" w:hanging="709"/>
        <w:rPr>
          <w:lang w:val="pt-PT"/>
        </w:rPr>
      </w:pPr>
      <w:r w:rsidRPr="00166AB2">
        <w:rPr>
          <w:b/>
          <w:lang w:val="pt-PT"/>
        </w:rPr>
        <w:t>Alterações climáticas</w:t>
      </w:r>
    </w:p>
    <w:p w:rsidR="00CA7FAD" w:rsidRPr="00166AB2" w:rsidRDefault="00CA7FAD" w:rsidP="005A5DF9">
      <w:pPr>
        <w:keepNext/>
        <w:rPr>
          <w:lang w:val="pt-PT"/>
        </w:rPr>
      </w:pPr>
    </w:p>
    <w:p w:rsidR="00AF0148" w:rsidRPr="00166AB2" w:rsidRDefault="00AF0148" w:rsidP="005A5DF9">
      <w:pPr>
        <w:rPr>
          <w:lang w:val="pt-PT"/>
        </w:rPr>
      </w:pPr>
      <w:r w:rsidRPr="00166AB2">
        <w:rPr>
          <w:lang w:val="pt-PT"/>
        </w:rPr>
        <w:t>Os participantes:</w:t>
      </w:r>
    </w:p>
    <w:p w:rsidR="00A02B11" w:rsidRPr="00166AB2" w:rsidRDefault="00A02B11" w:rsidP="005A5DF9">
      <w:pPr>
        <w:rPr>
          <w:lang w:val="pt-PT"/>
        </w:rPr>
      </w:pPr>
    </w:p>
    <w:p w:rsidR="00783A42" w:rsidRPr="00166AB2" w:rsidRDefault="00783A42" w:rsidP="005A5DF9">
      <w:pPr>
        <w:numPr>
          <w:ilvl w:val="1"/>
          <w:numId w:val="10"/>
        </w:numPr>
        <w:ind w:left="709" w:hanging="709"/>
        <w:rPr>
          <w:lang w:val="pt-PT"/>
        </w:rPr>
      </w:pPr>
      <w:r w:rsidRPr="00166AB2">
        <w:rPr>
          <w:lang w:val="pt-PT"/>
        </w:rPr>
        <w:t>comprometem-se a trabalhar, juntamente com outros intervenientes da sociedade civil, no sentido de educar e sensibilizar as respetivas populações para a necessidade imperiosa de agir a nível mundial contra as alterações climáticas. A sociedade civil pode dar ímpeto à agenda das alterações climáticas e responsabilizar os países pelos compromissos que assumiram. Uma sociedade civil informada é essencial para reforçar a vontade política dos governos no momento de adotar medidas firmes;</w:t>
      </w:r>
    </w:p>
    <w:p w:rsidR="00E6173B" w:rsidRPr="00166AB2" w:rsidRDefault="00E6173B" w:rsidP="00D40CFD">
      <w:pPr>
        <w:rPr>
          <w:lang w:val="pt-PT"/>
        </w:rPr>
      </w:pPr>
    </w:p>
    <w:p w:rsidR="00783A42" w:rsidRPr="00166AB2" w:rsidRDefault="00E6173B" w:rsidP="005A5DF9">
      <w:pPr>
        <w:numPr>
          <w:ilvl w:val="1"/>
          <w:numId w:val="10"/>
        </w:numPr>
        <w:ind w:left="709" w:hanging="709"/>
        <w:rPr>
          <w:lang w:val="pt-PT"/>
        </w:rPr>
      </w:pPr>
      <w:r w:rsidRPr="00166AB2">
        <w:rPr>
          <w:lang w:val="pt-PT"/>
        </w:rPr>
        <w:t>entendem que a deterioração do ambiente, e especialmente as alterações climáticas, têm, entre outros efeitos, consequências diretas em termos de violações dos direitos humanos da população de ambas as regiões e afetam o direito a um ambiente de qualidade, a uma vida digna, à integridade física, à saúde plena, a uma alimentação saudável e a uma vida familiar de qualidade;</w:t>
      </w:r>
    </w:p>
    <w:p w:rsidR="00E6173B" w:rsidRPr="00166AB2" w:rsidRDefault="00E6173B" w:rsidP="00D40CFD">
      <w:pPr>
        <w:rPr>
          <w:lang w:val="pt-PT"/>
        </w:rPr>
      </w:pPr>
    </w:p>
    <w:p w:rsidR="00AF0148" w:rsidRPr="00166AB2" w:rsidRDefault="008863FD" w:rsidP="005A5DF9">
      <w:pPr>
        <w:numPr>
          <w:ilvl w:val="1"/>
          <w:numId w:val="10"/>
        </w:numPr>
        <w:ind w:left="709" w:hanging="709"/>
        <w:rPr>
          <w:lang w:val="pt-PT"/>
        </w:rPr>
      </w:pPr>
      <w:r w:rsidRPr="00166AB2">
        <w:rPr>
          <w:lang w:val="pt-PT"/>
        </w:rPr>
        <w:t>consideram urgente e inevitável sensibilizar os cidadãos e tomar medidas contra as alterações climáticas. A intensificação das catástrofes naturais – especialmente nos pequenos países insulares –, as deslocações forçadas de populações – em particular das populações indígenas (de acordo com a Convenção n.º 169 da OIT) –, a perda de biodiversidade e os efeitos nocivos para a saúde humana são alguns dos principais riscos. Nenhum desenvolvimento económico ou social será duradouro se não forem adotadas as medidas necessárias. Por isso, apelam para que as alterações climáticas sejam um aspeto fundamental da parceria estratégica UE-CELAC e do seu próximo plano de ação;</w:t>
      </w:r>
    </w:p>
    <w:p w:rsidR="00545AA1" w:rsidRPr="00166AB2" w:rsidRDefault="00545AA1" w:rsidP="00D8664E">
      <w:pPr>
        <w:rPr>
          <w:lang w:val="pt-PT"/>
        </w:rPr>
      </w:pPr>
    </w:p>
    <w:p w:rsidR="005A68D3" w:rsidRPr="00166AB2" w:rsidRDefault="00646C24" w:rsidP="00D40CFD">
      <w:pPr>
        <w:numPr>
          <w:ilvl w:val="1"/>
          <w:numId w:val="10"/>
        </w:numPr>
        <w:ind w:left="709" w:hanging="709"/>
        <w:rPr>
          <w:lang w:val="pt-PT"/>
        </w:rPr>
      </w:pPr>
      <w:r w:rsidRPr="00166AB2">
        <w:rPr>
          <w:lang w:val="pt-PT"/>
        </w:rPr>
        <w:t>recomendam um programa conjunto, a fim de que a transição para uma economia sustentável faça parte do novo plano de ação, tendo em conta que a procura crescente de energia nos países requer uma resposta assente em tecnologias sustentáveis, bem como transferências de tecnologia sustentável e mecanismos de financiamento, para além de requerer um desenvolvimento dos conhecimentos ancestrais e uma promoção dos conhecimentos tecnológicos endógenos;</w:t>
      </w:r>
    </w:p>
    <w:p w:rsidR="000D2858" w:rsidRPr="00166AB2" w:rsidRDefault="000D2858" w:rsidP="008663DD">
      <w:pPr>
        <w:ind w:left="709"/>
        <w:rPr>
          <w:lang w:val="pt-PT"/>
        </w:rPr>
      </w:pPr>
    </w:p>
    <w:p w:rsidR="00AF0148" w:rsidRPr="00166AB2" w:rsidRDefault="00BB79A4" w:rsidP="005A5DF9">
      <w:pPr>
        <w:numPr>
          <w:ilvl w:val="1"/>
          <w:numId w:val="10"/>
        </w:numPr>
        <w:ind w:left="709" w:hanging="709"/>
        <w:rPr>
          <w:lang w:val="pt-PT"/>
        </w:rPr>
      </w:pPr>
      <w:r w:rsidRPr="00166AB2">
        <w:rPr>
          <w:lang w:val="pt-PT"/>
        </w:rPr>
        <w:t xml:space="preserve">entendem que o desenvolvimento sustentável é compatível com os esforços de monitorização, atenuação e adaptação. A transição para uma economia hipocarbónica é um fator precioso de desenvolvimento sustentável. Aspetos importantes neste tipo de crescimento serão a redução dos efeitos externos negativos e os benefícios para a saúde decorrentes da diminuição da poluição. Neste sentido, é necessário um acordo mundial estável e vinculativo sobre o clima, favorável ao desenvolvimento humano sustentável; </w:t>
      </w:r>
    </w:p>
    <w:p w:rsidR="00CA7FAD" w:rsidRPr="00166AB2" w:rsidRDefault="00CA7FAD" w:rsidP="00CA7FAD">
      <w:pPr>
        <w:ind w:left="709"/>
        <w:rPr>
          <w:lang w:val="pt-PT"/>
        </w:rPr>
      </w:pPr>
    </w:p>
    <w:p w:rsidR="005A68D3" w:rsidRPr="00166AB2" w:rsidRDefault="008863FD" w:rsidP="005A5DF9">
      <w:pPr>
        <w:numPr>
          <w:ilvl w:val="1"/>
          <w:numId w:val="10"/>
        </w:numPr>
        <w:ind w:left="709" w:hanging="709"/>
        <w:rPr>
          <w:lang w:val="pt-PT"/>
        </w:rPr>
      </w:pPr>
      <w:r w:rsidRPr="00166AB2">
        <w:rPr>
          <w:lang w:val="pt-PT"/>
        </w:rPr>
        <w:t>instam os Estados a, na Conferência das Partes em Paris, chegarem a um acordo ambicioso em matéria de atenuação das alterações climáticas que seja coerente com compromissos capazes de travar o aumento da temperatura mundial num máximo de 2 °C;</w:t>
      </w:r>
    </w:p>
    <w:p w:rsidR="00CA7FAD" w:rsidRPr="00166AB2" w:rsidRDefault="00CA7FAD" w:rsidP="00CA7FAD">
      <w:pPr>
        <w:ind w:left="709"/>
        <w:rPr>
          <w:lang w:val="pt-PT"/>
        </w:rPr>
      </w:pPr>
    </w:p>
    <w:p w:rsidR="00AF0148" w:rsidRPr="00166AB2" w:rsidRDefault="008863FD" w:rsidP="008663DD">
      <w:pPr>
        <w:numPr>
          <w:ilvl w:val="1"/>
          <w:numId w:val="10"/>
        </w:numPr>
        <w:ind w:left="709" w:hanging="709"/>
        <w:rPr>
          <w:lang w:val="pt-PT"/>
        </w:rPr>
      </w:pPr>
      <w:r w:rsidRPr="00166AB2">
        <w:rPr>
          <w:lang w:val="pt-PT"/>
        </w:rPr>
        <w:t xml:space="preserve">reconhecem as responsabilidades comuns, mas diferenciadas, dos países, que variam segundo as condições e capacidades específicas de cada um; </w:t>
      </w:r>
    </w:p>
    <w:p w:rsidR="005A68D3" w:rsidRPr="00166AB2" w:rsidRDefault="005A68D3" w:rsidP="005A5DF9">
      <w:pPr>
        <w:ind w:left="709"/>
        <w:rPr>
          <w:lang w:val="pt-PT"/>
        </w:rPr>
      </w:pPr>
    </w:p>
    <w:p w:rsidR="00AF0148" w:rsidRPr="00166AB2" w:rsidRDefault="008863FD" w:rsidP="005A5DF9">
      <w:pPr>
        <w:numPr>
          <w:ilvl w:val="1"/>
          <w:numId w:val="10"/>
        </w:numPr>
        <w:ind w:left="709" w:hanging="709"/>
        <w:rPr>
          <w:lang w:val="pt-PT"/>
        </w:rPr>
      </w:pPr>
      <w:r w:rsidRPr="00166AB2">
        <w:rPr>
          <w:lang w:val="pt-PT"/>
        </w:rPr>
        <w:t>insistem na função fundamental dos ecossistemas naturais na atenuação das alterações climáticas e na adaptação às mesmas, bem como na manutenção dos meios de subsistência. Reconhecem os esforços envidados por alguns governos e organizações da sociedade civil para reduzir o ritmo de desflorestação, mas assinalam que esse trabalho é insuficiente, pelo que instam todos os responsáveis a deterem e inverterem a t</w:t>
      </w:r>
      <w:r w:rsidR="00C327B6" w:rsidRPr="00166AB2">
        <w:rPr>
          <w:lang w:val="pt-PT"/>
        </w:rPr>
        <w:t>endência para a desflorestação;</w:t>
      </w:r>
    </w:p>
    <w:p w:rsidR="00F06816" w:rsidRPr="00166AB2" w:rsidRDefault="00F06816" w:rsidP="005A5DF9">
      <w:pPr>
        <w:ind w:left="709"/>
        <w:rPr>
          <w:lang w:val="pt-PT"/>
        </w:rPr>
      </w:pPr>
    </w:p>
    <w:p w:rsidR="00AF0148" w:rsidRPr="00166AB2" w:rsidRDefault="008863FD" w:rsidP="005A5DF9">
      <w:pPr>
        <w:numPr>
          <w:ilvl w:val="1"/>
          <w:numId w:val="10"/>
        </w:numPr>
        <w:ind w:left="709" w:hanging="709"/>
        <w:rPr>
          <w:lang w:val="pt-PT"/>
        </w:rPr>
      </w:pPr>
      <w:r w:rsidRPr="00166AB2">
        <w:rPr>
          <w:lang w:val="pt-PT"/>
        </w:rPr>
        <w:t>incentivam os países a trabalhar no sentido de elaborar um sistema comum e vinculativo para a monitorização, comunicação e verificação de dados, com vista a garantir que as medidas tomadas e as reduções conseguidas possam ser comparadas e agregadas;</w:t>
      </w:r>
    </w:p>
    <w:p w:rsidR="00F06816" w:rsidRPr="00166AB2" w:rsidRDefault="00F06816" w:rsidP="005A5DF9">
      <w:pPr>
        <w:ind w:left="709"/>
        <w:rPr>
          <w:lang w:val="pt-PT"/>
        </w:rPr>
      </w:pPr>
    </w:p>
    <w:p w:rsidR="00F06816" w:rsidRPr="00166AB2" w:rsidRDefault="008863FD">
      <w:pPr>
        <w:numPr>
          <w:ilvl w:val="1"/>
          <w:numId w:val="10"/>
        </w:numPr>
        <w:ind w:left="709" w:hanging="709"/>
        <w:rPr>
          <w:lang w:val="pt-PT"/>
        </w:rPr>
      </w:pPr>
      <w:r w:rsidRPr="00166AB2">
        <w:rPr>
          <w:lang w:val="pt-PT"/>
        </w:rPr>
        <w:t>salientam a necessidade de redobrar esforços para mobilizar os fundos anuais reservados ao financiamento de atividades no âmbito do clima abertas à participação da sociedade civil;</w:t>
      </w:r>
    </w:p>
    <w:p w:rsidR="00303C28" w:rsidRPr="00166AB2" w:rsidRDefault="00303C28" w:rsidP="008663DD">
      <w:pPr>
        <w:ind w:left="709"/>
        <w:rPr>
          <w:lang w:val="pt-PT"/>
        </w:rPr>
      </w:pPr>
    </w:p>
    <w:p w:rsidR="007F1DD0" w:rsidRPr="00166AB2" w:rsidRDefault="008863FD" w:rsidP="005A5DF9">
      <w:pPr>
        <w:numPr>
          <w:ilvl w:val="1"/>
          <w:numId w:val="10"/>
        </w:numPr>
        <w:ind w:left="709" w:hanging="709"/>
        <w:rPr>
          <w:lang w:val="pt-PT"/>
        </w:rPr>
      </w:pPr>
      <w:r w:rsidRPr="00166AB2">
        <w:rPr>
          <w:lang w:val="pt-PT"/>
        </w:rPr>
        <w:t>advogam uma transição justa, propícia a um desenvolvimento sustentável que integre a perspetiva social em todos os aspetos da atenuação e adaptação;</w:t>
      </w:r>
    </w:p>
    <w:p w:rsidR="00F06816" w:rsidRPr="00166AB2" w:rsidRDefault="00F06816" w:rsidP="005A5DF9">
      <w:pPr>
        <w:ind w:left="709"/>
        <w:rPr>
          <w:lang w:val="pt-PT"/>
        </w:rPr>
      </w:pPr>
    </w:p>
    <w:p w:rsidR="00303C28" w:rsidRPr="00166AB2" w:rsidRDefault="00A22D01" w:rsidP="00A22D01">
      <w:pPr>
        <w:numPr>
          <w:ilvl w:val="1"/>
          <w:numId w:val="10"/>
        </w:numPr>
        <w:ind w:left="709" w:hanging="709"/>
        <w:rPr>
          <w:lang w:val="pt-PT"/>
        </w:rPr>
      </w:pPr>
      <w:r w:rsidRPr="00166AB2">
        <w:rPr>
          <w:lang w:val="pt-PT"/>
        </w:rPr>
        <w:t>consideram os trabalhadores, empresários e outros intervenientes da sociedade civil – especialmente os agricultores – indispensáveis para combater as alterações climáticas de um ponto de vista económico e social. Sublinham igualmente a necessidade de os Estados desenvolverem políticas ativas do mercado de trabalho, garantirem o emprego e a proteção social e manterem o diálogo social e a negociação coletiva;</w:t>
      </w:r>
    </w:p>
    <w:p w:rsidR="00303C28" w:rsidRPr="00166AB2" w:rsidRDefault="00303C28" w:rsidP="008663DD">
      <w:pPr>
        <w:ind w:left="709"/>
        <w:rPr>
          <w:lang w:val="pt-PT"/>
        </w:rPr>
      </w:pPr>
    </w:p>
    <w:p w:rsidR="00AF0148" w:rsidRPr="00166AB2" w:rsidRDefault="00303C28" w:rsidP="00A22D01">
      <w:pPr>
        <w:numPr>
          <w:ilvl w:val="1"/>
          <w:numId w:val="10"/>
        </w:numPr>
        <w:ind w:left="709" w:hanging="709"/>
        <w:rPr>
          <w:lang w:val="pt-PT"/>
        </w:rPr>
      </w:pPr>
      <w:r w:rsidRPr="00166AB2">
        <w:rPr>
          <w:lang w:val="pt-PT"/>
        </w:rPr>
        <w:t>congratulam-se com o envolvimento da sociedade civil na Conferência das Partes em Lima e esperam que o diálogo com a sociedade civil a nível local, regional, nacional e internacional seja reforçado durante o período que antecede a Conferência de Paris;</w:t>
      </w:r>
    </w:p>
    <w:p w:rsidR="00303C28" w:rsidRPr="00166AB2" w:rsidRDefault="00303C28" w:rsidP="008663DD">
      <w:pPr>
        <w:ind w:left="709"/>
        <w:rPr>
          <w:lang w:val="pt-PT"/>
        </w:rPr>
      </w:pPr>
    </w:p>
    <w:p w:rsidR="00303C28" w:rsidRPr="00166AB2" w:rsidRDefault="00303C28" w:rsidP="00A22D01">
      <w:pPr>
        <w:numPr>
          <w:ilvl w:val="1"/>
          <w:numId w:val="10"/>
        </w:numPr>
        <w:ind w:left="709" w:hanging="709"/>
        <w:rPr>
          <w:lang w:val="pt-PT"/>
        </w:rPr>
      </w:pPr>
      <w:r w:rsidRPr="00166AB2">
        <w:rPr>
          <w:lang w:val="pt-PT"/>
        </w:rPr>
        <w:t>instam os países a reforçar as instituições e a estabelecer quadros regulamentares adequados que permitam às autarquias e entidades locais, às organizações económicas e sociais e aos cidadãos participar ativamente na transição para uma economia hipocarbónica e obter benefícios socioeconómicos de uma produção sustentável e descentralizada de energia limpa;</w:t>
      </w:r>
    </w:p>
    <w:p w:rsidR="00F06816" w:rsidRPr="00166AB2" w:rsidRDefault="00F06816" w:rsidP="00E010EF">
      <w:pPr>
        <w:ind w:left="709"/>
        <w:rPr>
          <w:lang w:val="pt-PT"/>
        </w:rPr>
      </w:pPr>
    </w:p>
    <w:p w:rsidR="00F06816" w:rsidRPr="00166AB2" w:rsidRDefault="008863FD" w:rsidP="005A5DF9">
      <w:pPr>
        <w:numPr>
          <w:ilvl w:val="1"/>
          <w:numId w:val="10"/>
        </w:numPr>
        <w:ind w:left="709" w:hanging="709"/>
        <w:rPr>
          <w:lang w:val="pt-PT"/>
        </w:rPr>
      </w:pPr>
      <w:r w:rsidRPr="00166AB2">
        <w:rPr>
          <w:lang w:val="pt-PT"/>
        </w:rPr>
        <w:t>instam todos os países a envolver a sociedade civil na realização dos contributos determinados a nível nacional, como forma de integrar as prioridades e pontos de vista nacionais e, ao mesmo tempo, assegurar que a sociedade civil assume como seus os compromissos acordados;</w:t>
      </w:r>
    </w:p>
    <w:p w:rsidR="00CA7FAD" w:rsidRPr="00166AB2" w:rsidRDefault="00CA7FAD" w:rsidP="00CA7FAD">
      <w:pPr>
        <w:ind w:left="709"/>
        <w:rPr>
          <w:lang w:val="pt-PT"/>
        </w:rPr>
      </w:pPr>
    </w:p>
    <w:p w:rsidR="004D2A7B" w:rsidRPr="00166AB2" w:rsidRDefault="00195E93" w:rsidP="008663DD">
      <w:pPr>
        <w:numPr>
          <w:ilvl w:val="1"/>
          <w:numId w:val="10"/>
        </w:numPr>
        <w:ind w:left="709" w:hanging="709"/>
        <w:rPr>
          <w:lang w:val="pt-PT"/>
        </w:rPr>
      </w:pPr>
      <w:r w:rsidRPr="00166AB2">
        <w:rPr>
          <w:lang w:val="pt-PT"/>
        </w:rPr>
        <w:t>chamam a atenção para a importância de reforçar a economia local, como forma de reduzir as emissões associad</w:t>
      </w:r>
      <w:r w:rsidR="007148AC" w:rsidRPr="00166AB2">
        <w:rPr>
          <w:lang w:val="pt-PT"/>
        </w:rPr>
        <w:t>as ao transporte internacional.</w:t>
      </w:r>
    </w:p>
    <w:p w:rsidR="00A02B11" w:rsidRPr="00166AB2" w:rsidRDefault="00A02B11" w:rsidP="005A5DF9">
      <w:pPr>
        <w:ind w:left="360"/>
        <w:rPr>
          <w:lang w:val="pt-PT"/>
        </w:rPr>
      </w:pPr>
    </w:p>
    <w:p w:rsidR="008759FD" w:rsidRPr="00166AB2" w:rsidRDefault="00E052C5" w:rsidP="005A5DF9">
      <w:pPr>
        <w:keepNext/>
        <w:numPr>
          <w:ilvl w:val="0"/>
          <w:numId w:val="10"/>
        </w:numPr>
        <w:ind w:left="709" w:hanging="709"/>
        <w:rPr>
          <w:b/>
          <w:lang w:val="pt-PT"/>
        </w:rPr>
      </w:pPr>
      <w:r w:rsidRPr="00166AB2">
        <w:rPr>
          <w:b/>
          <w:lang w:val="pt-PT"/>
        </w:rPr>
        <w:t>Para uma estratégia de cooperação benéfica para ambos os continentes</w:t>
      </w:r>
    </w:p>
    <w:p w:rsidR="00A02B11" w:rsidRPr="00166AB2" w:rsidRDefault="00A02B11" w:rsidP="005A5DF9">
      <w:pPr>
        <w:keepNext/>
        <w:rPr>
          <w:lang w:val="pt-PT"/>
        </w:rPr>
      </w:pPr>
    </w:p>
    <w:p w:rsidR="00BD1FF3" w:rsidRPr="00166AB2" w:rsidRDefault="00BD1FF3" w:rsidP="005A5DF9">
      <w:pPr>
        <w:keepNext/>
        <w:rPr>
          <w:lang w:val="pt-PT"/>
        </w:rPr>
      </w:pPr>
      <w:r w:rsidRPr="00166AB2">
        <w:rPr>
          <w:lang w:val="pt-PT"/>
        </w:rPr>
        <w:t>Os participantes:</w:t>
      </w:r>
    </w:p>
    <w:p w:rsidR="00A02B11" w:rsidRPr="00166AB2" w:rsidRDefault="00A02B11" w:rsidP="005A5DF9">
      <w:pPr>
        <w:keepNext/>
        <w:rPr>
          <w:lang w:val="pt-PT"/>
        </w:rPr>
      </w:pPr>
    </w:p>
    <w:p w:rsidR="00E1082C" w:rsidRPr="00166AB2" w:rsidRDefault="00E1082C" w:rsidP="005A5DF9">
      <w:pPr>
        <w:numPr>
          <w:ilvl w:val="1"/>
          <w:numId w:val="10"/>
        </w:numPr>
        <w:ind w:left="709" w:hanging="709"/>
        <w:rPr>
          <w:lang w:val="pt-PT"/>
        </w:rPr>
      </w:pPr>
      <w:r w:rsidRPr="00166AB2">
        <w:rPr>
          <w:lang w:val="pt-PT"/>
        </w:rPr>
        <w:t>estão firmemente convictos de que a cooperação, uma maior integração e intercâmbios mais intensos entre as duas regiões são essenciais para o desenvolvimento sustentável;</w:t>
      </w:r>
    </w:p>
    <w:p w:rsidR="00F06816" w:rsidRPr="00166AB2" w:rsidRDefault="00F06816" w:rsidP="005A5DF9">
      <w:pPr>
        <w:ind w:left="709"/>
        <w:rPr>
          <w:lang w:val="pt-PT"/>
        </w:rPr>
      </w:pPr>
    </w:p>
    <w:p w:rsidR="00B83D4D" w:rsidRPr="00166AB2" w:rsidRDefault="00E1082C" w:rsidP="005A5DF9">
      <w:pPr>
        <w:numPr>
          <w:ilvl w:val="1"/>
          <w:numId w:val="10"/>
        </w:numPr>
        <w:ind w:left="709" w:hanging="709"/>
        <w:rPr>
          <w:lang w:val="pt-PT"/>
        </w:rPr>
      </w:pPr>
      <w:r w:rsidRPr="00166AB2">
        <w:rPr>
          <w:lang w:val="pt-PT"/>
        </w:rPr>
        <w:t>acolhem favoravelmente os projetos de infraestruturas que ligam as duas regiões, respeitando normas ambientais, sociais e laborais, e pedem aos governos que intensifiquem os seus investimentos nas infraestruturas necessárias, já que estas são um importante impulsionador do crescimento, do aumento dos fluxos económicos e do c</w:t>
      </w:r>
      <w:r w:rsidR="007148AC" w:rsidRPr="00166AB2">
        <w:rPr>
          <w:lang w:val="pt-PT"/>
        </w:rPr>
        <w:t>rescimento da procura agregada;</w:t>
      </w:r>
    </w:p>
    <w:p w:rsidR="00F06816" w:rsidRPr="00166AB2" w:rsidRDefault="00F06816" w:rsidP="005A5DF9">
      <w:pPr>
        <w:ind w:left="709"/>
        <w:rPr>
          <w:lang w:val="pt-PT"/>
        </w:rPr>
      </w:pPr>
    </w:p>
    <w:p w:rsidR="00B83D4D" w:rsidRPr="00166AB2" w:rsidRDefault="00E1082C" w:rsidP="005A5DF9">
      <w:pPr>
        <w:numPr>
          <w:ilvl w:val="1"/>
          <w:numId w:val="10"/>
        </w:numPr>
        <w:ind w:left="709" w:hanging="709"/>
        <w:rPr>
          <w:lang w:val="pt-PT"/>
        </w:rPr>
      </w:pPr>
      <w:r w:rsidRPr="00166AB2">
        <w:rPr>
          <w:lang w:val="pt-PT"/>
        </w:rPr>
        <w:t>exortam as entidades regionais da CELAC a avançar no processo de integração regional como forma de promover a estabilidade e apelam para que a UE continue a apoiar e a financiar estas iniciativas;</w:t>
      </w:r>
    </w:p>
    <w:p w:rsidR="00F06816" w:rsidRPr="00166AB2" w:rsidRDefault="00F06816" w:rsidP="005A5DF9">
      <w:pPr>
        <w:ind w:left="709"/>
        <w:rPr>
          <w:lang w:val="pt-PT"/>
        </w:rPr>
      </w:pPr>
    </w:p>
    <w:p w:rsidR="000F1755" w:rsidRPr="00166AB2" w:rsidRDefault="001259FD" w:rsidP="005A5DF9">
      <w:pPr>
        <w:numPr>
          <w:ilvl w:val="1"/>
          <w:numId w:val="10"/>
        </w:numPr>
        <w:ind w:left="709" w:hanging="709"/>
        <w:rPr>
          <w:lang w:val="pt-PT"/>
        </w:rPr>
      </w:pPr>
      <w:r w:rsidRPr="00166AB2">
        <w:rPr>
          <w:lang w:val="pt-PT"/>
        </w:rPr>
        <w:t>sublinham a necessidade de os acordos comerciais, de associação ou de parceria económica preverem órgãos de acompanhamento da sociedade civil, os quais devem, nomeadamente:</w:t>
      </w:r>
    </w:p>
    <w:p w:rsidR="00F06816" w:rsidRPr="00166AB2" w:rsidRDefault="00F06816" w:rsidP="005A5DF9">
      <w:pPr>
        <w:keepNext/>
        <w:ind w:left="709"/>
        <w:rPr>
          <w:lang w:val="pt-PT"/>
        </w:rPr>
      </w:pPr>
    </w:p>
    <w:p w:rsidR="005E48FD" w:rsidRPr="00166AB2" w:rsidRDefault="00080A80" w:rsidP="00E373B6">
      <w:pPr>
        <w:keepNext/>
        <w:numPr>
          <w:ilvl w:val="1"/>
          <w:numId w:val="28"/>
        </w:numPr>
        <w:ind w:left="1134" w:hanging="425"/>
        <w:rPr>
          <w:lang w:val="pt-PT"/>
        </w:rPr>
      </w:pPr>
      <w:r w:rsidRPr="00166AB2">
        <w:rPr>
          <w:lang w:val="pt-PT"/>
        </w:rPr>
        <w:t xml:space="preserve">ser parte integrante de todos os acordos, exercer funções consultivas e poder emitir conclusões ou recomendações por iniciativa própria; </w:t>
      </w:r>
    </w:p>
    <w:p w:rsidR="005F422E" w:rsidRPr="00166AB2" w:rsidRDefault="00AB7243" w:rsidP="00E373B6">
      <w:pPr>
        <w:keepNext/>
        <w:numPr>
          <w:ilvl w:val="1"/>
          <w:numId w:val="28"/>
        </w:numPr>
        <w:ind w:left="1134" w:hanging="425"/>
        <w:rPr>
          <w:lang w:val="pt-PT"/>
        </w:rPr>
      </w:pPr>
      <w:r w:rsidRPr="00166AB2">
        <w:rPr>
          <w:lang w:val="pt-PT"/>
        </w:rPr>
        <w:t>garantir o financiamento desses órgãos consultivos, incluindo, pelo menos, uma reunião conjunta por ano;</w:t>
      </w:r>
    </w:p>
    <w:p w:rsidR="00DA2B2E" w:rsidRPr="00166AB2" w:rsidRDefault="00DA2B2E" w:rsidP="007148AC">
      <w:pPr>
        <w:ind w:left="709"/>
        <w:rPr>
          <w:lang w:val="pt-PT"/>
        </w:rPr>
      </w:pPr>
    </w:p>
    <w:p w:rsidR="00D621C3" w:rsidRPr="00166AB2" w:rsidRDefault="00E1082C" w:rsidP="005A5DF9">
      <w:pPr>
        <w:numPr>
          <w:ilvl w:val="1"/>
          <w:numId w:val="10"/>
        </w:numPr>
        <w:ind w:left="709" w:hanging="709"/>
        <w:rPr>
          <w:lang w:val="pt-PT"/>
        </w:rPr>
      </w:pPr>
      <w:r w:rsidRPr="00166AB2">
        <w:rPr>
          <w:lang w:val="pt-PT"/>
        </w:rPr>
        <w:t>instam a UE a tornar mais graduais os critérios de classificação do Sistema de Preferências Generalizadas, procurando indicadores mais avançados do que os atuais;</w:t>
      </w:r>
    </w:p>
    <w:p w:rsidR="00F06816" w:rsidRPr="00166AB2" w:rsidRDefault="00F06816" w:rsidP="005A5DF9">
      <w:pPr>
        <w:ind w:left="709"/>
        <w:rPr>
          <w:lang w:val="pt-PT"/>
        </w:rPr>
      </w:pPr>
    </w:p>
    <w:p w:rsidR="00F06816" w:rsidRPr="00166AB2" w:rsidRDefault="00E1082C" w:rsidP="005A5DF9">
      <w:pPr>
        <w:numPr>
          <w:ilvl w:val="1"/>
          <w:numId w:val="10"/>
        </w:numPr>
        <w:ind w:left="709" w:hanging="709"/>
        <w:rPr>
          <w:lang w:val="pt-PT"/>
        </w:rPr>
      </w:pPr>
      <w:r w:rsidRPr="00166AB2">
        <w:rPr>
          <w:lang w:val="pt-PT"/>
        </w:rPr>
        <w:t>reconhecem a importância de aumentar os fluxos de investimento em ambos os sentidos e destacam o seu potencial para promover o desenvolvimento sustentável das duas regiões;</w:t>
      </w:r>
    </w:p>
    <w:p w:rsidR="0091046C" w:rsidRPr="00166AB2" w:rsidRDefault="0091046C" w:rsidP="00B0732A">
      <w:pPr>
        <w:rPr>
          <w:lang w:val="pt-PT"/>
        </w:rPr>
      </w:pPr>
    </w:p>
    <w:p w:rsidR="0091046C" w:rsidRPr="00166AB2" w:rsidRDefault="00B900B0">
      <w:pPr>
        <w:numPr>
          <w:ilvl w:val="1"/>
          <w:numId w:val="10"/>
        </w:numPr>
        <w:ind w:left="709" w:hanging="709"/>
        <w:rPr>
          <w:lang w:val="pt-PT"/>
        </w:rPr>
      </w:pPr>
      <w:r w:rsidRPr="00166AB2">
        <w:rPr>
          <w:lang w:val="pt-PT"/>
        </w:rPr>
        <w:t xml:space="preserve">reconhecem o potencial da contratação pública enquanto fator de desenvolvimento sustentável e instam todos os intervenientes a desenvolver um quadro propício à promoção de objetivos sociais e ambientais, incluindo trabalho digno, serviços de qualidade acessíveis a todos e desenvolvimento da eficiência energética e da proteção do ambiente, bem como a incentivar a transparência na contratação pública e o combate à corrupção. Apoiam os programas de investimento público e privado enquanto instrumento importante para promover o desenvolvimento; </w:t>
      </w:r>
    </w:p>
    <w:p w:rsidR="00F06816" w:rsidRPr="00166AB2" w:rsidRDefault="00F06816" w:rsidP="005A5DF9">
      <w:pPr>
        <w:ind w:left="709"/>
        <w:rPr>
          <w:lang w:val="pt-PT"/>
        </w:rPr>
      </w:pPr>
    </w:p>
    <w:p w:rsidR="00C375A0" w:rsidRPr="00166AB2" w:rsidRDefault="00E1082C" w:rsidP="005A5DF9">
      <w:pPr>
        <w:numPr>
          <w:ilvl w:val="1"/>
          <w:numId w:val="10"/>
        </w:numPr>
        <w:ind w:left="709" w:hanging="709"/>
        <w:rPr>
          <w:lang w:val="pt-PT"/>
        </w:rPr>
      </w:pPr>
      <w:r w:rsidRPr="00166AB2">
        <w:rPr>
          <w:lang w:val="pt-PT"/>
        </w:rPr>
        <w:t>incentivam os países a melhorar as suas condições de investimento através do desenvolvimento de agências de promoção do comércio e da simplificação de procedimentos, com vista a aumentar a atratividade do investimento;</w:t>
      </w:r>
    </w:p>
    <w:p w:rsidR="00F06816" w:rsidRPr="00166AB2" w:rsidRDefault="00F06816" w:rsidP="005A5DF9">
      <w:pPr>
        <w:ind w:left="709"/>
        <w:rPr>
          <w:lang w:val="pt-PT"/>
        </w:rPr>
      </w:pPr>
    </w:p>
    <w:p w:rsidR="00C375A0" w:rsidRPr="00166AB2" w:rsidRDefault="00E1082C" w:rsidP="005A5DF9">
      <w:pPr>
        <w:numPr>
          <w:ilvl w:val="1"/>
          <w:numId w:val="10"/>
        </w:numPr>
        <w:ind w:left="709" w:hanging="709"/>
        <w:rPr>
          <w:lang w:val="pt-PT"/>
        </w:rPr>
      </w:pPr>
      <w:r w:rsidRPr="00166AB2">
        <w:rPr>
          <w:lang w:val="pt-PT"/>
        </w:rPr>
        <w:t xml:space="preserve">reconhecem a importância da economia social para o desenvolvimento económico sustentável, já que esta pode complementar outras formas de organização e de atividade económica; </w:t>
      </w:r>
    </w:p>
    <w:p w:rsidR="00F06816" w:rsidRPr="00166AB2" w:rsidRDefault="00F06816" w:rsidP="005A5DF9">
      <w:pPr>
        <w:ind w:left="709"/>
        <w:rPr>
          <w:lang w:val="pt-PT"/>
        </w:rPr>
      </w:pPr>
    </w:p>
    <w:p w:rsidR="00E1082C" w:rsidRPr="00166AB2" w:rsidRDefault="00E1082C" w:rsidP="005A5DF9">
      <w:pPr>
        <w:numPr>
          <w:ilvl w:val="1"/>
          <w:numId w:val="10"/>
        </w:numPr>
        <w:ind w:left="709" w:hanging="709"/>
        <w:rPr>
          <w:lang w:val="pt-PT"/>
        </w:rPr>
      </w:pPr>
      <w:r w:rsidRPr="00166AB2">
        <w:rPr>
          <w:lang w:val="pt-PT"/>
        </w:rPr>
        <w:t xml:space="preserve">apelam ao desenvolvimento de um quadro regulamentar estável e previsível em todos os países, com vista a assegurar os investimentos e os direitos laborais e a promover o desenvolvimento sustentável local; </w:t>
      </w:r>
    </w:p>
    <w:p w:rsidR="00F06816" w:rsidRPr="00166AB2" w:rsidRDefault="00F06816" w:rsidP="005A5DF9">
      <w:pPr>
        <w:ind w:left="709"/>
        <w:rPr>
          <w:lang w:val="pt-PT"/>
        </w:rPr>
      </w:pPr>
    </w:p>
    <w:p w:rsidR="00FD75A7" w:rsidRPr="00166AB2" w:rsidRDefault="00E1082C" w:rsidP="005A5DF9">
      <w:pPr>
        <w:numPr>
          <w:ilvl w:val="1"/>
          <w:numId w:val="10"/>
        </w:numPr>
        <w:ind w:left="709" w:hanging="709"/>
        <w:rPr>
          <w:lang w:val="pt-PT"/>
        </w:rPr>
      </w:pPr>
      <w:r w:rsidRPr="00166AB2">
        <w:rPr>
          <w:lang w:val="pt-PT"/>
        </w:rPr>
        <w:t>instam a UE a aumentar os níveis de ajuda externa ao desenvolvimento concedida aos países menos desenvolvidos da CELAC, pois isso é fulcral para promover o progresso económico e continua a ser uma importante fonte de verbas para alguns países da região;</w:t>
      </w:r>
    </w:p>
    <w:p w:rsidR="00F06816" w:rsidRPr="00166AB2" w:rsidRDefault="00F06816" w:rsidP="005A5DF9">
      <w:pPr>
        <w:ind w:left="709"/>
        <w:rPr>
          <w:lang w:val="pt-PT"/>
        </w:rPr>
      </w:pPr>
    </w:p>
    <w:p w:rsidR="00427130" w:rsidRPr="00166AB2" w:rsidRDefault="00427130" w:rsidP="005A5DF9">
      <w:pPr>
        <w:numPr>
          <w:ilvl w:val="1"/>
          <w:numId w:val="10"/>
        </w:numPr>
        <w:ind w:left="709" w:hanging="709"/>
        <w:rPr>
          <w:lang w:val="pt-PT"/>
        </w:rPr>
      </w:pPr>
      <w:r w:rsidRPr="00166AB2">
        <w:rPr>
          <w:lang w:val="pt-PT"/>
        </w:rPr>
        <w:t>salientam que os fluxos migratórios e os intercâmbios de conhecimentos são fundamentais para uma melhor integração das duas regiões;</w:t>
      </w:r>
    </w:p>
    <w:p w:rsidR="00B443A9" w:rsidRPr="00166AB2" w:rsidRDefault="00B443A9" w:rsidP="008663DD">
      <w:pPr>
        <w:ind w:left="709"/>
        <w:rPr>
          <w:lang w:val="pt-PT"/>
        </w:rPr>
      </w:pPr>
    </w:p>
    <w:p w:rsidR="00427130" w:rsidRPr="00166AB2" w:rsidRDefault="00427130" w:rsidP="00D40CFD">
      <w:pPr>
        <w:numPr>
          <w:ilvl w:val="1"/>
          <w:numId w:val="10"/>
        </w:numPr>
        <w:ind w:left="709" w:hanging="709"/>
        <w:rPr>
          <w:lang w:val="pt-PT"/>
        </w:rPr>
      </w:pPr>
      <w:r w:rsidRPr="00166AB2">
        <w:rPr>
          <w:lang w:val="pt-PT"/>
        </w:rPr>
        <w:t>apoiam a melhoria dos sistemas educativos e de formação profissional e o fomento dos intercâmbios educacionais e das práticas de ensino orientadas para a inserção no mercado de trabalho. Além disso, instam os países a alargar os intercâmbios a outras áreas do ensino, criando, por exemplo, intercâmbios de professores, estudantes e investigadores ou estabelecendo o reconhecimento mútuo das qualificações;</w:t>
      </w:r>
    </w:p>
    <w:p w:rsidR="00CA7FAD" w:rsidRPr="00166AB2" w:rsidRDefault="00CA7FAD" w:rsidP="00CA7FAD">
      <w:pPr>
        <w:ind w:left="709"/>
        <w:rPr>
          <w:lang w:val="pt-PT"/>
        </w:rPr>
      </w:pPr>
    </w:p>
    <w:p w:rsidR="00A02B11" w:rsidRPr="00166AB2" w:rsidRDefault="00C516B8" w:rsidP="00CA7FAD">
      <w:pPr>
        <w:numPr>
          <w:ilvl w:val="1"/>
          <w:numId w:val="10"/>
        </w:numPr>
        <w:ind w:left="709" w:hanging="709"/>
        <w:rPr>
          <w:lang w:val="pt-PT"/>
        </w:rPr>
      </w:pPr>
      <w:r w:rsidRPr="00166AB2">
        <w:rPr>
          <w:lang w:val="pt-PT"/>
        </w:rPr>
        <w:t>apelam ao reconhecimento e reforço das entidades consultivas institucionais da sociedade civil já existentes em ambas as regiões, bem como à criação desse tipo de entidades nos países em que não ainda existam, com base num consenso entre todas as partes interessadas. Neste sentido, apoiam os programas da UE de ajuda ao desenvolvimento nas Caraíbas e noutras regiões da CELAC e apelam ao reforço deste tipo de cooperação num âmbito birregional.</w:t>
      </w:r>
    </w:p>
    <w:p w:rsidR="00B443A9" w:rsidRPr="00166AB2" w:rsidRDefault="00B443A9" w:rsidP="007148AC">
      <w:pPr>
        <w:overflowPunct w:val="0"/>
        <w:autoSpaceDE w:val="0"/>
        <w:autoSpaceDN w:val="0"/>
        <w:adjustRightInd w:val="0"/>
        <w:ind w:left="709"/>
        <w:textAlignment w:val="baseline"/>
        <w:rPr>
          <w:lang w:val="pt-PT"/>
        </w:rPr>
      </w:pPr>
    </w:p>
    <w:p w:rsidR="00023E9C" w:rsidRPr="00166AB2" w:rsidRDefault="00E052C5" w:rsidP="005A5DF9">
      <w:pPr>
        <w:keepNext/>
        <w:numPr>
          <w:ilvl w:val="0"/>
          <w:numId w:val="10"/>
        </w:numPr>
        <w:ind w:left="709" w:hanging="709"/>
        <w:rPr>
          <w:b/>
          <w:lang w:val="pt-PT"/>
        </w:rPr>
      </w:pPr>
      <w:r w:rsidRPr="00166AB2">
        <w:rPr>
          <w:b/>
          <w:lang w:val="pt-PT"/>
        </w:rPr>
        <w:t>Desigualdades</w:t>
      </w:r>
    </w:p>
    <w:p w:rsidR="00B443A9" w:rsidRPr="00166AB2" w:rsidRDefault="00B443A9" w:rsidP="005A5DF9">
      <w:pPr>
        <w:keepNext/>
        <w:rPr>
          <w:lang w:val="pt-PT"/>
        </w:rPr>
      </w:pPr>
    </w:p>
    <w:p w:rsidR="00B443A9" w:rsidRPr="00166AB2" w:rsidRDefault="00023E9C" w:rsidP="005A5DF9">
      <w:pPr>
        <w:keepNext/>
        <w:rPr>
          <w:lang w:val="pt-PT"/>
        </w:rPr>
      </w:pPr>
      <w:r w:rsidRPr="00166AB2">
        <w:rPr>
          <w:lang w:val="pt-PT"/>
        </w:rPr>
        <w:t>Os participantes:</w:t>
      </w:r>
    </w:p>
    <w:p w:rsidR="00160A5C" w:rsidRPr="00166AB2" w:rsidRDefault="00160A5C" w:rsidP="00D40CFD">
      <w:pPr>
        <w:rPr>
          <w:lang w:val="pt-PT"/>
        </w:rPr>
      </w:pPr>
    </w:p>
    <w:p w:rsidR="00B443A9" w:rsidRPr="00166AB2" w:rsidRDefault="00B443A9" w:rsidP="00D40CFD">
      <w:pPr>
        <w:numPr>
          <w:ilvl w:val="1"/>
          <w:numId w:val="10"/>
        </w:numPr>
        <w:ind w:left="709" w:hanging="709"/>
        <w:rPr>
          <w:lang w:val="pt-PT"/>
        </w:rPr>
      </w:pPr>
      <w:r w:rsidRPr="00166AB2">
        <w:rPr>
          <w:lang w:val="pt-PT"/>
        </w:rPr>
        <w:t>salientam que existe uma relação direta entre a promoção da igualdade e o desenvolvimento sustentável. A proteção social e as políticas de redistribuição não são um resultado final do crescimento, mas sim um meio para o alcançar;</w:t>
      </w:r>
    </w:p>
    <w:p w:rsidR="00B443A9" w:rsidRPr="00166AB2" w:rsidRDefault="00B443A9" w:rsidP="008663DD">
      <w:pPr>
        <w:ind w:left="709"/>
        <w:rPr>
          <w:lang w:val="pt-PT"/>
        </w:rPr>
      </w:pPr>
    </w:p>
    <w:p w:rsidR="006E4281" w:rsidRPr="00166AB2" w:rsidRDefault="00E1082C" w:rsidP="00D40CFD">
      <w:pPr>
        <w:numPr>
          <w:ilvl w:val="1"/>
          <w:numId w:val="10"/>
        </w:numPr>
        <w:ind w:left="709" w:hanging="709"/>
        <w:rPr>
          <w:lang w:val="pt-PT"/>
        </w:rPr>
      </w:pPr>
      <w:r w:rsidRPr="00166AB2">
        <w:rPr>
          <w:lang w:val="pt-PT"/>
        </w:rPr>
        <w:t xml:space="preserve">salientam a necessidade de um ensino público gratuito, universal e de elevada qualidade, como uma das principais formas de garantir a igualdade de oportunidades e a redução da pobreza; </w:t>
      </w:r>
    </w:p>
    <w:p w:rsidR="00DA2B2E" w:rsidRPr="00166AB2" w:rsidRDefault="00DA2B2E" w:rsidP="00B0732A">
      <w:pPr>
        <w:rPr>
          <w:lang w:val="pt-PT"/>
        </w:rPr>
      </w:pPr>
    </w:p>
    <w:p w:rsidR="006E4281" w:rsidRPr="00166AB2" w:rsidRDefault="006E4281" w:rsidP="00D40CFD">
      <w:pPr>
        <w:numPr>
          <w:ilvl w:val="1"/>
          <w:numId w:val="10"/>
        </w:numPr>
        <w:ind w:left="709" w:hanging="709"/>
        <w:rPr>
          <w:lang w:val="pt-PT"/>
        </w:rPr>
      </w:pPr>
      <w:r w:rsidRPr="00166AB2">
        <w:rPr>
          <w:lang w:val="pt-PT"/>
        </w:rPr>
        <w:t xml:space="preserve">apoiam uma política de emprego destinada a reduzir as desigualdades, colmatar o fosso salarial entre homens e mulheres, promover o empreendedorismo, elevar os salários a níveis dignos e reduzir o número de trabalhadores em situação de pobreza; </w:t>
      </w:r>
    </w:p>
    <w:p w:rsidR="00B443A9" w:rsidRPr="00166AB2" w:rsidRDefault="00B443A9" w:rsidP="008663DD">
      <w:pPr>
        <w:ind w:left="709"/>
        <w:rPr>
          <w:lang w:val="pt-PT"/>
        </w:rPr>
      </w:pPr>
    </w:p>
    <w:p w:rsidR="00B443A9" w:rsidRPr="00166AB2" w:rsidRDefault="00B443A9" w:rsidP="00D40CFD">
      <w:pPr>
        <w:numPr>
          <w:ilvl w:val="1"/>
          <w:numId w:val="10"/>
        </w:numPr>
        <w:ind w:left="709" w:hanging="709"/>
        <w:rPr>
          <w:lang w:val="pt-PT"/>
        </w:rPr>
      </w:pPr>
      <w:r w:rsidRPr="00166AB2">
        <w:rPr>
          <w:lang w:val="pt-PT"/>
        </w:rPr>
        <w:t>insistem na necessidade de um sistema inclusivo de proteção social, especialmente nos domínios da alimentação, saúde, cuidados médicos, pensões, reformas, proteção da infância e desemprego;</w:t>
      </w:r>
    </w:p>
    <w:p w:rsidR="00F06816" w:rsidRPr="00166AB2" w:rsidRDefault="00F06816" w:rsidP="00C708E1">
      <w:pPr>
        <w:ind w:left="709"/>
        <w:rPr>
          <w:lang w:val="pt-PT"/>
        </w:rPr>
      </w:pPr>
    </w:p>
    <w:p w:rsidR="00023E9C" w:rsidRPr="00166AB2" w:rsidRDefault="00E1082C" w:rsidP="005A5DF9">
      <w:pPr>
        <w:numPr>
          <w:ilvl w:val="1"/>
          <w:numId w:val="10"/>
        </w:numPr>
        <w:ind w:left="709" w:hanging="709"/>
        <w:rPr>
          <w:lang w:val="pt-PT"/>
        </w:rPr>
      </w:pPr>
      <w:r w:rsidRPr="00166AB2">
        <w:rPr>
          <w:lang w:val="pt-PT"/>
        </w:rPr>
        <w:t xml:space="preserve">reconhecem as políticas adotadas na região da CELAC para reduzir a pobreza e, em certos casos, a notável diminuição das desigualdades, e instam os Estados a manter e reforçar os seus sistemas de proteção social, como forma de evitar o agravamento das desigualdades; </w:t>
      </w:r>
    </w:p>
    <w:p w:rsidR="00B443A9" w:rsidRPr="00166AB2" w:rsidRDefault="00B443A9" w:rsidP="008663DD">
      <w:pPr>
        <w:ind w:left="709"/>
        <w:rPr>
          <w:lang w:val="pt-PT"/>
        </w:rPr>
      </w:pPr>
    </w:p>
    <w:p w:rsidR="00395E6C" w:rsidRPr="00166AB2" w:rsidRDefault="00C8301E" w:rsidP="00CA7FAD">
      <w:pPr>
        <w:numPr>
          <w:ilvl w:val="1"/>
          <w:numId w:val="10"/>
        </w:numPr>
        <w:ind w:left="709" w:hanging="709"/>
        <w:rPr>
          <w:lang w:val="pt-PT"/>
        </w:rPr>
      </w:pPr>
      <w:r w:rsidRPr="00166AB2">
        <w:rPr>
          <w:lang w:val="pt-PT"/>
        </w:rPr>
        <w:t>assinalam que tanto o desenvolvimento sustentável como um regime fiscal desenvolvido e progressivo são instrumentos fundamentais para aumentar a receita fiscal e, por conseguinte, para financiar políticas públicas de redução das desigualdades e programas de proteção social mais ambiciosos. Assim, advogam a criação de um sistema orçamental eficiente e transparente na utilização dos recursos;</w:t>
      </w:r>
    </w:p>
    <w:p w:rsidR="00F06816" w:rsidRPr="00166AB2" w:rsidRDefault="00F06816" w:rsidP="005A5DF9">
      <w:pPr>
        <w:ind w:left="709"/>
        <w:rPr>
          <w:lang w:val="pt-PT"/>
        </w:rPr>
      </w:pPr>
    </w:p>
    <w:p w:rsidR="000255B1" w:rsidRPr="00166AB2" w:rsidRDefault="00E1082C" w:rsidP="005A5DF9">
      <w:pPr>
        <w:numPr>
          <w:ilvl w:val="1"/>
          <w:numId w:val="10"/>
        </w:numPr>
        <w:ind w:left="709" w:hanging="709"/>
        <w:rPr>
          <w:lang w:val="pt-PT"/>
        </w:rPr>
      </w:pPr>
      <w:r w:rsidRPr="00166AB2">
        <w:rPr>
          <w:lang w:val="pt-PT"/>
        </w:rPr>
        <w:t>condenam o aumento da pobreza e das desigualdades que se tem verificado em alguns países, particularmente o seu impacto no modo de vida e na segurança alimentar dos pequenos agricultores, e consideram essa evolução especialmente grave no caso das pessoas afetadas pelas crises económicas e pelas políticas aplicadas contra as mesmas. Solicitam a disponibilização de recursos adequados para inverter esta tendência, incluindo o acesso a financiamento e a programas de assistência social mais sólidos, que contemplem a questão do emprego digno e sustentável, com vista a tirar as pessoas da situação de pobreza;</w:t>
      </w:r>
    </w:p>
    <w:p w:rsidR="00F06816" w:rsidRPr="00166AB2" w:rsidRDefault="00F06816" w:rsidP="005A5DF9">
      <w:pPr>
        <w:ind w:left="709"/>
        <w:rPr>
          <w:lang w:val="pt-PT"/>
        </w:rPr>
      </w:pPr>
    </w:p>
    <w:p w:rsidR="00964246" w:rsidRPr="00166AB2" w:rsidRDefault="00E1082C" w:rsidP="005A5DF9">
      <w:pPr>
        <w:numPr>
          <w:ilvl w:val="1"/>
          <w:numId w:val="10"/>
        </w:numPr>
        <w:ind w:left="709" w:hanging="709"/>
        <w:rPr>
          <w:lang w:val="pt-PT"/>
        </w:rPr>
      </w:pPr>
      <w:r w:rsidRPr="00166AB2">
        <w:rPr>
          <w:lang w:val="pt-PT"/>
        </w:rPr>
        <w:t>convidam os governos a lançar e/ou reforçar programas que eliminem a discriminação e programas educativos de formação profissional e capacitação especificamente orientados para os jovens, as mulheres, os idosos, as pessoas com deficiência, as minorias étnicas e os povos indígenas, já que, regra geral, estes grupos são mais afetados pelas desigualdades;</w:t>
      </w:r>
    </w:p>
    <w:p w:rsidR="00964246" w:rsidRPr="00166AB2" w:rsidRDefault="00964246" w:rsidP="008663DD">
      <w:pPr>
        <w:ind w:left="709"/>
        <w:rPr>
          <w:lang w:val="pt-PT"/>
        </w:rPr>
      </w:pPr>
    </w:p>
    <w:p w:rsidR="00543100" w:rsidRPr="00166AB2" w:rsidRDefault="00543100" w:rsidP="00D40CFD">
      <w:pPr>
        <w:numPr>
          <w:ilvl w:val="1"/>
          <w:numId w:val="10"/>
        </w:numPr>
        <w:ind w:left="709" w:hanging="709"/>
        <w:rPr>
          <w:lang w:val="pt-PT"/>
        </w:rPr>
      </w:pPr>
      <w:r w:rsidRPr="00166AB2">
        <w:rPr>
          <w:lang w:val="pt-PT"/>
        </w:rPr>
        <w:t>reconhecem o contributo do setor cooperativo para a redução das desigualdades enquanto modelo de associativismo social e económico para o reforço da governação democrática.</w:t>
      </w:r>
    </w:p>
    <w:p w:rsidR="00A02B11" w:rsidRPr="00166AB2" w:rsidRDefault="00A02B11" w:rsidP="005A5DF9">
      <w:pPr>
        <w:ind w:left="360"/>
        <w:rPr>
          <w:lang w:val="pt-PT"/>
        </w:rPr>
      </w:pPr>
    </w:p>
    <w:p w:rsidR="00023E9C" w:rsidRPr="00166AB2" w:rsidRDefault="007148AC" w:rsidP="005A5DF9">
      <w:pPr>
        <w:keepNext/>
        <w:numPr>
          <w:ilvl w:val="0"/>
          <w:numId w:val="10"/>
        </w:numPr>
        <w:ind w:left="709" w:hanging="709"/>
        <w:rPr>
          <w:b/>
          <w:lang w:val="pt-PT"/>
        </w:rPr>
      </w:pPr>
      <w:r w:rsidRPr="00166AB2">
        <w:rPr>
          <w:b/>
          <w:lang w:val="pt-PT"/>
        </w:rPr>
        <w:t>Setor informal</w:t>
      </w:r>
    </w:p>
    <w:p w:rsidR="00A02B11" w:rsidRPr="00166AB2" w:rsidRDefault="00A02B11" w:rsidP="005A5DF9">
      <w:pPr>
        <w:keepNext/>
        <w:rPr>
          <w:lang w:val="pt-PT"/>
        </w:rPr>
      </w:pPr>
    </w:p>
    <w:p w:rsidR="00A553EC" w:rsidRPr="00166AB2" w:rsidRDefault="00023E9C" w:rsidP="005A5DF9">
      <w:pPr>
        <w:keepNext/>
        <w:rPr>
          <w:lang w:val="pt-PT"/>
        </w:rPr>
      </w:pPr>
      <w:r w:rsidRPr="00166AB2">
        <w:rPr>
          <w:lang w:val="pt-PT"/>
        </w:rPr>
        <w:t>Os participantes:</w:t>
      </w:r>
    </w:p>
    <w:p w:rsidR="00A02B11" w:rsidRPr="00166AB2" w:rsidRDefault="00A02B11" w:rsidP="005A5DF9">
      <w:pPr>
        <w:keepNext/>
        <w:rPr>
          <w:lang w:val="pt-PT"/>
        </w:rPr>
      </w:pPr>
    </w:p>
    <w:p w:rsidR="00C207D5" w:rsidRPr="00166AB2" w:rsidRDefault="00C207D5" w:rsidP="005A5DF9">
      <w:pPr>
        <w:numPr>
          <w:ilvl w:val="1"/>
          <w:numId w:val="10"/>
        </w:numPr>
        <w:ind w:left="709" w:hanging="709"/>
        <w:rPr>
          <w:lang w:val="pt-PT"/>
        </w:rPr>
      </w:pPr>
      <w:r w:rsidRPr="00166AB2">
        <w:rPr>
          <w:lang w:val="pt-PT"/>
        </w:rPr>
        <w:t>consideram o setor informal como as atividades que servem de refúgio e as estratégias de sobrevivência dos setores excluídos da economia formal, e definem o trabalho informal como um fenómeno específico de fraude, violação dos direitos laborais e concorrência desleal com o setor formal da economia. Estes fenómenos concomitantes resultam de um défice de desenvolvimento;</w:t>
      </w:r>
    </w:p>
    <w:p w:rsidR="00F563C6" w:rsidRPr="00166AB2" w:rsidRDefault="00F563C6" w:rsidP="00F563C6">
      <w:pPr>
        <w:ind w:left="709"/>
        <w:rPr>
          <w:lang w:val="pt-PT"/>
        </w:rPr>
      </w:pPr>
    </w:p>
    <w:p w:rsidR="009E24FE" w:rsidRPr="00166AB2" w:rsidRDefault="009E24FE" w:rsidP="005A5DF9">
      <w:pPr>
        <w:numPr>
          <w:ilvl w:val="1"/>
          <w:numId w:val="10"/>
        </w:numPr>
        <w:ind w:left="709" w:hanging="709"/>
        <w:rPr>
          <w:lang w:val="pt-PT"/>
        </w:rPr>
      </w:pPr>
      <w:r w:rsidRPr="00166AB2">
        <w:rPr>
          <w:lang w:val="pt-PT"/>
        </w:rPr>
        <w:t>promovem as empresas sustentáveis como parte do conceito de desenvolvimento sustentável;</w:t>
      </w:r>
    </w:p>
    <w:p w:rsidR="00C207D5" w:rsidRPr="00166AB2" w:rsidRDefault="00C207D5" w:rsidP="007148AC">
      <w:pPr>
        <w:ind w:left="709"/>
        <w:rPr>
          <w:lang w:val="pt-PT"/>
        </w:rPr>
      </w:pPr>
    </w:p>
    <w:p w:rsidR="00A553EC" w:rsidRPr="00166AB2" w:rsidRDefault="00E1082C" w:rsidP="005A5DF9">
      <w:pPr>
        <w:numPr>
          <w:ilvl w:val="1"/>
          <w:numId w:val="10"/>
        </w:numPr>
        <w:ind w:left="709" w:hanging="709"/>
        <w:rPr>
          <w:lang w:val="pt-PT"/>
        </w:rPr>
      </w:pPr>
      <w:r w:rsidRPr="00166AB2">
        <w:rPr>
          <w:lang w:val="pt-PT"/>
        </w:rPr>
        <w:t>insistem que a transição de uma economia informal para a economia formal é uma forma de melhorar e proteger a segurança dos trabalhadores, aumentar as receitas públicas, alargar os direitos sociais e promover o desenvolvimento das empresas. Assinalam o caráter estrutural da economia informal em muitos países e a necessidade de aumentar o apoio institucional à</w:t>
      </w:r>
      <w:r w:rsidR="007148AC" w:rsidRPr="00166AB2">
        <w:rPr>
          <w:lang w:val="pt-PT"/>
        </w:rPr>
        <w:t xml:space="preserve"> transição para o setor formal;</w:t>
      </w:r>
    </w:p>
    <w:p w:rsidR="000E70F1" w:rsidRPr="00166AB2" w:rsidRDefault="000E70F1" w:rsidP="00D40CFD">
      <w:pPr>
        <w:rPr>
          <w:lang w:val="pt-PT"/>
        </w:rPr>
      </w:pPr>
    </w:p>
    <w:p w:rsidR="00B208CC" w:rsidRPr="00166AB2" w:rsidRDefault="000E70F1" w:rsidP="00D40CFD">
      <w:pPr>
        <w:numPr>
          <w:ilvl w:val="1"/>
          <w:numId w:val="10"/>
        </w:numPr>
        <w:ind w:left="709" w:hanging="709"/>
        <w:rPr>
          <w:lang w:val="pt-PT"/>
        </w:rPr>
      </w:pPr>
      <w:r w:rsidRPr="00166AB2">
        <w:rPr>
          <w:lang w:val="pt-PT"/>
        </w:rPr>
        <w:t>destacam o vasto problema do trabalho informal. Observam que medidas administrativas mais ágeis, especialmente no domínio do registo de empresas, reduzirão o tempo e o dinheiro necessários para cumprir o disposto na regulamentação. Apelam ao reforço do papel do setor público a fim de assegurar o cumprimento da lei e, desta forma, desincentivar o trabalho informal;</w:t>
      </w:r>
    </w:p>
    <w:p w:rsidR="00B208CC" w:rsidRPr="00166AB2" w:rsidRDefault="00B208CC" w:rsidP="00D40CFD">
      <w:pPr>
        <w:rPr>
          <w:lang w:val="pt-PT"/>
        </w:rPr>
      </w:pPr>
    </w:p>
    <w:p w:rsidR="00F06816" w:rsidRPr="00166AB2" w:rsidRDefault="00B208CC" w:rsidP="008663DD">
      <w:pPr>
        <w:numPr>
          <w:ilvl w:val="1"/>
          <w:numId w:val="10"/>
        </w:numPr>
        <w:ind w:left="709" w:hanging="709"/>
        <w:rPr>
          <w:lang w:val="pt-PT"/>
        </w:rPr>
      </w:pPr>
      <w:r w:rsidRPr="00166AB2">
        <w:rPr>
          <w:lang w:val="pt-PT"/>
        </w:rPr>
        <w:t>instam as instituições a estudar as causas estruturais do subemprego, do setor informal e do trabalho informal, com vista a elaborar e implementar políticas adequadas que avancem soluções para esses problemas;</w:t>
      </w:r>
    </w:p>
    <w:p w:rsidR="00F06816" w:rsidRPr="00166AB2" w:rsidRDefault="00F06816" w:rsidP="005A5DF9">
      <w:pPr>
        <w:ind w:left="709"/>
        <w:rPr>
          <w:lang w:val="pt-PT"/>
        </w:rPr>
      </w:pPr>
    </w:p>
    <w:p w:rsidR="001C0A76" w:rsidRPr="00166AB2" w:rsidRDefault="00E1082C" w:rsidP="005A5DF9">
      <w:pPr>
        <w:numPr>
          <w:ilvl w:val="1"/>
          <w:numId w:val="10"/>
        </w:numPr>
        <w:ind w:left="709" w:hanging="709"/>
        <w:rPr>
          <w:lang w:val="pt-PT"/>
        </w:rPr>
      </w:pPr>
      <w:r w:rsidRPr="00166AB2">
        <w:rPr>
          <w:lang w:val="pt-PT"/>
        </w:rPr>
        <w:t>apelam a que os governos desenvolvam políticas ativas de emprego e transferências sociais geradoras de capacidades para os agregados familiares com baixos rendimentos, ou que criem ou alarguem um subsídio de desemprego, por forma a evitar que os trabalhadores sejam obrigado</w:t>
      </w:r>
      <w:r w:rsidR="00521648" w:rsidRPr="00166AB2">
        <w:rPr>
          <w:lang w:val="pt-PT"/>
        </w:rPr>
        <w:t>s a recorrer ao setor informal;</w:t>
      </w:r>
    </w:p>
    <w:p w:rsidR="00F06816" w:rsidRPr="00166AB2" w:rsidRDefault="00F06816" w:rsidP="00F4340D">
      <w:pPr>
        <w:ind w:left="709"/>
        <w:rPr>
          <w:lang w:val="pt-PT"/>
        </w:rPr>
      </w:pPr>
    </w:p>
    <w:p w:rsidR="00023E9C" w:rsidRPr="00166AB2" w:rsidRDefault="00E1082C" w:rsidP="005A5DF9">
      <w:pPr>
        <w:numPr>
          <w:ilvl w:val="1"/>
          <w:numId w:val="10"/>
        </w:numPr>
        <w:ind w:left="709" w:hanging="709"/>
        <w:rPr>
          <w:lang w:val="pt-PT"/>
        </w:rPr>
      </w:pPr>
      <w:r w:rsidRPr="00166AB2">
        <w:rPr>
          <w:lang w:val="pt-PT"/>
        </w:rPr>
        <w:t>encorajam os Estados a apoiar o crescimento das PME e das cooperativas, como forma de reduzir o setor informal. Medidas de registo simplificado, linhas de crédito ou regimes fiscais específicos são formas de atrair esta</w:t>
      </w:r>
      <w:r w:rsidR="00521648" w:rsidRPr="00166AB2">
        <w:rPr>
          <w:lang w:val="pt-PT"/>
        </w:rPr>
        <w:t>s empresas para o setor formal;</w:t>
      </w:r>
    </w:p>
    <w:p w:rsidR="00F06816" w:rsidRPr="00166AB2" w:rsidRDefault="00F06816" w:rsidP="005A5DF9">
      <w:pPr>
        <w:ind w:left="709"/>
        <w:rPr>
          <w:lang w:val="pt-PT"/>
        </w:rPr>
      </w:pPr>
    </w:p>
    <w:p w:rsidR="001C0A76" w:rsidRPr="00166AB2" w:rsidRDefault="00964246" w:rsidP="005A5DF9">
      <w:pPr>
        <w:numPr>
          <w:ilvl w:val="1"/>
          <w:numId w:val="10"/>
        </w:numPr>
        <w:ind w:left="709" w:hanging="709"/>
        <w:rPr>
          <w:lang w:val="pt-PT"/>
        </w:rPr>
      </w:pPr>
      <w:r w:rsidRPr="00166AB2">
        <w:rPr>
          <w:lang w:val="pt-PT"/>
        </w:rPr>
        <w:t>encorajam o desenvolvimento de programas de formação que permitam a mobilidade e promoção social dos trabalhadores informais e aumentem as suas possibilidades de entrada no setor formal;</w:t>
      </w:r>
    </w:p>
    <w:p w:rsidR="00F06816" w:rsidRPr="00166AB2" w:rsidRDefault="00F06816" w:rsidP="00D40CFD">
      <w:pPr>
        <w:rPr>
          <w:lang w:val="pt-PT"/>
        </w:rPr>
      </w:pPr>
    </w:p>
    <w:p w:rsidR="001C0A76" w:rsidRPr="00166AB2" w:rsidRDefault="008E337C" w:rsidP="005A5DF9">
      <w:pPr>
        <w:numPr>
          <w:ilvl w:val="1"/>
          <w:numId w:val="10"/>
        </w:numPr>
        <w:ind w:left="709" w:hanging="709"/>
        <w:rPr>
          <w:lang w:val="pt-PT"/>
        </w:rPr>
      </w:pPr>
      <w:r w:rsidRPr="00166AB2">
        <w:rPr>
          <w:lang w:val="pt-PT"/>
        </w:rPr>
        <w:t>advertem que as mulheres estão demasiado representadas no setor informal e instam os governos a prestar uma atenção especial a este grupo, bem como aos jovens, pessoas com deficiência, populações indígenas e outros grupos vulneráveis;</w:t>
      </w:r>
    </w:p>
    <w:p w:rsidR="009F2A07" w:rsidRPr="00166AB2" w:rsidRDefault="009F2A07" w:rsidP="008663DD">
      <w:pPr>
        <w:ind w:left="709"/>
        <w:rPr>
          <w:lang w:val="pt-PT"/>
        </w:rPr>
      </w:pPr>
    </w:p>
    <w:p w:rsidR="009F2A07" w:rsidRPr="00166AB2" w:rsidRDefault="009F2A07" w:rsidP="005A5DF9">
      <w:pPr>
        <w:numPr>
          <w:ilvl w:val="1"/>
          <w:numId w:val="10"/>
        </w:numPr>
        <w:ind w:left="709" w:hanging="709"/>
        <w:rPr>
          <w:lang w:val="pt-PT"/>
        </w:rPr>
      </w:pPr>
      <w:r w:rsidRPr="00166AB2">
        <w:rPr>
          <w:lang w:val="pt-PT"/>
        </w:rPr>
        <w:t>são favoráveis à regulamentação das novas formas de trabalho, particularmente as ligadas às novas tecnologias, para assegurar que os novos setores se desenvolvem dentro da economia formal;</w:t>
      </w:r>
    </w:p>
    <w:p w:rsidR="009F2A07" w:rsidRPr="00166AB2" w:rsidRDefault="009F2A07" w:rsidP="008663DD">
      <w:pPr>
        <w:ind w:left="709"/>
        <w:rPr>
          <w:lang w:val="pt-PT"/>
        </w:rPr>
      </w:pPr>
    </w:p>
    <w:p w:rsidR="009F2A07" w:rsidRPr="00166AB2" w:rsidRDefault="009E24FE" w:rsidP="005A5DF9">
      <w:pPr>
        <w:numPr>
          <w:ilvl w:val="1"/>
          <w:numId w:val="10"/>
        </w:numPr>
        <w:ind w:left="709" w:hanging="709"/>
        <w:rPr>
          <w:lang w:val="pt-PT"/>
        </w:rPr>
      </w:pPr>
      <w:r w:rsidRPr="00166AB2">
        <w:rPr>
          <w:lang w:val="pt-PT"/>
        </w:rPr>
        <w:t>defendem o direito à liberdade sindical, nos termos da Convenção n.º 87 da OIT.</w:t>
      </w:r>
    </w:p>
    <w:p w:rsidR="00125835" w:rsidRPr="00166AB2" w:rsidRDefault="00125835" w:rsidP="005A5DF9">
      <w:pPr>
        <w:ind w:left="709" w:hanging="709"/>
        <w:rPr>
          <w:lang w:val="pt-PT"/>
        </w:rPr>
      </w:pPr>
    </w:p>
    <w:p w:rsidR="0052357B" w:rsidRPr="00166AB2" w:rsidRDefault="0052357B" w:rsidP="005A5DF9">
      <w:pPr>
        <w:overflowPunct w:val="0"/>
        <w:autoSpaceDE w:val="0"/>
        <w:autoSpaceDN w:val="0"/>
        <w:adjustRightInd w:val="0"/>
        <w:jc w:val="center"/>
        <w:textAlignment w:val="baseline"/>
        <w:rPr>
          <w:lang w:val="pt-PT"/>
        </w:rPr>
      </w:pPr>
      <w:r w:rsidRPr="00166AB2">
        <w:rPr>
          <w:lang w:val="pt-PT"/>
        </w:rPr>
        <w:t>_____________</w:t>
      </w:r>
    </w:p>
    <w:p w:rsidR="005A5DF9" w:rsidRPr="00166AB2" w:rsidRDefault="005A5DF9" w:rsidP="00BD4816">
      <w:pPr>
        <w:rPr>
          <w:lang w:val="pt-PT"/>
        </w:rPr>
      </w:pPr>
    </w:p>
    <w:sectPr w:rsidR="005A5DF9" w:rsidRPr="00166AB2" w:rsidSect="00C327B6">
      <w:headerReference w:type="even" r:id="rId26"/>
      <w:headerReference w:type="default" r:id="rId27"/>
      <w:footerReference w:type="even" r:id="rId28"/>
      <w:footerReference w:type="default" r:id="rId29"/>
      <w:headerReference w:type="first" r:id="rId30"/>
      <w:footerReference w:type="first" r:id="rId31"/>
      <w:type w:val="continuous"/>
      <w:pgSz w:w="11906" w:h="16838" w:code="9"/>
      <w:pgMar w:top="1701" w:right="1440" w:bottom="1928" w:left="1440" w:header="1021"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995" w:rsidRDefault="00226995" w:rsidP="002F65F7">
      <w:pPr>
        <w:spacing w:line="240" w:lineRule="auto"/>
      </w:pPr>
      <w:r>
        <w:separator/>
      </w:r>
    </w:p>
  </w:endnote>
  <w:endnote w:type="continuationSeparator" w:id="0">
    <w:p w:rsidR="00226995" w:rsidRDefault="00226995" w:rsidP="002F65F7">
      <w:pPr>
        <w:spacing w:line="240" w:lineRule="auto"/>
      </w:pPr>
      <w:r>
        <w:continuationSeparator/>
      </w:r>
    </w:p>
  </w:endnote>
  <w:endnote w:type="continuationNotice" w:id="1">
    <w:p w:rsidR="00226995" w:rsidRDefault="00226995" w:rsidP="002F65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7B6" w:rsidRPr="00C327B6" w:rsidRDefault="00C327B6" w:rsidP="00C32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C327B6" w:rsidRDefault="00C327B6" w:rsidP="00C327B6">
    <w:pPr>
      <w:pStyle w:val="Footer"/>
    </w:pPr>
    <w:r>
      <w:t xml:space="preserve">EESC-2015-00675-00-06-TCD-TRA (ES) </w:t>
    </w:r>
    <w:r>
      <w:fldChar w:fldCharType="begin"/>
    </w:r>
    <w:r>
      <w:instrText xml:space="preserve"> PAGE  \* Arabic  \* MERGEFORMAT </w:instrText>
    </w:r>
    <w:r>
      <w:fldChar w:fldCharType="separate"/>
    </w:r>
    <w:r w:rsidR="00166AB2">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166AB2">
      <w:rPr>
        <w:noProof/>
      </w:rPr>
      <w:instrText>1</w:instrText>
    </w:r>
    <w:r>
      <w:fldChar w:fldCharType="end"/>
    </w:r>
    <w:r>
      <w:instrText xml:space="preserve"> -0 </w:instrText>
    </w:r>
    <w:r>
      <w:fldChar w:fldCharType="separate"/>
    </w:r>
    <w:r w:rsidR="00166AB2">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7B6" w:rsidRPr="00C327B6" w:rsidRDefault="00C327B6" w:rsidP="00C327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C327B6" w:rsidRDefault="000E70F1" w:rsidP="00C327B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C327B6" w:rsidRDefault="00C327B6" w:rsidP="00C327B6">
    <w:pPr>
      <w:pStyle w:val="Footer"/>
    </w:pPr>
    <w:r>
      <w:t xml:space="preserve">EESC-2015-00675-00-06-TCD-TRA (ES)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fldChar w:fldCharType="begin"/>
    </w:r>
    <w:r>
      <w:instrText xml:space="preserve"> NUMPAGES </w:instrText>
    </w:r>
    <w:r>
      <w:fldChar w:fldCharType="separate"/>
    </w:r>
    <w:r>
      <w:rPr>
        <w:noProof/>
      </w:rPr>
      <w:instrText>1</w:instrText>
    </w:r>
    <w:r>
      <w:fldChar w:fldCharType="end"/>
    </w:r>
    <w:r>
      <w:instrText xml:space="preserve"> -0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C327B6" w:rsidRDefault="000E70F1" w:rsidP="00C327B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C327B6" w:rsidRDefault="000E70F1" w:rsidP="00C327B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C327B6" w:rsidRDefault="00C327B6" w:rsidP="00C327B6">
    <w:pPr>
      <w:pStyle w:val="Footer"/>
    </w:pPr>
    <w:r>
      <w:t xml:space="preserve">EESC-2015-00675-00-06-TCD-TRA (ES) </w:t>
    </w:r>
    <w:r>
      <w:fldChar w:fldCharType="begin"/>
    </w:r>
    <w:r>
      <w:instrText xml:space="preserve"> PAGE  \* Arabic  \* MERGEFORMAT </w:instrText>
    </w:r>
    <w:r>
      <w:fldChar w:fldCharType="separate"/>
    </w:r>
    <w:r w:rsidR="00166AB2">
      <w:rPr>
        <w:noProof/>
      </w:rPr>
      <w:t>3</w:t>
    </w:r>
    <w:r>
      <w:fldChar w:fldCharType="end"/>
    </w:r>
    <w:r>
      <w:t>/</w:t>
    </w:r>
    <w:r>
      <w:fldChar w:fldCharType="begin"/>
    </w:r>
    <w:r>
      <w:instrText xml:space="preserve"> = </w:instrText>
    </w:r>
    <w:r>
      <w:fldChar w:fldCharType="begin"/>
    </w:r>
    <w:r>
      <w:instrText xml:space="preserve"> NUMPAGES </w:instrText>
    </w:r>
    <w:r>
      <w:fldChar w:fldCharType="separate"/>
    </w:r>
    <w:r w:rsidR="00166AB2">
      <w:rPr>
        <w:noProof/>
      </w:rPr>
      <w:instrText>3</w:instrText>
    </w:r>
    <w:r>
      <w:fldChar w:fldCharType="end"/>
    </w:r>
    <w:r>
      <w:instrText xml:space="preserve"> -0 </w:instrText>
    </w:r>
    <w:r>
      <w:fldChar w:fldCharType="separate"/>
    </w:r>
    <w:r w:rsidR="00166AB2">
      <w:rPr>
        <w:noProof/>
      </w:rPr>
      <w:t>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C327B6" w:rsidRDefault="000E70F1" w:rsidP="00C32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995" w:rsidRDefault="00226995" w:rsidP="002F65F7">
      <w:pPr>
        <w:spacing w:line="240" w:lineRule="auto"/>
      </w:pPr>
      <w:r>
        <w:separator/>
      </w:r>
    </w:p>
  </w:footnote>
  <w:footnote w:type="continuationSeparator" w:id="0">
    <w:p w:rsidR="00226995" w:rsidRDefault="00226995" w:rsidP="002F65F7">
      <w:pPr>
        <w:spacing w:line="240" w:lineRule="auto"/>
      </w:pPr>
      <w:r>
        <w:continuationSeparator/>
      </w:r>
    </w:p>
  </w:footnote>
  <w:footnote w:type="continuationNotice" w:id="1">
    <w:p w:rsidR="00226995" w:rsidRDefault="00226995" w:rsidP="002F65F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7B6" w:rsidRPr="00C327B6" w:rsidRDefault="00C327B6" w:rsidP="00C327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7B6" w:rsidRPr="00C327B6" w:rsidRDefault="00C327B6" w:rsidP="00C327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7B6" w:rsidRPr="00C327B6" w:rsidRDefault="00C327B6" w:rsidP="00C327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C327B6" w:rsidRDefault="000E70F1" w:rsidP="00C327B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C327B6" w:rsidRDefault="000E70F1" w:rsidP="00C327B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C327B6" w:rsidRDefault="000E70F1" w:rsidP="00C327B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C327B6" w:rsidRDefault="000E70F1" w:rsidP="00C327B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C327B6" w:rsidRDefault="000E70F1" w:rsidP="00C327B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F1" w:rsidRPr="00C327B6" w:rsidRDefault="000E70F1" w:rsidP="00C32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63A04B2"/>
    <w:multiLevelType w:val="hybridMultilevel"/>
    <w:tmpl w:val="BB0C6A16"/>
    <w:lvl w:ilvl="0" w:tplc="080C0015">
      <w:start w:val="1"/>
      <w:numFmt w:val="upperLetter"/>
      <w:lvlText w:val="%1."/>
      <w:lvlJc w:val="left"/>
      <w:pPr>
        <w:ind w:left="1434" w:hanging="360"/>
      </w:pPr>
    </w:lvl>
    <w:lvl w:ilvl="1" w:tplc="080C0019" w:tentative="1">
      <w:start w:val="1"/>
      <w:numFmt w:val="lowerLetter"/>
      <w:lvlText w:val="%2."/>
      <w:lvlJc w:val="left"/>
      <w:pPr>
        <w:ind w:left="2154" w:hanging="360"/>
      </w:pPr>
    </w:lvl>
    <w:lvl w:ilvl="2" w:tplc="080C001B" w:tentative="1">
      <w:start w:val="1"/>
      <w:numFmt w:val="lowerRoman"/>
      <w:lvlText w:val="%3."/>
      <w:lvlJc w:val="right"/>
      <w:pPr>
        <w:ind w:left="2874" w:hanging="180"/>
      </w:pPr>
    </w:lvl>
    <w:lvl w:ilvl="3" w:tplc="080C000F" w:tentative="1">
      <w:start w:val="1"/>
      <w:numFmt w:val="decimal"/>
      <w:lvlText w:val="%4."/>
      <w:lvlJc w:val="left"/>
      <w:pPr>
        <w:ind w:left="3594" w:hanging="360"/>
      </w:pPr>
    </w:lvl>
    <w:lvl w:ilvl="4" w:tplc="080C0019" w:tentative="1">
      <w:start w:val="1"/>
      <w:numFmt w:val="lowerLetter"/>
      <w:lvlText w:val="%5."/>
      <w:lvlJc w:val="left"/>
      <w:pPr>
        <w:ind w:left="4314" w:hanging="360"/>
      </w:pPr>
    </w:lvl>
    <w:lvl w:ilvl="5" w:tplc="080C001B" w:tentative="1">
      <w:start w:val="1"/>
      <w:numFmt w:val="lowerRoman"/>
      <w:lvlText w:val="%6."/>
      <w:lvlJc w:val="right"/>
      <w:pPr>
        <w:ind w:left="5034" w:hanging="180"/>
      </w:pPr>
    </w:lvl>
    <w:lvl w:ilvl="6" w:tplc="080C000F" w:tentative="1">
      <w:start w:val="1"/>
      <w:numFmt w:val="decimal"/>
      <w:lvlText w:val="%7."/>
      <w:lvlJc w:val="left"/>
      <w:pPr>
        <w:ind w:left="5754" w:hanging="360"/>
      </w:pPr>
    </w:lvl>
    <w:lvl w:ilvl="7" w:tplc="080C0019" w:tentative="1">
      <w:start w:val="1"/>
      <w:numFmt w:val="lowerLetter"/>
      <w:lvlText w:val="%8."/>
      <w:lvlJc w:val="left"/>
      <w:pPr>
        <w:ind w:left="6474" w:hanging="360"/>
      </w:pPr>
    </w:lvl>
    <w:lvl w:ilvl="8" w:tplc="080C001B" w:tentative="1">
      <w:start w:val="1"/>
      <w:numFmt w:val="lowerRoman"/>
      <w:lvlText w:val="%9."/>
      <w:lvlJc w:val="right"/>
      <w:pPr>
        <w:ind w:left="7194" w:hanging="180"/>
      </w:pPr>
    </w:lvl>
  </w:abstractNum>
  <w:abstractNum w:abstractNumId="2">
    <w:nsid w:val="085965C5"/>
    <w:multiLevelType w:val="multilevel"/>
    <w:tmpl w:val="601C7B80"/>
    <w:lvl w:ilvl="0">
      <w:start w:val="1"/>
      <w:numFmt w:val="decimal"/>
      <w:lvlText w:val="%1."/>
      <w:lvlJc w:val="left"/>
      <w:pPr>
        <w:ind w:left="360" w:hanging="360"/>
      </w:pPr>
      <w:rPr>
        <w:rFonts w:hint="default"/>
        <w:b w:val="0"/>
      </w:rPr>
    </w:lvl>
    <w:lvl w:ilvl="1">
      <w:start w:val="1"/>
      <w:numFmt w:val="decimal"/>
      <w:lvlText w:val="%1.%2."/>
      <w:lvlJc w:val="left"/>
      <w:pPr>
        <w:ind w:left="633" w:hanging="491"/>
      </w:pPr>
      <w:rPr>
        <w:rFonts w:ascii="Times New Roman" w:hAnsi="Times New Roman" w:cs="Times New Roman"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9A3340"/>
    <w:multiLevelType w:val="hybridMultilevel"/>
    <w:tmpl w:val="DD3A83CC"/>
    <w:lvl w:ilvl="0" w:tplc="BF30240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1226F77"/>
    <w:multiLevelType w:val="hybridMultilevel"/>
    <w:tmpl w:val="B3544C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3D74787"/>
    <w:multiLevelType w:val="multilevel"/>
    <w:tmpl w:val="3D6A953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5D3B26"/>
    <w:multiLevelType w:val="hybridMultilevel"/>
    <w:tmpl w:val="3536BF1C"/>
    <w:lvl w:ilvl="0" w:tplc="0A441C6E">
      <w:numFmt w:val="bullet"/>
      <w:lvlText w:val="-"/>
      <w:lvlJc w:val="left"/>
      <w:pPr>
        <w:ind w:left="720" w:hanging="360"/>
      </w:pPr>
      <w:rPr>
        <w:rFonts w:ascii="Times New Roman" w:eastAsia="Times New Roman"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5AF5EC1"/>
    <w:multiLevelType w:val="multilevel"/>
    <w:tmpl w:val="E06E91F8"/>
    <w:lvl w:ilvl="0">
      <w:start w:val="1"/>
      <w:numFmt w:val="decimal"/>
      <w:lvlText w:val="%1."/>
      <w:lvlJc w:val="left"/>
      <w:pPr>
        <w:ind w:left="360" w:hanging="360"/>
      </w:pPr>
      <w:rPr>
        <w:rFonts w:hint="default"/>
        <w:b/>
      </w:rPr>
    </w:lvl>
    <w:lvl w:ilvl="1">
      <w:start w:val="1"/>
      <w:numFmt w:val="decimal"/>
      <w:lvlText w:val="%1.%2."/>
      <w:lvlJc w:val="left"/>
      <w:pPr>
        <w:ind w:left="851" w:hanging="4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EB7F5C"/>
    <w:multiLevelType w:val="hybridMultilevel"/>
    <w:tmpl w:val="6CDE1F56"/>
    <w:lvl w:ilvl="0" w:tplc="EC40E632">
      <w:start w:val="1"/>
      <w:numFmt w:val="bullet"/>
      <w:lvlText w:val=""/>
      <w:lvlJc w:val="left"/>
      <w:pPr>
        <w:ind w:left="2138" w:hanging="360"/>
      </w:pPr>
      <w:rPr>
        <w:rFonts w:ascii="Symbol" w:hAnsi="Symbol" w:hint="default"/>
      </w:rPr>
    </w:lvl>
    <w:lvl w:ilvl="1" w:tplc="EC40E632">
      <w:start w:val="1"/>
      <w:numFmt w:val="bullet"/>
      <w:lvlText w:val=""/>
      <w:lvlJc w:val="left"/>
      <w:pPr>
        <w:ind w:left="2858" w:hanging="360"/>
      </w:pPr>
      <w:rPr>
        <w:rFonts w:ascii="Symbol" w:hAnsi="Symbol"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nsid w:val="3373755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F14B9D"/>
    <w:multiLevelType w:val="multilevel"/>
    <w:tmpl w:val="E06E91F8"/>
    <w:lvl w:ilvl="0">
      <w:start w:val="1"/>
      <w:numFmt w:val="decimal"/>
      <w:lvlText w:val="%1."/>
      <w:lvlJc w:val="left"/>
      <w:pPr>
        <w:ind w:left="1068" w:hanging="360"/>
      </w:pPr>
      <w:rPr>
        <w:rFonts w:hint="default"/>
        <w:b/>
      </w:rPr>
    </w:lvl>
    <w:lvl w:ilvl="1">
      <w:start w:val="1"/>
      <w:numFmt w:val="decimal"/>
      <w:lvlText w:val="%1.%2."/>
      <w:lvlJc w:val="left"/>
      <w:pPr>
        <w:ind w:left="1559" w:hanging="491"/>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1">
    <w:nsid w:val="39274BED"/>
    <w:multiLevelType w:val="hybridMultilevel"/>
    <w:tmpl w:val="4468BE9C"/>
    <w:lvl w:ilvl="0" w:tplc="080C0015">
      <w:start w:val="1"/>
      <w:numFmt w:val="upperLetter"/>
      <w:lvlText w:val="%1."/>
      <w:lvlJc w:val="left"/>
      <w:pPr>
        <w:ind w:left="1434" w:hanging="360"/>
      </w:pPr>
    </w:lvl>
    <w:lvl w:ilvl="1" w:tplc="080C0019" w:tentative="1">
      <w:start w:val="1"/>
      <w:numFmt w:val="lowerLetter"/>
      <w:lvlText w:val="%2."/>
      <w:lvlJc w:val="left"/>
      <w:pPr>
        <w:ind w:left="2154" w:hanging="360"/>
      </w:pPr>
    </w:lvl>
    <w:lvl w:ilvl="2" w:tplc="080C001B" w:tentative="1">
      <w:start w:val="1"/>
      <w:numFmt w:val="lowerRoman"/>
      <w:lvlText w:val="%3."/>
      <w:lvlJc w:val="right"/>
      <w:pPr>
        <w:ind w:left="2874" w:hanging="180"/>
      </w:pPr>
    </w:lvl>
    <w:lvl w:ilvl="3" w:tplc="080C000F" w:tentative="1">
      <w:start w:val="1"/>
      <w:numFmt w:val="decimal"/>
      <w:lvlText w:val="%4."/>
      <w:lvlJc w:val="left"/>
      <w:pPr>
        <w:ind w:left="3594" w:hanging="360"/>
      </w:pPr>
    </w:lvl>
    <w:lvl w:ilvl="4" w:tplc="080C0019" w:tentative="1">
      <w:start w:val="1"/>
      <w:numFmt w:val="lowerLetter"/>
      <w:lvlText w:val="%5."/>
      <w:lvlJc w:val="left"/>
      <w:pPr>
        <w:ind w:left="4314" w:hanging="360"/>
      </w:pPr>
    </w:lvl>
    <w:lvl w:ilvl="5" w:tplc="080C001B" w:tentative="1">
      <w:start w:val="1"/>
      <w:numFmt w:val="lowerRoman"/>
      <w:lvlText w:val="%6."/>
      <w:lvlJc w:val="right"/>
      <w:pPr>
        <w:ind w:left="5034" w:hanging="180"/>
      </w:pPr>
    </w:lvl>
    <w:lvl w:ilvl="6" w:tplc="080C000F" w:tentative="1">
      <w:start w:val="1"/>
      <w:numFmt w:val="decimal"/>
      <w:lvlText w:val="%7."/>
      <w:lvlJc w:val="left"/>
      <w:pPr>
        <w:ind w:left="5754" w:hanging="360"/>
      </w:pPr>
    </w:lvl>
    <w:lvl w:ilvl="7" w:tplc="080C0019" w:tentative="1">
      <w:start w:val="1"/>
      <w:numFmt w:val="lowerLetter"/>
      <w:lvlText w:val="%8."/>
      <w:lvlJc w:val="left"/>
      <w:pPr>
        <w:ind w:left="6474" w:hanging="360"/>
      </w:pPr>
    </w:lvl>
    <w:lvl w:ilvl="8" w:tplc="080C001B" w:tentative="1">
      <w:start w:val="1"/>
      <w:numFmt w:val="lowerRoman"/>
      <w:lvlText w:val="%9."/>
      <w:lvlJc w:val="right"/>
      <w:pPr>
        <w:ind w:left="7194" w:hanging="180"/>
      </w:pPr>
    </w:lvl>
  </w:abstractNum>
  <w:abstractNum w:abstractNumId="12">
    <w:nsid w:val="43CF105E"/>
    <w:multiLevelType w:val="hybridMultilevel"/>
    <w:tmpl w:val="070A4786"/>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3">
    <w:nsid w:val="443F5D44"/>
    <w:multiLevelType w:val="hybridMultilevel"/>
    <w:tmpl w:val="7ACC849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872700D"/>
    <w:multiLevelType w:val="hybridMultilevel"/>
    <w:tmpl w:val="CDAE1ECA"/>
    <w:lvl w:ilvl="0" w:tplc="0C0A000F">
      <w:start w:val="1"/>
      <w:numFmt w:val="decimal"/>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5">
    <w:nsid w:val="4EED2AAD"/>
    <w:multiLevelType w:val="hybridMultilevel"/>
    <w:tmpl w:val="FE3CE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0F80C3E"/>
    <w:multiLevelType w:val="hybridMultilevel"/>
    <w:tmpl w:val="8FECC7B0"/>
    <w:lvl w:ilvl="0" w:tplc="0C0A000F">
      <w:start w:val="1"/>
      <w:numFmt w:val="decimal"/>
      <w:lvlText w:val="%1."/>
      <w:lvlJc w:val="left"/>
      <w:pPr>
        <w:ind w:left="1794" w:hanging="360"/>
      </w:pPr>
    </w:lvl>
    <w:lvl w:ilvl="1" w:tplc="0C0A0019" w:tentative="1">
      <w:start w:val="1"/>
      <w:numFmt w:val="lowerLetter"/>
      <w:lvlText w:val="%2."/>
      <w:lvlJc w:val="left"/>
      <w:pPr>
        <w:ind w:left="2514" w:hanging="360"/>
      </w:pPr>
    </w:lvl>
    <w:lvl w:ilvl="2" w:tplc="0C0A001B" w:tentative="1">
      <w:start w:val="1"/>
      <w:numFmt w:val="lowerRoman"/>
      <w:lvlText w:val="%3."/>
      <w:lvlJc w:val="right"/>
      <w:pPr>
        <w:ind w:left="3234" w:hanging="180"/>
      </w:pPr>
    </w:lvl>
    <w:lvl w:ilvl="3" w:tplc="0C0A000F" w:tentative="1">
      <w:start w:val="1"/>
      <w:numFmt w:val="decimal"/>
      <w:lvlText w:val="%4."/>
      <w:lvlJc w:val="left"/>
      <w:pPr>
        <w:ind w:left="3954" w:hanging="360"/>
      </w:pPr>
    </w:lvl>
    <w:lvl w:ilvl="4" w:tplc="0C0A0019" w:tentative="1">
      <w:start w:val="1"/>
      <w:numFmt w:val="lowerLetter"/>
      <w:lvlText w:val="%5."/>
      <w:lvlJc w:val="left"/>
      <w:pPr>
        <w:ind w:left="4674" w:hanging="360"/>
      </w:pPr>
    </w:lvl>
    <w:lvl w:ilvl="5" w:tplc="0C0A001B" w:tentative="1">
      <w:start w:val="1"/>
      <w:numFmt w:val="lowerRoman"/>
      <w:lvlText w:val="%6."/>
      <w:lvlJc w:val="right"/>
      <w:pPr>
        <w:ind w:left="5394" w:hanging="180"/>
      </w:pPr>
    </w:lvl>
    <w:lvl w:ilvl="6" w:tplc="0C0A000F" w:tentative="1">
      <w:start w:val="1"/>
      <w:numFmt w:val="decimal"/>
      <w:lvlText w:val="%7."/>
      <w:lvlJc w:val="left"/>
      <w:pPr>
        <w:ind w:left="6114" w:hanging="360"/>
      </w:pPr>
    </w:lvl>
    <w:lvl w:ilvl="7" w:tplc="0C0A0019" w:tentative="1">
      <w:start w:val="1"/>
      <w:numFmt w:val="lowerLetter"/>
      <w:lvlText w:val="%8."/>
      <w:lvlJc w:val="left"/>
      <w:pPr>
        <w:ind w:left="6834" w:hanging="360"/>
      </w:pPr>
    </w:lvl>
    <w:lvl w:ilvl="8" w:tplc="0C0A001B" w:tentative="1">
      <w:start w:val="1"/>
      <w:numFmt w:val="lowerRoman"/>
      <w:lvlText w:val="%9."/>
      <w:lvlJc w:val="right"/>
      <w:pPr>
        <w:ind w:left="7554" w:hanging="180"/>
      </w:pPr>
    </w:lvl>
  </w:abstractNum>
  <w:abstractNum w:abstractNumId="17">
    <w:nsid w:val="53094CEF"/>
    <w:multiLevelType w:val="hybridMultilevel"/>
    <w:tmpl w:val="9E0A9310"/>
    <w:lvl w:ilvl="0" w:tplc="080C0015">
      <w:start w:val="1"/>
      <w:numFmt w:val="upperLetter"/>
      <w:lvlText w:val="%1."/>
      <w:lvlJc w:val="left"/>
      <w:pPr>
        <w:ind w:left="1434" w:hanging="360"/>
      </w:pPr>
    </w:lvl>
    <w:lvl w:ilvl="1" w:tplc="2FD20488">
      <w:numFmt w:val="bullet"/>
      <w:lvlText w:val="-"/>
      <w:lvlJc w:val="left"/>
      <w:pPr>
        <w:ind w:left="2154" w:hanging="360"/>
      </w:pPr>
      <w:rPr>
        <w:rFonts w:ascii="Times New Roman" w:eastAsia="Times New Roman" w:hAnsi="Times New Roman" w:cs="Times New Roman" w:hint="default"/>
      </w:rPr>
    </w:lvl>
    <w:lvl w:ilvl="2" w:tplc="080C001B" w:tentative="1">
      <w:start w:val="1"/>
      <w:numFmt w:val="lowerRoman"/>
      <w:lvlText w:val="%3."/>
      <w:lvlJc w:val="right"/>
      <w:pPr>
        <w:ind w:left="2874" w:hanging="180"/>
      </w:pPr>
    </w:lvl>
    <w:lvl w:ilvl="3" w:tplc="080C000F" w:tentative="1">
      <w:start w:val="1"/>
      <w:numFmt w:val="decimal"/>
      <w:lvlText w:val="%4."/>
      <w:lvlJc w:val="left"/>
      <w:pPr>
        <w:ind w:left="3594" w:hanging="360"/>
      </w:pPr>
    </w:lvl>
    <w:lvl w:ilvl="4" w:tplc="080C0019" w:tentative="1">
      <w:start w:val="1"/>
      <w:numFmt w:val="lowerLetter"/>
      <w:lvlText w:val="%5."/>
      <w:lvlJc w:val="left"/>
      <w:pPr>
        <w:ind w:left="4314" w:hanging="360"/>
      </w:pPr>
    </w:lvl>
    <w:lvl w:ilvl="5" w:tplc="080C001B" w:tentative="1">
      <w:start w:val="1"/>
      <w:numFmt w:val="lowerRoman"/>
      <w:lvlText w:val="%6."/>
      <w:lvlJc w:val="right"/>
      <w:pPr>
        <w:ind w:left="5034" w:hanging="180"/>
      </w:pPr>
    </w:lvl>
    <w:lvl w:ilvl="6" w:tplc="080C000F" w:tentative="1">
      <w:start w:val="1"/>
      <w:numFmt w:val="decimal"/>
      <w:lvlText w:val="%7."/>
      <w:lvlJc w:val="left"/>
      <w:pPr>
        <w:ind w:left="5754" w:hanging="360"/>
      </w:pPr>
    </w:lvl>
    <w:lvl w:ilvl="7" w:tplc="080C0019" w:tentative="1">
      <w:start w:val="1"/>
      <w:numFmt w:val="lowerLetter"/>
      <w:lvlText w:val="%8."/>
      <w:lvlJc w:val="left"/>
      <w:pPr>
        <w:ind w:left="6474" w:hanging="360"/>
      </w:pPr>
    </w:lvl>
    <w:lvl w:ilvl="8" w:tplc="080C001B" w:tentative="1">
      <w:start w:val="1"/>
      <w:numFmt w:val="lowerRoman"/>
      <w:lvlText w:val="%9."/>
      <w:lvlJc w:val="right"/>
      <w:pPr>
        <w:ind w:left="7194" w:hanging="180"/>
      </w:pPr>
    </w:lvl>
  </w:abstractNum>
  <w:abstractNum w:abstractNumId="18">
    <w:nsid w:val="5F45210E"/>
    <w:multiLevelType w:val="hybridMultilevel"/>
    <w:tmpl w:val="9C68BF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5F545A3E"/>
    <w:multiLevelType w:val="hybridMultilevel"/>
    <w:tmpl w:val="8E40CCB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61887345"/>
    <w:multiLevelType w:val="hybridMultilevel"/>
    <w:tmpl w:val="016E24FE"/>
    <w:lvl w:ilvl="0" w:tplc="EC40E632">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nsid w:val="6E865929"/>
    <w:multiLevelType w:val="multilevel"/>
    <w:tmpl w:val="E06E91F8"/>
    <w:lvl w:ilvl="0">
      <w:start w:val="1"/>
      <w:numFmt w:val="decimal"/>
      <w:lvlText w:val="%1."/>
      <w:lvlJc w:val="left"/>
      <w:pPr>
        <w:ind w:left="360" w:hanging="360"/>
      </w:pPr>
      <w:rPr>
        <w:rFonts w:hint="default"/>
        <w:b/>
      </w:rPr>
    </w:lvl>
    <w:lvl w:ilvl="1">
      <w:start w:val="1"/>
      <w:numFmt w:val="decimal"/>
      <w:lvlText w:val="%1.%2."/>
      <w:lvlJc w:val="left"/>
      <w:pPr>
        <w:ind w:left="851" w:hanging="4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F352583"/>
    <w:multiLevelType w:val="multilevel"/>
    <w:tmpl w:val="E06E91F8"/>
    <w:lvl w:ilvl="0">
      <w:start w:val="1"/>
      <w:numFmt w:val="decimal"/>
      <w:lvlText w:val="%1."/>
      <w:lvlJc w:val="left"/>
      <w:pPr>
        <w:ind w:left="360" w:hanging="360"/>
      </w:pPr>
      <w:rPr>
        <w:rFonts w:hint="default"/>
        <w:b/>
      </w:rPr>
    </w:lvl>
    <w:lvl w:ilvl="1">
      <w:start w:val="1"/>
      <w:numFmt w:val="decimal"/>
      <w:lvlText w:val="%1.%2."/>
      <w:lvlJc w:val="left"/>
      <w:pPr>
        <w:ind w:left="851" w:hanging="4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0EC70B9"/>
    <w:multiLevelType w:val="hybridMultilevel"/>
    <w:tmpl w:val="E56E30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726432F6"/>
    <w:multiLevelType w:val="hybridMultilevel"/>
    <w:tmpl w:val="2376F182"/>
    <w:lvl w:ilvl="0" w:tplc="BF302404">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72DD46E0"/>
    <w:multiLevelType w:val="hybridMultilevel"/>
    <w:tmpl w:val="748CA76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78896C6D"/>
    <w:multiLevelType w:val="hybridMultilevel"/>
    <w:tmpl w:val="F9F83AC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78B80FB6"/>
    <w:multiLevelType w:val="hybridMultilevel"/>
    <w:tmpl w:val="324E655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13"/>
  </w:num>
  <w:num w:numId="4">
    <w:abstractNumId w:val="23"/>
  </w:num>
  <w:num w:numId="5">
    <w:abstractNumId w:val="6"/>
  </w:num>
  <w:num w:numId="6">
    <w:abstractNumId w:val="19"/>
  </w:num>
  <w:num w:numId="7">
    <w:abstractNumId w:val="24"/>
  </w:num>
  <w:num w:numId="8">
    <w:abstractNumId w:val="3"/>
  </w:num>
  <w:num w:numId="9">
    <w:abstractNumId w:val="9"/>
  </w:num>
  <w:num w:numId="10">
    <w:abstractNumId w:val="2"/>
  </w:num>
  <w:num w:numId="11">
    <w:abstractNumId w:val="5"/>
  </w:num>
  <w:num w:numId="12">
    <w:abstractNumId w:val="7"/>
  </w:num>
  <w:num w:numId="13">
    <w:abstractNumId w:val="10"/>
  </w:num>
  <w:num w:numId="14">
    <w:abstractNumId w:val="21"/>
  </w:num>
  <w:num w:numId="15">
    <w:abstractNumId w:val="22"/>
  </w:num>
  <w:num w:numId="16">
    <w:abstractNumId w:val="26"/>
  </w:num>
  <w:num w:numId="17">
    <w:abstractNumId w:val="0"/>
  </w:num>
  <w:num w:numId="18">
    <w:abstractNumId w:val="25"/>
  </w:num>
  <w:num w:numId="19">
    <w:abstractNumId w:val="11"/>
  </w:num>
  <w:num w:numId="20">
    <w:abstractNumId w:val="12"/>
  </w:num>
  <w:num w:numId="21">
    <w:abstractNumId w:val="16"/>
  </w:num>
  <w:num w:numId="22">
    <w:abstractNumId w:val="15"/>
  </w:num>
  <w:num w:numId="23">
    <w:abstractNumId w:val="17"/>
  </w:num>
  <w:num w:numId="24">
    <w:abstractNumId w:val="18"/>
  </w:num>
  <w:num w:numId="25">
    <w:abstractNumId w:val="14"/>
  </w:num>
  <w:num w:numId="26">
    <w:abstractNumId w:val="1"/>
  </w:num>
  <w:num w:numId="27">
    <w:abstractNumId w:val="2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1FBC"/>
    <w:rsid w:val="00007549"/>
    <w:rsid w:val="00012AD9"/>
    <w:rsid w:val="00013487"/>
    <w:rsid w:val="000165AA"/>
    <w:rsid w:val="000214B5"/>
    <w:rsid w:val="00023847"/>
    <w:rsid w:val="00023E9C"/>
    <w:rsid w:val="00024E44"/>
    <w:rsid w:val="00025268"/>
    <w:rsid w:val="000255B1"/>
    <w:rsid w:val="00026BF6"/>
    <w:rsid w:val="00030973"/>
    <w:rsid w:val="00031DDA"/>
    <w:rsid w:val="000327EF"/>
    <w:rsid w:val="00034122"/>
    <w:rsid w:val="00044240"/>
    <w:rsid w:val="00044CC7"/>
    <w:rsid w:val="0005469D"/>
    <w:rsid w:val="000637BB"/>
    <w:rsid w:val="000736E1"/>
    <w:rsid w:val="00075E44"/>
    <w:rsid w:val="00080A80"/>
    <w:rsid w:val="00086CF0"/>
    <w:rsid w:val="000976D1"/>
    <w:rsid w:val="000B36F9"/>
    <w:rsid w:val="000B46E8"/>
    <w:rsid w:val="000C3F85"/>
    <w:rsid w:val="000C409C"/>
    <w:rsid w:val="000C4118"/>
    <w:rsid w:val="000D2858"/>
    <w:rsid w:val="000E0EF3"/>
    <w:rsid w:val="000E2419"/>
    <w:rsid w:val="000E70F1"/>
    <w:rsid w:val="000F1755"/>
    <w:rsid w:val="001003E3"/>
    <w:rsid w:val="00115E4B"/>
    <w:rsid w:val="00125835"/>
    <w:rsid w:val="001259FD"/>
    <w:rsid w:val="00126410"/>
    <w:rsid w:val="001264D1"/>
    <w:rsid w:val="00137A59"/>
    <w:rsid w:val="001418E7"/>
    <w:rsid w:val="0014715D"/>
    <w:rsid w:val="001605CF"/>
    <w:rsid w:val="00160A5C"/>
    <w:rsid w:val="00166AB2"/>
    <w:rsid w:val="00173809"/>
    <w:rsid w:val="00174AE6"/>
    <w:rsid w:val="00174BA9"/>
    <w:rsid w:val="001827A2"/>
    <w:rsid w:val="00191E82"/>
    <w:rsid w:val="00191EBD"/>
    <w:rsid w:val="0019565C"/>
    <w:rsid w:val="00195E93"/>
    <w:rsid w:val="001A1589"/>
    <w:rsid w:val="001A3EE5"/>
    <w:rsid w:val="001C0A76"/>
    <w:rsid w:val="001C135D"/>
    <w:rsid w:val="001C23DA"/>
    <w:rsid w:val="001C555C"/>
    <w:rsid w:val="001C6C6C"/>
    <w:rsid w:val="001D0E1D"/>
    <w:rsid w:val="001D185F"/>
    <w:rsid w:val="001D687F"/>
    <w:rsid w:val="001F212B"/>
    <w:rsid w:val="001F2D9F"/>
    <w:rsid w:val="001F6B45"/>
    <w:rsid w:val="001F7935"/>
    <w:rsid w:val="00202C7E"/>
    <w:rsid w:val="00203521"/>
    <w:rsid w:val="0020474D"/>
    <w:rsid w:val="002204D6"/>
    <w:rsid w:val="00221BE0"/>
    <w:rsid w:val="00222B21"/>
    <w:rsid w:val="00223CF7"/>
    <w:rsid w:val="00226995"/>
    <w:rsid w:val="00226E71"/>
    <w:rsid w:val="00232742"/>
    <w:rsid w:val="00233E5D"/>
    <w:rsid w:val="00236463"/>
    <w:rsid w:val="002447C8"/>
    <w:rsid w:val="0025003B"/>
    <w:rsid w:val="00252734"/>
    <w:rsid w:val="0025633F"/>
    <w:rsid w:val="002706A8"/>
    <w:rsid w:val="00272AD5"/>
    <w:rsid w:val="0027665E"/>
    <w:rsid w:val="00282246"/>
    <w:rsid w:val="00284C73"/>
    <w:rsid w:val="00290E4E"/>
    <w:rsid w:val="0029708B"/>
    <w:rsid w:val="00297C53"/>
    <w:rsid w:val="002A3091"/>
    <w:rsid w:val="002A5EE8"/>
    <w:rsid w:val="002A6E99"/>
    <w:rsid w:val="002B5592"/>
    <w:rsid w:val="002C0C44"/>
    <w:rsid w:val="002C6701"/>
    <w:rsid w:val="002E03C9"/>
    <w:rsid w:val="002F0135"/>
    <w:rsid w:val="002F65F7"/>
    <w:rsid w:val="002F73B1"/>
    <w:rsid w:val="002F7B62"/>
    <w:rsid w:val="00303C28"/>
    <w:rsid w:val="00303EC1"/>
    <w:rsid w:val="00310E7A"/>
    <w:rsid w:val="00312A1B"/>
    <w:rsid w:val="00335879"/>
    <w:rsid w:val="003413FF"/>
    <w:rsid w:val="00341D2E"/>
    <w:rsid w:val="00353DB9"/>
    <w:rsid w:val="003702BF"/>
    <w:rsid w:val="00373C37"/>
    <w:rsid w:val="00373FBD"/>
    <w:rsid w:val="0037654E"/>
    <w:rsid w:val="00382987"/>
    <w:rsid w:val="00391A3D"/>
    <w:rsid w:val="00391D2E"/>
    <w:rsid w:val="003924FC"/>
    <w:rsid w:val="00395656"/>
    <w:rsid w:val="00395E6C"/>
    <w:rsid w:val="00397D4E"/>
    <w:rsid w:val="003A63F7"/>
    <w:rsid w:val="003A7CD7"/>
    <w:rsid w:val="003B0733"/>
    <w:rsid w:val="003B599F"/>
    <w:rsid w:val="003C102C"/>
    <w:rsid w:val="003C6D91"/>
    <w:rsid w:val="003F6778"/>
    <w:rsid w:val="00403114"/>
    <w:rsid w:val="00411035"/>
    <w:rsid w:val="00413994"/>
    <w:rsid w:val="0042614F"/>
    <w:rsid w:val="00426911"/>
    <w:rsid w:val="00427130"/>
    <w:rsid w:val="00433855"/>
    <w:rsid w:val="00434575"/>
    <w:rsid w:val="00444F2C"/>
    <w:rsid w:val="004464B4"/>
    <w:rsid w:val="00451A11"/>
    <w:rsid w:val="00454961"/>
    <w:rsid w:val="00455938"/>
    <w:rsid w:val="004560F7"/>
    <w:rsid w:val="00486285"/>
    <w:rsid w:val="004A0EBF"/>
    <w:rsid w:val="004A1498"/>
    <w:rsid w:val="004A5916"/>
    <w:rsid w:val="004B5D51"/>
    <w:rsid w:val="004C6C19"/>
    <w:rsid w:val="004C7B76"/>
    <w:rsid w:val="004D2A7B"/>
    <w:rsid w:val="004D3B12"/>
    <w:rsid w:val="004D4820"/>
    <w:rsid w:val="004E23D8"/>
    <w:rsid w:val="004E4897"/>
    <w:rsid w:val="00501245"/>
    <w:rsid w:val="00501975"/>
    <w:rsid w:val="00507595"/>
    <w:rsid w:val="00521648"/>
    <w:rsid w:val="0052357B"/>
    <w:rsid w:val="00534A03"/>
    <w:rsid w:val="00540565"/>
    <w:rsid w:val="00543100"/>
    <w:rsid w:val="005434CC"/>
    <w:rsid w:val="00545294"/>
    <w:rsid w:val="00545722"/>
    <w:rsid w:val="00545AA1"/>
    <w:rsid w:val="0055797A"/>
    <w:rsid w:val="00570F22"/>
    <w:rsid w:val="00585402"/>
    <w:rsid w:val="00591A4D"/>
    <w:rsid w:val="00594895"/>
    <w:rsid w:val="00595860"/>
    <w:rsid w:val="005A4D40"/>
    <w:rsid w:val="005A5DF9"/>
    <w:rsid w:val="005A68D3"/>
    <w:rsid w:val="005A70E9"/>
    <w:rsid w:val="005B253A"/>
    <w:rsid w:val="005B2B75"/>
    <w:rsid w:val="005B748D"/>
    <w:rsid w:val="005B768B"/>
    <w:rsid w:val="005C23B4"/>
    <w:rsid w:val="005C29EA"/>
    <w:rsid w:val="005D135F"/>
    <w:rsid w:val="005D2344"/>
    <w:rsid w:val="005D425F"/>
    <w:rsid w:val="005D56F4"/>
    <w:rsid w:val="005D7F51"/>
    <w:rsid w:val="005E2BDA"/>
    <w:rsid w:val="005E48FD"/>
    <w:rsid w:val="005F08B2"/>
    <w:rsid w:val="005F422E"/>
    <w:rsid w:val="005F5089"/>
    <w:rsid w:val="005F6737"/>
    <w:rsid w:val="005F7444"/>
    <w:rsid w:val="005F7FA1"/>
    <w:rsid w:val="006022DE"/>
    <w:rsid w:val="0063006B"/>
    <w:rsid w:val="00633DEA"/>
    <w:rsid w:val="00634F4A"/>
    <w:rsid w:val="00641B77"/>
    <w:rsid w:val="00644DD0"/>
    <w:rsid w:val="00646957"/>
    <w:rsid w:val="00646C24"/>
    <w:rsid w:val="006525DB"/>
    <w:rsid w:val="00654746"/>
    <w:rsid w:val="00664A70"/>
    <w:rsid w:val="0066726F"/>
    <w:rsid w:val="0067627A"/>
    <w:rsid w:val="00683A63"/>
    <w:rsid w:val="00691797"/>
    <w:rsid w:val="006934BC"/>
    <w:rsid w:val="0069387E"/>
    <w:rsid w:val="006B6172"/>
    <w:rsid w:val="006B7BA3"/>
    <w:rsid w:val="006C1EA8"/>
    <w:rsid w:val="006C25A8"/>
    <w:rsid w:val="006C28AB"/>
    <w:rsid w:val="006C6323"/>
    <w:rsid w:val="006D40D6"/>
    <w:rsid w:val="006D4EBD"/>
    <w:rsid w:val="006D57A3"/>
    <w:rsid w:val="006E397E"/>
    <w:rsid w:val="006E4281"/>
    <w:rsid w:val="006E6815"/>
    <w:rsid w:val="006F6F5C"/>
    <w:rsid w:val="00700212"/>
    <w:rsid w:val="007148AC"/>
    <w:rsid w:val="00723B2E"/>
    <w:rsid w:val="007308AF"/>
    <w:rsid w:val="0073340F"/>
    <w:rsid w:val="00741381"/>
    <w:rsid w:val="00742EC6"/>
    <w:rsid w:val="00744570"/>
    <w:rsid w:val="00744DD0"/>
    <w:rsid w:val="00760907"/>
    <w:rsid w:val="00763FA3"/>
    <w:rsid w:val="007640E6"/>
    <w:rsid w:val="007765A2"/>
    <w:rsid w:val="00780CF2"/>
    <w:rsid w:val="00781E80"/>
    <w:rsid w:val="00783A42"/>
    <w:rsid w:val="00783FAA"/>
    <w:rsid w:val="0078446B"/>
    <w:rsid w:val="00794B4C"/>
    <w:rsid w:val="00797788"/>
    <w:rsid w:val="007A1595"/>
    <w:rsid w:val="007A770B"/>
    <w:rsid w:val="007B3968"/>
    <w:rsid w:val="007C0A88"/>
    <w:rsid w:val="007C6099"/>
    <w:rsid w:val="007D65FE"/>
    <w:rsid w:val="007E0C62"/>
    <w:rsid w:val="007E3819"/>
    <w:rsid w:val="007E47CB"/>
    <w:rsid w:val="007E5DC2"/>
    <w:rsid w:val="007F01AC"/>
    <w:rsid w:val="007F1DD0"/>
    <w:rsid w:val="007F2498"/>
    <w:rsid w:val="0081005B"/>
    <w:rsid w:val="00820E9F"/>
    <w:rsid w:val="00822E3B"/>
    <w:rsid w:val="00827304"/>
    <w:rsid w:val="00835C4A"/>
    <w:rsid w:val="00845375"/>
    <w:rsid w:val="00852656"/>
    <w:rsid w:val="00855EC0"/>
    <w:rsid w:val="00860447"/>
    <w:rsid w:val="00862412"/>
    <w:rsid w:val="008663DD"/>
    <w:rsid w:val="00872CC8"/>
    <w:rsid w:val="008759FD"/>
    <w:rsid w:val="00877B38"/>
    <w:rsid w:val="0088109B"/>
    <w:rsid w:val="00883102"/>
    <w:rsid w:val="008863FD"/>
    <w:rsid w:val="0088764A"/>
    <w:rsid w:val="00893C92"/>
    <w:rsid w:val="008A3AEE"/>
    <w:rsid w:val="008A739A"/>
    <w:rsid w:val="008D3E62"/>
    <w:rsid w:val="008E0648"/>
    <w:rsid w:val="008E1023"/>
    <w:rsid w:val="008E302A"/>
    <w:rsid w:val="008E337C"/>
    <w:rsid w:val="008E6831"/>
    <w:rsid w:val="008F1AB6"/>
    <w:rsid w:val="008F752D"/>
    <w:rsid w:val="00907133"/>
    <w:rsid w:val="0091046C"/>
    <w:rsid w:val="00912C5E"/>
    <w:rsid w:val="00925771"/>
    <w:rsid w:val="009322CD"/>
    <w:rsid w:val="00940098"/>
    <w:rsid w:val="00953A42"/>
    <w:rsid w:val="00962492"/>
    <w:rsid w:val="00964246"/>
    <w:rsid w:val="00964388"/>
    <w:rsid w:val="009708D4"/>
    <w:rsid w:val="009728BC"/>
    <w:rsid w:val="00975BE2"/>
    <w:rsid w:val="00977F63"/>
    <w:rsid w:val="00981904"/>
    <w:rsid w:val="009840AE"/>
    <w:rsid w:val="00986E86"/>
    <w:rsid w:val="009921F4"/>
    <w:rsid w:val="009931BA"/>
    <w:rsid w:val="00995F11"/>
    <w:rsid w:val="00996160"/>
    <w:rsid w:val="009A3A16"/>
    <w:rsid w:val="009A4CE1"/>
    <w:rsid w:val="009A624D"/>
    <w:rsid w:val="009A6D7B"/>
    <w:rsid w:val="009C2FDF"/>
    <w:rsid w:val="009D0F3D"/>
    <w:rsid w:val="009E24FE"/>
    <w:rsid w:val="009E434B"/>
    <w:rsid w:val="009E44BF"/>
    <w:rsid w:val="009E5A01"/>
    <w:rsid w:val="009E67A7"/>
    <w:rsid w:val="009F2899"/>
    <w:rsid w:val="009F2A07"/>
    <w:rsid w:val="009F3E92"/>
    <w:rsid w:val="00A02B11"/>
    <w:rsid w:val="00A047DA"/>
    <w:rsid w:val="00A11869"/>
    <w:rsid w:val="00A11FBC"/>
    <w:rsid w:val="00A21893"/>
    <w:rsid w:val="00A21A5B"/>
    <w:rsid w:val="00A22D01"/>
    <w:rsid w:val="00A250A5"/>
    <w:rsid w:val="00A27FCA"/>
    <w:rsid w:val="00A33000"/>
    <w:rsid w:val="00A427AF"/>
    <w:rsid w:val="00A455AD"/>
    <w:rsid w:val="00A553EC"/>
    <w:rsid w:val="00A55678"/>
    <w:rsid w:val="00A56041"/>
    <w:rsid w:val="00A7204F"/>
    <w:rsid w:val="00A75029"/>
    <w:rsid w:val="00A809AB"/>
    <w:rsid w:val="00A84092"/>
    <w:rsid w:val="00A84F19"/>
    <w:rsid w:val="00AA0406"/>
    <w:rsid w:val="00AA1850"/>
    <w:rsid w:val="00AB7243"/>
    <w:rsid w:val="00AC16A5"/>
    <w:rsid w:val="00AC3339"/>
    <w:rsid w:val="00AC6B30"/>
    <w:rsid w:val="00AD21EF"/>
    <w:rsid w:val="00AD3DC3"/>
    <w:rsid w:val="00AF0148"/>
    <w:rsid w:val="00AF594B"/>
    <w:rsid w:val="00B02FDF"/>
    <w:rsid w:val="00B063CE"/>
    <w:rsid w:val="00B0732A"/>
    <w:rsid w:val="00B153C9"/>
    <w:rsid w:val="00B208CC"/>
    <w:rsid w:val="00B22AF8"/>
    <w:rsid w:val="00B25315"/>
    <w:rsid w:val="00B26B5B"/>
    <w:rsid w:val="00B32E1F"/>
    <w:rsid w:val="00B33789"/>
    <w:rsid w:val="00B4229C"/>
    <w:rsid w:val="00B443A9"/>
    <w:rsid w:val="00B45AF8"/>
    <w:rsid w:val="00B508E4"/>
    <w:rsid w:val="00B509B9"/>
    <w:rsid w:val="00B57AC1"/>
    <w:rsid w:val="00B61292"/>
    <w:rsid w:val="00B61637"/>
    <w:rsid w:val="00B62CE4"/>
    <w:rsid w:val="00B62D1A"/>
    <w:rsid w:val="00B729D3"/>
    <w:rsid w:val="00B73029"/>
    <w:rsid w:val="00B74C06"/>
    <w:rsid w:val="00B83D4D"/>
    <w:rsid w:val="00B87A83"/>
    <w:rsid w:val="00B900B0"/>
    <w:rsid w:val="00BA7A89"/>
    <w:rsid w:val="00BB0F0E"/>
    <w:rsid w:val="00BB1504"/>
    <w:rsid w:val="00BB7921"/>
    <w:rsid w:val="00BB79A4"/>
    <w:rsid w:val="00BB7A9A"/>
    <w:rsid w:val="00BC1641"/>
    <w:rsid w:val="00BC1D53"/>
    <w:rsid w:val="00BD1FF3"/>
    <w:rsid w:val="00BD4816"/>
    <w:rsid w:val="00BD7D0E"/>
    <w:rsid w:val="00BF0318"/>
    <w:rsid w:val="00BF0607"/>
    <w:rsid w:val="00C0066B"/>
    <w:rsid w:val="00C02921"/>
    <w:rsid w:val="00C169EB"/>
    <w:rsid w:val="00C207D5"/>
    <w:rsid w:val="00C248AC"/>
    <w:rsid w:val="00C2508D"/>
    <w:rsid w:val="00C327B6"/>
    <w:rsid w:val="00C346C8"/>
    <w:rsid w:val="00C375A0"/>
    <w:rsid w:val="00C41664"/>
    <w:rsid w:val="00C4270D"/>
    <w:rsid w:val="00C50F62"/>
    <w:rsid w:val="00C516B8"/>
    <w:rsid w:val="00C51B99"/>
    <w:rsid w:val="00C70593"/>
    <w:rsid w:val="00C708E1"/>
    <w:rsid w:val="00C7412D"/>
    <w:rsid w:val="00C74C5A"/>
    <w:rsid w:val="00C80F45"/>
    <w:rsid w:val="00C822DF"/>
    <w:rsid w:val="00C8301E"/>
    <w:rsid w:val="00C87C65"/>
    <w:rsid w:val="00CA7FAD"/>
    <w:rsid w:val="00CB02C4"/>
    <w:rsid w:val="00CB2C0D"/>
    <w:rsid w:val="00CB5364"/>
    <w:rsid w:val="00CD1DBB"/>
    <w:rsid w:val="00CD440C"/>
    <w:rsid w:val="00CD4981"/>
    <w:rsid w:val="00CE502B"/>
    <w:rsid w:val="00CF086E"/>
    <w:rsid w:val="00CF202D"/>
    <w:rsid w:val="00CF35DA"/>
    <w:rsid w:val="00CF68A4"/>
    <w:rsid w:val="00D012CE"/>
    <w:rsid w:val="00D02221"/>
    <w:rsid w:val="00D03E7C"/>
    <w:rsid w:val="00D0767E"/>
    <w:rsid w:val="00D107D2"/>
    <w:rsid w:val="00D17715"/>
    <w:rsid w:val="00D2146B"/>
    <w:rsid w:val="00D30478"/>
    <w:rsid w:val="00D31319"/>
    <w:rsid w:val="00D31CBE"/>
    <w:rsid w:val="00D40CFD"/>
    <w:rsid w:val="00D621C3"/>
    <w:rsid w:val="00D724C3"/>
    <w:rsid w:val="00D74282"/>
    <w:rsid w:val="00D845B4"/>
    <w:rsid w:val="00D8664E"/>
    <w:rsid w:val="00D90C17"/>
    <w:rsid w:val="00D93F63"/>
    <w:rsid w:val="00D95DED"/>
    <w:rsid w:val="00DA0D5F"/>
    <w:rsid w:val="00DA269D"/>
    <w:rsid w:val="00DA2B2E"/>
    <w:rsid w:val="00DB17CD"/>
    <w:rsid w:val="00DB5FD6"/>
    <w:rsid w:val="00DC0A7F"/>
    <w:rsid w:val="00DC446D"/>
    <w:rsid w:val="00DD14E6"/>
    <w:rsid w:val="00DD1C36"/>
    <w:rsid w:val="00DD63AA"/>
    <w:rsid w:val="00DD662F"/>
    <w:rsid w:val="00DD74FD"/>
    <w:rsid w:val="00DE3048"/>
    <w:rsid w:val="00DE7F21"/>
    <w:rsid w:val="00DF0960"/>
    <w:rsid w:val="00DF2532"/>
    <w:rsid w:val="00DF5CA9"/>
    <w:rsid w:val="00E010EF"/>
    <w:rsid w:val="00E052C5"/>
    <w:rsid w:val="00E07A21"/>
    <w:rsid w:val="00E1082C"/>
    <w:rsid w:val="00E10A08"/>
    <w:rsid w:val="00E1133C"/>
    <w:rsid w:val="00E140FF"/>
    <w:rsid w:val="00E25A4F"/>
    <w:rsid w:val="00E32019"/>
    <w:rsid w:val="00E3215A"/>
    <w:rsid w:val="00E32E88"/>
    <w:rsid w:val="00E3715C"/>
    <w:rsid w:val="00E373B6"/>
    <w:rsid w:val="00E40A4A"/>
    <w:rsid w:val="00E41E8F"/>
    <w:rsid w:val="00E4293D"/>
    <w:rsid w:val="00E44D0C"/>
    <w:rsid w:val="00E56E1E"/>
    <w:rsid w:val="00E60C7D"/>
    <w:rsid w:val="00E6173B"/>
    <w:rsid w:val="00E67798"/>
    <w:rsid w:val="00E870AA"/>
    <w:rsid w:val="00E93823"/>
    <w:rsid w:val="00E97319"/>
    <w:rsid w:val="00EA2935"/>
    <w:rsid w:val="00EA47C4"/>
    <w:rsid w:val="00EB0269"/>
    <w:rsid w:val="00EB4BDA"/>
    <w:rsid w:val="00EB63CC"/>
    <w:rsid w:val="00EC3BFB"/>
    <w:rsid w:val="00EC7E9A"/>
    <w:rsid w:val="00ED2AEA"/>
    <w:rsid w:val="00ED5528"/>
    <w:rsid w:val="00EE372B"/>
    <w:rsid w:val="00EF3D89"/>
    <w:rsid w:val="00EF6D62"/>
    <w:rsid w:val="00F03082"/>
    <w:rsid w:val="00F058B0"/>
    <w:rsid w:val="00F0655F"/>
    <w:rsid w:val="00F06816"/>
    <w:rsid w:val="00F10F99"/>
    <w:rsid w:val="00F151CE"/>
    <w:rsid w:val="00F27D31"/>
    <w:rsid w:val="00F4340D"/>
    <w:rsid w:val="00F43872"/>
    <w:rsid w:val="00F444C9"/>
    <w:rsid w:val="00F563C6"/>
    <w:rsid w:val="00F630EE"/>
    <w:rsid w:val="00F731EC"/>
    <w:rsid w:val="00F757BA"/>
    <w:rsid w:val="00F81F85"/>
    <w:rsid w:val="00F848AA"/>
    <w:rsid w:val="00F870A7"/>
    <w:rsid w:val="00F90A3E"/>
    <w:rsid w:val="00F944B2"/>
    <w:rsid w:val="00F96323"/>
    <w:rsid w:val="00F9651F"/>
    <w:rsid w:val="00F96E19"/>
    <w:rsid w:val="00F97E26"/>
    <w:rsid w:val="00FA2F43"/>
    <w:rsid w:val="00FC1F6A"/>
    <w:rsid w:val="00FC754D"/>
    <w:rsid w:val="00FC75C7"/>
    <w:rsid w:val="00FC791C"/>
    <w:rsid w:val="00FD3224"/>
    <w:rsid w:val="00FD75A7"/>
    <w:rsid w:val="00FE275A"/>
    <w:rsid w:val="00FE39AE"/>
    <w:rsid w:val="00FE69A9"/>
    <w:rsid w:val="00FE6C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pt-P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7B6"/>
    <w:pPr>
      <w:spacing w:line="288" w:lineRule="auto"/>
      <w:jc w:val="both"/>
    </w:pPr>
    <w:rPr>
      <w:rFonts w:ascii="Times New Roman" w:eastAsia="Times New Roman" w:hAnsi="Times New Roman"/>
      <w:sz w:val="22"/>
      <w:szCs w:val="22"/>
      <w:lang w:val="en-US" w:eastAsia="en-US" w:bidi="ar-SA"/>
    </w:rPr>
  </w:style>
  <w:style w:type="paragraph" w:styleId="Heading1">
    <w:name w:val="heading 1"/>
    <w:basedOn w:val="Normal"/>
    <w:next w:val="Normal"/>
    <w:link w:val="Heading1Char"/>
    <w:qFormat/>
    <w:rsid w:val="00C327B6"/>
    <w:pPr>
      <w:numPr>
        <w:numId w:val="17"/>
      </w:numPr>
      <w:ind w:left="720" w:hanging="720"/>
      <w:outlineLvl w:val="0"/>
    </w:pPr>
    <w:rPr>
      <w:kern w:val="28"/>
    </w:rPr>
  </w:style>
  <w:style w:type="paragraph" w:styleId="Heading2">
    <w:name w:val="heading 2"/>
    <w:basedOn w:val="Normal"/>
    <w:next w:val="Normal"/>
    <w:link w:val="Heading2Char"/>
    <w:qFormat/>
    <w:rsid w:val="00C327B6"/>
    <w:pPr>
      <w:numPr>
        <w:ilvl w:val="1"/>
        <w:numId w:val="17"/>
      </w:numPr>
      <w:ind w:left="720" w:hanging="720"/>
      <w:outlineLvl w:val="1"/>
    </w:pPr>
  </w:style>
  <w:style w:type="paragraph" w:styleId="Heading3">
    <w:name w:val="heading 3"/>
    <w:basedOn w:val="Normal"/>
    <w:next w:val="Normal"/>
    <w:link w:val="Heading3Char"/>
    <w:qFormat/>
    <w:rsid w:val="00C327B6"/>
    <w:pPr>
      <w:numPr>
        <w:ilvl w:val="2"/>
        <w:numId w:val="17"/>
      </w:numPr>
      <w:ind w:left="720" w:hanging="720"/>
      <w:outlineLvl w:val="2"/>
    </w:pPr>
  </w:style>
  <w:style w:type="paragraph" w:styleId="Heading4">
    <w:name w:val="heading 4"/>
    <w:basedOn w:val="Normal"/>
    <w:next w:val="Normal"/>
    <w:link w:val="Heading4Char"/>
    <w:qFormat/>
    <w:rsid w:val="00C327B6"/>
    <w:pPr>
      <w:numPr>
        <w:ilvl w:val="3"/>
        <w:numId w:val="17"/>
      </w:numPr>
      <w:ind w:left="720" w:hanging="720"/>
      <w:outlineLvl w:val="3"/>
    </w:pPr>
  </w:style>
  <w:style w:type="paragraph" w:styleId="Heading5">
    <w:name w:val="heading 5"/>
    <w:basedOn w:val="Normal"/>
    <w:next w:val="Normal"/>
    <w:link w:val="Heading5Char"/>
    <w:qFormat/>
    <w:rsid w:val="00C327B6"/>
    <w:pPr>
      <w:numPr>
        <w:ilvl w:val="4"/>
        <w:numId w:val="17"/>
      </w:numPr>
      <w:ind w:left="720" w:hanging="720"/>
      <w:outlineLvl w:val="4"/>
    </w:pPr>
  </w:style>
  <w:style w:type="paragraph" w:styleId="Heading6">
    <w:name w:val="heading 6"/>
    <w:basedOn w:val="Normal"/>
    <w:next w:val="Normal"/>
    <w:link w:val="Heading6Char"/>
    <w:qFormat/>
    <w:rsid w:val="00C327B6"/>
    <w:pPr>
      <w:numPr>
        <w:ilvl w:val="5"/>
        <w:numId w:val="17"/>
      </w:numPr>
      <w:ind w:left="720" w:hanging="720"/>
      <w:outlineLvl w:val="5"/>
    </w:pPr>
  </w:style>
  <w:style w:type="paragraph" w:styleId="Heading7">
    <w:name w:val="heading 7"/>
    <w:basedOn w:val="Normal"/>
    <w:next w:val="Normal"/>
    <w:link w:val="Heading7Char"/>
    <w:qFormat/>
    <w:rsid w:val="00C327B6"/>
    <w:pPr>
      <w:numPr>
        <w:ilvl w:val="6"/>
        <w:numId w:val="17"/>
      </w:numPr>
      <w:ind w:left="720" w:hanging="720"/>
      <w:outlineLvl w:val="6"/>
    </w:pPr>
  </w:style>
  <w:style w:type="paragraph" w:styleId="Heading8">
    <w:name w:val="heading 8"/>
    <w:basedOn w:val="Normal"/>
    <w:next w:val="Normal"/>
    <w:link w:val="Heading8Char"/>
    <w:qFormat/>
    <w:rsid w:val="00C327B6"/>
    <w:pPr>
      <w:numPr>
        <w:ilvl w:val="7"/>
        <w:numId w:val="17"/>
      </w:numPr>
      <w:ind w:left="720" w:hanging="720"/>
      <w:outlineLvl w:val="7"/>
    </w:pPr>
  </w:style>
  <w:style w:type="paragraph" w:styleId="Heading9">
    <w:name w:val="heading 9"/>
    <w:basedOn w:val="Normal"/>
    <w:next w:val="Normal"/>
    <w:link w:val="Heading9Char"/>
    <w:qFormat/>
    <w:rsid w:val="00C327B6"/>
    <w:pPr>
      <w:numPr>
        <w:ilvl w:val="8"/>
        <w:numId w:val="17"/>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C327B6"/>
    <w:pPr>
      <w:keepLines/>
      <w:spacing w:after="60" w:line="240" w:lineRule="auto"/>
      <w:ind w:left="720" w:hanging="720"/>
    </w:pPr>
    <w:rPr>
      <w:sz w:val="16"/>
    </w:rPr>
  </w:style>
  <w:style w:type="character" w:customStyle="1" w:styleId="FootnoteTextChar">
    <w:name w:val="Footnote Text Char"/>
    <w:link w:val="FootnoteText"/>
    <w:rsid w:val="00501245"/>
    <w:rPr>
      <w:rFonts w:ascii="Times New Roman" w:eastAsia="Times New Roman" w:hAnsi="Times New Roman"/>
      <w:sz w:val="16"/>
      <w:szCs w:val="22"/>
      <w:lang w:val="en-US" w:eastAsia="en-US" w:bidi="ar-SA"/>
    </w:rPr>
  </w:style>
  <w:style w:type="character" w:styleId="FootnoteReference">
    <w:name w:val="footnote reference"/>
    <w:basedOn w:val="DefaultParagraphFont"/>
    <w:unhideWhenUsed/>
    <w:qFormat/>
    <w:rsid w:val="00C327B6"/>
    <w:rPr>
      <w:sz w:val="24"/>
      <w:vertAlign w:val="superscript"/>
    </w:rPr>
  </w:style>
  <w:style w:type="character" w:styleId="Hyperlink">
    <w:name w:val="Hyperlink"/>
    <w:uiPriority w:val="99"/>
    <w:unhideWhenUsed/>
    <w:rsid w:val="00501245"/>
    <w:rPr>
      <w:color w:val="0000FF"/>
      <w:u w:val="single"/>
    </w:rPr>
  </w:style>
  <w:style w:type="paragraph" w:customStyle="1" w:styleId="ces1">
    <w:name w:val="ces1"/>
    <w:basedOn w:val="Normal"/>
    <w:rsid w:val="00D107D2"/>
    <w:pPr>
      <w:overflowPunct w:val="0"/>
      <w:autoSpaceDE w:val="0"/>
      <w:autoSpaceDN w:val="0"/>
      <w:adjustRightInd w:val="0"/>
      <w:textAlignment w:val="baseline"/>
    </w:pPr>
    <w:rPr>
      <w:szCs w:val="20"/>
    </w:rPr>
  </w:style>
  <w:style w:type="character" w:customStyle="1" w:styleId="Heading3Char">
    <w:name w:val="Heading 3 Char"/>
    <w:link w:val="Heading3"/>
    <w:rsid w:val="00007549"/>
    <w:rPr>
      <w:rFonts w:ascii="Times New Roman" w:eastAsia="Times New Roman" w:hAnsi="Times New Roman"/>
      <w:sz w:val="22"/>
      <w:szCs w:val="22"/>
      <w:lang w:val="en-US" w:eastAsia="en-US" w:bidi="ar-SA"/>
    </w:rPr>
  </w:style>
  <w:style w:type="character" w:customStyle="1" w:styleId="Heading1Char">
    <w:name w:val="Heading 1 Char"/>
    <w:basedOn w:val="DefaultParagraphFont"/>
    <w:link w:val="Heading1"/>
    <w:rsid w:val="002F65F7"/>
    <w:rPr>
      <w:rFonts w:ascii="Times New Roman" w:eastAsia="Times New Roman" w:hAnsi="Times New Roman"/>
      <w:kern w:val="28"/>
      <w:sz w:val="22"/>
      <w:szCs w:val="22"/>
      <w:lang w:val="en-US" w:eastAsia="en-US" w:bidi="ar-SA"/>
    </w:rPr>
  </w:style>
  <w:style w:type="character" w:customStyle="1" w:styleId="Heading2Char">
    <w:name w:val="Heading 2 Char"/>
    <w:basedOn w:val="DefaultParagraphFont"/>
    <w:link w:val="Heading2"/>
    <w:rsid w:val="002F65F7"/>
    <w:rPr>
      <w:rFonts w:ascii="Times New Roman" w:eastAsia="Times New Roman" w:hAnsi="Times New Roman"/>
      <w:sz w:val="22"/>
      <w:szCs w:val="22"/>
      <w:lang w:val="en-US" w:eastAsia="en-US" w:bidi="ar-SA"/>
    </w:rPr>
  </w:style>
  <w:style w:type="character" w:customStyle="1" w:styleId="Heading4Char">
    <w:name w:val="Heading 4 Char"/>
    <w:basedOn w:val="DefaultParagraphFont"/>
    <w:link w:val="Heading4"/>
    <w:rsid w:val="002F65F7"/>
    <w:rPr>
      <w:rFonts w:ascii="Times New Roman" w:eastAsia="Times New Roman" w:hAnsi="Times New Roman"/>
      <w:sz w:val="22"/>
      <w:szCs w:val="22"/>
      <w:lang w:val="en-US" w:eastAsia="en-US" w:bidi="ar-SA"/>
    </w:rPr>
  </w:style>
  <w:style w:type="character" w:customStyle="1" w:styleId="Heading5Char">
    <w:name w:val="Heading 5 Char"/>
    <w:basedOn w:val="DefaultParagraphFont"/>
    <w:link w:val="Heading5"/>
    <w:rsid w:val="002F65F7"/>
    <w:rPr>
      <w:rFonts w:ascii="Times New Roman" w:eastAsia="Times New Roman" w:hAnsi="Times New Roman"/>
      <w:sz w:val="22"/>
      <w:szCs w:val="22"/>
      <w:lang w:val="en-US" w:eastAsia="en-US" w:bidi="ar-SA"/>
    </w:rPr>
  </w:style>
  <w:style w:type="character" w:customStyle="1" w:styleId="Heading6Char">
    <w:name w:val="Heading 6 Char"/>
    <w:basedOn w:val="DefaultParagraphFont"/>
    <w:link w:val="Heading6"/>
    <w:rsid w:val="002F65F7"/>
    <w:rPr>
      <w:rFonts w:ascii="Times New Roman" w:eastAsia="Times New Roman" w:hAnsi="Times New Roman"/>
      <w:sz w:val="22"/>
      <w:szCs w:val="22"/>
      <w:lang w:val="en-US" w:eastAsia="en-US" w:bidi="ar-SA"/>
    </w:rPr>
  </w:style>
  <w:style w:type="character" w:customStyle="1" w:styleId="Heading7Char">
    <w:name w:val="Heading 7 Char"/>
    <w:basedOn w:val="DefaultParagraphFont"/>
    <w:link w:val="Heading7"/>
    <w:rsid w:val="002F65F7"/>
    <w:rPr>
      <w:rFonts w:ascii="Times New Roman" w:eastAsia="Times New Roman" w:hAnsi="Times New Roman"/>
      <w:sz w:val="22"/>
      <w:szCs w:val="22"/>
      <w:lang w:val="en-US" w:eastAsia="en-US" w:bidi="ar-SA"/>
    </w:rPr>
  </w:style>
  <w:style w:type="character" w:customStyle="1" w:styleId="Heading8Char">
    <w:name w:val="Heading 8 Char"/>
    <w:basedOn w:val="DefaultParagraphFont"/>
    <w:link w:val="Heading8"/>
    <w:rsid w:val="002F65F7"/>
    <w:rPr>
      <w:rFonts w:ascii="Times New Roman" w:eastAsia="Times New Roman" w:hAnsi="Times New Roman"/>
      <w:sz w:val="22"/>
      <w:szCs w:val="22"/>
      <w:lang w:val="en-US" w:eastAsia="en-US" w:bidi="ar-SA"/>
    </w:rPr>
  </w:style>
  <w:style w:type="character" w:customStyle="1" w:styleId="Heading9Char">
    <w:name w:val="Heading 9 Char"/>
    <w:basedOn w:val="DefaultParagraphFont"/>
    <w:link w:val="Heading9"/>
    <w:rsid w:val="002F65F7"/>
    <w:rPr>
      <w:rFonts w:ascii="Times New Roman" w:eastAsia="Times New Roman" w:hAnsi="Times New Roman"/>
      <w:sz w:val="22"/>
      <w:szCs w:val="22"/>
      <w:lang w:val="en-US" w:eastAsia="en-US" w:bidi="ar-SA"/>
    </w:rPr>
  </w:style>
  <w:style w:type="paragraph" w:styleId="Footer">
    <w:name w:val="footer"/>
    <w:basedOn w:val="Normal"/>
    <w:link w:val="FooterChar"/>
    <w:qFormat/>
    <w:rsid w:val="00C327B6"/>
  </w:style>
  <w:style w:type="character" w:customStyle="1" w:styleId="FooterChar">
    <w:name w:val="Footer Char"/>
    <w:basedOn w:val="DefaultParagraphFont"/>
    <w:link w:val="Footer"/>
    <w:rsid w:val="002F65F7"/>
    <w:rPr>
      <w:rFonts w:ascii="Times New Roman" w:eastAsia="Times New Roman" w:hAnsi="Times New Roman"/>
      <w:sz w:val="22"/>
      <w:szCs w:val="22"/>
      <w:lang w:val="en-US" w:eastAsia="en-US" w:bidi="ar-SA"/>
    </w:rPr>
  </w:style>
  <w:style w:type="paragraph" w:styleId="Header">
    <w:name w:val="header"/>
    <w:basedOn w:val="Normal"/>
    <w:link w:val="HeaderChar"/>
    <w:qFormat/>
    <w:rsid w:val="00C327B6"/>
  </w:style>
  <w:style w:type="character" w:customStyle="1" w:styleId="HeaderChar">
    <w:name w:val="Header Char"/>
    <w:basedOn w:val="DefaultParagraphFont"/>
    <w:link w:val="Header"/>
    <w:rsid w:val="002F65F7"/>
    <w:rPr>
      <w:rFonts w:ascii="Times New Roman" w:eastAsia="Times New Roman" w:hAnsi="Times New Roman"/>
      <w:sz w:val="22"/>
      <w:szCs w:val="22"/>
      <w:lang w:val="en-US" w:eastAsia="en-US" w:bidi="ar-SA"/>
    </w:rPr>
  </w:style>
  <w:style w:type="paragraph" w:customStyle="1" w:styleId="quotes">
    <w:name w:val="quotes"/>
    <w:basedOn w:val="Normal"/>
    <w:next w:val="Normal"/>
    <w:rsid w:val="00C327B6"/>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pt-P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7B6"/>
    <w:pPr>
      <w:spacing w:line="288" w:lineRule="auto"/>
      <w:jc w:val="both"/>
    </w:pPr>
    <w:rPr>
      <w:rFonts w:ascii="Times New Roman" w:eastAsia="Times New Roman" w:hAnsi="Times New Roman"/>
      <w:sz w:val="22"/>
      <w:szCs w:val="22"/>
      <w:lang w:val="en-US" w:eastAsia="en-US" w:bidi="ar-SA"/>
    </w:rPr>
  </w:style>
  <w:style w:type="paragraph" w:styleId="Heading1">
    <w:name w:val="heading 1"/>
    <w:basedOn w:val="Normal"/>
    <w:next w:val="Normal"/>
    <w:link w:val="Heading1Char"/>
    <w:qFormat/>
    <w:rsid w:val="00C327B6"/>
    <w:pPr>
      <w:numPr>
        <w:numId w:val="17"/>
      </w:numPr>
      <w:ind w:left="720" w:hanging="720"/>
      <w:outlineLvl w:val="0"/>
    </w:pPr>
    <w:rPr>
      <w:kern w:val="28"/>
    </w:rPr>
  </w:style>
  <w:style w:type="paragraph" w:styleId="Heading2">
    <w:name w:val="heading 2"/>
    <w:basedOn w:val="Normal"/>
    <w:next w:val="Normal"/>
    <w:link w:val="Heading2Char"/>
    <w:qFormat/>
    <w:rsid w:val="00C327B6"/>
    <w:pPr>
      <w:numPr>
        <w:ilvl w:val="1"/>
        <w:numId w:val="17"/>
      </w:numPr>
      <w:ind w:left="720" w:hanging="720"/>
      <w:outlineLvl w:val="1"/>
    </w:pPr>
  </w:style>
  <w:style w:type="paragraph" w:styleId="Heading3">
    <w:name w:val="heading 3"/>
    <w:basedOn w:val="Normal"/>
    <w:next w:val="Normal"/>
    <w:link w:val="Heading3Char"/>
    <w:qFormat/>
    <w:rsid w:val="00C327B6"/>
    <w:pPr>
      <w:numPr>
        <w:ilvl w:val="2"/>
        <w:numId w:val="17"/>
      </w:numPr>
      <w:ind w:left="720" w:hanging="720"/>
      <w:outlineLvl w:val="2"/>
    </w:pPr>
  </w:style>
  <w:style w:type="paragraph" w:styleId="Heading4">
    <w:name w:val="heading 4"/>
    <w:basedOn w:val="Normal"/>
    <w:next w:val="Normal"/>
    <w:link w:val="Heading4Char"/>
    <w:qFormat/>
    <w:rsid w:val="00C327B6"/>
    <w:pPr>
      <w:numPr>
        <w:ilvl w:val="3"/>
        <w:numId w:val="17"/>
      </w:numPr>
      <w:ind w:left="720" w:hanging="720"/>
      <w:outlineLvl w:val="3"/>
    </w:pPr>
  </w:style>
  <w:style w:type="paragraph" w:styleId="Heading5">
    <w:name w:val="heading 5"/>
    <w:basedOn w:val="Normal"/>
    <w:next w:val="Normal"/>
    <w:link w:val="Heading5Char"/>
    <w:qFormat/>
    <w:rsid w:val="00C327B6"/>
    <w:pPr>
      <w:numPr>
        <w:ilvl w:val="4"/>
        <w:numId w:val="17"/>
      </w:numPr>
      <w:ind w:left="720" w:hanging="720"/>
      <w:outlineLvl w:val="4"/>
    </w:pPr>
  </w:style>
  <w:style w:type="paragraph" w:styleId="Heading6">
    <w:name w:val="heading 6"/>
    <w:basedOn w:val="Normal"/>
    <w:next w:val="Normal"/>
    <w:link w:val="Heading6Char"/>
    <w:qFormat/>
    <w:rsid w:val="00C327B6"/>
    <w:pPr>
      <w:numPr>
        <w:ilvl w:val="5"/>
        <w:numId w:val="17"/>
      </w:numPr>
      <w:ind w:left="720" w:hanging="720"/>
      <w:outlineLvl w:val="5"/>
    </w:pPr>
  </w:style>
  <w:style w:type="paragraph" w:styleId="Heading7">
    <w:name w:val="heading 7"/>
    <w:basedOn w:val="Normal"/>
    <w:next w:val="Normal"/>
    <w:link w:val="Heading7Char"/>
    <w:qFormat/>
    <w:rsid w:val="00C327B6"/>
    <w:pPr>
      <w:numPr>
        <w:ilvl w:val="6"/>
        <w:numId w:val="17"/>
      </w:numPr>
      <w:ind w:left="720" w:hanging="720"/>
      <w:outlineLvl w:val="6"/>
    </w:pPr>
  </w:style>
  <w:style w:type="paragraph" w:styleId="Heading8">
    <w:name w:val="heading 8"/>
    <w:basedOn w:val="Normal"/>
    <w:next w:val="Normal"/>
    <w:link w:val="Heading8Char"/>
    <w:qFormat/>
    <w:rsid w:val="00C327B6"/>
    <w:pPr>
      <w:numPr>
        <w:ilvl w:val="7"/>
        <w:numId w:val="17"/>
      </w:numPr>
      <w:ind w:left="720" w:hanging="720"/>
      <w:outlineLvl w:val="7"/>
    </w:pPr>
  </w:style>
  <w:style w:type="paragraph" w:styleId="Heading9">
    <w:name w:val="heading 9"/>
    <w:basedOn w:val="Normal"/>
    <w:next w:val="Normal"/>
    <w:link w:val="Heading9Char"/>
    <w:qFormat/>
    <w:rsid w:val="00C327B6"/>
    <w:pPr>
      <w:numPr>
        <w:ilvl w:val="8"/>
        <w:numId w:val="17"/>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C327B6"/>
    <w:pPr>
      <w:keepLines/>
      <w:spacing w:after="60" w:line="240" w:lineRule="auto"/>
      <w:ind w:left="720" w:hanging="720"/>
    </w:pPr>
    <w:rPr>
      <w:sz w:val="16"/>
    </w:rPr>
  </w:style>
  <w:style w:type="character" w:customStyle="1" w:styleId="FootnoteTextChar">
    <w:name w:val="Footnote Text Char"/>
    <w:link w:val="FootnoteText"/>
    <w:rsid w:val="00501245"/>
    <w:rPr>
      <w:rFonts w:ascii="Times New Roman" w:eastAsia="Times New Roman" w:hAnsi="Times New Roman"/>
      <w:sz w:val="16"/>
      <w:szCs w:val="22"/>
      <w:lang w:val="en-US" w:eastAsia="en-US" w:bidi="ar-SA"/>
    </w:rPr>
  </w:style>
  <w:style w:type="character" w:styleId="FootnoteReference">
    <w:name w:val="footnote reference"/>
    <w:basedOn w:val="DefaultParagraphFont"/>
    <w:unhideWhenUsed/>
    <w:qFormat/>
    <w:rsid w:val="00C327B6"/>
    <w:rPr>
      <w:sz w:val="24"/>
      <w:vertAlign w:val="superscript"/>
    </w:rPr>
  </w:style>
  <w:style w:type="character" w:styleId="Hyperlink">
    <w:name w:val="Hyperlink"/>
    <w:uiPriority w:val="99"/>
    <w:unhideWhenUsed/>
    <w:rsid w:val="00501245"/>
    <w:rPr>
      <w:color w:val="0000FF"/>
      <w:u w:val="single"/>
    </w:rPr>
  </w:style>
  <w:style w:type="paragraph" w:customStyle="1" w:styleId="ces1">
    <w:name w:val="ces1"/>
    <w:basedOn w:val="Normal"/>
    <w:rsid w:val="00D107D2"/>
    <w:pPr>
      <w:overflowPunct w:val="0"/>
      <w:autoSpaceDE w:val="0"/>
      <w:autoSpaceDN w:val="0"/>
      <w:adjustRightInd w:val="0"/>
      <w:textAlignment w:val="baseline"/>
    </w:pPr>
    <w:rPr>
      <w:szCs w:val="20"/>
    </w:rPr>
  </w:style>
  <w:style w:type="character" w:customStyle="1" w:styleId="Heading3Char">
    <w:name w:val="Heading 3 Char"/>
    <w:link w:val="Heading3"/>
    <w:rsid w:val="00007549"/>
    <w:rPr>
      <w:rFonts w:ascii="Times New Roman" w:eastAsia="Times New Roman" w:hAnsi="Times New Roman"/>
      <w:sz w:val="22"/>
      <w:szCs w:val="22"/>
      <w:lang w:val="en-US" w:eastAsia="en-US" w:bidi="ar-SA"/>
    </w:rPr>
  </w:style>
  <w:style w:type="character" w:customStyle="1" w:styleId="Heading1Char">
    <w:name w:val="Heading 1 Char"/>
    <w:basedOn w:val="DefaultParagraphFont"/>
    <w:link w:val="Heading1"/>
    <w:rsid w:val="002F65F7"/>
    <w:rPr>
      <w:rFonts w:ascii="Times New Roman" w:eastAsia="Times New Roman" w:hAnsi="Times New Roman"/>
      <w:kern w:val="28"/>
      <w:sz w:val="22"/>
      <w:szCs w:val="22"/>
      <w:lang w:val="en-US" w:eastAsia="en-US" w:bidi="ar-SA"/>
    </w:rPr>
  </w:style>
  <w:style w:type="character" w:customStyle="1" w:styleId="Heading2Char">
    <w:name w:val="Heading 2 Char"/>
    <w:basedOn w:val="DefaultParagraphFont"/>
    <w:link w:val="Heading2"/>
    <w:rsid w:val="002F65F7"/>
    <w:rPr>
      <w:rFonts w:ascii="Times New Roman" w:eastAsia="Times New Roman" w:hAnsi="Times New Roman"/>
      <w:sz w:val="22"/>
      <w:szCs w:val="22"/>
      <w:lang w:val="en-US" w:eastAsia="en-US" w:bidi="ar-SA"/>
    </w:rPr>
  </w:style>
  <w:style w:type="character" w:customStyle="1" w:styleId="Heading4Char">
    <w:name w:val="Heading 4 Char"/>
    <w:basedOn w:val="DefaultParagraphFont"/>
    <w:link w:val="Heading4"/>
    <w:rsid w:val="002F65F7"/>
    <w:rPr>
      <w:rFonts w:ascii="Times New Roman" w:eastAsia="Times New Roman" w:hAnsi="Times New Roman"/>
      <w:sz w:val="22"/>
      <w:szCs w:val="22"/>
      <w:lang w:val="en-US" w:eastAsia="en-US" w:bidi="ar-SA"/>
    </w:rPr>
  </w:style>
  <w:style w:type="character" w:customStyle="1" w:styleId="Heading5Char">
    <w:name w:val="Heading 5 Char"/>
    <w:basedOn w:val="DefaultParagraphFont"/>
    <w:link w:val="Heading5"/>
    <w:rsid w:val="002F65F7"/>
    <w:rPr>
      <w:rFonts w:ascii="Times New Roman" w:eastAsia="Times New Roman" w:hAnsi="Times New Roman"/>
      <w:sz w:val="22"/>
      <w:szCs w:val="22"/>
      <w:lang w:val="en-US" w:eastAsia="en-US" w:bidi="ar-SA"/>
    </w:rPr>
  </w:style>
  <w:style w:type="character" w:customStyle="1" w:styleId="Heading6Char">
    <w:name w:val="Heading 6 Char"/>
    <w:basedOn w:val="DefaultParagraphFont"/>
    <w:link w:val="Heading6"/>
    <w:rsid w:val="002F65F7"/>
    <w:rPr>
      <w:rFonts w:ascii="Times New Roman" w:eastAsia="Times New Roman" w:hAnsi="Times New Roman"/>
      <w:sz w:val="22"/>
      <w:szCs w:val="22"/>
      <w:lang w:val="en-US" w:eastAsia="en-US" w:bidi="ar-SA"/>
    </w:rPr>
  </w:style>
  <w:style w:type="character" w:customStyle="1" w:styleId="Heading7Char">
    <w:name w:val="Heading 7 Char"/>
    <w:basedOn w:val="DefaultParagraphFont"/>
    <w:link w:val="Heading7"/>
    <w:rsid w:val="002F65F7"/>
    <w:rPr>
      <w:rFonts w:ascii="Times New Roman" w:eastAsia="Times New Roman" w:hAnsi="Times New Roman"/>
      <w:sz w:val="22"/>
      <w:szCs w:val="22"/>
      <w:lang w:val="en-US" w:eastAsia="en-US" w:bidi="ar-SA"/>
    </w:rPr>
  </w:style>
  <w:style w:type="character" w:customStyle="1" w:styleId="Heading8Char">
    <w:name w:val="Heading 8 Char"/>
    <w:basedOn w:val="DefaultParagraphFont"/>
    <w:link w:val="Heading8"/>
    <w:rsid w:val="002F65F7"/>
    <w:rPr>
      <w:rFonts w:ascii="Times New Roman" w:eastAsia="Times New Roman" w:hAnsi="Times New Roman"/>
      <w:sz w:val="22"/>
      <w:szCs w:val="22"/>
      <w:lang w:val="en-US" w:eastAsia="en-US" w:bidi="ar-SA"/>
    </w:rPr>
  </w:style>
  <w:style w:type="character" w:customStyle="1" w:styleId="Heading9Char">
    <w:name w:val="Heading 9 Char"/>
    <w:basedOn w:val="DefaultParagraphFont"/>
    <w:link w:val="Heading9"/>
    <w:rsid w:val="002F65F7"/>
    <w:rPr>
      <w:rFonts w:ascii="Times New Roman" w:eastAsia="Times New Roman" w:hAnsi="Times New Roman"/>
      <w:sz w:val="22"/>
      <w:szCs w:val="22"/>
      <w:lang w:val="en-US" w:eastAsia="en-US" w:bidi="ar-SA"/>
    </w:rPr>
  </w:style>
  <w:style w:type="paragraph" w:styleId="Footer">
    <w:name w:val="footer"/>
    <w:basedOn w:val="Normal"/>
    <w:link w:val="FooterChar"/>
    <w:qFormat/>
    <w:rsid w:val="00C327B6"/>
  </w:style>
  <w:style w:type="character" w:customStyle="1" w:styleId="FooterChar">
    <w:name w:val="Footer Char"/>
    <w:basedOn w:val="DefaultParagraphFont"/>
    <w:link w:val="Footer"/>
    <w:rsid w:val="002F65F7"/>
    <w:rPr>
      <w:rFonts w:ascii="Times New Roman" w:eastAsia="Times New Roman" w:hAnsi="Times New Roman"/>
      <w:sz w:val="22"/>
      <w:szCs w:val="22"/>
      <w:lang w:val="en-US" w:eastAsia="en-US" w:bidi="ar-SA"/>
    </w:rPr>
  </w:style>
  <w:style w:type="paragraph" w:styleId="Header">
    <w:name w:val="header"/>
    <w:basedOn w:val="Normal"/>
    <w:link w:val="HeaderChar"/>
    <w:qFormat/>
    <w:rsid w:val="00C327B6"/>
  </w:style>
  <w:style w:type="character" w:customStyle="1" w:styleId="HeaderChar">
    <w:name w:val="Header Char"/>
    <w:basedOn w:val="DefaultParagraphFont"/>
    <w:link w:val="Header"/>
    <w:rsid w:val="002F65F7"/>
    <w:rPr>
      <w:rFonts w:ascii="Times New Roman" w:eastAsia="Times New Roman" w:hAnsi="Times New Roman"/>
      <w:sz w:val="22"/>
      <w:szCs w:val="22"/>
      <w:lang w:val="en-US" w:eastAsia="en-US" w:bidi="ar-SA"/>
    </w:rPr>
  </w:style>
  <w:style w:type="paragraph" w:customStyle="1" w:styleId="quotes">
    <w:name w:val="quotes"/>
    <w:basedOn w:val="Normal"/>
    <w:next w:val="Normal"/>
    <w:rsid w:val="00C327B6"/>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5610">
      <w:bodyDiv w:val="1"/>
      <w:marLeft w:val="0"/>
      <w:marRight w:val="0"/>
      <w:marTop w:val="0"/>
      <w:marBottom w:val="0"/>
      <w:divBdr>
        <w:top w:val="none" w:sz="0" w:space="0" w:color="auto"/>
        <w:left w:val="none" w:sz="0" w:space="0" w:color="auto"/>
        <w:bottom w:val="none" w:sz="0" w:space="0" w:color="auto"/>
        <w:right w:val="none" w:sz="0" w:space="0" w:color="auto"/>
      </w:divBdr>
      <w:divsChild>
        <w:div w:id="1009337344">
          <w:marLeft w:val="0"/>
          <w:marRight w:val="0"/>
          <w:marTop w:val="0"/>
          <w:marBottom w:val="0"/>
          <w:divBdr>
            <w:top w:val="none" w:sz="0" w:space="0" w:color="auto"/>
            <w:left w:val="none" w:sz="0" w:space="0" w:color="auto"/>
            <w:bottom w:val="none" w:sz="0" w:space="0" w:color="auto"/>
            <w:right w:val="none" w:sz="0" w:space="0" w:color="auto"/>
          </w:divBdr>
        </w:div>
        <w:div w:id="1217817941">
          <w:marLeft w:val="0"/>
          <w:marRight w:val="0"/>
          <w:marTop w:val="0"/>
          <w:marBottom w:val="0"/>
          <w:divBdr>
            <w:top w:val="none" w:sz="0" w:space="0" w:color="auto"/>
            <w:left w:val="none" w:sz="0" w:space="0" w:color="auto"/>
            <w:bottom w:val="none" w:sz="0" w:space="0" w:color="auto"/>
            <w:right w:val="none" w:sz="0" w:space="0" w:color="auto"/>
          </w:divBdr>
        </w:div>
      </w:divsChild>
    </w:div>
    <w:div w:id="62487350">
      <w:bodyDiv w:val="1"/>
      <w:marLeft w:val="0"/>
      <w:marRight w:val="0"/>
      <w:marTop w:val="0"/>
      <w:marBottom w:val="0"/>
      <w:divBdr>
        <w:top w:val="none" w:sz="0" w:space="0" w:color="auto"/>
        <w:left w:val="none" w:sz="0" w:space="0" w:color="auto"/>
        <w:bottom w:val="none" w:sz="0" w:space="0" w:color="auto"/>
        <w:right w:val="none" w:sz="0" w:space="0" w:color="auto"/>
      </w:divBdr>
      <w:divsChild>
        <w:div w:id="493380766">
          <w:marLeft w:val="0"/>
          <w:marRight w:val="0"/>
          <w:marTop w:val="0"/>
          <w:marBottom w:val="0"/>
          <w:divBdr>
            <w:top w:val="none" w:sz="0" w:space="0" w:color="auto"/>
            <w:left w:val="none" w:sz="0" w:space="0" w:color="auto"/>
            <w:bottom w:val="none" w:sz="0" w:space="0" w:color="auto"/>
            <w:right w:val="none" w:sz="0" w:space="0" w:color="auto"/>
          </w:divBdr>
        </w:div>
        <w:div w:id="746878108">
          <w:marLeft w:val="0"/>
          <w:marRight w:val="0"/>
          <w:marTop w:val="0"/>
          <w:marBottom w:val="0"/>
          <w:divBdr>
            <w:top w:val="none" w:sz="0" w:space="0" w:color="auto"/>
            <w:left w:val="none" w:sz="0" w:space="0" w:color="auto"/>
            <w:bottom w:val="none" w:sz="0" w:space="0" w:color="auto"/>
            <w:right w:val="none" w:sz="0" w:space="0" w:color="auto"/>
          </w:divBdr>
        </w:div>
        <w:div w:id="1012954080">
          <w:marLeft w:val="0"/>
          <w:marRight w:val="0"/>
          <w:marTop w:val="0"/>
          <w:marBottom w:val="0"/>
          <w:divBdr>
            <w:top w:val="none" w:sz="0" w:space="0" w:color="auto"/>
            <w:left w:val="none" w:sz="0" w:space="0" w:color="auto"/>
            <w:bottom w:val="none" w:sz="0" w:space="0" w:color="auto"/>
            <w:right w:val="none" w:sz="0" w:space="0" w:color="auto"/>
          </w:divBdr>
        </w:div>
      </w:divsChild>
    </w:div>
    <w:div w:id="121311824">
      <w:bodyDiv w:val="1"/>
      <w:marLeft w:val="0"/>
      <w:marRight w:val="0"/>
      <w:marTop w:val="0"/>
      <w:marBottom w:val="0"/>
      <w:divBdr>
        <w:top w:val="none" w:sz="0" w:space="0" w:color="auto"/>
        <w:left w:val="none" w:sz="0" w:space="0" w:color="auto"/>
        <w:bottom w:val="none" w:sz="0" w:space="0" w:color="auto"/>
        <w:right w:val="none" w:sz="0" w:space="0" w:color="auto"/>
      </w:divBdr>
      <w:divsChild>
        <w:div w:id="242566185">
          <w:marLeft w:val="0"/>
          <w:marRight w:val="0"/>
          <w:marTop w:val="0"/>
          <w:marBottom w:val="0"/>
          <w:divBdr>
            <w:top w:val="none" w:sz="0" w:space="0" w:color="auto"/>
            <w:left w:val="none" w:sz="0" w:space="0" w:color="auto"/>
            <w:bottom w:val="none" w:sz="0" w:space="0" w:color="auto"/>
            <w:right w:val="none" w:sz="0" w:space="0" w:color="auto"/>
          </w:divBdr>
        </w:div>
        <w:div w:id="309603345">
          <w:marLeft w:val="0"/>
          <w:marRight w:val="0"/>
          <w:marTop w:val="0"/>
          <w:marBottom w:val="0"/>
          <w:divBdr>
            <w:top w:val="none" w:sz="0" w:space="0" w:color="auto"/>
            <w:left w:val="none" w:sz="0" w:space="0" w:color="auto"/>
            <w:bottom w:val="none" w:sz="0" w:space="0" w:color="auto"/>
            <w:right w:val="none" w:sz="0" w:space="0" w:color="auto"/>
          </w:divBdr>
        </w:div>
        <w:div w:id="1370106402">
          <w:marLeft w:val="0"/>
          <w:marRight w:val="0"/>
          <w:marTop w:val="0"/>
          <w:marBottom w:val="0"/>
          <w:divBdr>
            <w:top w:val="none" w:sz="0" w:space="0" w:color="auto"/>
            <w:left w:val="none" w:sz="0" w:space="0" w:color="auto"/>
            <w:bottom w:val="none" w:sz="0" w:space="0" w:color="auto"/>
            <w:right w:val="none" w:sz="0" w:space="0" w:color="auto"/>
          </w:divBdr>
        </w:div>
        <w:div w:id="2146510331">
          <w:marLeft w:val="0"/>
          <w:marRight w:val="0"/>
          <w:marTop w:val="0"/>
          <w:marBottom w:val="0"/>
          <w:divBdr>
            <w:top w:val="none" w:sz="0" w:space="0" w:color="auto"/>
            <w:left w:val="none" w:sz="0" w:space="0" w:color="auto"/>
            <w:bottom w:val="none" w:sz="0" w:space="0" w:color="auto"/>
            <w:right w:val="none" w:sz="0" w:space="0" w:color="auto"/>
          </w:divBdr>
        </w:div>
      </w:divsChild>
    </w:div>
    <w:div w:id="121703144">
      <w:bodyDiv w:val="1"/>
      <w:marLeft w:val="0"/>
      <w:marRight w:val="0"/>
      <w:marTop w:val="0"/>
      <w:marBottom w:val="0"/>
      <w:divBdr>
        <w:top w:val="none" w:sz="0" w:space="0" w:color="auto"/>
        <w:left w:val="none" w:sz="0" w:space="0" w:color="auto"/>
        <w:bottom w:val="none" w:sz="0" w:space="0" w:color="auto"/>
        <w:right w:val="none" w:sz="0" w:space="0" w:color="auto"/>
      </w:divBdr>
      <w:divsChild>
        <w:div w:id="497424797">
          <w:marLeft w:val="0"/>
          <w:marRight w:val="0"/>
          <w:marTop w:val="0"/>
          <w:marBottom w:val="0"/>
          <w:divBdr>
            <w:top w:val="none" w:sz="0" w:space="0" w:color="auto"/>
            <w:left w:val="none" w:sz="0" w:space="0" w:color="auto"/>
            <w:bottom w:val="none" w:sz="0" w:space="0" w:color="auto"/>
            <w:right w:val="none" w:sz="0" w:space="0" w:color="auto"/>
          </w:divBdr>
        </w:div>
        <w:div w:id="695161285">
          <w:marLeft w:val="0"/>
          <w:marRight w:val="0"/>
          <w:marTop w:val="0"/>
          <w:marBottom w:val="0"/>
          <w:divBdr>
            <w:top w:val="none" w:sz="0" w:space="0" w:color="auto"/>
            <w:left w:val="none" w:sz="0" w:space="0" w:color="auto"/>
            <w:bottom w:val="none" w:sz="0" w:space="0" w:color="auto"/>
            <w:right w:val="none" w:sz="0" w:space="0" w:color="auto"/>
          </w:divBdr>
        </w:div>
        <w:div w:id="1407267235">
          <w:marLeft w:val="0"/>
          <w:marRight w:val="0"/>
          <w:marTop w:val="0"/>
          <w:marBottom w:val="0"/>
          <w:divBdr>
            <w:top w:val="none" w:sz="0" w:space="0" w:color="auto"/>
            <w:left w:val="none" w:sz="0" w:space="0" w:color="auto"/>
            <w:bottom w:val="none" w:sz="0" w:space="0" w:color="auto"/>
            <w:right w:val="none" w:sz="0" w:space="0" w:color="auto"/>
          </w:divBdr>
        </w:div>
        <w:div w:id="1418482204">
          <w:marLeft w:val="0"/>
          <w:marRight w:val="0"/>
          <w:marTop w:val="0"/>
          <w:marBottom w:val="0"/>
          <w:divBdr>
            <w:top w:val="none" w:sz="0" w:space="0" w:color="auto"/>
            <w:left w:val="none" w:sz="0" w:space="0" w:color="auto"/>
            <w:bottom w:val="none" w:sz="0" w:space="0" w:color="auto"/>
            <w:right w:val="none" w:sz="0" w:space="0" w:color="auto"/>
          </w:divBdr>
        </w:div>
        <w:div w:id="1510364339">
          <w:marLeft w:val="0"/>
          <w:marRight w:val="0"/>
          <w:marTop w:val="0"/>
          <w:marBottom w:val="0"/>
          <w:divBdr>
            <w:top w:val="none" w:sz="0" w:space="0" w:color="auto"/>
            <w:left w:val="none" w:sz="0" w:space="0" w:color="auto"/>
            <w:bottom w:val="none" w:sz="0" w:space="0" w:color="auto"/>
            <w:right w:val="none" w:sz="0" w:space="0" w:color="auto"/>
          </w:divBdr>
        </w:div>
        <w:div w:id="2065831743">
          <w:marLeft w:val="0"/>
          <w:marRight w:val="0"/>
          <w:marTop w:val="0"/>
          <w:marBottom w:val="0"/>
          <w:divBdr>
            <w:top w:val="none" w:sz="0" w:space="0" w:color="auto"/>
            <w:left w:val="none" w:sz="0" w:space="0" w:color="auto"/>
            <w:bottom w:val="none" w:sz="0" w:space="0" w:color="auto"/>
            <w:right w:val="none" w:sz="0" w:space="0" w:color="auto"/>
          </w:divBdr>
        </w:div>
      </w:divsChild>
    </w:div>
    <w:div w:id="142355889">
      <w:bodyDiv w:val="1"/>
      <w:marLeft w:val="0"/>
      <w:marRight w:val="0"/>
      <w:marTop w:val="0"/>
      <w:marBottom w:val="0"/>
      <w:divBdr>
        <w:top w:val="none" w:sz="0" w:space="0" w:color="auto"/>
        <w:left w:val="none" w:sz="0" w:space="0" w:color="auto"/>
        <w:bottom w:val="none" w:sz="0" w:space="0" w:color="auto"/>
        <w:right w:val="none" w:sz="0" w:space="0" w:color="auto"/>
      </w:divBdr>
      <w:divsChild>
        <w:div w:id="41751691">
          <w:marLeft w:val="0"/>
          <w:marRight w:val="0"/>
          <w:marTop w:val="0"/>
          <w:marBottom w:val="0"/>
          <w:divBdr>
            <w:top w:val="none" w:sz="0" w:space="0" w:color="auto"/>
            <w:left w:val="none" w:sz="0" w:space="0" w:color="auto"/>
            <w:bottom w:val="none" w:sz="0" w:space="0" w:color="auto"/>
            <w:right w:val="none" w:sz="0" w:space="0" w:color="auto"/>
          </w:divBdr>
        </w:div>
        <w:div w:id="449664576">
          <w:marLeft w:val="0"/>
          <w:marRight w:val="0"/>
          <w:marTop w:val="0"/>
          <w:marBottom w:val="0"/>
          <w:divBdr>
            <w:top w:val="none" w:sz="0" w:space="0" w:color="auto"/>
            <w:left w:val="none" w:sz="0" w:space="0" w:color="auto"/>
            <w:bottom w:val="none" w:sz="0" w:space="0" w:color="auto"/>
            <w:right w:val="none" w:sz="0" w:space="0" w:color="auto"/>
          </w:divBdr>
        </w:div>
      </w:divsChild>
    </w:div>
    <w:div w:id="295647486">
      <w:bodyDiv w:val="1"/>
      <w:marLeft w:val="0"/>
      <w:marRight w:val="0"/>
      <w:marTop w:val="0"/>
      <w:marBottom w:val="0"/>
      <w:divBdr>
        <w:top w:val="none" w:sz="0" w:space="0" w:color="auto"/>
        <w:left w:val="none" w:sz="0" w:space="0" w:color="auto"/>
        <w:bottom w:val="none" w:sz="0" w:space="0" w:color="auto"/>
        <w:right w:val="none" w:sz="0" w:space="0" w:color="auto"/>
      </w:divBdr>
      <w:divsChild>
        <w:div w:id="384330411">
          <w:marLeft w:val="0"/>
          <w:marRight w:val="0"/>
          <w:marTop w:val="0"/>
          <w:marBottom w:val="0"/>
          <w:divBdr>
            <w:top w:val="none" w:sz="0" w:space="0" w:color="auto"/>
            <w:left w:val="none" w:sz="0" w:space="0" w:color="auto"/>
            <w:bottom w:val="none" w:sz="0" w:space="0" w:color="auto"/>
            <w:right w:val="none" w:sz="0" w:space="0" w:color="auto"/>
          </w:divBdr>
        </w:div>
        <w:div w:id="581262056">
          <w:marLeft w:val="0"/>
          <w:marRight w:val="0"/>
          <w:marTop w:val="0"/>
          <w:marBottom w:val="0"/>
          <w:divBdr>
            <w:top w:val="none" w:sz="0" w:space="0" w:color="auto"/>
            <w:left w:val="none" w:sz="0" w:space="0" w:color="auto"/>
            <w:bottom w:val="none" w:sz="0" w:space="0" w:color="auto"/>
            <w:right w:val="none" w:sz="0" w:space="0" w:color="auto"/>
          </w:divBdr>
        </w:div>
        <w:div w:id="1154419894">
          <w:marLeft w:val="0"/>
          <w:marRight w:val="0"/>
          <w:marTop w:val="0"/>
          <w:marBottom w:val="0"/>
          <w:divBdr>
            <w:top w:val="none" w:sz="0" w:space="0" w:color="auto"/>
            <w:left w:val="none" w:sz="0" w:space="0" w:color="auto"/>
            <w:bottom w:val="none" w:sz="0" w:space="0" w:color="auto"/>
            <w:right w:val="none" w:sz="0" w:space="0" w:color="auto"/>
          </w:divBdr>
        </w:div>
        <w:div w:id="1520195714">
          <w:marLeft w:val="0"/>
          <w:marRight w:val="0"/>
          <w:marTop w:val="0"/>
          <w:marBottom w:val="0"/>
          <w:divBdr>
            <w:top w:val="none" w:sz="0" w:space="0" w:color="auto"/>
            <w:left w:val="none" w:sz="0" w:space="0" w:color="auto"/>
            <w:bottom w:val="none" w:sz="0" w:space="0" w:color="auto"/>
            <w:right w:val="none" w:sz="0" w:space="0" w:color="auto"/>
          </w:divBdr>
        </w:div>
        <w:div w:id="1564607827">
          <w:marLeft w:val="0"/>
          <w:marRight w:val="0"/>
          <w:marTop w:val="0"/>
          <w:marBottom w:val="0"/>
          <w:divBdr>
            <w:top w:val="none" w:sz="0" w:space="0" w:color="auto"/>
            <w:left w:val="none" w:sz="0" w:space="0" w:color="auto"/>
            <w:bottom w:val="none" w:sz="0" w:space="0" w:color="auto"/>
            <w:right w:val="none" w:sz="0" w:space="0" w:color="auto"/>
          </w:divBdr>
        </w:div>
      </w:divsChild>
    </w:div>
    <w:div w:id="427388317">
      <w:bodyDiv w:val="1"/>
      <w:marLeft w:val="0"/>
      <w:marRight w:val="0"/>
      <w:marTop w:val="0"/>
      <w:marBottom w:val="0"/>
      <w:divBdr>
        <w:top w:val="none" w:sz="0" w:space="0" w:color="auto"/>
        <w:left w:val="none" w:sz="0" w:space="0" w:color="auto"/>
        <w:bottom w:val="none" w:sz="0" w:space="0" w:color="auto"/>
        <w:right w:val="none" w:sz="0" w:space="0" w:color="auto"/>
      </w:divBdr>
      <w:divsChild>
        <w:div w:id="505511789">
          <w:marLeft w:val="0"/>
          <w:marRight w:val="0"/>
          <w:marTop w:val="0"/>
          <w:marBottom w:val="0"/>
          <w:divBdr>
            <w:top w:val="none" w:sz="0" w:space="0" w:color="auto"/>
            <w:left w:val="none" w:sz="0" w:space="0" w:color="auto"/>
            <w:bottom w:val="none" w:sz="0" w:space="0" w:color="auto"/>
            <w:right w:val="none" w:sz="0" w:space="0" w:color="auto"/>
          </w:divBdr>
        </w:div>
        <w:div w:id="597834373">
          <w:marLeft w:val="0"/>
          <w:marRight w:val="0"/>
          <w:marTop w:val="0"/>
          <w:marBottom w:val="0"/>
          <w:divBdr>
            <w:top w:val="none" w:sz="0" w:space="0" w:color="auto"/>
            <w:left w:val="none" w:sz="0" w:space="0" w:color="auto"/>
            <w:bottom w:val="none" w:sz="0" w:space="0" w:color="auto"/>
            <w:right w:val="none" w:sz="0" w:space="0" w:color="auto"/>
          </w:divBdr>
        </w:div>
        <w:div w:id="1411150396">
          <w:marLeft w:val="0"/>
          <w:marRight w:val="0"/>
          <w:marTop w:val="0"/>
          <w:marBottom w:val="0"/>
          <w:divBdr>
            <w:top w:val="none" w:sz="0" w:space="0" w:color="auto"/>
            <w:left w:val="none" w:sz="0" w:space="0" w:color="auto"/>
            <w:bottom w:val="none" w:sz="0" w:space="0" w:color="auto"/>
            <w:right w:val="none" w:sz="0" w:space="0" w:color="auto"/>
          </w:divBdr>
        </w:div>
      </w:divsChild>
    </w:div>
    <w:div w:id="708185717">
      <w:bodyDiv w:val="1"/>
      <w:marLeft w:val="0"/>
      <w:marRight w:val="0"/>
      <w:marTop w:val="0"/>
      <w:marBottom w:val="0"/>
      <w:divBdr>
        <w:top w:val="none" w:sz="0" w:space="0" w:color="auto"/>
        <w:left w:val="none" w:sz="0" w:space="0" w:color="auto"/>
        <w:bottom w:val="none" w:sz="0" w:space="0" w:color="auto"/>
        <w:right w:val="none" w:sz="0" w:space="0" w:color="auto"/>
      </w:divBdr>
      <w:divsChild>
        <w:div w:id="74980066">
          <w:marLeft w:val="0"/>
          <w:marRight w:val="0"/>
          <w:marTop w:val="0"/>
          <w:marBottom w:val="0"/>
          <w:divBdr>
            <w:top w:val="none" w:sz="0" w:space="0" w:color="auto"/>
            <w:left w:val="none" w:sz="0" w:space="0" w:color="auto"/>
            <w:bottom w:val="none" w:sz="0" w:space="0" w:color="auto"/>
            <w:right w:val="none" w:sz="0" w:space="0" w:color="auto"/>
          </w:divBdr>
        </w:div>
        <w:div w:id="712727498">
          <w:marLeft w:val="0"/>
          <w:marRight w:val="0"/>
          <w:marTop w:val="0"/>
          <w:marBottom w:val="0"/>
          <w:divBdr>
            <w:top w:val="none" w:sz="0" w:space="0" w:color="auto"/>
            <w:left w:val="none" w:sz="0" w:space="0" w:color="auto"/>
            <w:bottom w:val="none" w:sz="0" w:space="0" w:color="auto"/>
            <w:right w:val="none" w:sz="0" w:space="0" w:color="auto"/>
          </w:divBdr>
        </w:div>
        <w:div w:id="923756483">
          <w:marLeft w:val="0"/>
          <w:marRight w:val="0"/>
          <w:marTop w:val="0"/>
          <w:marBottom w:val="0"/>
          <w:divBdr>
            <w:top w:val="none" w:sz="0" w:space="0" w:color="auto"/>
            <w:left w:val="none" w:sz="0" w:space="0" w:color="auto"/>
            <w:bottom w:val="none" w:sz="0" w:space="0" w:color="auto"/>
            <w:right w:val="none" w:sz="0" w:space="0" w:color="auto"/>
          </w:divBdr>
        </w:div>
        <w:div w:id="1140338946">
          <w:marLeft w:val="0"/>
          <w:marRight w:val="0"/>
          <w:marTop w:val="0"/>
          <w:marBottom w:val="0"/>
          <w:divBdr>
            <w:top w:val="none" w:sz="0" w:space="0" w:color="auto"/>
            <w:left w:val="none" w:sz="0" w:space="0" w:color="auto"/>
            <w:bottom w:val="none" w:sz="0" w:space="0" w:color="auto"/>
            <w:right w:val="none" w:sz="0" w:space="0" w:color="auto"/>
          </w:divBdr>
        </w:div>
        <w:div w:id="1326546248">
          <w:marLeft w:val="0"/>
          <w:marRight w:val="0"/>
          <w:marTop w:val="0"/>
          <w:marBottom w:val="0"/>
          <w:divBdr>
            <w:top w:val="none" w:sz="0" w:space="0" w:color="auto"/>
            <w:left w:val="none" w:sz="0" w:space="0" w:color="auto"/>
            <w:bottom w:val="none" w:sz="0" w:space="0" w:color="auto"/>
            <w:right w:val="none" w:sz="0" w:space="0" w:color="auto"/>
          </w:divBdr>
        </w:div>
        <w:div w:id="1437867530">
          <w:marLeft w:val="0"/>
          <w:marRight w:val="0"/>
          <w:marTop w:val="0"/>
          <w:marBottom w:val="0"/>
          <w:divBdr>
            <w:top w:val="none" w:sz="0" w:space="0" w:color="auto"/>
            <w:left w:val="none" w:sz="0" w:space="0" w:color="auto"/>
            <w:bottom w:val="none" w:sz="0" w:space="0" w:color="auto"/>
            <w:right w:val="none" w:sz="0" w:space="0" w:color="auto"/>
          </w:divBdr>
        </w:div>
        <w:div w:id="1618828539">
          <w:marLeft w:val="0"/>
          <w:marRight w:val="0"/>
          <w:marTop w:val="0"/>
          <w:marBottom w:val="0"/>
          <w:divBdr>
            <w:top w:val="none" w:sz="0" w:space="0" w:color="auto"/>
            <w:left w:val="none" w:sz="0" w:space="0" w:color="auto"/>
            <w:bottom w:val="none" w:sz="0" w:space="0" w:color="auto"/>
            <w:right w:val="none" w:sz="0" w:space="0" w:color="auto"/>
          </w:divBdr>
        </w:div>
        <w:div w:id="1676956839">
          <w:marLeft w:val="0"/>
          <w:marRight w:val="0"/>
          <w:marTop w:val="0"/>
          <w:marBottom w:val="0"/>
          <w:divBdr>
            <w:top w:val="none" w:sz="0" w:space="0" w:color="auto"/>
            <w:left w:val="none" w:sz="0" w:space="0" w:color="auto"/>
            <w:bottom w:val="none" w:sz="0" w:space="0" w:color="auto"/>
            <w:right w:val="none" w:sz="0" w:space="0" w:color="auto"/>
          </w:divBdr>
        </w:div>
        <w:div w:id="1887058119">
          <w:marLeft w:val="0"/>
          <w:marRight w:val="0"/>
          <w:marTop w:val="0"/>
          <w:marBottom w:val="0"/>
          <w:divBdr>
            <w:top w:val="none" w:sz="0" w:space="0" w:color="auto"/>
            <w:left w:val="none" w:sz="0" w:space="0" w:color="auto"/>
            <w:bottom w:val="none" w:sz="0" w:space="0" w:color="auto"/>
            <w:right w:val="none" w:sz="0" w:space="0" w:color="auto"/>
          </w:divBdr>
        </w:div>
      </w:divsChild>
    </w:div>
    <w:div w:id="715281301">
      <w:bodyDiv w:val="1"/>
      <w:marLeft w:val="0"/>
      <w:marRight w:val="0"/>
      <w:marTop w:val="0"/>
      <w:marBottom w:val="0"/>
      <w:divBdr>
        <w:top w:val="none" w:sz="0" w:space="0" w:color="auto"/>
        <w:left w:val="none" w:sz="0" w:space="0" w:color="auto"/>
        <w:bottom w:val="none" w:sz="0" w:space="0" w:color="auto"/>
        <w:right w:val="none" w:sz="0" w:space="0" w:color="auto"/>
      </w:divBdr>
      <w:divsChild>
        <w:div w:id="77992646">
          <w:marLeft w:val="0"/>
          <w:marRight w:val="0"/>
          <w:marTop w:val="0"/>
          <w:marBottom w:val="0"/>
          <w:divBdr>
            <w:top w:val="none" w:sz="0" w:space="0" w:color="auto"/>
            <w:left w:val="none" w:sz="0" w:space="0" w:color="auto"/>
            <w:bottom w:val="none" w:sz="0" w:space="0" w:color="auto"/>
            <w:right w:val="none" w:sz="0" w:space="0" w:color="auto"/>
          </w:divBdr>
        </w:div>
        <w:div w:id="129714691">
          <w:marLeft w:val="0"/>
          <w:marRight w:val="0"/>
          <w:marTop w:val="0"/>
          <w:marBottom w:val="0"/>
          <w:divBdr>
            <w:top w:val="none" w:sz="0" w:space="0" w:color="auto"/>
            <w:left w:val="none" w:sz="0" w:space="0" w:color="auto"/>
            <w:bottom w:val="none" w:sz="0" w:space="0" w:color="auto"/>
            <w:right w:val="none" w:sz="0" w:space="0" w:color="auto"/>
          </w:divBdr>
        </w:div>
        <w:div w:id="200823585">
          <w:marLeft w:val="0"/>
          <w:marRight w:val="0"/>
          <w:marTop w:val="0"/>
          <w:marBottom w:val="0"/>
          <w:divBdr>
            <w:top w:val="none" w:sz="0" w:space="0" w:color="auto"/>
            <w:left w:val="none" w:sz="0" w:space="0" w:color="auto"/>
            <w:bottom w:val="none" w:sz="0" w:space="0" w:color="auto"/>
            <w:right w:val="none" w:sz="0" w:space="0" w:color="auto"/>
          </w:divBdr>
        </w:div>
        <w:div w:id="549536242">
          <w:marLeft w:val="0"/>
          <w:marRight w:val="0"/>
          <w:marTop w:val="0"/>
          <w:marBottom w:val="0"/>
          <w:divBdr>
            <w:top w:val="none" w:sz="0" w:space="0" w:color="auto"/>
            <w:left w:val="none" w:sz="0" w:space="0" w:color="auto"/>
            <w:bottom w:val="none" w:sz="0" w:space="0" w:color="auto"/>
            <w:right w:val="none" w:sz="0" w:space="0" w:color="auto"/>
          </w:divBdr>
        </w:div>
        <w:div w:id="896664639">
          <w:marLeft w:val="0"/>
          <w:marRight w:val="0"/>
          <w:marTop w:val="0"/>
          <w:marBottom w:val="0"/>
          <w:divBdr>
            <w:top w:val="none" w:sz="0" w:space="0" w:color="auto"/>
            <w:left w:val="none" w:sz="0" w:space="0" w:color="auto"/>
            <w:bottom w:val="none" w:sz="0" w:space="0" w:color="auto"/>
            <w:right w:val="none" w:sz="0" w:space="0" w:color="auto"/>
          </w:divBdr>
        </w:div>
        <w:div w:id="926037822">
          <w:marLeft w:val="0"/>
          <w:marRight w:val="0"/>
          <w:marTop w:val="0"/>
          <w:marBottom w:val="0"/>
          <w:divBdr>
            <w:top w:val="none" w:sz="0" w:space="0" w:color="auto"/>
            <w:left w:val="none" w:sz="0" w:space="0" w:color="auto"/>
            <w:bottom w:val="none" w:sz="0" w:space="0" w:color="auto"/>
            <w:right w:val="none" w:sz="0" w:space="0" w:color="auto"/>
          </w:divBdr>
        </w:div>
        <w:div w:id="960767334">
          <w:marLeft w:val="0"/>
          <w:marRight w:val="0"/>
          <w:marTop w:val="0"/>
          <w:marBottom w:val="0"/>
          <w:divBdr>
            <w:top w:val="none" w:sz="0" w:space="0" w:color="auto"/>
            <w:left w:val="none" w:sz="0" w:space="0" w:color="auto"/>
            <w:bottom w:val="none" w:sz="0" w:space="0" w:color="auto"/>
            <w:right w:val="none" w:sz="0" w:space="0" w:color="auto"/>
          </w:divBdr>
        </w:div>
        <w:div w:id="1094352637">
          <w:marLeft w:val="0"/>
          <w:marRight w:val="0"/>
          <w:marTop w:val="0"/>
          <w:marBottom w:val="0"/>
          <w:divBdr>
            <w:top w:val="none" w:sz="0" w:space="0" w:color="auto"/>
            <w:left w:val="none" w:sz="0" w:space="0" w:color="auto"/>
            <w:bottom w:val="none" w:sz="0" w:space="0" w:color="auto"/>
            <w:right w:val="none" w:sz="0" w:space="0" w:color="auto"/>
          </w:divBdr>
        </w:div>
        <w:div w:id="1674799570">
          <w:marLeft w:val="0"/>
          <w:marRight w:val="0"/>
          <w:marTop w:val="0"/>
          <w:marBottom w:val="0"/>
          <w:divBdr>
            <w:top w:val="none" w:sz="0" w:space="0" w:color="auto"/>
            <w:left w:val="none" w:sz="0" w:space="0" w:color="auto"/>
            <w:bottom w:val="none" w:sz="0" w:space="0" w:color="auto"/>
            <w:right w:val="none" w:sz="0" w:space="0" w:color="auto"/>
          </w:divBdr>
        </w:div>
        <w:div w:id="1810896563">
          <w:marLeft w:val="0"/>
          <w:marRight w:val="0"/>
          <w:marTop w:val="0"/>
          <w:marBottom w:val="0"/>
          <w:divBdr>
            <w:top w:val="none" w:sz="0" w:space="0" w:color="auto"/>
            <w:left w:val="none" w:sz="0" w:space="0" w:color="auto"/>
            <w:bottom w:val="none" w:sz="0" w:space="0" w:color="auto"/>
            <w:right w:val="none" w:sz="0" w:space="0" w:color="auto"/>
          </w:divBdr>
        </w:div>
        <w:div w:id="1817792789">
          <w:marLeft w:val="0"/>
          <w:marRight w:val="0"/>
          <w:marTop w:val="0"/>
          <w:marBottom w:val="0"/>
          <w:divBdr>
            <w:top w:val="none" w:sz="0" w:space="0" w:color="auto"/>
            <w:left w:val="none" w:sz="0" w:space="0" w:color="auto"/>
            <w:bottom w:val="none" w:sz="0" w:space="0" w:color="auto"/>
            <w:right w:val="none" w:sz="0" w:space="0" w:color="auto"/>
          </w:divBdr>
        </w:div>
        <w:div w:id="1881280817">
          <w:marLeft w:val="0"/>
          <w:marRight w:val="0"/>
          <w:marTop w:val="0"/>
          <w:marBottom w:val="0"/>
          <w:divBdr>
            <w:top w:val="none" w:sz="0" w:space="0" w:color="auto"/>
            <w:left w:val="none" w:sz="0" w:space="0" w:color="auto"/>
            <w:bottom w:val="none" w:sz="0" w:space="0" w:color="auto"/>
            <w:right w:val="none" w:sz="0" w:space="0" w:color="auto"/>
          </w:divBdr>
        </w:div>
        <w:div w:id="1892425395">
          <w:marLeft w:val="0"/>
          <w:marRight w:val="0"/>
          <w:marTop w:val="0"/>
          <w:marBottom w:val="0"/>
          <w:divBdr>
            <w:top w:val="none" w:sz="0" w:space="0" w:color="auto"/>
            <w:left w:val="none" w:sz="0" w:space="0" w:color="auto"/>
            <w:bottom w:val="none" w:sz="0" w:space="0" w:color="auto"/>
            <w:right w:val="none" w:sz="0" w:space="0" w:color="auto"/>
          </w:divBdr>
        </w:div>
        <w:div w:id="1933470413">
          <w:marLeft w:val="0"/>
          <w:marRight w:val="0"/>
          <w:marTop w:val="0"/>
          <w:marBottom w:val="0"/>
          <w:divBdr>
            <w:top w:val="none" w:sz="0" w:space="0" w:color="auto"/>
            <w:left w:val="none" w:sz="0" w:space="0" w:color="auto"/>
            <w:bottom w:val="none" w:sz="0" w:space="0" w:color="auto"/>
            <w:right w:val="none" w:sz="0" w:space="0" w:color="auto"/>
          </w:divBdr>
        </w:div>
      </w:divsChild>
    </w:div>
    <w:div w:id="860051062">
      <w:bodyDiv w:val="1"/>
      <w:marLeft w:val="0"/>
      <w:marRight w:val="0"/>
      <w:marTop w:val="0"/>
      <w:marBottom w:val="0"/>
      <w:divBdr>
        <w:top w:val="none" w:sz="0" w:space="0" w:color="auto"/>
        <w:left w:val="none" w:sz="0" w:space="0" w:color="auto"/>
        <w:bottom w:val="none" w:sz="0" w:space="0" w:color="auto"/>
        <w:right w:val="none" w:sz="0" w:space="0" w:color="auto"/>
      </w:divBdr>
      <w:divsChild>
        <w:div w:id="164176113">
          <w:marLeft w:val="0"/>
          <w:marRight w:val="0"/>
          <w:marTop w:val="0"/>
          <w:marBottom w:val="0"/>
          <w:divBdr>
            <w:top w:val="none" w:sz="0" w:space="0" w:color="auto"/>
            <w:left w:val="none" w:sz="0" w:space="0" w:color="auto"/>
            <w:bottom w:val="none" w:sz="0" w:space="0" w:color="auto"/>
            <w:right w:val="none" w:sz="0" w:space="0" w:color="auto"/>
          </w:divBdr>
        </w:div>
        <w:div w:id="182063395">
          <w:marLeft w:val="0"/>
          <w:marRight w:val="0"/>
          <w:marTop w:val="0"/>
          <w:marBottom w:val="0"/>
          <w:divBdr>
            <w:top w:val="none" w:sz="0" w:space="0" w:color="auto"/>
            <w:left w:val="none" w:sz="0" w:space="0" w:color="auto"/>
            <w:bottom w:val="none" w:sz="0" w:space="0" w:color="auto"/>
            <w:right w:val="none" w:sz="0" w:space="0" w:color="auto"/>
          </w:divBdr>
        </w:div>
        <w:div w:id="248739680">
          <w:marLeft w:val="0"/>
          <w:marRight w:val="0"/>
          <w:marTop w:val="0"/>
          <w:marBottom w:val="0"/>
          <w:divBdr>
            <w:top w:val="none" w:sz="0" w:space="0" w:color="auto"/>
            <w:left w:val="none" w:sz="0" w:space="0" w:color="auto"/>
            <w:bottom w:val="none" w:sz="0" w:space="0" w:color="auto"/>
            <w:right w:val="none" w:sz="0" w:space="0" w:color="auto"/>
          </w:divBdr>
        </w:div>
        <w:div w:id="338243103">
          <w:marLeft w:val="0"/>
          <w:marRight w:val="0"/>
          <w:marTop w:val="0"/>
          <w:marBottom w:val="0"/>
          <w:divBdr>
            <w:top w:val="none" w:sz="0" w:space="0" w:color="auto"/>
            <w:left w:val="none" w:sz="0" w:space="0" w:color="auto"/>
            <w:bottom w:val="none" w:sz="0" w:space="0" w:color="auto"/>
            <w:right w:val="none" w:sz="0" w:space="0" w:color="auto"/>
          </w:divBdr>
        </w:div>
        <w:div w:id="453214034">
          <w:marLeft w:val="0"/>
          <w:marRight w:val="0"/>
          <w:marTop w:val="0"/>
          <w:marBottom w:val="0"/>
          <w:divBdr>
            <w:top w:val="none" w:sz="0" w:space="0" w:color="auto"/>
            <w:left w:val="none" w:sz="0" w:space="0" w:color="auto"/>
            <w:bottom w:val="none" w:sz="0" w:space="0" w:color="auto"/>
            <w:right w:val="none" w:sz="0" w:space="0" w:color="auto"/>
          </w:divBdr>
        </w:div>
        <w:div w:id="523204718">
          <w:marLeft w:val="0"/>
          <w:marRight w:val="0"/>
          <w:marTop w:val="0"/>
          <w:marBottom w:val="0"/>
          <w:divBdr>
            <w:top w:val="none" w:sz="0" w:space="0" w:color="auto"/>
            <w:left w:val="none" w:sz="0" w:space="0" w:color="auto"/>
            <w:bottom w:val="none" w:sz="0" w:space="0" w:color="auto"/>
            <w:right w:val="none" w:sz="0" w:space="0" w:color="auto"/>
          </w:divBdr>
        </w:div>
        <w:div w:id="576131425">
          <w:marLeft w:val="0"/>
          <w:marRight w:val="0"/>
          <w:marTop w:val="0"/>
          <w:marBottom w:val="0"/>
          <w:divBdr>
            <w:top w:val="none" w:sz="0" w:space="0" w:color="auto"/>
            <w:left w:val="none" w:sz="0" w:space="0" w:color="auto"/>
            <w:bottom w:val="none" w:sz="0" w:space="0" w:color="auto"/>
            <w:right w:val="none" w:sz="0" w:space="0" w:color="auto"/>
          </w:divBdr>
        </w:div>
        <w:div w:id="760221291">
          <w:marLeft w:val="0"/>
          <w:marRight w:val="0"/>
          <w:marTop w:val="0"/>
          <w:marBottom w:val="0"/>
          <w:divBdr>
            <w:top w:val="none" w:sz="0" w:space="0" w:color="auto"/>
            <w:left w:val="none" w:sz="0" w:space="0" w:color="auto"/>
            <w:bottom w:val="none" w:sz="0" w:space="0" w:color="auto"/>
            <w:right w:val="none" w:sz="0" w:space="0" w:color="auto"/>
          </w:divBdr>
        </w:div>
        <w:div w:id="780493631">
          <w:marLeft w:val="0"/>
          <w:marRight w:val="0"/>
          <w:marTop w:val="0"/>
          <w:marBottom w:val="0"/>
          <w:divBdr>
            <w:top w:val="none" w:sz="0" w:space="0" w:color="auto"/>
            <w:left w:val="none" w:sz="0" w:space="0" w:color="auto"/>
            <w:bottom w:val="none" w:sz="0" w:space="0" w:color="auto"/>
            <w:right w:val="none" w:sz="0" w:space="0" w:color="auto"/>
          </w:divBdr>
        </w:div>
        <w:div w:id="963388907">
          <w:marLeft w:val="0"/>
          <w:marRight w:val="0"/>
          <w:marTop w:val="0"/>
          <w:marBottom w:val="0"/>
          <w:divBdr>
            <w:top w:val="none" w:sz="0" w:space="0" w:color="auto"/>
            <w:left w:val="none" w:sz="0" w:space="0" w:color="auto"/>
            <w:bottom w:val="none" w:sz="0" w:space="0" w:color="auto"/>
            <w:right w:val="none" w:sz="0" w:space="0" w:color="auto"/>
          </w:divBdr>
        </w:div>
        <w:div w:id="1219823490">
          <w:marLeft w:val="0"/>
          <w:marRight w:val="0"/>
          <w:marTop w:val="0"/>
          <w:marBottom w:val="0"/>
          <w:divBdr>
            <w:top w:val="none" w:sz="0" w:space="0" w:color="auto"/>
            <w:left w:val="none" w:sz="0" w:space="0" w:color="auto"/>
            <w:bottom w:val="none" w:sz="0" w:space="0" w:color="auto"/>
            <w:right w:val="none" w:sz="0" w:space="0" w:color="auto"/>
          </w:divBdr>
        </w:div>
        <w:div w:id="1234898842">
          <w:marLeft w:val="0"/>
          <w:marRight w:val="0"/>
          <w:marTop w:val="0"/>
          <w:marBottom w:val="0"/>
          <w:divBdr>
            <w:top w:val="none" w:sz="0" w:space="0" w:color="auto"/>
            <w:left w:val="none" w:sz="0" w:space="0" w:color="auto"/>
            <w:bottom w:val="none" w:sz="0" w:space="0" w:color="auto"/>
            <w:right w:val="none" w:sz="0" w:space="0" w:color="auto"/>
          </w:divBdr>
        </w:div>
        <w:div w:id="1550268370">
          <w:marLeft w:val="0"/>
          <w:marRight w:val="0"/>
          <w:marTop w:val="0"/>
          <w:marBottom w:val="0"/>
          <w:divBdr>
            <w:top w:val="none" w:sz="0" w:space="0" w:color="auto"/>
            <w:left w:val="none" w:sz="0" w:space="0" w:color="auto"/>
            <w:bottom w:val="none" w:sz="0" w:space="0" w:color="auto"/>
            <w:right w:val="none" w:sz="0" w:space="0" w:color="auto"/>
          </w:divBdr>
        </w:div>
        <w:div w:id="1579513844">
          <w:marLeft w:val="0"/>
          <w:marRight w:val="0"/>
          <w:marTop w:val="0"/>
          <w:marBottom w:val="0"/>
          <w:divBdr>
            <w:top w:val="none" w:sz="0" w:space="0" w:color="auto"/>
            <w:left w:val="none" w:sz="0" w:space="0" w:color="auto"/>
            <w:bottom w:val="none" w:sz="0" w:space="0" w:color="auto"/>
            <w:right w:val="none" w:sz="0" w:space="0" w:color="auto"/>
          </w:divBdr>
        </w:div>
        <w:div w:id="2017802311">
          <w:marLeft w:val="0"/>
          <w:marRight w:val="0"/>
          <w:marTop w:val="0"/>
          <w:marBottom w:val="0"/>
          <w:divBdr>
            <w:top w:val="none" w:sz="0" w:space="0" w:color="auto"/>
            <w:left w:val="none" w:sz="0" w:space="0" w:color="auto"/>
            <w:bottom w:val="none" w:sz="0" w:space="0" w:color="auto"/>
            <w:right w:val="none" w:sz="0" w:space="0" w:color="auto"/>
          </w:divBdr>
        </w:div>
        <w:div w:id="2025394873">
          <w:marLeft w:val="0"/>
          <w:marRight w:val="0"/>
          <w:marTop w:val="0"/>
          <w:marBottom w:val="0"/>
          <w:divBdr>
            <w:top w:val="none" w:sz="0" w:space="0" w:color="auto"/>
            <w:left w:val="none" w:sz="0" w:space="0" w:color="auto"/>
            <w:bottom w:val="none" w:sz="0" w:space="0" w:color="auto"/>
            <w:right w:val="none" w:sz="0" w:space="0" w:color="auto"/>
          </w:divBdr>
        </w:div>
        <w:div w:id="2099591664">
          <w:marLeft w:val="0"/>
          <w:marRight w:val="0"/>
          <w:marTop w:val="0"/>
          <w:marBottom w:val="0"/>
          <w:divBdr>
            <w:top w:val="none" w:sz="0" w:space="0" w:color="auto"/>
            <w:left w:val="none" w:sz="0" w:space="0" w:color="auto"/>
            <w:bottom w:val="none" w:sz="0" w:space="0" w:color="auto"/>
            <w:right w:val="none" w:sz="0" w:space="0" w:color="auto"/>
          </w:divBdr>
        </w:div>
      </w:divsChild>
    </w:div>
    <w:div w:id="1108306934">
      <w:bodyDiv w:val="1"/>
      <w:marLeft w:val="0"/>
      <w:marRight w:val="0"/>
      <w:marTop w:val="0"/>
      <w:marBottom w:val="0"/>
      <w:divBdr>
        <w:top w:val="none" w:sz="0" w:space="0" w:color="auto"/>
        <w:left w:val="none" w:sz="0" w:space="0" w:color="auto"/>
        <w:bottom w:val="none" w:sz="0" w:space="0" w:color="auto"/>
        <w:right w:val="none" w:sz="0" w:space="0" w:color="auto"/>
      </w:divBdr>
      <w:divsChild>
        <w:div w:id="87700492">
          <w:marLeft w:val="0"/>
          <w:marRight w:val="0"/>
          <w:marTop w:val="0"/>
          <w:marBottom w:val="0"/>
          <w:divBdr>
            <w:top w:val="none" w:sz="0" w:space="0" w:color="auto"/>
            <w:left w:val="none" w:sz="0" w:space="0" w:color="auto"/>
            <w:bottom w:val="none" w:sz="0" w:space="0" w:color="auto"/>
            <w:right w:val="none" w:sz="0" w:space="0" w:color="auto"/>
          </w:divBdr>
        </w:div>
        <w:div w:id="210390543">
          <w:marLeft w:val="0"/>
          <w:marRight w:val="0"/>
          <w:marTop w:val="0"/>
          <w:marBottom w:val="0"/>
          <w:divBdr>
            <w:top w:val="none" w:sz="0" w:space="0" w:color="auto"/>
            <w:left w:val="none" w:sz="0" w:space="0" w:color="auto"/>
            <w:bottom w:val="none" w:sz="0" w:space="0" w:color="auto"/>
            <w:right w:val="none" w:sz="0" w:space="0" w:color="auto"/>
          </w:divBdr>
        </w:div>
        <w:div w:id="247151472">
          <w:marLeft w:val="0"/>
          <w:marRight w:val="0"/>
          <w:marTop w:val="0"/>
          <w:marBottom w:val="0"/>
          <w:divBdr>
            <w:top w:val="none" w:sz="0" w:space="0" w:color="auto"/>
            <w:left w:val="none" w:sz="0" w:space="0" w:color="auto"/>
            <w:bottom w:val="none" w:sz="0" w:space="0" w:color="auto"/>
            <w:right w:val="none" w:sz="0" w:space="0" w:color="auto"/>
          </w:divBdr>
        </w:div>
        <w:div w:id="331222678">
          <w:marLeft w:val="0"/>
          <w:marRight w:val="0"/>
          <w:marTop w:val="0"/>
          <w:marBottom w:val="0"/>
          <w:divBdr>
            <w:top w:val="none" w:sz="0" w:space="0" w:color="auto"/>
            <w:left w:val="none" w:sz="0" w:space="0" w:color="auto"/>
            <w:bottom w:val="none" w:sz="0" w:space="0" w:color="auto"/>
            <w:right w:val="none" w:sz="0" w:space="0" w:color="auto"/>
          </w:divBdr>
        </w:div>
        <w:div w:id="408382269">
          <w:marLeft w:val="0"/>
          <w:marRight w:val="0"/>
          <w:marTop w:val="0"/>
          <w:marBottom w:val="0"/>
          <w:divBdr>
            <w:top w:val="none" w:sz="0" w:space="0" w:color="auto"/>
            <w:left w:val="none" w:sz="0" w:space="0" w:color="auto"/>
            <w:bottom w:val="none" w:sz="0" w:space="0" w:color="auto"/>
            <w:right w:val="none" w:sz="0" w:space="0" w:color="auto"/>
          </w:divBdr>
        </w:div>
        <w:div w:id="420377930">
          <w:marLeft w:val="0"/>
          <w:marRight w:val="0"/>
          <w:marTop w:val="0"/>
          <w:marBottom w:val="0"/>
          <w:divBdr>
            <w:top w:val="none" w:sz="0" w:space="0" w:color="auto"/>
            <w:left w:val="none" w:sz="0" w:space="0" w:color="auto"/>
            <w:bottom w:val="none" w:sz="0" w:space="0" w:color="auto"/>
            <w:right w:val="none" w:sz="0" w:space="0" w:color="auto"/>
          </w:divBdr>
        </w:div>
        <w:div w:id="578683839">
          <w:marLeft w:val="0"/>
          <w:marRight w:val="0"/>
          <w:marTop w:val="0"/>
          <w:marBottom w:val="0"/>
          <w:divBdr>
            <w:top w:val="none" w:sz="0" w:space="0" w:color="auto"/>
            <w:left w:val="none" w:sz="0" w:space="0" w:color="auto"/>
            <w:bottom w:val="none" w:sz="0" w:space="0" w:color="auto"/>
            <w:right w:val="none" w:sz="0" w:space="0" w:color="auto"/>
          </w:divBdr>
        </w:div>
        <w:div w:id="701132955">
          <w:marLeft w:val="0"/>
          <w:marRight w:val="0"/>
          <w:marTop w:val="0"/>
          <w:marBottom w:val="0"/>
          <w:divBdr>
            <w:top w:val="none" w:sz="0" w:space="0" w:color="auto"/>
            <w:left w:val="none" w:sz="0" w:space="0" w:color="auto"/>
            <w:bottom w:val="none" w:sz="0" w:space="0" w:color="auto"/>
            <w:right w:val="none" w:sz="0" w:space="0" w:color="auto"/>
          </w:divBdr>
        </w:div>
        <w:div w:id="729696999">
          <w:marLeft w:val="0"/>
          <w:marRight w:val="0"/>
          <w:marTop w:val="0"/>
          <w:marBottom w:val="0"/>
          <w:divBdr>
            <w:top w:val="none" w:sz="0" w:space="0" w:color="auto"/>
            <w:left w:val="none" w:sz="0" w:space="0" w:color="auto"/>
            <w:bottom w:val="none" w:sz="0" w:space="0" w:color="auto"/>
            <w:right w:val="none" w:sz="0" w:space="0" w:color="auto"/>
          </w:divBdr>
        </w:div>
        <w:div w:id="830825886">
          <w:marLeft w:val="0"/>
          <w:marRight w:val="0"/>
          <w:marTop w:val="0"/>
          <w:marBottom w:val="0"/>
          <w:divBdr>
            <w:top w:val="none" w:sz="0" w:space="0" w:color="auto"/>
            <w:left w:val="none" w:sz="0" w:space="0" w:color="auto"/>
            <w:bottom w:val="none" w:sz="0" w:space="0" w:color="auto"/>
            <w:right w:val="none" w:sz="0" w:space="0" w:color="auto"/>
          </w:divBdr>
        </w:div>
        <w:div w:id="840582196">
          <w:marLeft w:val="0"/>
          <w:marRight w:val="0"/>
          <w:marTop w:val="0"/>
          <w:marBottom w:val="0"/>
          <w:divBdr>
            <w:top w:val="none" w:sz="0" w:space="0" w:color="auto"/>
            <w:left w:val="none" w:sz="0" w:space="0" w:color="auto"/>
            <w:bottom w:val="none" w:sz="0" w:space="0" w:color="auto"/>
            <w:right w:val="none" w:sz="0" w:space="0" w:color="auto"/>
          </w:divBdr>
        </w:div>
        <w:div w:id="843781742">
          <w:marLeft w:val="0"/>
          <w:marRight w:val="0"/>
          <w:marTop w:val="0"/>
          <w:marBottom w:val="0"/>
          <w:divBdr>
            <w:top w:val="none" w:sz="0" w:space="0" w:color="auto"/>
            <w:left w:val="none" w:sz="0" w:space="0" w:color="auto"/>
            <w:bottom w:val="none" w:sz="0" w:space="0" w:color="auto"/>
            <w:right w:val="none" w:sz="0" w:space="0" w:color="auto"/>
          </w:divBdr>
        </w:div>
        <w:div w:id="1007292542">
          <w:marLeft w:val="0"/>
          <w:marRight w:val="0"/>
          <w:marTop w:val="0"/>
          <w:marBottom w:val="0"/>
          <w:divBdr>
            <w:top w:val="none" w:sz="0" w:space="0" w:color="auto"/>
            <w:left w:val="none" w:sz="0" w:space="0" w:color="auto"/>
            <w:bottom w:val="none" w:sz="0" w:space="0" w:color="auto"/>
            <w:right w:val="none" w:sz="0" w:space="0" w:color="auto"/>
          </w:divBdr>
        </w:div>
        <w:div w:id="1033075939">
          <w:marLeft w:val="0"/>
          <w:marRight w:val="0"/>
          <w:marTop w:val="0"/>
          <w:marBottom w:val="0"/>
          <w:divBdr>
            <w:top w:val="none" w:sz="0" w:space="0" w:color="auto"/>
            <w:left w:val="none" w:sz="0" w:space="0" w:color="auto"/>
            <w:bottom w:val="none" w:sz="0" w:space="0" w:color="auto"/>
            <w:right w:val="none" w:sz="0" w:space="0" w:color="auto"/>
          </w:divBdr>
        </w:div>
        <w:div w:id="1037585091">
          <w:marLeft w:val="0"/>
          <w:marRight w:val="0"/>
          <w:marTop w:val="0"/>
          <w:marBottom w:val="0"/>
          <w:divBdr>
            <w:top w:val="none" w:sz="0" w:space="0" w:color="auto"/>
            <w:left w:val="none" w:sz="0" w:space="0" w:color="auto"/>
            <w:bottom w:val="none" w:sz="0" w:space="0" w:color="auto"/>
            <w:right w:val="none" w:sz="0" w:space="0" w:color="auto"/>
          </w:divBdr>
        </w:div>
        <w:div w:id="1066341851">
          <w:marLeft w:val="0"/>
          <w:marRight w:val="0"/>
          <w:marTop w:val="0"/>
          <w:marBottom w:val="0"/>
          <w:divBdr>
            <w:top w:val="none" w:sz="0" w:space="0" w:color="auto"/>
            <w:left w:val="none" w:sz="0" w:space="0" w:color="auto"/>
            <w:bottom w:val="none" w:sz="0" w:space="0" w:color="auto"/>
            <w:right w:val="none" w:sz="0" w:space="0" w:color="auto"/>
          </w:divBdr>
        </w:div>
        <w:div w:id="1077290518">
          <w:marLeft w:val="0"/>
          <w:marRight w:val="0"/>
          <w:marTop w:val="0"/>
          <w:marBottom w:val="0"/>
          <w:divBdr>
            <w:top w:val="none" w:sz="0" w:space="0" w:color="auto"/>
            <w:left w:val="none" w:sz="0" w:space="0" w:color="auto"/>
            <w:bottom w:val="none" w:sz="0" w:space="0" w:color="auto"/>
            <w:right w:val="none" w:sz="0" w:space="0" w:color="auto"/>
          </w:divBdr>
        </w:div>
        <w:div w:id="1079912746">
          <w:marLeft w:val="0"/>
          <w:marRight w:val="0"/>
          <w:marTop w:val="0"/>
          <w:marBottom w:val="0"/>
          <w:divBdr>
            <w:top w:val="none" w:sz="0" w:space="0" w:color="auto"/>
            <w:left w:val="none" w:sz="0" w:space="0" w:color="auto"/>
            <w:bottom w:val="none" w:sz="0" w:space="0" w:color="auto"/>
            <w:right w:val="none" w:sz="0" w:space="0" w:color="auto"/>
          </w:divBdr>
        </w:div>
        <w:div w:id="1196238462">
          <w:marLeft w:val="0"/>
          <w:marRight w:val="0"/>
          <w:marTop w:val="0"/>
          <w:marBottom w:val="0"/>
          <w:divBdr>
            <w:top w:val="none" w:sz="0" w:space="0" w:color="auto"/>
            <w:left w:val="none" w:sz="0" w:space="0" w:color="auto"/>
            <w:bottom w:val="none" w:sz="0" w:space="0" w:color="auto"/>
            <w:right w:val="none" w:sz="0" w:space="0" w:color="auto"/>
          </w:divBdr>
        </w:div>
        <w:div w:id="1222910250">
          <w:marLeft w:val="0"/>
          <w:marRight w:val="0"/>
          <w:marTop w:val="0"/>
          <w:marBottom w:val="0"/>
          <w:divBdr>
            <w:top w:val="none" w:sz="0" w:space="0" w:color="auto"/>
            <w:left w:val="none" w:sz="0" w:space="0" w:color="auto"/>
            <w:bottom w:val="none" w:sz="0" w:space="0" w:color="auto"/>
            <w:right w:val="none" w:sz="0" w:space="0" w:color="auto"/>
          </w:divBdr>
        </w:div>
        <w:div w:id="1268923432">
          <w:marLeft w:val="0"/>
          <w:marRight w:val="0"/>
          <w:marTop w:val="0"/>
          <w:marBottom w:val="0"/>
          <w:divBdr>
            <w:top w:val="none" w:sz="0" w:space="0" w:color="auto"/>
            <w:left w:val="none" w:sz="0" w:space="0" w:color="auto"/>
            <w:bottom w:val="none" w:sz="0" w:space="0" w:color="auto"/>
            <w:right w:val="none" w:sz="0" w:space="0" w:color="auto"/>
          </w:divBdr>
        </w:div>
        <w:div w:id="1269696253">
          <w:marLeft w:val="0"/>
          <w:marRight w:val="0"/>
          <w:marTop w:val="0"/>
          <w:marBottom w:val="0"/>
          <w:divBdr>
            <w:top w:val="none" w:sz="0" w:space="0" w:color="auto"/>
            <w:left w:val="none" w:sz="0" w:space="0" w:color="auto"/>
            <w:bottom w:val="none" w:sz="0" w:space="0" w:color="auto"/>
            <w:right w:val="none" w:sz="0" w:space="0" w:color="auto"/>
          </w:divBdr>
        </w:div>
        <w:div w:id="1325473438">
          <w:marLeft w:val="0"/>
          <w:marRight w:val="0"/>
          <w:marTop w:val="0"/>
          <w:marBottom w:val="0"/>
          <w:divBdr>
            <w:top w:val="none" w:sz="0" w:space="0" w:color="auto"/>
            <w:left w:val="none" w:sz="0" w:space="0" w:color="auto"/>
            <w:bottom w:val="none" w:sz="0" w:space="0" w:color="auto"/>
            <w:right w:val="none" w:sz="0" w:space="0" w:color="auto"/>
          </w:divBdr>
        </w:div>
        <w:div w:id="1345983630">
          <w:marLeft w:val="0"/>
          <w:marRight w:val="0"/>
          <w:marTop w:val="0"/>
          <w:marBottom w:val="0"/>
          <w:divBdr>
            <w:top w:val="none" w:sz="0" w:space="0" w:color="auto"/>
            <w:left w:val="none" w:sz="0" w:space="0" w:color="auto"/>
            <w:bottom w:val="none" w:sz="0" w:space="0" w:color="auto"/>
            <w:right w:val="none" w:sz="0" w:space="0" w:color="auto"/>
          </w:divBdr>
        </w:div>
        <w:div w:id="1634871447">
          <w:marLeft w:val="0"/>
          <w:marRight w:val="0"/>
          <w:marTop w:val="0"/>
          <w:marBottom w:val="0"/>
          <w:divBdr>
            <w:top w:val="none" w:sz="0" w:space="0" w:color="auto"/>
            <w:left w:val="none" w:sz="0" w:space="0" w:color="auto"/>
            <w:bottom w:val="none" w:sz="0" w:space="0" w:color="auto"/>
            <w:right w:val="none" w:sz="0" w:space="0" w:color="auto"/>
          </w:divBdr>
        </w:div>
        <w:div w:id="1647777792">
          <w:marLeft w:val="0"/>
          <w:marRight w:val="0"/>
          <w:marTop w:val="0"/>
          <w:marBottom w:val="0"/>
          <w:divBdr>
            <w:top w:val="none" w:sz="0" w:space="0" w:color="auto"/>
            <w:left w:val="none" w:sz="0" w:space="0" w:color="auto"/>
            <w:bottom w:val="none" w:sz="0" w:space="0" w:color="auto"/>
            <w:right w:val="none" w:sz="0" w:space="0" w:color="auto"/>
          </w:divBdr>
        </w:div>
        <w:div w:id="1826431144">
          <w:marLeft w:val="0"/>
          <w:marRight w:val="0"/>
          <w:marTop w:val="0"/>
          <w:marBottom w:val="0"/>
          <w:divBdr>
            <w:top w:val="none" w:sz="0" w:space="0" w:color="auto"/>
            <w:left w:val="none" w:sz="0" w:space="0" w:color="auto"/>
            <w:bottom w:val="none" w:sz="0" w:space="0" w:color="auto"/>
            <w:right w:val="none" w:sz="0" w:space="0" w:color="auto"/>
          </w:divBdr>
        </w:div>
        <w:div w:id="1887830413">
          <w:marLeft w:val="0"/>
          <w:marRight w:val="0"/>
          <w:marTop w:val="0"/>
          <w:marBottom w:val="0"/>
          <w:divBdr>
            <w:top w:val="none" w:sz="0" w:space="0" w:color="auto"/>
            <w:left w:val="none" w:sz="0" w:space="0" w:color="auto"/>
            <w:bottom w:val="none" w:sz="0" w:space="0" w:color="auto"/>
            <w:right w:val="none" w:sz="0" w:space="0" w:color="auto"/>
          </w:divBdr>
        </w:div>
        <w:div w:id="1957978180">
          <w:marLeft w:val="0"/>
          <w:marRight w:val="0"/>
          <w:marTop w:val="0"/>
          <w:marBottom w:val="0"/>
          <w:divBdr>
            <w:top w:val="none" w:sz="0" w:space="0" w:color="auto"/>
            <w:left w:val="none" w:sz="0" w:space="0" w:color="auto"/>
            <w:bottom w:val="none" w:sz="0" w:space="0" w:color="auto"/>
            <w:right w:val="none" w:sz="0" w:space="0" w:color="auto"/>
          </w:divBdr>
        </w:div>
        <w:div w:id="2081974609">
          <w:marLeft w:val="0"/>
          <w:marRight w:val="0"/>
          <w:marTop w:val="0"/>
          <w:marBottom w:val="0"/>
          <w:divBdr>
            <w:top w:val="none" w:sz="0" w:space="0" w:color="auto"/>
            <w:left w:val="none" w:sz="0" w:space="0" w:color="auto"/>
            <w:bottom w:val="none" w:sz="0" w:space="0" w:color="auto"/>
            <w:right w:val="none" w:sz="0" w:space="0" w:color="auto"/>
          </w:divBdr>
        </w:div>
      </w:divsChild>
    </w:div>
    <w:div w:id="1153064815">
      <w:bodyDiv w:val="1"/>
      <w:marLeft w:val="0"/>
      <w:marRight w:val="0"/>
      <w:marTop w:val="0"/>
      <w:marBottom w:val="0"/>
      <w:divBdr>
        <w:top w:val="none" w:sz="0" w:space="0" w:color="auto"/>
        <w:left w:val="none" w:sz="0" w:space="0" w:color="auto"/>
        <w:bottom w:val="none" w:sz="0" w:space="0" w:color="auto"/>
        <w:right w:val="none" w:sz="0" w:space="0" w:color="auto"/>
      </w:divBdr>
      <w:divsChild>
        <w:div w:id="42483234">
          <w:marLeft w:val="0"/>
          <w:marRight w:val="0"/>
          <w:marTop w:val="0"/>
          <w:marBottom w:val="0"/>
          <w:divBdr>
            <w:top w:val="none" w:sz="0" w:space="0" w:color="auto"/>
            <w:left w:val="none" w:sz="0" w:space="0" w:color="auto"/>
            <w:bottom w:val="none" w:sz="0" w:space="0" w:color="auto"/>
            <w:right w:val="none" w:sz="0" w:space="0" w:color="auto"/>
          </w:divBdr>
        </w:div>
        <w:div w:id="958294844">
          <w:marLeft w:val="0"/>
          <w:marRight w:val="0"/>
          <w:marTop w:val="0"/>
          <w:marBottom w:val="0"/>
          <w:divBdr>
            <w:top w:val="none" w:sz="0" w:space="0" w:color="auto"/>
            <w:left w:val="none" w:sz="0" w:space="0" w:color="auto"/>
            <w:bottom w:val="none" w:sz="0" w:space="0" w:color="auto"/>
            <w:right w:val="none" w:sz="0" w:space="0" w:color="auto"/>
          </w:divBdr>
        </w:div>
      </w:divsChild>
    </w:div>
    <w:div w:id="1176504700">
      <w:bodyDiv w:val="1"/>
      <w:marLeft w:val="0"/>
      <w:marRight w:val="0"/>
      <w:marTop w:val="0"/>
      <w:marBottom w:val="0"/>
      <w:divBdr>
        <w:top w:val="none" w:sz="0" w:space="0" w:color="auto"/>
        <w:left w:val="none" w:sz="0" w:space="0" w:color="auto"/>
        <w:bottom w:val="none" w:sz="0" w:space="0" w:color="auto"/>
        <w:right w:val="none" w:sz="0" w:space="0" w:color="auto"/>
      </w:divBdr>
    </w:div>
    <w:div w:id="1349916013">
      <w:bodyDiv w:val="1"/>
      <w:marLeft w:val="0"/>
      <w:marRight w:val="0"/>
      <w:marTop w:val="0"/>
      <w:marBottom w:val="0"/>
      <w:divBdr>
        <w:top w:val="none" w:sz="0" w:space="0" w:color="auto"/>
        <w:left w:val="none" w:sz="0" w:space="0" w:color="auto"/>
        <w:bottom w:val="none" w:sz="0" w:space="0" w:color="auto"/>
        <w:right w:val="none" w:sz="0" w:space="0" w:color="auto"/>
      </w:divBdr>
      <w:divsChild>
        <w:div w:id="125662322">
          <w:marLeft w:val="0"/>
          <w:marRight w:val="0"/>
          <w:marTop w:val="0"/>
          <w:marBottom w:val="0"/>
          <w:divBdr>
            <w:top w:val="none" w:sz="0" w:space="0" w:color="auto"/>
            <w:left w:val="none" w:sz="0" w:space="0" w:color="auto"/>
            <w:bottom w:val="none" w:sz="0" w:space="0" w:color="auto"/>
            <w:right w:val="none" w:sz="0" w:space="0" w:color="auto"/>
          </w:divBdr>
        </w:div>
        <w:div w:id="195898295">
          <w:marLeft w:val="0"/>
          <w:marRight w:val="0"/>
          <w:marTop w:val="0"/>
          <w:marBottom w:val="0"/>
          <w:divBdr>
            <w:top w:val="none" w:sz="0" w:space="0" w:color="auto"/>
            <w:left w:val="none" w:sz="0" w:space="0" w:color="auto"/>
            <w:bottom w:val="none" w:sz="0" w:space="0" w:color="auto"/>
            <w:right w:val="none" w:sz="0" w:space="0" w:color="auto"/>
          </w:divBdr>
        </w:div>
        <w:div w:id="267321986">
          <w:marLeft w:val="0"/>
          <w:marRight w:val="0"/>
          <w:marTop w:val="0"/>
          <w:marBottom w:val="0"/>
          <w:divBdr>
            <w:top w:val="none" w:sz="0" w:space="0" w:color="auto"/>
            <w:left w:val="none" w:sz="0" w:space="0" w:color="auto"/>
            <w:bottom w:val="none" w:sz="0" w:space="0" w:color="auto"/>
            <w:right w:val="none" w:sz="0" w:space="0" w:color="auto"/>
          </w:divBdr>
        </w:div>
        <w:div w:id="344095089">
          <w:marLeft w:val="0"/>
          <w:marRight w:val="0"/>
          <w:marTop w:val="0"/>
          <w:marBottom w:val="0"/>
          <w:divBdr>
            <w:top w:val="none" w:sz="0" w:space="0" w:color="auto"/>
            <w:left w:val="none" w:sz="0" w:space="0" w:color="auto"/>
            <w:bottom w:val="none" w:sz="0" w:space="0" w:color="auto"/>
            <w:right w:val="none" w:sz="0" w:space="0" w:color="auto"/>
          </w:divBdr>
        </w:div>
        <w:div w:id="428356548">
          <w:marLeft w:val="0"/>
          <w:marRight w:val="0"/>
          <w:marTop w:val="0"/>
          <w:marBottom w:val="0"/>
          <w:divBdr>
            <w:top w:val="none" w:sz="0" w:space="0" w:color="auto"/>
            <w:left w:val="none" w:sz="0" w:space="0" w:color="auto"/>
            <w:bottom w:val="none" w:sz="0" w:space="0" w:color="auto"/>
            <w:right w:val="none" w:sz="0" w:space="0" w:color="auto"/>
          </w:divBdr>
        </w:div>
        <w:div w:id="434328177">
          <w:marLeft w:val="0"/>
          <w:marRight w:val="0"/>
          <w:marTop w:val="0"/>
          <w:marBottom w:val="0"/>
          <w:divBdr>
            <w:top w:val="none" w:sz="0" w:space="0" w:color="auto"/>
            <w:left w:val="none" w:sz="0" w:space="0" w:color="auto"/>
            <w:bottom w:val="none" w:sz="0" w:space="0" w:color="auto"/>
            <w:right w:val="none" w:sz="0" w:space="0" w:color="auto"/>
          </w:divBdr>
        </w:div>
        <w:div w:id="752581062">
          <w:marLeft w:val="0"/>
          <w:marRight w:val="0"/>
          <w:marTop w:val="0"/>
          <w:marBottom w:val="0"/>
          <w:divBdr>
            <w:top w:val="none" w:sz="0" w:space="0" w:color="auto"/>
            <w:left w:val="none" w:sz="0" w:space="0" w:color="auto"/>
            <w:bottom w:val="none" w:sz="0" w:space="0" w:color="auto"/>
            <w:right w:val="none" w:sz="0" w:space="0" w:color="auto"/>
          </w:divBdr>
        </w:div>
        <w:div w:id="756252294">
          <w:marLeft w:val="0"/>
          <w:marRight w:val="0"/>
          <w:marTop w:val="0"/>
          <w:marBottom w:val="0"/>
          <w:divBdr>
            <w:top w:val="none" w:sz="0" w:space="0" w:color="auto"/>
            <w:left w:val="none" w:sz="0" w:space="0" w:color="auto"/>
            <w:bottom w:val="none" w:sz="0" w:space="0" w:color="auto"/>
            <w:right w:val="none" w:sz="0" w:space="0" w:color="auto"/>
          </w:divBdr>
        </w:div>
        <w:div w:id="763497594">
          <w:marLeft w:val="0"/>
          <w:marRight w:val="0"/>
          <w:marTop w:val="0"/>
          <w:marBottom w:val="0"/>
          <w:divBdr>
            <w:top w:val="none" w:sz="0" w:space="0" w:color="auto"/>
            <w:left w:val="none" w:sz="0" w:space="0" w:color="auto"/>
            <w:bottom w:val="none" w:sz="0" w:space="0" w:color="auto"/>
            <w:right w:val="none" w:sz="0" w:space="0" w:color="auto"/>
          </w:divBdr>
        </w:div>
        <w:div w:id="1083843444">
          <w:marLeft w:val="0"/>
          <w:marRight w:val="0"/>
          <w:marTop w:val="0"/>
          <w:marBottom w:val="0"/>
          <w:divBdr>
            <w:top w:val="none" w:sz="0" w:space="0" w:color="auto"/>
            <w:left w:val="none" w:sz="0" w:space="0" w:color="auto"/>
            <w:bottom w:val="none" w:sz="0" w:space="0" w:color="auto"/>
            <w:right w:val="none" w:sz="0" w:space="0" w:color="auto"/>
          </w:divBdr>
        </w:div>
        <w:div w:id="1137718552">
          <w:marLeft w:val="0"/>
          <w:marRight w:val="0"/>
          <w:marTop w:val="0"/>
          <w:marBottom w:val="0"/>
          <w:divBdr>
            <w:top w:val="none" w:sz="0" w:space="0" w:color="auto"/>
            <w:left w:val="none" w:sz="0" w:space="0" w:color="auto"/>
            <w:bottom w:val="none" w:sz="0" w:space="0" w:color="auto"/>
            <w:right w:val="none" w:sz="0" w:space="0" w:color="auto"/>
          </w:divBdr>
        </w:div>
        <w:div w:id="1366715656">
          <w:marLeft w:val="0"/>
          <w:marRight w:val="0"/>
          <w:marTop w:val="0"/>
          <w:marBottom w:val="0"/>
          <w:divBdr>
            <w:top w:val="none" w:sz="0" w:space="0" w:color="auto"/>
            <w:left w:val="none" w:sz="0" w:space="0" w:color="auto"/>
            <w:bottom w:val="none" w:sz="0" w:space="0" w:color="auto"/>
            <w:right w:val="none" w:sz="0" w:space="0" w:color="auto"/>
          </w:divBdr>
        </w:div>
        <w:div w:id="1486362533">
          <w:marLeft w:val="0"/>
          <w:marRight w:val="0"/>
          <w:marTop w:val="0"/>
          <w:marBottom w:val="0"/>
          <w:divBdr>
            <w:top w:val="none" w:sz="0" w:space="0" w:color="auto"/>
            <w:left w:val="none" w:sz="0" w:space="0" w:color="auto"/>
            <w:bottom w:val="none" w:sz="0" w:space="0" w:color="auto"/>
            <w:right w:val="none" w:sz="0" w:space="0" w:color="auto"/>
          </w:divBdr>
        </w:div>
        <w:div w:id="1596136249">
          <w:marLeft w:val="0"/>
          <w:marRight w:val="0"/>
          <w:marTop w:val="0"/>
          <w:marBottom w:val="0"/>
          <w:divBdr>
            <w:top w:val="none" w:sz="0" w:space="0" w:color="auto"/>
            <w:left w:val="none" w:sz="0" w:space="0" w:color="auto"/>
            <w:bottom w:val="none" w:sz="0" w:space="0" w:color="auto"/>
            <w:right w:val="none" w:sz="0" w:space="0" w:color="auto"/>
          </w:divBdr>
        </w:div>
        <w:div w:id="1623656295">
          <w:marLeft w:val="0"/>
          <w:marRight w:val="0"/>
          <w:marTop w:val="0"/>
          <w:marBottom w:val="0"/>
          <w:divBdr>
            <w:top w:val="none" w:sz="0" w:space="0" w:color="auto"/>
            <w:left w:val="none" w:sz="0" w:space="0" w:color="auto"/>
            <w:bottom w:val="none" w:sz="0" w:space="0" w:color="auto"/>
            <w:right w:val="none" w:sz="0" w:space="0" w:color="auto"/>
          </w:divBdr>
        </w:div>
        <w:div w:id="1787575761">
          <w:marLeft w:val="0"/>
          <w:marRight w:val="0"/>
          <w:marTop w:val="0"/>
          <w:marBottom w:val="0"/>
          <w:divBdr>
            <w:top w:val="none" w:sz="0" w:space="0" w:color="auto"/>
            <w:left w:val="none" w:sz="0" w:space="0" w:color="auto"/>
            <w:bottom w:val="none" w:sz="0" w:space="0" w:color="auto"/>
            <w:right w:val="none" w:sz="0" w:space="0" w:color="auto"/>
          </w:divBdr>
        </w:div>
        <w:div w:id="1809207705">
          <w:marLeft w:val="0"/>
          <w:marRight w:val="0"/>
          <w:marTop w:val="0"/>
          <w:marBottom w:val="0"/>
          <w:divBdr>
            <w:top w:val="none" w:sz="0" w:space="0" w:color="auto"/>
            <w:left w:val="none" w:sz="0" w:space="0" w:color="auto"/>
            <w:bottom w:val="none" w:sz="0" w:space="0" w:color="auto"/>
            <w:right w:val="none" w:sz="0" w:space="0" w:color="auto"/>
          </w:divBdr>
        </w:div>
        <w:div w:id="1871527663">
          <w:marLeft w:val="0"/>
          <w:marRight w:val="0"/>
          <w:marTop w:val="0"/>
          <w:marBottom w:val="0"/>
          <w:divBdr>
            <w:top w:val="none" w:sz="0" w:space="0" w:color="auto"/>
            <w:left w:val="none" w:sz="0" w:space="0" w:color="auto"/>
            <w:bottom w:val="none" w:sz="0" w:space="0" w:color="auto"/>
            <w:right w:val="none" w:sz="0" w:space="0" w:color="auto"/>
          </w:divBdr>
        </w:div>
        <w:div w:id="1952320637">
          <w:marLeft w:val="0"/>
          <w:marRight w:val="0"/>
          <w:marTop w:val="0"/>
          <w:marBottom w:val="0"/>
          <w:divBdr>
            <w:top w:val="none" w:sz="0" w:space="0" w:color="auto"/>
            <w:left w:val="none" w:sz="0" w:space="0" w:color="auto"/>
            <w:bottom w:val="none" w:sz="0" w:space="0" w:color="auto"/>
            <w:right w:val="none" w:sz="0" w:space="0" w:color="auto"/>
          </w:divBdr>
        </w:div>
        <w:div w:id="1981380763">
          <w:marLeft w:val="0"/>
          <w:marRight w:val="0"/>
          <w:marTop w:val="0"/>
          <w:marBottom w:val="0"/>
          <w:divBdr>
            <w:top w:val="none" w:sz="0" w:space="0" w:color="auto"/>
            <w:left w:val="none" w:sz="0" w:space="0" w:color="auto"/>
            <w:bottom w:val="none" w:sz="0" w:space="0" w:color="auto"/>
            <w:right w:val="none" w:sz="0" w:space="0" w:color="auto"/>
          </w:divBdr>
        </w:div>
        <w:div w:id="2111773900">
          <w:marLeft w:val="0"/>
          <w:marRight w:val="0"/>
          <w:marTop w:val="0"/>
          <w:marBottom w:val="0"/>
          <w:divBdr>
            <w:top w:val="none" w:sz="0" w:space="0" w:color="auto"/>
            <w:left w:val="none" w:sz="0" w:space="0" w:color="auto"/>
            <w:bottom w:val="none" w:sz="0" w:space="0" w:color="auto"/>
            <w:right w:val="none" w:sz="0" w:space="0" w:color="auto"/>
          </w:divBdr>
        </w:div>
      </w:divsChild>
    </w:div>
    <w:div w:id="1407844361">
      <w:bodyDiv w:val="1"/>
      <w:marLeft w:val="0"/>
      <w:marRight w:val="0"/>
      <w:marTop w:val="0"/>
      <w:marBottom w:val="0"/>
      <w:divBdr>
        <w:top w:val="none" w:sz="0" w:space="0" w:color="auto"/>
        <w:left w:val="none" w:sz="0" w:space="0" w:color="auto"/>
        <w:bottom w:val="none" w:sz="0" w:space="0" w:color="auto"/>
        <w:right w:val="none" w:sz="0" w:space="0" w:color="auto"/>
      </w:divBdr>
      <w:divsChild>
        <w:div w:id="485778544">
          <w:marLeft w:val="0"/>
          <w:marRight w:val="0"/>
          <w:marTop w:val="0"/>
          <w:marBottom w:val="0"/>
          <w:divBdr>
            <w:top w:val="none" w:sz="0" w:space="0" w:color="auto"/>
            <w:left w:val="none" w:sz="0" w:space="0" w:color="auto"/>
            <w:bottom w:val="none" w:sz="0" w:space="0" w:color="auto"/>
            <w:right w:val="none" w:sz="0" w:space="0" w:color="auto"/>
          </w:divBdr>
          <w:divsChild>
            <w:div w:id="257174399">
              <w:marLeft w:val="0"/>
              <w:marRight w:val="0"/>
              <w:marTop w:val="0"/>
              <w:marBottom w:val="0"/>
              <w:divBdr>
                <w:top w:val="none" w:sz="0" w:space="0" w:color="auto"/>
                <w:left w:val="none" w:sz="0" w:space="0" w:color="auto"/>
                <w:bottom w:val="none" w:sz="0" w:space="0" w:color="auto"/>
                <w:right w:val="none" w:sz="0" w:space="0" w:color="auto"/>
              </w:divBdr>
            </w:div>
            <w:div w:id="777994474">
              <w:marLeft w:val="0"/>
              <w:marRight w:val="0"/>
              <w:marTop w:val="0"/>
              <w:marBottom w:val="0"/>
              <w:divBdr>
                <w:top w:val="none" w:sz="0" w:space="0" w:color="auto"/>
                <w:left w:val="none" w:sz="0" w:space="0" w:color="auto"/>
                <w:bottom w:val="none" w:sz="0" w:space="0" w:color="auto"/>
                <w:right w:val="none" w:sz="0" w:space="0" w:color="auto"/>
              </w:divBdr>
            </w:div>
            <w:div w:id="1019309207">
              <w:marLeft w:val="0"/>
              <w:marRight w:val="0"/>
              <w:marTop w:val="0"/>
              <w:marBottom w:val="0"/>
              <w:divBdr>
                <w:top w:val="none" w:sz="0" w:space="0" w:color="auto"/>
                <w:left w:val="none" w:sz="0" w:space="0" w:color="auto"/>
                <w:bottom w:val="none" w:sz="0" w:space="0" w:color="auto"/>
                <w:right w:val="none" w:sz="0" w:space="0" w:color="auto"/>
              </w:divBdr>
            </w:div>
            <w:div w:id="1588802042">
              <w:marLeft w:val="0"/>
              <w:marRight w:val="0"/>
              <w:marTop w:val="0"/>
              <w:marBottom w:val="0"/>
              <w:divBdr>
                <w:top w:val="none" w:sz="0" w:space="0" w:color="auto"/>
                <w:left w:val="none" w:sz="0" w:space="0" w:color="auto"/>
                <w:bottom w:val="none" w:sz="0" w:space="0" w:color="auto"/>
                <w:right w:val="none" w:sz="0" w:space="0" w:color="auto"/>
              </w:divBdr>
            </w:div>
            <w:div w:id="17825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0614">
      <w:bodyDiv w:val="1"/>
      <w:marLeft w:val="0"/>
      <w:marRight w:val="0"/>
      <w:marTop w:val="0"/>
      <w:marBottom w:val="0"/>
      <w:divBdr>
        <w:top w:val="none" w:sz="0" w:space="0" w:color="auto"/>
        <w:left w:val="none" w:sz="0" w:space="0" w:color="auto"/>
        <w:bottom w:val="none" w:sz="0" w:space="0" w:color="auto"/>
        <w:right w:val="none" w:sz="0" w:space="0" w:color="auto"/>
      </w:divBdr>
    </w:div>
    <w:div w:id="1613050348">
      <w:bodyDiv w:val="1"/>
      <w:marLeft w:val="0"/>
      <w:marRight w:val="0"/>
      <w:marTop w:val="0"/>
      <w:marBottom w:val="0"/>
      <w:divBdr>
        <w:top w:val="none" w:sz="0" w:space="0" w:color="auto"/>
        <w:left w:val="none" w:sz="0" w:space="0" w:color="auto"/>
        <w:bottom w:val="none" w:sz="0" w:space="0" w:color="auto"/>
        <w:right w:val="none" w:sz="0" w:space="0" w:color="auto"/>
      </w:divBdr>
      <w:divsChild>
        <w:div w:id="182986557">
          <w:marLeft w:val="0"/>
          <w:marRight w:val="0"/>
          <w:marTop w:val="0"/>
          <w:marBottom w:val="0"/>
          <w:divBdr>
            <w:top w:val="none" w:sz="0" w:space="0" w:color="auto"/>
            <w:left w:val="none" w:sz="0" w:space="0" w:color="auto"/>
            <w:bottom w:val="none" w:sz="0" w:space="0" w:color="auto"/>
            <w:right w:val="none" w:sz="0" w:space="0" w:color="auto"/>
          </w:divBdr>
        </w:div>
        <w:div w:id="942808268">
          <w:marLeft w:val="0"/>
          <w:marRight w:val="0"/>
          <w:marTop w:val="0"/>
          <w:marBottom w:val="0"/>
          <w:divBdr>
            <w:top w:val="none" w:sz="0" w:space="0" w:color="auto"/>
            <w:left w:val="none" w:sz="0" w:space="0" w:color="auto"/>
            <w:bottom w:val="none" w:sz="0" w:space="0" w:color="auto"/>
            <w:right w:val="none" w:sz="0" w:space="0" w:color="auto"/>
          </w:divBdr>
        </w:div>
        <w:div w:id="1564291930">
          <w:marLeft w:val="0"/>
          <w:marRight w:val="0"/>
          <w:marTop w:val="0"/>
          <w:marBottom w:val="0"/>
          <w:divBdr>
            <w:top w:val="none" w:sz="0" w:space="0" w:color="auto"/>
            <w:left w:val="none" w:sz="0" w:space="0" w:color="auto"/>
            <w:bottom w:val="none" w:sz="0" w:space="0" w:color="auto"/>
            <w:right w:val="none" w:sz="0" w:space="0" w:color="auto"/>
          </w:divBdr>
        </w:div>
        <w:div w:id="1934894354">
          <w:marLeft w:val="0"/>
          <w:marRight w:val="0"/>
          <w:marTop w:val="0"/>
          <w:marBottom w:val="0"/>
          <w:divBdr>
            <w:top w:val="none" w:sz="0" w:space="0" w:color="auto"/>
            <w:left w:val="none" w:sz="0" w:space="0" w:color="auto"/>
            <w:bottom w:val="none" w:sz="0" w:space="0" w:color="auto"/>
            <w:right w:val="none" w:sz="0" w:space="0" w:color="auto"/>
          </w:divBdr>
        </w:div>
      </w:divsChild>
    </w:div>
    <w:div w:id="1633907052">
      <w:bodyDiv w:val="1"/>
      <w:marLeft w:val="0"/>
      <w:marRight w:val="0"/>
      <w:marTop w:val="0"/>
      <w:marBottom w:val="0"/>
      <w:divBdr>
        <w:top w:val="none" w:sz="0" w:space="0" w:color="auto"/>
        <w:left w:val="none" w:sz="0" w:space="0" w:color="auto"/>
        <w:bottom w:val="none" w:sz="0" w:space="0" w:color="auto"/>
        <w:right w:val="none" w:sz="0" w:space="0" w:color="auto"/>
      </w:divBdr>
      <w:divsChild>
        <w:div w:id="1269508676">
          <w:marLeft w:val="0"/>
          <w:marRight w:val="0"/>
          <w:marTop w:val="0"/>
          <w:marBottom w:val="0"/>
          <w:divBdr>
            <w:top w:val="none" w:sz="0" w:space="0" w:color="auto"/>
            <w:left w:val="none" w:sz="0" w:space="0" w:color="auto"/>
            <w:bottom w:val="none" w:sz="0" w:space="0" w:color="auto"/>
            <w:right w:val="none" w:sz="0" w:space="0" w:color="auto"/>
          </w:divBdr>
        </w:div>
        <w:div w:id="1674533749">
          <w:marLeft w:val="0"/>
          <w:marRight w:val="0"/>
          <w:marTop w:val="0"/>
          <w:marBottom w:val="0"/>
          <w:divBdr>
            <w:top w:val="none" w:sz="0" w:space="0" w:color="auto"/>
            <w:left w:val="none" w:sz="0" w:space="0" w:color="auto"/>
            <w:bottom w:val="none" w:sz="0" w:space="0" w:color="auto"/>
            <w:right w:val="none" w:sz="0" w:space="0" w:color="auto"/>
          </w:divBdr>
        </w:div>
        <w:div w:id="2072650367">
          <w:marLeft w:val="0"/>
          <w:marRight w:val="0"/>
          <w:marTop w:val="0"/>
          <w:marBottom w:val="0"/>
          <w:divBdr>
            <w:top w:val="none" w:sz="0" w:space="0" w:color="auto"/>
            <w:left w:val="none" w:sz="0" w:space="0" w:color="auto"/>
            <w:bottom w:val="none" w:sz="0" w:space="0" w:color="auto"/>
            <w:right w:val="none" w:sz="0" w:space="0" w:color="auto"/>
          </w:divBdr>
        </w:div>
      </w:divsChild>
    </w:div>
    <w:div w:id="1652713373">
      <w:bodyDiv w:val="1"/>
      <w:marLeft w:val="0"/>
      <w:marRight w:val="0"/>
      <w:marTop w:val="0"/>
      <w:marBottom w:val="0"/>
      <w:divBdr>
        <w:top w:val="none" w:sz="0" w:space="0" w:color="auto"/>
        <w:left w:val="none" w:sz="0" w:space="0" w:color="auto"/>
        <w:bottom w:val="none" w:sz="0" w:space="0" w:color="auto"/>
        <w:right w:val="none" w:sz="0" w:space="0" w:color="auto"/>
      </w:divBdr>
      <w:divsChild>
        <w:div w:id="557131568">
          <w:marLeft w:val="0"/>
          <w:marRight w:val="0"/>
          <w:marTop w:val="0"/>
          <w:marBottom w:val="0"/>
          <w:divBdr>
            <w:top w:val="none" w:sz="0" w:space="0" w:color="auto"/>
            <w:left w:val="none" w:sz="0" w:space="0" w:color="auto"/>
            <w:bottom w:val="none" w:sz="0" w:space="0" w:color="auto"/>
            <w:right w:val="none" w:sz="0" w:space="0" w:color="auto"/>
          </w:divBdr>
          <w:divsChild>
            <w:div w:id="15147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SNS6YXTC77FS-3-6397</_dlc_DocId>
    <_dlc_DocIdUrl xmlns="9f264e46-9252-4f01-a3b2-4cb67eb6fc3c">
      <Url>http://dm/EESC/2015/_layouts/DocIdRedir.aspx?ID=SNS6YXTC77FS-3-6397</Url>
      <Description>SNS6YXTC77FS-3-6397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aefb7e8-1f47-44e3-ba48-d0d28204e5f9"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2015-03-17T12:00:00+00:00</ProductionDate>
    <FicheYear xmlns="9f264e46-9252-4f01-a3b2-4cb67eb6fc3c">2015</FicheYear>
    <DocumentNumber xmlns="daefb7e8-1f47-44e3-ba48-d0d28204e5f9">675</DocumentNumber>
    <DocumentVersion xmlns="9f264e46-9252-4f01-a3b2-4cb67eb6fc3c">6</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TaxCatchAll xmlns="9f264e46-9252-4f01-a3b2-4cb67eb6fc3c">
      <Value>20</Value>
      <Value>17</Value>
      <Value>120</Value>
      <Value>9</Value>
      <Value>8</Value>
      <Value>5</Value>
      <Value>4</Value>
      <Value>24</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2414</FicheNumber>
    <DocumentPart xmlns="9f264e46-9252-4f01-a3b2-4cb67eb6fc3c">0</DocumentPart>
    <AdoptionDate xmlns="9f264e46-9252-4f01-a3b2-4cb67eb6fc3c" xsi:nil="true"/>
    <MeetingName_0 xmlns="http://schemas.microsoft.com/sharepoint/v3/fields">
      <Terms xmlns="http://schemas.microsoft.com/office/infopath/2007/PartnerControls"/>
    </MeetingName_0>
    <RequestingService xmlns="9f264e46-9252-4f01-a3b2-4cb67eb6fc3c">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BD5EE53CA4B49C49ACBE99A76B489250" ma:contentTypeVersion="5" ma:contentTypeDescription="Defines the documents for Document Manager V2" ma:contentTypeScope="" ma:versionID="1a24e438af332e8fba70689d0390234f">
  <xsd:schema xmlns:xsd="http://www.w3.org/2001/XMLSchema" xmlns:xs="http://www.w3.org/2001/XMLSchema" xmlns:p="http://schemas.microsoft.com/office/2006/metadata/properties" xmlns:ns2="9f264e46-9252-4f01-a3b2-4cb67eb6fc3c" xmlns:ns3="http://schemas.microsoft.com/sharepoint/v3/fields" xmlns:ns4="daefb7e8-1f47-44e3-ba48-d0d28204e5f9" targetNamespace="http://schemas.microsoft.com/office/2006/metadata/properties" ma:root="true" ma:fieldsID="c39e7809ca97f781951abd52140b574d" ns2:_="" ns3:_="" ns4:_="">
    <xsd:import namespace="9f264e46-9252-4f01-a3b2-4cb67eb6fc3c"/>
    <xsd:import namespace="http://schemas.microsoft.com/sharepoint/v3/fields"/>
    <xsd:import namespace="daefb7e8-1f47-44e3-ba48-d0d28204e5f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efb7e8-1f47-44e3-ba48-d0d28204e5f9"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5EAB2-EBC3-446B-9605-4C5C2635CFA0}"/>
</file>

<file path=customXml/itemProps2.xml><?xml version="1.0" encoding="utf-8"?>
<ds:datastoreItem xmlns:ds="http://schemas.openxmlformats.org/officeDocument/2006/customXml" ds:itemID="{9A5806A5-230B-4CD3-BDED-93A6EE380258}"/>
</file>

<file path=customXml/itemProps3.xml><?xml version="1.0" encoding="utf-8"?>
<ds:datastoreItem xmlns:ds="http://schemas.openxmlformats.org/officeDocument/2006/customXml" ds:itemID="{C62EE8FE-71C3-4E6D-9694-D4DAF5CE1DBF}"/>
</file>

<file path=customXml/itemProps4.xml><?xml version="1.0" encoding="utf-8"?>
<ds:datastoreItem xmlns:ds="http://schemas.openxmlformats.org/officeDocument/2006/customXml" ds:itemID="{5FA41A8C-6819-4DF3-B63F-6A979633455D}"/>
</file>

<file path=customXml/itemProps5.xml><?xml version="1.0" encoding="utf-8"?>
<ds:datastoreItem xmlns:ds="http://schemas.openxmlformats.org/officeDocument/2006/customXml" ds:itemID="{42704AED-9657-4711-9250-2D4F1AE4819D}"/>
</file>

<file path=docProps/app.xml><?xml version="1.0" encoding="utf-8"?>
<Properties xmlns="http://schemas.openxmlformats.org/officeDocument/2006/extended-properties" xmlns:vt="http://schemas.openxmlformats.org/officeDocument/2006/docPropsVTypes">
  <Template>Styles.dotm</Template>
  <TotalTime>8</TotalTime>
  <Pages>3</Pages>
  <Words>3217</Words>
  <Characters>18328</Characters>
  <Application>Microsoft Office Word</Application>
  <DocSecurity>0</DocSecurity>
  <Lines>372</Lines>
  <Paragraphs>88</Paragraphs>
  <ScaleCrop>false</ScaleCrop>
  <HeadingPairs>
    <vt:vector size="2" baseType="variant">
      <vt:variant>
        <vt:lpstr>Title</vt:lpstr>
      </vt:variant>
      <vt:variant>
        <vt:i4>1</vt:i4>
      </vt:variant>
    </vt:vector>
  </HeadingPairs>
  <TitlesOfParts>
    <vt:vector size="1" baseType="lpstr">
      <vt:lpstr>Proyecto de Declaración Final</vt:lpstr>
    </vt:vector>
  </TitlesOfParts>
  <Company>CESE-CdR</Company>
  <LinksUpToDate>false</LinksUpToDate>
  <CharactersWithSpaces>21475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declaração final</dc:title>
  <dc:subject>Documentos diversos para os trabalhos consultivos</dc:subject>
  <dc:creator/>
  <cp:keywords>EESC-2015-00675-00-06-TCD-TRA-PT</cp:keywords>
  <dc:description>Relator: -_x000d_
Língua original: ES_x000d_
Data do documento: 17/03/2015_x000d_
Data da reunião: _x000d_
Documentos externos: -_x000d_
Funcionário responsável: FERNANDEZ ADMETLLA JAVIER, telefone: + 2 546 9345_x000d_
_x000d_
Síntese:</dc:description>
  <cp:lastModifiedBy>Encarnacao Matias</cp:lastModifiedBy>
  <cp:revision>12</cp:revision>
  <cp:lastPrinted>2015-03-16T10:17:00Z</cp:lastPrinted>
  <dcterms:created xsi:type="dcterms:W3CDTF">2015-03-16T15:04:00Z</dcterms:created>
  <dcterms:modified xsi:type="dcterms:W3CDTF">2015-03-17T15:06:00Z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16/03/2015, 05/03/2015, 05/03/2015, 18/02/2015, 18/02/2015, 17/02/2015, 17/02/2015, 16/02/2015, 16/02/2015</vt:lpwstr>
  </property>
  <property fmtid="{D5CDD505-2E9C-101B-9397-08002B2CF9AE}" pid="4" name="Pref_Time">
    <vt:lpwstr>16/02/16, 09/06/55, 07/47/14, 09/37/29, 08/50/23, 14/59/40, 10/27/52, 16/24/34, 16:03:11</vt:lpwstr>
  </property>
  <property fmtid="{D5CDD505-2E9C-101B-9397-08002B2CF9AE}" pid="5" name="Pref_User">
    <vt:lpwstr>amett, dtai, sphil, amett, htoo, mkop, amett, amett, nmcg</vt:lpwstr>
  </property>
  <property fmtid="{D5CDD505-2E9C-101B-9397-08002B2CF9AE}" pid="6" name="Pref_FileName">
    <vt:lpwstr>EESC-2015-00675-00-06-TCD-ORI.docx, EESC-2015-00675-00-05-TCD-ORI.docx, EESC-2015-00675-00-05-TCD-TRA-ES-CRR.docx, EESC-2015-00675-00-02-TCD-TRA-EN-CRR.docx, EESC-2015-00675-00-02-TCD-CRR-EN.docx, EESC-2015-00675-00-01-TCD-ORI.docx, EESC-2015-00675-00-01-</vt:lpwstr>
  </property>
  <property fmtid="{D5CDD505-2E9C-101B-9397-08002B2CF9AE}" pid="7" name="ContentTypeId">
    <vt:lpwstr>0x010100EA97B91038054C99906057A708A1480A00BD5EE53CA4B49C49ACBE99A76B489250</vt:lpwstr>
  </property>
  <property fmtid="{D5CDD505-2E9C-101B-9397-08002B2CF9AE}" pid="8" name="_dlc_DocIdItemGuid">
    <vt:lpwstr>d642e80c-a738-406d-96f3-efe627b7c0ed</vt:lpwstr>
  </property>
  <property fmtid="{D5CDD505-2E9C-101B-9397-08002B2CF9AE}" pid="9" name="AvailableTranslations">
    <vt:lpwstr>20;#DE|f6b31e5a-26fa-4935-b661-318e46daf27e;#4;#FR|d2afafd3-4c81-4f60-8f52-ee33f2f54ff3;#9;#EN|f2175f21-25d7-44a3-96da-d6a61b075e1b;#24;#PT|50ccc04a-eadd-42ae-a0cb-acaf45f812ba;#17;#ES|e7a6b05b-ae16-40c8-add9-68b64b03aeba</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17;#ES|e7a6b05b-ae16-40c8-add9-68b64b03aeba</vt:lpwstr>
  </property>
  <property fmtid="{D5CDD505-2E9C-101B-9397-08002B2CF9AE}" pid="14" name="MeetingName">
    <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DocumentLanguage">
    <vt:lpwstr>24;#PT|50ccc04a-eadd-42ae-a0cb-acaf45f812ba</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DocumentLanguage_0">
    <vt:lpwstr>EN|f2175f21-25d7-44a3-96da-d6a61b075e1b</vt:lpwstr>
  </property>
  <property fmtid="{D5CDD505-2E9C-101B-9397-08002B2CF9AE}" pid="27" name="TaxCatchAll">
    <vt:lpwstr>120;#Final|ea5e6674-7b27-4bac-b091-73adbb394efe;#9;#EN|f2175f21-25d7-44a3-96da-d6a61b075e1b;#8;#TCD|cd9d6eb6-3f4f-424a-b2d1-57c9d450eaaf;#5;#Unrestricted|826e22d7-d029-4ec0-a450-0c28ff673572;#2;#TRA|150d2a88-1431-44e6-a8ca-0bb753ab8672;#1;#EESC|422833ec-8d7e-4e65-8e4e-8bed07ffb729</vt:lpwstr>
  </property>
  <property fmtid="{D5CDD505-2E9C-101B-9397-08002B2CF9AE}" pid="28" name="AvailableTranslations_0">
    <vt:lpwstr>EN|f2175f21-25d7-44a3-96da-d6a61b075e1b</vt:lpwstr>
  </property>
  <property fmtid="{D5CDD505-2E9C-101B-9397-08002B2CF9AE}" pid="29" name="VersionStatus_0">
    <vt:lpwstr>Final|ea5e6674-7b27-4bac-b091-73adbb394efe</vt:lpwstr>
  </property>
  <property fmtid="{D5CDD505-2E9C-101B-9397-08002B2CF9AE}" pid="30" name="ProductionDate">
    <vt:filetime>2015-03-05T12:00:00Z</vt:filetime>
  </property>
  <property fmtid="{D5CDD505-2E9C-101B-9397-08002B2CF9AE}" pid="31" name="FicheYear">
    <vt:i4>2015</vt:i4>
  </property>
  <property fmtid="{D5CDD505-2E9C-101B-9397-08002B2CF9AE}" pid="32" name="DocumentNumber">
    <vt:i4>675</vt:i4>
  </property>
  <property fmtid="{D5CDD505-2E9C-101B-9397-08002B2CF9AE}" pid="33" name="DocumentVersion">
    <vt:i4>5</vt:i4>
  </property>
  <property fmtid="{D5CDD505-2E9C-101B-9397-08002B2CF9AE}" pid="34" name="DocumentYear">
    <vt:i4>2015</vt:i4>
  </property>
  <property fmtid="{D5CDD505-2E9C-101B-9397-08002B2CF9AE}" pid="35" name="FicheNumber">
    <vt:i4>2312</vt:i4>
  </property>
  <property fmtid="{D5CDD505-2E9C-101B-9397-08002B2CF9AE}" pid="36" name="DocumentPart">
    <vt:i4>0</vt:i4>
  </property>
  <property fmtid="{D5CDD505-2E9C-101B-9397-08002B2CF9AE}" pid="37" name="RequestingService">
    <vt:lpwstr>Relations extérieures</vt:lpwstr>
  </property>
</Properties>
</file>