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5E" w:rsidRPr="00230308" w:rsidRDefault="0001135E" w:rsidP="0001135E">
      <w:pPr>
        <w:rPr>
          <w:sz w:val="12"/>
        </w:rPr>
      </w:pPr>
      <w:r w:rsidRPr="00230308">
        <w:rPr>
          <w:noProof/>
          <w:lang w:val="fr-BE" w:eastAsia="fr-BE" w:bidi="ar-SA"/>
        </w:rPr>
        <mc:AlternateContent>
          <mc:Choice Requires="wps">
            <w:drawing>
              <wp:anchor distT="0" distB="0" distL="114300" distR="114300" simplePos="0" relativeHeight="251659264" behindDoc="1" locked="0" layoutInCell="0" allowOverlap="1" wp14:anchorId="3A965280" wp14:editId="33E7BC03">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5E" w:rsidRPr="005D13AF" w:rsidRDefault="0001135E" w:rsidP="0001135E">
                            <w:pPr>
                              <w:jc w:val="center"/>
                              <w:rPr>
                                <w:rFonts w:ascii="Arial" w:hAnsi="Arial" w:cs="Arial"/>
                                <w:b/>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01135E" w:rsidRPr="005D13AF" w:rsidRDefault="0001135E" w:rsidP="0001135E">
                      <w:pPr>
                        <w:jc w:val="center"/>
                        <w:rPr>
                          <w:rFonts w:ascii="Arial" w:hAnsi="Arial" w:cs="Arial"/>
                          <w:b/>
                          <w:sz w:val="48"/>
                        </w:rPr>
                      </w:pPr>
                      <w:r>
                        <w:rPr>
                          <w:rFonts w:ascii="Arial" w:hAnsi="Arial"/>
                          <w:b/>
                          <w:sz w:val="48"/>
                        </w:rPr>
                        <w:t>SV</w:t>
                      </w:r>
                    </w:p>
                  </w:txbxContent>
                </v:textbox>
                <w10:wrap anchorx="page" anchory="page"/>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9949E8" w:rsidRPr="00230308" w:rsidTr="007124C4">
        <w:trPr>
          <w:trHeight w:val="1690"/>
          <w:jc w:val="center"/>
        </w:trPr>
        <w:tc>
          <w:tcPr>
            <w:tcW w:w="9167" w:type="dxa"/>
          </w:tcPr>
          <w:p w:rsidR="009949E8" w:rsidRPr="00230308" w:rsidRDefault="009949E8" w:rsidP="0001135E">
            <w:pPr>
              <w:spacing w:line="276" w:lineRule="auto"/>
              <w:jc w:val="center"/>
              <w:outlineLvl w:val="0"/>
              <w:rPr>
                <w:rFonts w:eastAsia="MS Gothic"/>
                <w:b/>
                <w:color w:val="17365D" w:themeColor="text2" w:themeShade="BF"/>
                <w:sz w:val="36"/>
              </w:rPr>
            </w:pPr>
            <w:r w:rsidRPr="00230308">
              <w:rPr>
                <w:b/>
                <w:color w:val="17365D" w:themeColor="text2" w:themeShade="BF"/>
                <w:sz w:val="36"/>
              </w:rPr>
              <w:t xml:space="preserve">Färdplan </w:t>
            </w:r>
            <w:r w:rsidRPr="00230308">
              <w:rPr>
                <w:rFonts w:eastAsia="MS Gothic"/>
                <w:b/>
                <w:color w:val="17365D" w:themeColor="text2" w:themeShade="BF"/>
                <w:sz w:val="36"/>
              </w:rPr>
              <w:br/>
            </w:r>
            <w:r w:rsidRPr="00230308">
              <w:rPr>
                <w:b/>
                <w:color w:val="17365D" w:themeColor="text2" w:themeShade="BF"/>
                <w:sz w:val="36"/>
              </w:rPr>
              <w:t xml:space="preserve"> </w:t>
            </w:r>
            <w:r w:rsidRPr="00230308">
              <w:rPr>
                <w:rFonts w:eastAsia="MS Gothic"/>
                <w:b/>
                <w:color w:val="17365D" w:themeColor="text2" w:themeShade="BF"/>
                <w:sz w:val="36"/>
              </w:rPr>
              <w:br/>
            </w:r>
            <w:r w:rsidRPr="00230308">
              <w:rPr>
                <w:b/>
                <w:color w:val="17365D" w:themeColor="text2" w:themeShade="BF"/>
                <w:sz w:val="36"/>
              </w:rPr>
              <w:t xml:space="preserve">för genomförandet av artiklarna 11.1 och 11.2 </w:t>
            </w:r>
            <w:r w:rsidRPr="00230308">
              <w:rPr>
                <w:rFonts w:eastAsia="MS Gothic"/>
                <w:b/>
                <w:color w:val="17365D" w:themeColor="text2" w:themeShade="BF"/>
                <w:sz w:val="36"/>
              </w:rPr>
              <w:br/>
            </w:r>
            <w:r w:rsidRPr="00230308">
              <w:rPr>
                <w:b/>
                <w:color w:val="17365D" w:themeColor="text2" w:themeShade="BF"/>
                <w:sz w:val="36"/>
              </w:rPr>
              <w:t xml:space="preserve"> </w:t>
            </w:r>
            <w:r w:rsidRPr="00230308">
              <w:rPr>
                <w:rFonts w:eastAsia="MS Gothic"/>
                <w:b/>
                <w:color w:val="17365D" w:themeColor="text2" w:themeShade="BF"/>
                <w:sz w:val="36"/>
              </w:rPr>
              <w:br/>
            </w:r>
            <w:r w:rsidRPr="00230308">
              <w:rPr>
                <w:b/>
                <w:color w:val="17365D" w:themeColor="text2" w:themeShade="BF"/>
                <w:sz w:val="36"/>
              </w:rPr>
              <w:t>i fördraget om Europeiska unionen</w:t>
            </w:r>
          </w:p>
          <w:p w:rsidR="009949E8" w:rsidRPr="00230308" w:rsidRDefault="009949E8" w:rsidP="0001135E">
            <w:pPr>
              <w:spacing w:line="276" w:lineRule="auto"/>
              <w:ind w:left="459"/>
              <w:jc w:val="center"/>
              <w:outlineLvl w:val="0"/>
              <w:rPr>
                <w:rFonts w:eastAsia="MS Gothic"/>
                <w:b/>
                <w:i/>
                <w:color w:val="17365D" w:themeColor="text2" w:themeShade="BF"/>
                <w:sz w:val="24"/>
              </w:rPr>
            </w:pPr>
            <w:r w:rsidRPr="00230308">
              <w:rPr>
                <w:b/>
                <w:i/>
                <w:color w:val="17365D" w:themeColor="text2" w:themeShade="BF"/>
                <w:sz w:val="24"/>
              </w:rPr>
              <w:t>Att förbättra EU:s civila dialog och medborgarnas engagemang</w:t>
            </w:r>
            <w:r w:rsidR="00923ECA" w:rsidRPr="00230308">
              <w:rPr>
                <w:b/>
                <w:i/>
                <w:color w:val="17365D" w:themeColor="text2" w:themeShade="BF"/>
                <w:sz w:val="24"/>
              </w:rPr>
              <w:br/>
            </w:r>
            <w:r w:rsidRPr="00230308">
              <w:rPr>
                <w:b/>
                <w:i/>
                <w:color w:val="17365D" w:themeColor="text2" w:themeShade="BF"/>
                <w:sz w:val="24"/>
              </w:rPr>
              <w:t>i syfte att skapa bättre beslutsfattande</w:t>
            </w:r>
          </w:p>
          <w:p w:rsidR="000304FD" w:rsidRPr="00230308" w:rsidRDefault="000304FD" w:rsidP="0001135E">
            <w:pPr>
              <w:spacing w:line="276" w:lineRule="auto"/>
              <w:ind w:left="459"/>
              <w:jc w:val="center"/>
              <w:outlineLvl w:val="0"/>
              <w:rPr>
                <w:rFonts w:eastAsia="MS Gothic"/>
                <w:b/>
                <w:bCs/>
                <w:kern w:val="32"/>
                <w:sz w:val="18"/>
                <w:szCs w:val="18"/>
              </w:rPr>
            </w:pPr>
            <w:r w:rsidRPr="00230308">
              <w:rPr>
                <w:b/>
                <w:kern w:val="32"/>
                <w:sz w:val="18"/>
              </w:rPr>
              <w:t>Antogs av NGO-forumet i Riga den 2–3 mars 2015 under det lettiska ordförandeskapet i Europeiska unionens råd</w:t>
            </w:r>
          </w:p>
        </w:tc>
      </w:tr>
    </w:tbl>
    <w:p w:rsidR="009949E8" w:rsidRPr="00230308" w:rsidRDefault="009949E8" w:rsidP="0001135E">
      <w:pPr>
        <w:spacing w:line="276" w:lineRule="auto"/>
        <w:rPr>
          <w:b/>
          <w:i/>
          <w:sz w:val="18"/>
        </w:rPr>
      </w:pPr>
    </w:p>
    <w:p w:rsidR="007124C4" w:rsidRPr="00230308" w:rsidRDefault="007124C4" w:rsidP="0001135E">
      <w:pPr>
        <w:spacing w:line="276" w:lineRule="auto"/>
        <w:rPr>
          <w:b/>
          <w:i/>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7124C4" w:rsidRPr="00230308" w:rsidTr="007124C4">
        <w:trPr>
          <w:trHeight w:val="1853"/>
          <w:jc w:val="center"/>
        </w:trPr>
        <w:tc>
          <w:tcPr>
            <w:tcW w:w="9167" w:type="dxa"/>
            <w:shd w:val="clear" w:color="auto" w:fill="F2F2F2"/>
          </w:tcPr>
          <w:p w:rsidR="000D1BBC" w:rsidRPr="00230308" w:rsidRDefault="000D1BBC" w:rsidP="0001135E">
            <w:pPr>
              <w:spacing w:line="276" w:lineRule="auto"/>
              <w:jc w:val="center"/>
              <w:rPr>
                <w:i/>
                <w:sz w:val="16"/>
                <w:szCs w:val="16"/>
              </w:rPr>
            </w:pPr>
          </w:p>
          <w:p w:rsidR="007124C4" w:rsidRPr="00230308" w:rsidRDefault="007124C4" w:rsidP="0001135E">
            <w:pPr>
              <w:spacing w:line="276" w:lineRule="auto"/>
              <w:jc w:val="center"/>
              <w:rPr>
                <w:i/>
              </w:rPr>
            </w:pPr>
            <w:r w:rsidRPr="00230308">
              <w:rPr>
                <w:i/>
              </w:rPr>
              <w:t>Artiklarna 11.1 och 11.2 i EU-fördraget</w:t>
            </w:r>
          </w:p>
          <w:p w:rsidR="007124C4" w:rsidRPr="00230308" w:rsidRDefault="007124C4" w:rsidP="0001135E">
            <w:pPr>
              <w:spacing w:line="276" w:lineRule="auto"/>
              <w:jc w:val="center"/>
              <w:rPr>
                <w:i/>
              </w:rPr>
            </w:pPr>
            <w:r w:rsidRPr="00230308">
              <w:rPr>
                <w:i/>
              </w:rPr>
              <w:t>"1. Institutionerna ska på lämpligt sätt ge medborgarna och de representativa sammanslutningarna möjlighet att ge uttryck för och offentligt diskutera sina åsikter på alla unionens åtgärdsområden.</w:t>
            </w:r>
          </w:p>
          <w:p w:rsidR="007124C4" w:rsidRPr="00230308" w:rsidRDefault="007124C4" w:rsidP="0001135E">
            <w:pPr>
              <w:spacing w:line="276" w:lineRule="auto"/>
              <w:jc w:val="center"/>
              <w:rPr>
                <w:rFonts w:eastAsia="MS Mincho"/>
                <w:i/>
                <w:sz w:val="18"/>
                <w:szCs w:val="18"/>
              </w:rPr>
            </w:pPr>
            <w:r w:rsidRPr="00230308">
              <w:rPr>
                <w:i/>
              </w:rPr>
              <w:t>2. Institutionerna ska föra en öppen, tydlig och regelbunden dialog med de representativa sammanslutningarna och det civila samhället."</w:t>
            </w:r>
          </w:p>
        </w:tc>
      </w:tr>
    </w:tbl>
    <w:p w:rsidR="007124C4" w:rsidRPr="00230308" w:rsidRDefault="007124C4" w:rsidP="0001135E">
      <w:pPr>
        <w:spacing w:line="276" w:lineRule="auto"/>
      </w:pPr>
    </w:p>
    <w:p w:rsidR="007124C4" w:rsidRPr="00230308" w:rsidRDefault="007124C4" w:rsidP="005D13AF"/>
    <w:p w:rsidR="0033227E" w:rsidRPr="00230308" w:rsidRDefault="0033227E" w:rsidP="0001135E">
      <w:pPr>
        <w:pStyle w:val="Heading1"/>
        <w:spacing w:line="276" w:lineRule="auto"/>
        <w:ind w:left="567" w:hanging="567"/>
        <w:rPr>
          <w:b/>
        </w:rPr>
      </w:pPr>
      <w:r w:rsidRPr="00230308">
        <w:rPr>
          <w:b/>
        </w:rPr>
        <w:t>Inledning</w:t>
      </w:r>
    </w:p>
    <w:p w:rsidR="009949E8" w:rsidRPr="00230308" w:rsidRDefault="009949E8" w:rsidP="0001135E">
      <w:pPr>
        <w:spacing w:line="276" w:lineRule="auto"/>
      </w:pPr>
    </w:p>
    <w:p w:rsidR="0033227E" w:rsidRPr="00230308" w:rsidRDefault="0033227E" w:rsidP="005D13AF">
      <w:pPr>
        <w:spacing w:line="276" w:lineRule="auto"/>
      </w:pPr>
      <w:r w:rsidRPr="00230308">
        <w:t>Färdplanen innehåller en vision, en struktur och de åtgärder som behövs för att genomföra en bättre civil dialog</w:t>
      </w:r>
      <w:r w:rsidRPr="00230308">
        <w:rPr>
          <w:rStyle w:val="FootnoteReference"/>
        </w:rPr>
        <w:footnoteReference w:id="1"/>
      </w:r>
      <w:r w:rsidRPr="00230308">
        <w:t xml:space="preserve"> i EU samt involvera medborgarna och deras sammanslutningar. Den avspeglar medborgarnas krav på bättre beslut, bättre beslutsfattande och en styrning som bättre motsvarar medborgarnas behov.</w:t>
      </w:r>
    </w:p>
    <w:p w:rsidR="0033227E" w:rsidRPr="00230308" w:rsidRDefault="0033227E" w:rsidP="005D13AF">
      <w:pPr>
        <w:spacing w:line="276" w:lineRule="auto"/>
      </w:pPr>
    </w:p>
    <w:p w:rsidR="0033227E" w:rsidRPr="00230308" w:rsidRDefault="0033227E" w:rsidP="005D13AF">
      <w:pPr>
        <w:spacing w:line="276" w:lineRule="auto"/>
      </w:pPr>
      <w:r w:rsidRPr="00230308">
        <w:t>Artikel 11 i fördraget om Europeiska unionen utgör den rättsliga grunden för detta. EU-institutionerna, medlemsstaterna och det civila samhället – både enskilda personer och representativa sammanslutningar – måste arbeta tillsammans för att genomföra artikel 11 i praktiken. Den civila dialogen har potential att utöka och förstärka den europeiska demokratiska modellen och den är ett viktigt redskap för att säkerställa egenansvar, färdigställande och modernisering av modellen.</w:t>
      </w:r>
    </w:p>
    <w:p w:rsidR="0033227E" w:rsidRPr="00230308" w:rsidRDefault="0033227E" w:rsidP="005D13AF">
      <w:pPr>
        <w:spacing w:line="276" w:lineRule="auto"/>
      </w:pPr>
    </w:p>
    <w:p w:rsidR="0033227E" w:rsidRPr="00230308" w:rsidRDefault="0033227E" w:rsidP="005D13AF">
      <w:pPr>
        <w:spacing w:line="276" w:lineRule="auto"/>
      </w:pPr>
      <w:r w:rsidRPr="00230308">
        <w:t xml:space="preserve">I färdplanen anges en vision om vad man bör sträva efter att uppnå med dialogen och hur den kan genomföras på ett effektivt, konstruktivt och realistiskt sätt med så många anhängare och intressenter som möjligt. Den lägger grunden för en civil dialog där representativa sammanslutningar spelar en avgörande roll, samtidigt som enskilda personers fulla potential kan tas till vara. </w:t>
      </w:r>
    </w:p>
    <w:p w:rsidR="0033227E" w:rsidRPr="00230308" w:rsidRDefault="0033227E" w:rsidP="005D13AF">
      <w:pPr>
        <w:spacing w:line="276" w:lineRule="auto"/>
      </w:pPr>
    </w:p>
    <w:p w:rsidR="0033227E" w:rsidRPr="00230308" w:rsidRDefault="0033227E" w:rsidP="00835A5D">
      <w:pPr>
        <w:pStyle w:val="Heading1"/>
        <w:keepNext/>
        <w:keepLines/>
        <w:spacing w:line="276" w:lineRule="auto"/>
        <w:ind w:left="567" w:hanging="567"/>
        <w:rPr>
          <w:b/>
        </w:rPr>
      </w:pPr>
      <w:r w:rsidRPr="00230308">
        <w:rPr>
          <w:b/>
        </w:rPr>
        <w:lastRenderedPageBreak/>
        <w:t>En vision för civil dialog</w:t>
      </w:r>
    </w:p>
    <w:p w:rsidR="007D7BFB" w:rsidRPr="00230308" w:rsidRDefault="007D7BFB" w:rsidP="00835A5D">
      <w:pPr>
        <w:keepNext/>
        <w:keepLines/>
        <w:spacing w:line="276" w:lineRule="auto"/>
        <w:rPr>
          <w:b/>
        </w:rPr>
      </w:pPr>
    </w:p>
    <w:p w:rsidR="0033227E" w:rsidRPr="00230308" w:rsidRDefault="0033227E" w:rsidP="00835A5D">
      <w:pPr>
        <w:keepNext/>
        <w:keepLines/>
        <w:spacing w:line="276" w:lineRule="auto"/>
        <w:rPr>
          <w:b/>
        </w:rPr>
      </w:pPr>
      <w:r w:rsidRPr="00230308">
        <w:rPr>
          <w:b/>
        </w:rPr>
        <w:t>Flera nivåer</w:t>
      </w:r>
    </w:p>
    <w:p w:rsidR="0033227E" w:rsidRPr="00230308" w:rsidRDefault="0033227E" w:rsidP="00835A5D">
      <w:pPr>
        <w:keepNext/>
        <w:keepLines/>
        <w:spacing w:line="276" w:lineRule="auto"/>
      </w:pPr>
      <w:r w:rsidRPr="00230308">
        <w:t>Den civila dialogen omfattar, involverar och innefattar representativa sammanslutningar och det civila samhället</w:t>
      </w:r>
      <w:r w:rsidRPr="00230308">
        <w:rPr>
          <w:rStyle w:val="FootnoteReference"/>
        </w:rPr>
        <w:footnoteReference w:id="2"/>
      </w:r>
      <w:r w:rsidRPr="00230308">
        <w:t xml:space="preserve"> på alla nivåer – lokal, regional, nationell och europeisk.</w:t>
      </w:r>
    </w:p>
    <w:p w:rsidR="0033227E" w:rsidRPr="00230308" w:rsidRDefault="0033227E" w:rsidP="005D13AF">
      <w:pPr>
        <w:spacing w:line="276" w:lineRule="auto"/>
      </w:pPr>
    </w:p>
    <w:p w:rsidR="0033227E" w:rsidRPr="00230308" w:rsidRDefault="0033227E" w:rsidP="005D13AF">
      <w:pPr>
        <w:keepNext/>
        <w:spacing w:line="276" w:lineRule="auto"/>
        <w:rPr>
          <w:b/>
        </w:rPr>
      </w:pPr>
      <w:r w:rsidRPr="00230308">
        <w:rPr>
          <w:b/>
        </w:rPr>
        <w:t>Öppen, transparent och inkluderande</w:t>
      </w:r>
    </w:p>
    <w:p w:rsidR="0033227E" w:rsidRPr="00230308" w:rsidRDefault="0033227E" w:rsidP="005D13AF">
      <w:pPr>
        <w:spacing w:line="276" w:lineRule="auto"/>
      </w:pPr>
      <w:r w:rsidRPr="00230308">
        <w:t>Den civila dialogen kompletterar direktdeltagande modeller: medborgare, organiserade i sammanslutningar som företräder deras intressen, kommer att kunna delta i och bidra till den civila dialogen på den nivå som passar dem bäst. Digitala verktyg som e-plattformar och andra nya teknikmetoder bör användas i samarbetet jämsides med de traditionella motsvarigheterna.</w:t>
      </w:r>
    </w:p>
    <w:p w:rsidR="0033227E" w:rsidRPr="00230308" w:rsidRDefault="0033227E" w:rsidP="005D13AF">
      <w:pPr>
        <w:spacing w:line="276" w:lineRule="auto"/>
      </w:pPr>
    </w:p>
    <w:p w:rsidR="0033227E" w:rsidRPr="00230308" w:rsidRDefault="0033227E" w:rsidP="005D13AF">
      <w:pPr>
        <w:keepNext/>
        <w:suppressLineNumbers/>
        <w:spacing w:line="276" w:lineRule="auto"/>
        <w:rPr>
          <w:b/>
        </w:rPr>
      </w:pPr>
      <w:r w:rsidRPr="00230308">
        <w:rPr>
          <w:b/>
        </w:rPr>
        <w:t>Att bygga på och inte överlappa befintliga dialoger eller samråd</w:t>
      </w:r>
    </w:p>
    <w:p w:rsidR="0033227E" w:rsidRPr="00230308" w:rsidRDefault="0033227E" w:rsidP="005D13AF">
      <w:pPr>
        <w:spacing w:line="276" w:lineRule="auto"/>
      </w:pPr>
      <w:r w:rsidRPr="00230308">
        <w:t xml:space="preserve">Den civila dialogen har en övergripande struktur i förhållande till befintliga dialoger – och de som återstår att utveckla – mellan EU-institutionerna och det civila samhället, med tonvikt på särskilda teman. All sammanblandning av dialog, samråd och kommunikation bör undvikas. </w:t>
      </w:r>
    </w:p>
    <w:p w:rsidR="0033227E" w:rsidRPr="00230308" w:rsidRDefault="0033227E" w:rsidP="005D13AF">
      <w:pPr>
        <w:spacing w:line="276" w:lineRule="auto"/>
        <w:rPr>
          <w:b/>
        </w:rPr>
      </w:pPr>
    </w:p>
    <w:p w:rsidR="0033227E" w:rsidRPr="00230308" w:rsidRDefault="0033227E" w:rsidP="005D13AF">
      <w:pPr>
        <w:spacing w:line="276" w:lineRule="auto"/>
        <w:rPr>
          <w:b/>
        </w:rPr>
      </w:pPr>
      <w:r w:rsidRPr="00230308">
        <w:rPr>
          <w:b/>
        </w:rPr>
        <w:t xml:space="preserve">Bättre beslutsfattande – idéer för ett nytt Europa </w:t>
      </w:r>
    </w:p>
    <w:p w:rsidR="0033227E" w:rsidRPr="00230308" w:rsidRDefault="0033227E" w:rsidP="005D13AF">
      <w:pPr>
        <w:spacing w:line="276" w:lineRule="auto"/>
      </w:pPr>
      <w:r w:rsidRPr="00230308">
        <w:t>Den civila dialogen är en process för att utbyta sakkunskap och ta kontakter med innovation inom medborgarorganisationer på gräsrotsnivå. Den är en plats för att identifiera och utreda, och den bygger på det europeiska projektets värderingar, principer och målsättningar i syfte att skapa ett europeiskt offentligt rum genom att minska klyftan mellan politiker och medborgare och utnyttja potentialen för medborgares direktdeltagande. Detta leder till en bättre politikutveckling för det gemensamma bästa som ligger närmare medborgarnas behov och förväntningar, vilket kommer att skapa en ökad känsla av gemensamt ansvar. Den civila dialogens roll är avgörande vid utarbetandet av lagstiftning, eftersom den gör det möjligt att bedöma vilka konsekvenser lagstiftningen får för medborgarna.</w:t>
      </w:r>
    </w:p>
    <w:p w:rsidR="0033227E" w:rsidRPr="00230308" w:rsidRDefault="0033227E" w:rsidP="005D13AF">
      <w:pPr>
        <w:spacing w:line="276" w:lineRule="auto"/>
        <w:rPr>
          <w:b/>
        </w:rPr>
      </w:pPr>
    </w:p>
    <w:p w:rsidR="0033227E" w:rsidRPr="00230308" w:rsidRDefault="0033227E" w:rsidP="005D13AF">
      <w:pPr>
        <w:spacing w:line="276" w:lineRule="auto"/>
        <w:rPr>
          <w:b/>
        </w:rPr>
      </w:pPr>
      <w:r w:rsidRPr="00230308">
        <w:rPr>
          <w:b/>
        </w:rPr>
        <w:t>Gemensamma åtgärder inom överenskomna EU-prioriteringar</w:t>
      </w:r>
    </w:p>
    <w:p w:rsidR="0033227E" w:rsidRPr="00230308" w:rsidRDefault="0033227E" w:rsidP="005D13AF">
      <w:pPr>
        <w:spacing w:line="276" w:lineRule="auto"/>
      </w:pPr>
      <w:r w:rsidRPr="00230308">
        <w:t>En plats för det civila samhället och EU-institutionerna att samarbeta och bygga upp gemensamma projekt för att förbättra genomförandet av EU:s politik, genom att bidra till bättre förståelse för EU:s mervärde hos medborgarna och utvärdera den inverkan som dessa politikområden har på det civila samhället och medborgarna. Värdet av sektors- och temaövergripande initiativ bör hållas i minnet.</w:t>
      </w:r>
    </w:p>
    <w:p w:rsidR="0033227E" w:rsidRPr="00230308" w:rsidRDefault="0033227E" w:rsidP="005D13AF">
      <w:pPr>
        <w:spacing w:line="276" w:lineRule="auto"/>
      </w:pPr>
    </w:p>
    <w:p w:rsidR="0033227E" w:rsidRPr="00230308" w:rsidRDefault="0033227E" w:rsidP="005D13AF">
      <w:pPr>
        <w:spacing w:line="276" w:lineRule="auto"/>
        <w:rPr>
          <w:b/>
        </w:rPr>
      </w:pPr>
      <w:r w:rsidRPr="00230308">
        <w:rPr>
          <w:b/>
        </w:rPr>
        <w:t>Den europeiska integrationen genom det civila samhället</w:t>
      </w:r>
    </w:p>
    <w:p w:rsidR="0033227E" w:rsidRPr="00230308" w:rsidRDefault="0033227E" w:rsidP="005D13AF">
      <w:pPr>
        <w:spacing w:line="276" w:lineRule="auto"/>
      </w:pPr>
      <w:r w:rsidRPr="00230308">
        <w:t>Den civila dialogen är ett tillfälle att skapa band mellan medborgarna och deras valda företrädare från hela EU. Detta kan leda till ett EU-omfattande samarbete, utbyte och projekt i syfte att främja utvecklingen av ett större egenansvar och en starkare känsla av europeisk identitet.</w:t>
      </w:r>
    </w:p>
    <w:p w:rsidR="0033227E" w:rsidRPr="00230308" w:rsidRDefault="0033227E" w:rsidP="005D13AF">
      <w:pPr>
        <w:spacing w:line="276" w:lineRule="auto"/>
      </w:pPr>
    </w:p>
    <w:p w:rsidR="0033227E" w:rsidRPr="00230308" w:rsidRDefault="0033227E" w:rsidP="004407EA">
      <w:pPr>
        <w:pStyle w:val="Heading1"/>
        <w:keepNext/>
        <w:spacing w:line="276" w:lineRule="auto"/>
        <w:ind w:left="567" w:hanging="567"/>
        <w:rPr>
          <w:b/>
        </w:rPr>
      </w:pPr>
      <w:r w:rsidRPr="00230308">
        <w:rPr>
          <w:b/>
        </w:rPr>
        <w:lastRenderedPageBreak/>
        <w:t>Åtgärder för dialog på olika nivåer</w:t>
      </w:r>
    </w:p>
    <w:p w:rsidR="007D7BFB" w:rsidRPr="00230308" w:rsidRDefault="007D7BFB" w:rsidP="004407EA">
      <w:pPr>
        <w:keepNext/>
        <w:spacing w:line="276" w:lineRule="auto"/>
      </w:pPr>
    </w:p>
    <w:p w:rsidR="0033227E" w:rsidRPr="00230308" w:rsidRDefault="0033227E" w:rsidP="004407EA">
      <w:pPr>
        <w:keepNext/>
        <w:spacing w:line="276" w:lineRule="auto"/>
      </w:pPr>
      <w:r w:rsidRPr="00230308">
        <w:t xml:space="preserve">I färdplanen anges tre nivåer av dialog i överensstämmelse med artiklarna 11.1 och 11.2: </w:t>
      </w:r>
    </w:p>
    <w:p w:rsidR="00EB56E1" w:rsidRPr="00230308" w:rsidRDefault="00EB56E1" w:rsidP="004407EA">
      <w:pPr>
        <w:keepNext/>
        <w:spacing w:line="276" w:lineRule="auto"/>
      </w:pPr>
    </w:p>
    <w:p w:rsidR="0033227E" w:rsidRPr="00230308" w:rsidRDefault="0033227E" w:rsidP="00CB653D">
      <w:pPr>
        <w:pStyle w:val="Heading2"/>
        <w:keepNext/>
        <w:keepLines/>
        <w:spacing w:line="276" w:lineRule="auto"/>
        <w:ind w:left="567" w:hanging="567"/>
        <w:rPr>
          <w:b/>
          <w:i/>
          <w:u w:val="single"/>
        </w:rPr>
      </w:pPr>
      <w:r w:rsidRPr="00230308">
        <w:rPr>
          <w:b/>
          <w:i/>
        </w:rPr>
        <w:t>Dialog med de representativa sammanslutningarna och det civila samhället på nationell nivå</w:t>
      </w:r>
      <w:r w:rsidRPr="00230308">
        <w:rPr>
          <w:rStyle w:val="FootnoteReference"/>
        </w:rPr>
        <w:footnoteReference w:id="3"/>
      </w:r>
    </w:p>
    <w:p w:rsidR="00EB56E1" w:rsidRPr="00230308" w:rsidRDefault="00EB56E1" w:rsidP="00CB653D">
      <w:pPr>
        <w:keepNext/>
        <w:keepLines/>
        <w:spacing w:line="276" w:lineRule="auto"/>
        <w:rPr>
          <w:b/>
        </w:rPr>
      </w:pPr>
    </w:p>
    <w:p w:rsidR="0033227E" w:rsidRPr="00230308" w:rsidRDefault="0033227E" w:rsidP="00CB653D">
      <w:pPr>
        <w:keepNext/>
        <w:keepLines/>
        <w:spacing w:line="276" w:lineRule="auto"/>
        <w:rPr>
          <w:b/>
        </w:rPr>
      </w:pPr>
      <w:r w:rsidRPr="00230308">
        <w:rPr>
          <w:b/>
        </w:rPr>
        <w:t>Struktur (artikel 11.2)</w:t>
      </w:r>
    </w:p>
    <w:p w:rsidR="0033227E" w:rsidRPr="00230308" w:rsidRDefault="0033227E" w:rsidP="005D13AF">
      <w:pPr>
        <w:spacing w:line="276" w:lineRule="auto"/>
      </w:pPr>
      <w:r w:rsidRPr="00230308">
        <w:t xml:space="preserve">Även om de nationella traditionerna och de rättsliga ramarna skiljer sig avsevärt åt så utarbetas EU-besluten i stor utsträckning av nationella myndigheter och får störst effekter på nationell, regional och lokal nivå. Fördragen är bindande för medlemsstaterna och gemensamma åtaganden och mål (t.ex. Europa 2020-strategin) kan inte uppnås utan ett brett ansvarstagande och deltagande av medborgarna. De tematiska dialoger som ofta redan finns på nationell nivå behöver bättre erkännande på EU-nivå och stödåtgärder så att de kan spridas till andra medlemsstater. Nationella dialoger bör ingå i debatten inom den årliga EU-dialogen. </w:t>
      </w:r>
    </w:p>
    <w:p w:rsidR="0033227E" w:rsidRPr="00230308" w:rsidRDefault="0033227E" w:rsidP="005D13AF">
      <w:pPr>
        <w:spacing w:line="276" w:lineRule="auto"/>
      </w:pPr>
    </w:p>
    <w:p w:rsidR="0033227E" w:rsidRPr="00230308" w:rsidRDefault="0033227E" w:rsidP="005D13AF">
      <w:pPr>
        <w:spacing w:line="276" w:lineRule="auto"/>
      </w:pPr>
      <w:r w:rsidRPr="00230308">
        <w:rPr>
          <w:b/>
        </w:rPr>
        <w:t>Utgångspunkt</w:t>
      </w:r>
      <w:r w:rsidRPr="00230308">
        <w:t xml:space="preserve"> </w:t>
      </w:r>
    </w:p>
    <w:p w:rsidR="0033227E" w:rsidRPr="00230308" w:rsidRDefault="0033227E" w:rsidP="005D13AF">
      <w:pPr>
        <w:spacing w:line="276" w:lineRule="auto"/>
      </w:pPr>
      <w:r w:rsidRPr="00230308">
        <w:t>Befintliga dialoger om EU-frågor på nationell nivå, t.ex. hälso- och sjukvård, ungdomsfrågor, idrott, handel osv. Medborgardialogerna under Europaåret för medborgarna 2013 (anpassade och omstrukturerade).</w:t>
      </w:r>
    </w:p>
    <w:p w:rsidR="0033227E" w:rsidRPr="00230308" w:rsidRDefault="0033227E" w:rsidP="005D13AF">
      <w:pPr>
        <w:spacing w:line="276" w:lineRule="auto"/>
      </w:pPr>
    </w:p>
    <w:p w:rsidR="0033227E" w:rsidRPr="00230308" w:rsidRDefault="0033227E" w:rsidP="005D13AF">
      <w:pPr>
        <w:spacing w:line="276" w:lineRule="auto"/>
        <w:rPr>
          <w:b/>
        </w:rPr>
      </w:pPr>
      <w:r w:rsidRPr="00230308">
        <w:rPr>
          <w:b/>
        </w:rPr>
        <w:t>Partner</w:t>
      </w:r>
    </w:p>
    <w:p w:rsidR="0033227E" w:rsidRPr="00230308" w:rsidRDefault="0033227E" w:rsidP="005D13AF">
      <w:pPr>
        <w:spacing w:line="276" w:lineRule="auto"/>
      </w:pPr>
      <w:r w:rsidRPr="00230308">
        <w:t>Medlemsstaterna, Europeiska rådet, kommissionens generaldirektorat, det östliga partnerskapet och anslutningsländerna, företrädare för det civila samhället som deltar i dialogerna (även via ekonomiska och sociala råd eller andra organ på nationell nivå (om sådana finns)).</w:t>
      </w:r>
    </w:p>
    <w:p w:rsidR="0033227E" w:rsidRPr="00230308" w:rsidRDefault="0033227E" w:rsidP="005D13AF">
      <w:pPr>
        <w:spacing w:line="276" w:lineRule="auto"/>
      </w:pPr>
    </w:p>
    <w:p w:rsidR="00D66C29" w:rsidRPr="00230308" w:rsidRDefault="00D66C29" w:rsidP="005D13AF">
      <w:pPr>
        <w:keepNext/>
        <w:spacing w:line="276" w:lineRule="auto"/>
        <w:rPr>
          <w:b/>
        </w:rPr>
      </w:pPr>
      <w:r w:rsidRPr="00230308">
        <w:rPr>
          <w:b/>
        </w:rPr>
        <w:t>Nästa steg</w:t>
      </w:r>
    </w:p>
    <w:p w:rsidR="001E0D57" w:rsidRPr="00230308" w:rsidRDefault="001E0D57" w:rsidP="005D13AF">
      <w:pPr>
        <w:keepNext/>
        <w:spacing w:line="276" w:lineRule="auto"/>
        <w:rPr>
          <w:b/>
        </w:rPr>
      </w:pPr>
    </w:p>
    <w:p w:rsidR="00D66C29" w:rsidRPr="00230308" w:rsidRDefault="005D13AF" w:rsidP="00835A5D">
      <w:pPr>
        <w:pStyle w:val="ListParagraph"/>
        <w:numPr>
          <w:ilvl w:val="0"/>
          <w:numId w:val="3"/>
        </w:numPr>
        <w:spacing w:after="0" w:line="276" w:lineRule="auto"/>
        <w:ind w:left="369" w:hanging="369"/>
        <w:rPr>
          <w:rFonts w:ascii="Times New Roman" w:hAnsi="Times New Roman"/>
        </w:rPr>
      </w:pPr>
      <w:r w:rsidRPr="00230308">
        <w:rPr>
          <w:rFonts w:ascii="Times New Roman" w:hAnsi="Times New Roman"/>
        </w:rPr>
        <w:t>Insamling av information om befintliga framgångsrika dialoger på nationell nivå. Samråd med berörda parter från sektorer och områden med behov av förbättringar när det gäller regelbunden dialog.</w:t>
      </w:r>
    </w:p>
    <w:p w:rsidR="00D66C29" w:rsidRPr="00230308" w:rsidRDefault="005D13AF" w:rsidP="00835A5D">
      <w:pPr>
        <w:pStyle w:val="ListParagraph"/>
        <w:numPr>
          <w:ilvl w:val="0"/>
          <w:numId w:val="3"/>
        </w:numPr>
        <w:spacing w:after="0" w:line="276" w:lineRule="auto"/>
        <w:ind w:left="369" w:hanging="369"/>
        <w:rPr>
          <w:rFonts w:ascii="Times New Roman" w:hAnsi="Times New Roman"/>
        </w:rPr>
      </w:pPr>
      <w:r w:rsidRPr="00230308">
        <w:rPr>
          <w:rFonts w:ascii="Times New Roman" w:hAnsi="Times New Roman"/>
        </w:rPr>
        <w:t>En rekommendation från rådet om att inrätta nationella dialoger i medlemsstaterna, bland annat när det gäller genomförandet av Europa 2020-strategin.</w:t>
      </w:r>
    </w:p>
    <w:p w:rsidR="00D66C29" w:rsidRPr="00230308" w:rsidRDefault="005D13AF" w:rsidP="00835A5D">
      <w:pPr>
        <w:pStyle w:val="ListParagraph"/>
        <w:numPr>
          <w:ilvl w:val="0"/>
          <w:numId w:val="3"/>
        </w:numPr>
        <w:spacing w:after="0" w:line="276" w:lineRule="auto"/>
        <w:ind w:left="369" w:hanging="369"/>
        <w:rPr>
          <w:rFonts w:ascii="Times New Roman" w:hAnsi="Times New Roman"/>
          <w:u w:val="single"/>
        </w:rPr>
      </w:pPr>
      <w:r w:rsidRPr="00230308">
        <w:rPr>
          <w:rFonts w:ascii="Times New Roman" w:hAnsi="Times New Roman"/>
        </w:rPr>
        <w:t xml:space="preserve">Upprätta mekanismer för utbyte och spridning av bästa praxis, skapa utrymme för eftertanke och kritiskt tänkande, främja en viss grad av samordning mellan befintliga dialoger, samtidigt som man respekterar deras olikheter. Starta en diskussion om kvalitetssäkringsstandarder, kriterier och riktlinjer för deltagande, obligatorium, inbegripet den tid som krävs för ett sant och effektivt deltagande. Främja utbildning av allmänheten i gemensamma EU-värden: Inrätta öppna samrådsförfaranden (både </w:t>
      </w:r>
      <w:proofErr w:type="spellStart"/>
      <w:r w:rsidRPr="00230308">
        <w:rPr>
          <w:rFonts w:ascii="Times New Roman" w:hAnsi="Times New Roman"/>
        </w:rPr>
        <w:t>offline</w:t>
      </w:r>
      <w:proofErr w:type="spellEnd"/>
      <w:r w:rsidRPr="00230308">
        <w:rPr>
          <w:rFonts w:ascii="Times New Roman" w:hAnsi="Times New Roman"/>
        </w:rPr>
        <w:t xml:space="preserve"> och online) om EU-frågor på nationell nivå, där EU-ordförandeskapen avger en årlig rapport om utvecklingen av den civila dialogen i medlemsstaterna.</w:t>
      </w:r>
    </w:p>
    <w:p w:rsidR="00D66C29" w:rsidRPr="00230308" w:rsidRDefault="005D13AF" w:rsidP="00835A5D">
      <w:pPr>
        <w:pStyle w:val="ListParagraph"/>
        <w:numPr>
          <w:ilvl w:val="0"/>
          <w:numId w:val="3"/>
        </w:numPr>
        <w:spacing w:after="0" w:line="276" w:lineRule="auto"/>
        <w:ind w:left="369" w:hanging="369"/>
        <w:rPr>
          <w:rFonts w:ascii="Times New Roman" w:hAnsi="Times New Roman"/>
        </w:rPr>
      </w:pPr>
      <w:r w:rsidRPr="00230308">
        <w:rPr>
          <w:rFonts w:ascii="Times New Roman" w:hAnsi="Times New Roman"/>
        </w:rPr>
        <w:t xml:space="preserve">Medlemsstaterna bör avsätta lämpliga medel för att finansiera den civila dialogen och stärka civilsamhällesorganisationernas möjligheter att delta. Kommissionen bör se över sina instrument </w:t>
      </w:r>
      <w:r w:rsidRPr="00230308">
        <w:rPr>
          <w:rFonts w:ascii="Times New Roman" w:hAnsi="Times New Roman"/>
        </w:rPr>
        <w:lastRenderedPageBreak/>
        <w:t>och program för att stödja civilsamhällesorganisationernas verksamhet på områdena för deltagande, demokrati och rättsstat på nationell nivå. Kommissionen bör inkludera medborgardeltagande och demokrati i de horisontella prioriteringarna i de nationella programmen, med utgångspunkt i bra exempel på hur man kan stärka de icke-statliga organisationerna under föranslutningsperioden.</w:t>
      </w:r>
    </w:p>
    <w:p w:rsidR="00D66C29" w:rsidRPr="00230308" w:rsidRDefault="005D13AF" w:rsidP="00835A5D">
      <w:pPr>
        <w:pStyle w:val="ListParagraph"/>
        <w:numPr>
          <w:ilvl w:val="0"/>
          <w:numId w:val="3"/>
        </w:numPr>
        <w:spacing w:after="0" w:line="276" w:lineRule="auto"/>
        <w:ind w:left="369" w:hanging="369"/>
        <w:rPr>
          <w:rFonts w:ascii="Times New Roman" w:hAnsi="Times New Roman"/>
          <w:u w:val="single"/>
        </w:rPr>
      </w:pPr>
      <w:r w:rsidRPr="00230308">
        <w:rPr>
          <w:rFonts w:ascii="Times New Roman" w:hAnsi="Times New Roman"/>
        </w:rPr>
        <w:t>Stöd till nya projekt, både i fråga om information och praktiska bidrag till bättre beslutsfattande samt stärka och reformera EU:s medborgardialoger i EU:s medlemsstater (som började om i Lettland i januari 2015), bredare kontakter med det civila samhället genom gemensamma slutsatser och återkoppling från varje dialog.</w:t>
      </w:r>
    </w:p>
    <w:p w:rsidR="003E65D3" w:rsidRPr="00230308" w:rsidRDefault="003E65D3" w:rsidP="005D13AF">
      <w:pPr>
        <w:suppressLineNumbers/>
        <w:spacing w:line="276" w:lineRule="auto"/>
        <w:ind w:left="567"/>
        <w:rPr>
          <w:u w:val="single"/>
        </w:rPr>
      </w:pPr>
    </w:p>
    <w:p w:rsidR="0033227E" w:rsidRPr="00230308" w:rsidRDefault="0033227E" w:rsidP="00835A5D">
      <w:pPr>
        <w:pStyle w:val="Heading2"/>
        <w:keepNext/>
        <w:numPr>
          <w:ilvl w:val="1"/>
          <w:numId w:val="2"/>
        </w:numPr>
        <w:spacing w:line="276" w:lineRule="auto"/>
        <w:ind w:left="567" w:hanging="567"/>
        <w:rPr>
          <w:b/>
          <w:i/>
          <w:u w:val="single"/>
        </w:rPr>
      </w:pPr>
      <w:r w:rsidRPr="00230308">
        <w:rPr>
          <w:b/>
          <w:i/>
        </w:rPr>
        <w:t>Dialog med de representativa sammanslutningarna och det civila samhället på EU-nivå</w:t>
      </w:r>
      <w:r w:rsidRPr="00230308">
        <w:rPr>
          <w:rStyle w:val="FootnoteReference"/>
        </w:rPr>
        <w:footnoteReference w:id="4"/>
      </w:r>
    </w:p>
    <w:p w:rsidR="00EB56E1" w:rsidRPr="00230308" w:rsidRDefault="00EB56E1" w:rsidP="005D13AF">
      <w:pPr>
        <w:suppressLineNumbers/>
        <w:spacing w:line="276" w:lineRule="auto"/>
        <w:rPr>
          <w:b/>
        </w:rPr>
      </w:pPr>
    </w:p>
    <w:p w:rsidR="0033227E" w:rsidRPr="00230308" w:rsidRDefault="0033227E" w:rsidP="005D13AF">
      <w:pPr>
        <w:suppressLineNumbers/>
        <w:spacing w:line="276" w:lineRule="auto"/>
        <w:rPr>
          <w:b/>
        </w:rPr>
      </w:pPr>
      <w:r w:rsidRPr="00230308">
        <w:rPr>
          <w:b/>
        </w:rPr>
        <w:t>Struktur (artikel 11.2)</w:t>
      </w:r>
    </w:p>
    <w:p w:rsidR="0033227E" w:rsidRPr="00230308" w:rsidRDefault="0033227E" w:rsidP="005D13AF">
      <w:pPr>
        <w:suppressLineNumbers/>
        <w:spacing w:line="276" w:lineRule="auto"/>
      </w:pPr>
      <w:r w:rsidRPr="00230308">
        <w:t>Lämpliga regelbundna och strukturerade dialoger som forum för att koppla varje EU-institution till det civila samhället samtidigt som man skapar synergier mellan institutionerna när så är möjligt. Befintlig bästa praxis bör utvidgas och stärkas för att säkerställa en faktisk inverkan på det politiska beslutsfattandet. Bland andra verktyg skulle detta innefatta ett årligt evenemang som sammanför EU-institutioner, företrädda på högsta nivå och representativa sammanslutningar/det civila samhället samt företrädare för sektoriella dialoger och lokala, regionala, nationella och makroregionala (trans</w:t>
      </w:r>
      <w:r w:rsidR="00923ECA" w:rsidRPr="00230308">
        <w:t>-</w:t>
      </w:r>
      <w:r w:rsidRPr="00230308">
        <w:t xml:space="preserve">nationella och grannskapspolitiska) dialoger. </w:t>
      </w:r>
    </w:p>
    <w:p w:rsidR="0033227E" w:rsidRPr="00230308" w:rsidRDefault="0033227E" w:rsidP="005D13AF">
      <w:pPr>
        <w:suppressLineNumbers/>
        <w:spacing w:line="276" w:lineRule="auto"/>
      </w:pPr>
    </w:p>
    <w:p w:rsidR="0033227E" w:rsidRPr="00230308" w:rsidRDefault="0033227E" w:rsidP="005D13AF">
      <w:pPr>
        <w:suppressLineNumbers/>
        <w:spacing w:line="276" w:lineRule="auto"/>
      </w:pPr>
      <w:r w:rsidRPr="00230308">
        <w:t xml:space="preserve">Detta årliga möte skulle kunna struktureras i enlighet med </w:t>
      </w:r>
      <w:proofErr w:type="spellStart"/>
      <w:r w:rsidRPr="00230308">
        <w:t>ReK:s</w:t>
      </w:r>
      <w:proofErr w:type="spellEnd"/>
      <w:r w:rsidRPr="00230308">
        <w:t xml:space="preserve"> </w:t>
      </w:r>
      <w:proofErr w:type="spellStart"/>
      <w:r w:rsidRPr="00230308">
        <w:t>Open</w:t>
      </w:r>
      <w:proofErr w:type="spellEnd"/>
      <w:r w:rsidRPr="00230308">
        <w:t> Days, med workshoppar och tematiska sammanträden som bildar underlag till en övergripande avslutningssession och en slutlig gemensam förklaring eller en årlig arbetsplan, och en uppföljning av denna färdplan. Ett bredare engagemang med innovativ teknik och innovativa metoder skulle kunna utvecklas med tiden. Alla förklaringar ska vidarebefordras till alla EU-institutioner, och samtliga ska vara skyldiga att ge ett formellt svar.</w:t>
      </w:r>
    </w:p>
    <w:p w:rsidR="0033227E" w:rsidRPr="00230308" w:rsidRDefault="0033227E" w:rsidP="005D13AF">
      <w:pPr>
        <w:suppressLineNumbers/>
        <w:spacing w:line="276" w:lineRule="auto"/>
      </w:pPr>
    </w:p>
    <w:p w:rsidR="0033227E" w:rsidRPr="00230308" w:rsidRDefault="0033227E" w:rsidP="005D13AF">
      <w:pPr>
        <w:suppressLineNumbers/>
        <w:spacing w:line="276" w:lineRule="auto"/>
        <w:rPr>
          <w:b/>
        </w:rPr>
      </w:pPr>
      <w:r w:rsidRPr="00230308">
        <w:rPr>
          <w:b/>
        </w:rPr>
        <w:t>Utgångspunkt</w:t>
      </w:r>
    </w:p>
    <w:p w:rsidR="0033227E" w:rsidRPr="00230308" w:rsidRDefault="0033227E" w:rsidP="005D13AF">
      <w:pPr>
        <w:suppressLineNumbers/>
        <w:spacing w:line="276" w:lineRule="auto"/>
      </w:pPr>
      <w:r w:rsidRPr="00230308">
        <w:t>Europeiska ekonomiska och sociala kommitténs kontaktgrupp för icke-statliga organisationer, det civila samhällets dag och de informella rådsmötena (sysselsättning, socialpolitik, hälso- och sjukvård samt konsumentfrågor) som sedan 2000 har integrerat ett bredare deltagande av det civila samhället genom samråd – på samma nivå som arbetsmarknadens parter – före beslutsfattandet på de formella rådsmötena.</w:t>
      </w:r>
    </w:p>
    <w:p w:rsidR="0033227E" w:rsidRPr="00230308" w:rsidRDefault="0033227E" w:rsidP="005D13AF">
      <w:pPr>
        <w:suppressLineNumbers/>
        <w:spacing w:line="276" w:lineRule="auto"/>
      </w:pPr>
    </w:p>
    <w:p w:rsidR="0033227E" w:rsidRPr="00230308" w:rsidRDefault="0033227E" w:rsidP="005D13AF">
      <w:pPr>
        <w:suppressLineNumbers/>
        <w:spacing w:line="276" w:lineRule="auto"/>
        <w:rPr>
          <w:b/>
        </w:rPr>
      </w:pPr>
      <w:r w:rsidRPr="00230308">
        <w:rPr>
          <w:b/>
        </w:rPr>
        <w:t>Partner</w:t>
      </w:r>
    </w:p>
    <w:p w:rsidR="0033227E" w:rsidRPr="00230308" w:rsidRDefault="0033227E" w:rsidP="005D13AF">
      <w:pPr>
        <w:suppressLineNumbers/>
        <w:spacing w:line="276" w:lineRule="auto"/>
        <w:rPr>
          <w:b/>
        </w:rPr>
      </w:pPr>
      <w:r w:rsidRPr="00230308">
        <w:t>Europeiska ekonomiska och sociala kommittén, Europeiska kommissionen, Europaparlamentet och Europeiska rådet, Regionkommittén, Europeiska unionens råd (sysselsättning, socialpolitik, hälso- och sjukvård samt konsumentfrågor).</w:t>
      </w:r>
    </w:p>
    <w:p w:rsidR="0033227E" w:rsidRPr="00230308" w:rsidRDefault="0033227E" w:rsidP="005D13AF">
      <w:pPr>
        <w:suppressLineNumbers/>
        <w:spacing w:line="276" w:lineRule="auto"/>
      </w:pPr>
    </w:p>
    <w:p w:rsidR="0033227E" w:rsidRPr="00230308" w:rsidRDefault="0033227E" w:rsidP="005D13AF">
      <w:pPr>
        <w:suppressLineNumbers/>
        <w:spacing w:line="276" w:lineRule="auto"/>
        <w:rPr>
          <w:b/>
        </w:rPr>
      </w:pPr>
      <w:r w:rsidRPr="00230308">
        <w:rPr>
          <w:b/>
        </w:rPr>
        <w:t xml:space="preserve">Nästa steg </w:t>
      </w:r>
    </w:p>
    <w:p w:rsidR="00CB7C6E" w:rsidRPr="00230308" w:rsidRDefault="00CB7C6E" w:rsidP="005D13AF">
      <w:pPr>
        <w:suppressLineNumbers/>
        <w:spacing w:line="276" w:lineRule="auto"/>
        <w:rPr>
          <w:b/>
        </w:rPr>
      </w:pPr>
    </w:p>
    <w:p w:rsidR="0033227E" w:rsidRPr="00230308" w:rsidRDefault="005D13AF" w:rsidP="00835A5D">
      <w:pPr>
        <w:pStyle w:val="ListParagraph"/>
        <w:numPr>
          <w:ilvl w:val="0"/>
          <w:numId w:val="4"/>
        </w:numPr>
        <w:spacing w:after="0" w:line="276" w:lineRule="auto"/>
        <w:ind w:left="369" w:hanging="369"/>
        <w:rPr>
          <w:rFonts w:ascii="Times New Roman" w:hAnsi="Times New Roman"/>
          <w:b/>
        </w:rPr>
      </w:pPr>
      <w:r w:rsidRPr="00230308">
        <w:rPr>
          <w:rFonts w:ascii="Times New Roman" w:hAnsi="Times New Roman"/>
        </w:rPr>
        <w:lastRenderedPageBreak/>
        <w:t>Lämpliga åtgärder bör vidtas för att identifiera, utvidga och stärka befintlig bästa praxis och synliggöra ändringarna i EU:s beslutsfattande till följd av det civila samhällets deltagande. Politikområden med förbättringspotential bör identifieras och en mekanism som stöder och samordnar dessa åtgärder och de befintliga dialogerna bör inrättas.</w:t>
      </w:r>
    </w:p>
    <w:p w:rsidR="0033227E" w:rsidRPr="00230308" w:rsidRDefault="005D13AF" w:rsidP="00835A5D">
      <w:pPr>
        <w:pStyle w:val="ListParagraph"/>
        <w:numPr>
          <w:ilvl w:val="0"/>
          <w:numId w:val="4"/>
        </w:numPr>
        <w:spacing w:after="0" w:line="276" w:lineRule="auto"/>
        <w:ind w:left="369" w:hanging="369"/>
        <w:rPr>
          <w:rFonts w:ascii="Times New Roman" w:hAnsi="Times New Roman"/>
          <w:b/>
        </w:rPr>
      </w:pPr>
      <w:r w:rsidRPr="00230308">
        <w:rPr>
          <w:rFonts w:ascii="Times New Roman" w:hAnsi="Times New Roman"/>
        </w:rPr>
        <w:t>Utnyttja de rika erfarenheter och ingående utvärderingar som t.ex. gjorts i de kommissions</w:t>
      </w:r>
      <w:r w:rsidR="00923ECA" w:rsidRPr="00230308">
        <w:rPr>
          <w:rFonts w:ascii="Times New Roman" w:hAnsi="Times New Roman"/>
        </w:rPr>
        <w:t>-</w:t>
      </w:r>
      <w:r w:rsidRPr="00230308">
        <w:rPr>
          <w:rFonts w:ascii="Times New Roman" w:hAnsi="Times New Roman"/>
        </w:rPr>
        <w:t xml:space="preserve">finansierade pilotprojekten för att testa strategier för medborgardeltagande inom ramen för programmen Plan D, Debattera Europa och Ett Europa för medborgarna och utveckla intensifierade strategier som på ett tydligt sätt sammankopplar deltagandeprocesser med andra beslutsprocesser och andra mekanismer, t.ex. </w:t>
      </w:r>
      <w:proofErr w:type="spellStart"/>
      <w:r w:rsidRPr="00230308">
        <w:rPr>
          <w:rFonts w:ascii="Times New Roman" w:hAnsi="Times New Roman"/>
        </w:rPr>
        <w:t>crowdsourcing</w:t>
      </w:r>
      <w:proofErr w:type="spellEnd"/>
      <w:r w:rsidRPr="00230308">
        <w:rPr>
          <w:rFonts w:ascii="Times New Roman" w:hAnsi="Times New Roman"/>
        </w:rPr>
        <w:t xml:space="preserve"> för politiska idéer m.m. Det krävs förbättrade möjligheter till deltagande online. Enas om en stadga för europeiska sammanslutningar och lämplig och hållbar finansiering från EU-källor.</w:t>
      </w:r>
    </w:p>
    <w:p w:rsidR="0033227E" w:rsidRPr="00230308" w:rsidRDefault="005D13AF" w:rsidP="00835A5D">
      <w:pPr>
        <w:pStyle w:val="ListParagraph"/>
        <w:numPr>
          <w:ilvl w:val="0"/>
          <w:numId w:val="4"/>
        </w:numPr>
        <w:spacing w:after="0" w:line="276" w:lineRule="auto"/>
        <w:ind w:left="369" w:hanging="369"/>
        <w:rPr>
          <w:rFonts w:ascii="Times New Roman" w:hAnsi="Times New Roman"/>
        </w:rPr>
      </w:pPr>
      <w:r w:rsidRPr="00230308">
        <w:rPr>
          <w:rFonts w:ascii="Times New Roman" w:hAnsi="Times New Roman"/>
        </w:rPr>
        <w:t>Upprätta en civil dialoggrupp/kommitté och ett observationsorgan, med företrädare för alla intressegrupper som berörs för att mäta och övervaka den civila dialogen samt graden av medborgardeltagande med EU-institutionerna och anta en årlig rapport om detta. Översynen av Europa 2020-strategin erbjuder stora möjligheter för att planera och göra pilotförsök med dessa processer.</w:t>
      </w:r>
    </w:p>
    <w:p w:rsidR="0033227E" w:rsidRPr="00230308" w:rsidRDefault="005D13AF" w:rsidP="00835A5D">
      <w:pPr>
        <w:pStyle w:val="ListParagraph"/>
        <w:numPr>
          <w:ilvl w:val="0"/>
          <w:numId w:val="4"/>
        </w:numPr>
        <w:spacing w:after="0" w:line="276" w:lineRule="auto"/>
        <w:ind w:left="369" w:hanging="369"/>
        <w:rPr>
          <w:rFonts w:ascii="Times New Roman" w:hAnsi="Times New Roman"/>
        </w:rPr>
      </w:pPr>
      <w:r w:rsidRPr="00230308">
        <w:rPr>
          <w:rFonts w:ascii="Times New Roman" w:hAnsi="Times New Roman"/>
        </w:rPr>
        <w:t>Utan dröjsmål ge en särskild kommissionsledamot i uppdrag att ansvara för samordningen av den civila dialogen och avsätta de personalresurser som krävs för att genomföra den. Varje generaldirektorat bör ha personal som ansvarar för dialog och lämplig finansiering för att stödja deltagande i beslutsprocesser. Man bör även inrätta en särskild enhet och en politisk ståndpunkt, och särskild personal som ansvarar för dialog i parlamentet och rådet.</w:t>
      </w:r>
    </w:p>
    <w:p w:rsidR="0033227E" w:rsidRPr="00230308" w:rsidRDefault="005D13AF" w:rsidP="00835A5D">
      <w:pPr>
        <w:pStyle w:val="ListParagraph"/>
        <w:numPr>
          <w:ilvl w:val="0"/>
          <w:numId w:val="4"/>
        </w:numPr>
        <w:spacing w:after="0" w:line="276" w:lineRule="auto"/>
        <w:ind w:left="369" w:hanging="369"/>
        <w:rPr>
          <w:rFonts w:ascii="Times New Roman" w:hAnsi="Times New Roman"/>
        </w:rPr>
      </w:pPr>
      <w:r w:rsidRPr="00230308">
        <w:rPr>
          <w:rFonts w:ascii="Times New Roman" w:hAnsi="Times New Roman"/>
        </w:rPr>
        <w:t>Med utgångspunkt i det civila samhällets dag, ge dialogen bredare räckvidd än sektoriella dialoger och lokala/regionala/nationella dialoger.</w:t>
      </w:r>
    </w:p>
    <w:p w:rsidR="0033227E" w:rsidRPr="00230308" w:rsidRDefault="0033227E" w:rsidP="005D13AF">
      <w:pPr>
        <w:suppressLineNumbers/>
        <w:spacing w:line="276" w:lineRule="auto"/>
        <w:rPr>
          <w:sz w:val="24"/>
        </w:rPr>
      </w:pPr>
    </w:p>
    <w:p w:rsidR="0033227E" w:rsidRPr="00230308" w:rsidRDefault="0033227E" w:rsidP="005D13AF">
      <w:pPr>
        <w:pStyle w:val="Heading2"/>
        <w:spacing w:line="276" w:lineRule="auto"/>
        <w:rPr>
          <w:rFonts w:eastAsia="MS Gothic"/>
        </w:rPr>
      </w:pPr>
      <w:r w:rsidRPr="00230308">
        <w:rPr>
          <w:b/>
          <w:i/>
        </w:rPr>
        <w:t>Medborgarnas och de representativa sammanslutningarnas möjlighet att föra ut och offentligt utbyta åsikter på unionens alla åtgärdsområden (lokal, regional, nationell och europeisk dialog) (artikel 11.1)</w:t>
      </w:r>
      <w:r w:rsidRPr="00230308">
        <w:rPr>
          <w:rStyle w:val="FootnoteReference"/>
        </w:rPr>
        <w:footnoteReference w:id="5"/>
      </w:r>
    </w:p>
    <w:p w:rsidR="007124C4" w:rsidRPr="00230308" w:rsidRDefault="007124C4" w:rsidP="005D13AF">
      <w:pPr>
        <w:spacing w:line="276" w:lineRule="auto"/>
        <w:rPr>
          <w:rFonts w:eastAsia="MS Gothic"/>
        </w:rPr>
      </w:pPr>
    </w:p>
    <w:p w:rsidR="0033227E" w:rsidRPr="00230308" w:rsidRDefault="0033227E" w:rsidP="005D13AF">
      <w:pPr>
        <w:spacing w:line="276" w:lineRule="auto"/>
        <w:rPr>
          <w:b/>
        </w:rPr>
      </w:pPr>
      <w:r w:rsidRPr="00230308">
        <w:rPr>
          <w:b/>
        </w:rPr>
        <w:t>Struktur</w:t>
      </w:r>
    </w:p>
    <w:p w:rsidR="00400276" w:rsidRPr="00230308" w:rsidRDefault="00400276" w:rsidP="005D13AF">
      <w:pPr>
        <w:spacing w:line="276" w:lineRule="auto"/>
      </w:pPr>
      <w:r w:rsidRPr="00230308">
        <w:t xml:space="preserve">Alla medborgare kommer via de sammanslutningar som företräder deras intressen – eller som enskilda personer – att få tillgång till den civila dialogen på den nivå som passar dem bäst – oavsett om det rör sig om lokal, regional, nationell eller europeisk nivå. Dessa dialoger bör organiseras av medborgarna själva och deras representativa sammanslutningar eller det civila samhällets organisationer, med stöd av berörda offentliga myndigheter, dvs. så nära medborgarna som möjligt, och bidra till att minska känslan av isolering och avstånd. </w:t>
      </w:r>
    </w:p>
    <w:p w:rsidR="007124C4" w:rsidRPr="00230308" w:rsidRDefault="00400276" w:rsidP="005D13AF">
      <w:pPr>
        <w:spacing w:line="276" w:lineRule="auto"/>
      </w:pPr>
      <w:r w:rsidRPr="00230308">
        <w:t>Formatet, dagordningen och diskussionsämnena ska beslutas av medborgarna och deras representativa sammanslutningar/det civila samhällets organisationer. De godkända rapporterna och företrädarna ska bidra till den nationella dialogen och dialogen på EU-nivå.</w:t>
      </w:r>
    </w:p>
    <w:p w:rsidR="007124C4" w:rsidRPr="00230308" w:rsidRDefault="007124C4" w:rsidP="005D13AF">
      <w:pPr>
        <w:spacing w:line="276" w:lineRule="auto"/>
      </w:pPr>
    </w:p>
    <w:p w:rsidR="0033227E" w:rsidRPr="00230308" w:rsidRDefault="0033227E" w:rsidP="005D13AF">
      <w:pPr>
        <w:spacing w:line="276" w:lineRule="auto"/>
        <w:rPr>
          <w:b/>
        </w:rPr>
      </w:pPr>
      <w:r w:rsidRPr="00230308">
        <w:rPr>
          <w:b/>
        </w:rPr>
        <w:t xml:space="preserve">Utgångspunkt </w:t>
      </w:r>
    </w:p>
    <w:p w:rsidR="0033227E" w:rsidRPr="00230308" w:rsidRDefault="0033227E" w:rsidP="005D13AF">
      <w:pPr>
        <w:spacing w:line="276" w:lineRule="auto"/>
      </w:pPr>
      <w:r w:rsidRPr="00230308">
        <w:t>Nätverk av icke-statliga organisationer, råd, initiativ, Europaåret för medborgarna 2013, nationella förbund.</w:t>
      </w:r>
    </w:p>
    <w:p w:rsidR="0033227E" w:rsidRPr="00230308" w:rsidRDefault="0033227E" w:rsidP="005D13AF">
      <w:pPr>
        <w:spacing w:line="276" w:lineRule="auto"/>
        <w:rPr>
          <w:b/>
        </w:rPr>
      </w:pPr>
    </w:p>
    <w:p w:rsidR="0033227E" w:rsidRPr="00230308" w:rsidRDefault="0033227E" w:rsidP="005D13AF">
      <w:pPr>
        <w:spacing w:line="276" w:lineRule="auto"/>
        <w:rPr>
          <w:b/>
        </w:rPr>
      </w:pPr>
      <w:r w:rsidRPr="00230308">
        <w:rPr>
          <w:b/>
        </w:rPr>
        <w:t xml:space="preserve">Partner </w:t>
      </w:r>
    </w:p>
    <w:p w:rsidR="0033227E" w:rsidRPr="00230308" w:rsidRDefault="0033227E" w:rsidP="005D13AF">
      <w:pPr>
        <w:spacing w:line="276" w:lineRule="auto"/>
      </w:pPr>
      <w:r w:rsidRPr="00230308">
        <w:t>Offentliga myndigheter på olika nivåer, departement för Europafrågor i medlemsstaterna, de ekonomiska och sociala råden (där sådana finns), det civila samhällets plattformar.</w:t>
      </w:r>
    </w:p>
    <w:p w:rsidR="0033227E" w:rsidRPr="00230308" w:rsidRDefault="0033227E" w:rsidP="005D13AF">
      <w:pPr>
        <w:spacing w:line="276" w:lineRule="auto"/>
        <w:rPr>
          <w:b/>
        </w:rPr>
      </w:pPr>
    </w:p>
    <w:p w:rsidR="0033227E" w:rsidRPr="00230308" w:rsidRDefault="0033227E" w:rsidP="005D13AF">
      <w:pPr>
        <w:spacing w:line="276" w:lineRule="auto"/>
        <w:rPr>
          <w:b/>
        </w:rPr>
      </w:pPr>
      <w:r w:rsidRPr="00230308">
        <w:rPr>
          <w:b/>
        </w:rPr>
        <w:t>Nästa steg</w:t>
      </w:r>
    </w:p>
    <w:p w:rsidR="00CB7C6E" w:rsidRPr="00230308" w:rsidRDefault="00CB7C6E" w:rsidP="005D13AF">
      <w:pPr>
        <w:spacing w:line="276" w:lineRule="auto"/>
        <w:rPr>
          <w:b/>
        </w:rPr>
      </w:pPr>
    </w:p>
    <w:p w:rsidR="0033227E" w:rsidRPr="00230308" w:rsidRDefault="005D13AF" w:rsidP="00835A5D">
      <w:pPr>
        <w:pStyle w:val="ListParagraph"/>
        <w:numPr>
          <w:ilvl w:val="0"/>
          <w:numId w:val="5"/>
        </w:numPr>
        <w:spacing w:after="0" w:line="288" w:lineRule="auto"/>
        <w:ind w:left="369" w:hanging="369"/>
        <w:rPr>
          <w:rFonts w:ascii="Times New Roman" w:hAnsi="Times New Roman"/>
        </w:rPr>
      </w:pPr>
      <w:r w:rsidRPr="00230308">
        <w:rPr>
          <w:rFonts w:ascii="Times New Roman" w:hAnsi="Times New Roman"/>
        </w:rPr>
        <w:t>Relevanta offentliga myndigheter bör skapa en stimulerande miljö för att underlätta den civila dialogen på EU-nivå samt på nationell och regional nivå.</w:t>
      </w:r>
    </w:p>
    <w:p w:rsidR="0033227E" w:rsidRPr="00230308" w:rsidRDefault="005D13AF" w:rsidP="00835A5D">
      <w:pPr>
        <w:pStyle w:val="ListParagraph"/>
        <w:numPr>
          <w:ilvl w:val="0"/>
          <w:numId w:val="5"/>
        </w:numPr>
        <w:spacing w:after="0" w:line="288" w:lineRule="auto"/>
        <w:ind w:left="369" w:hanging="369"/>
        <w:rPr>
          <w:rFonts w:ascii="Times New Roman" w:hAnsi="Times New Roman"/>
          <w:sz w:val="24"/>
        </w:rPr>
      </w:pPr>
      <w:r w:rsidRPr="00230308">
        <w:rPr>
          <w:rFonts w:ascii="Times New Roman" w:hAnsi="Times New Roman"/>
        </w:rPr>
        <w:t>Lämpliga resurser och verktyg bör finnas tillgängliga med särskild inriktning på koalitions</w:t>
      </w:r>
      <w:r w:rsidR="00923ECA" w:rsidRPr="00230308">
        <w:rPr>
          <w:rFonts w:ascii="Times New Roman" w:hAnsi="Times New Roman"/>
        </w:rPr>
        <w:t>-</w:t>
      </w:r>
      <w:r w:rsidRPr="00230308">
        <w:rPr>
          <w:rFonts w:ascii="Times New Roman" w:hAnsi="Times New Roman"/>
        </w:rPr>
        <w:t>byggande, samförstånd och hållbarhet som en grundval för högkvalitativa bidrag för bättre beslutsfattande genom att garantera kvaliteten.</w:t>
      </w:r>
    </w:p>
    <w:p w:rsidR="0033227E" w:rsidRPr="00230308" w:rsidRDefault="005D13AF" w:rsidP="00835A5D">
      <w:pPr>
        <w:pStyle w:val="ListParagraph"/>
        <w:numPr>
          <w:ilvl w:val="0"/>
          <w:numId w:val="5"/>
        </w:numPr>
        <w:spacing w:after="0" w:line="288" w:lineRule="auto"/>
        <w:ind w:left="369" w:hanging="369"/>
        <w:rPr>
          <w:rFonts w:ascii="Times New Roman" w:hAnsi="Times New Roman"/>
          <w:sz w:val="24"/>
        </w:rPr>
      </w:pPr>
      <w:r w:rsidRPr="00230308">
        <w:rPr>
          <w:rFonts w:ascii="Times New Roman" w:hAnsi="Times New Roman"/>
        </w:rPr>
        <w:t xml:space="preserve">Särskild inriktning på potentialen i nya medier. I detta avseende kan både organisationer och enskilda personer utveckla nödvändiga synergier i sitt arbete och finna lämpliga möjligheter till deltagande, t.ex. genom att ta initiativ till en EU-strategi för deltagande 2.0 för att möjliggöra utbyte av goda exempel mellan alla nivåer (lokal, regional, nationell och europeisk nivå), fastställa målen och planera åtgärderna för att skapa ett digitalt system för medborgarnas deltagande genom en respektfull diskussion inom strikt definierade etiska ramar. </w:t>
      </w:r>
    </w:p>
    <w:p w:rsidR="0033227E" w:rsidRPr="00230308" w:rsidRDefault="005D13AF" w:rsidP="00835A5D">
      <w:pPr>
        <w:pStyle w:val="ListParagraph"/>
        <w:numPr>
          <w:ilvl w:val="0"/>
          <w:numId w:val="5"/>
        </w:numPr>
        <w:spacing w:after="0" w:line="288" w:lineRule="auto"/>
        <w:ind w:left="369" w:hanging="369"/>
        <w:rPr>
          <w:sz w:val="24"/>
        </w:rPr>
      </w:pPr>
      <w:r w:rsidRPr="00230308">
        <w:rPr>
          <w:rFonts w:ascii="Times New Roman" w:hAnsi="Times New Roman"/>
        </w:rPr>
        <w:t>Grundat på stadgan om de grundläggande rättigheterna och genom erkännande av föreningsfrihet, främja deltagande i beslutsfattande genom att regelbundet övervaka den nuvarande situationen, rapportera om den och sprida bästa praxis.</w:t>
      </w:r>
    </w:p>
    <w:p w:rsidR="00400276" w:rsidRPr="00230308" w:rsidRDefault="005D13AF" w:rsidP="00835A5D">
      <w:pPr>
        <w:pStyle w:val="ListParagraph"/>
        <w:numPr>
          <w:ilvl w:val="0"/>
          <w:numId w:val="5"/>
        </w:numPr>
        <w:spacing w:after="0" w:line="288" w:lineRule="auto"/>
        <w:ind w:left="369" w:hanging="369"/>
        <w:rPr>
          <w:rFonts w:ascii="Times New Roman" w:hAnsi="Times New Roman"/>
        </w:rPr>
      </w:pPr>
      <w:r w:rsidRPr="00230308">
        <w:rPr>
          <w:rFonts w:ascii="Times New Roman" w:hAnsi="Times New Roman"/>
        </w:rPr>
        <w:t>Öka medvetenheten om den europeiska dimensionen i fråga om situationer på nationell, regional och lokal nivå och öka motivationen att utbyta åsikter.</w:t>
      </w:r>
    </w:p>
    <w:p w:rsidR="00CB7C6E" w:rsidRPr="00230308" w:rsidRDefault="00CB7C6E" w:rsidP="005D13AF">
      <w:pPr>
        <w:ind w:left="369"/>
      </w:pPr>
    </w:p>
    <w:p w:rsidR="009D15D7" w:rsidRPr="00230308" w:rsidRDefault="00C03D0F" w:rsidP="0001135E">
      <w:pPr>
        <w:keepNext/>
        <w:suppressLineNumbers/>
        <w:spacing w:line="276" w:lineRule="auto"/>
        <w:jc w:val="center"/>
        <w:outlineLvl w:val="1"/>
        <w:rPr>
          <w:b/>
          <w:sz w:val="24"/>
        </w:rPr>
      </w:pPr>
      <w:r w:rsidRPr="00230308">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D15D7" w:rsidRPr="00230308" w:rsidTr="009F1FB6">
        <w:trPr>
          <w:trHeight w:val="1173"/>
        </w:trPr>
        <w:tc>
          <w:tcPr>
            <w:tcW w:w="9338" w:type="dxa"/>
            <w:shd w:val="clear" w:color="auto" w:fill="auto"/>
          </w:tcPr>
          <w:p w:rsidR="009D15D7" w:rsidRPr="00230308" w:rsidRDefault="009D15D7" w:rsidP="0001135E">
            <w:pPr>
              <w:keepNext/>
              <w:suppressLineNumbers/>
              <w:spacing w:line="276" w:lineRule="auto"/>
              <w:jc w:val="center"/>
              <w:outlineLvl w:val="1"/>
              <w:rPr>
                <w:b/>
                <w:sz w:val="24"/>
              </w:rPr>
            </w:pPr>
            <w:r w:rsidRPr="00230308">
              <w:rPr>
                <w:b/>
                <w:sz w:val="24"/>
              </w:rPr>
              <w:lastRenderedPageBreak/>
              <w:t>BILAGOR</w:t>
            </w:r>
          </w:p>
          <w:p w:rsidR="003E65D3" w:rsidRPr="00230308" w:rsidRDefault="009D15D7" w:rsidP="0001135E">
            <w:pPr>
              <w:keepNext/>
              <w:suppressLineNumbers/>
              <w:spacing w:line="276" w:lineRule="auto"/>
              <w:jc w:val="center"/>
              <w:outlineLvl w:val="1"/>
              <w:rPr>
                <w:i/>
                <w:sz w:val="24"/>
              </w:rPr>
            </w:pPr>
            <w:r w:rsidRPr="00230308">
              <w:rPr>
                <w:b/>
                <w:sz w:val="24"/>
              </w:rPr>
              <w:t>BÄSTA PRAXIS OCH EXEMPEL</w:t>
            </w:r>
            <w:r w:rsidRPr="00230308">
              <w:rPr>
                <w:i/>
                <w:sz w:val="24"/>
              </w:rPr>
              <w:t xml:space="preserve"> </w:t>
            </w:r>
          </w:p>
          <w:p w:rsidR="003E65D3" w:rsidRPr="00230308" w:rsidRDefault="003E65D3" w:rsidP="0001135E">
            <w:pPr>
              <w:keepNext/>
              <w:suppressLineNumbers/>
              <w:spacing w:line="276" w:lineRule="auto"/>
              <w:jc w:val="center"/>
              <w:outlineLvl w:val="1"/>
              <w:rPr>
                <w:i/>
                <w:sz w:val="24"/>
              </w:rPr>
            </w:pPr>
          </w:p>
          <w:p w:rsidR="00F23344" w:rsidRPr="00230308" w:rsidRDefault="003E65D3" w:rsidP="0001135E">
            <w:pPr>
              <w:keepNext/>
              <w:suppressLineNumbers/>
              <w:spacing w:line="276" w:lineRule="auto"/>
              <w:ind w:left="425" w:right="475"/>
              <w:outlineLvl w:val="1"/>
              <w:rPr>
                <w:b/>
                <w:i/>
                <w:sz w:val="24"/>
              </w:rPr>
            </w:pPr>
            <w:r w:rsidRPr="00230308">
              <w:rPr>
                <w:b/>
                <w:i/>
                <w:sz w:val="24"/>
              </w:rPr>
              <w:t xml:space="preserve">Nedan förtecknas några exempel på bästa praxis för de olika dialoger som anges i punkterna 3.1–3.3 i färdplanen. </w:t>
            </w:r>
          </w:p>
          <w:p w:rsidR="009D15D7" w:rsidRPr="00230308" w:rsidRDefault="00185F0A" w:rsidP="0001135E">
            <w:pPr>
              <w:keepNext/>
              <w:suppressLineNumbers/>
              <w:spacing w:line="276" w:lineRule="auto"/>
              <w:ind w:left="425" w:right="475"/>
              <w:outlineLvl w:val="1"/>
              <w:rPr>
                <w:b/>
                <w:i/>
                <w:sz w:val="24"/>
              </w:rPr>
            </w:pPr>
            <w:r w:rsidRPr="00230308">
              <w:rPr>
                <w:b/>
                <w:i/>
                <w:sz w:val="24"/>
              </w:rPr>
              <w:t>Bilaga 1 avser "Dialog med representativa sammanslutningar och det civila samhället på nationell nivå", bilaga 2 "Dialog med representativa samman</w:t>
            </w:r>
            <w:r w:rsidR="00FB0BE7" w:rsidRPr="00230308">
              <w:rPr>
                <w:b/>
                <w:i/>
                <w:sz w:val="24"/>
              </w:rPr>
              <w:t>-</w:t>
            </w:r>
            <w:r w:rsidRPr="00230308">
              <w:rPr>
                <w:b/>
                <w:i/>
                <w:sz w:val="24"/>
              </w:rPr>
              <w:t>slutningar och det civila samhället på EU-nivå" och bilaga 3 exempel på "Medborgarnas och de representativa sammanslutningarnas möjligheter att föra ut och offentligt utbyta åsikter inom alla områden för EU:s åtgärder (lokal, regional, nationell och europeisk dialog)".</w:t>
            </w:r>
            <w:r w:rsidRPr="00230308">
              <w:br w:type="page"/>
            </w:r>
          </w:p>
          <w:p w:rsidR="003E65D3" w:rsidRPr="00230308" w:rsidRDefault="003E65D3" w:rsidP="0001135E">
            <w:pPr>
              <w:keepNext/>
              <w:suppressLineNumbers/>
              <w:spacing w:line="276" w:lineRule="auto"/>
              <w:jc w:val="center"/>
              <w:outlineLvl w:val="1"/>
              <w:rPr>
                <w:rFonts w:eastAsia="MS Mincho"/>
                <w:b/>
                <w:sz w:val="24"/>
                <w:szCs w:val="24"/>
              </w:rPr>
            </w:pPr>
          </w:p>
        </w:tc>
      </w:tr>
    </w:tbl>
    <w:p w:rsidR="009D15D7" w:rsidRPr="00230308" w:rsidRDefault="009D15D7" w:rsidP="000D1BBC">
      <w:pPr>
        <w:keepNext/>
        <w:suppressLineNumbers/>
        <w:spacing w:line="276" w:lineRule="auto"/>
        <w:jc w:val="center"/>
        <w:outlineLvl w:val="1"/>
        <w:rPr>
          <w:i/>
        </w:rPr>
      </w:pPr>
    </w:p>
    <w:p w:rsidR="00CB7C6E" w:rsidRPr="00230308" w:rsidRDefault="00CB7C6E" w:rsidP="005D13AF">
      <w:pPr>
        <w:jc w:val="center"/>
      </w:pPr>
      <w:r w:rsidRPr="00230308">
        <w:t>_____________</w:t>
      </w:r>
    </w:p>
    <w:p w:rsidR="00CB7C6E" w:rsidRPr="00230308" w:rsidRDefault="00CB7C6E" w:rsidP="005D13AF"/>
    <w:p w:rsidR="00054C1F" w:rsidRDefault="00054C1F">
      <w:pPr>
        <w:spacing w:line="240" w:lineRule="auto"/>
        <w:jc w:val="left"/>
      </w:pPr>
      <w:r>
        <w:br w:type="page"/>
      </w:r>
    </w:p>
    <w:p w:rsidR="00054C1F" w:rsidRPr="00054C1F" w:rsidRDefault="00054C1F" w:rsidP="00054C1F">
      <w:pPr>
        <w:keepNext/>
        <w:suppressLineNumbers/>
        <w:spacing w:before="240" w:after="60" w:line="360" w:lineRule="auto"/>
        <w:ind w:left="284" w:hanging="284"/>
        <w:jc w:val="center"/>
        <w:outlineLvl w:val="1"/>
        <w:rPr>
          <w:rFonts w:ascii="Cambria" w:eastAsia="MS Mincho" w:hAnsi="Cambria"/>
          <w:b/>
          <w:i/>
          <w:u w:val="single"/>
          <w:lang w:val="en-GB" w:eastAsia="en-US" w:bidi="ar-SA"/>
        </w:rPr>
      </w:pPr>
      <w:r w:rsidRPr="00054C1F">
        <w:rPr>
          <w:rFonts w:ascii="Cambria" w:eastAsia="MS Mincho" w:hAnsi="Cambria"/>
          <w:b/>
          <w:i/>
          <w:u w:val="single"/>
          <w:lang w:val="en-GB" w:eastAsia="en-US" w:bidi="ar-SA"/>
        </w:rPr>
        <w:lastRenderedPageBreak/>
        <w:t>Annex 1</w:t>
      </w:r>
    </w:p>
    <w:p w:rsidR="00054C1F" w:rsidRPr="00054C1F" w:rsidRDefault="00054C1F" w:rsidP="00054C1F">
      <w:pPr>
        <w:keepNext/>
        <w:suppressLineNumbers/>
        <w:spacing w:before="12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t>CIVIL SOCIETY CONSULTATION PROCESSES IN EUROPE</w:t>
      </w:r>
    </w:p>
    <w:p w:rsidR="00054C1F" w:rsidRPr="00054C1F" w:rsidRDefault="00054C1F" w:rsidP="00054C1F">
      <w:pPr>
        <w:keepNext/>
        <w:suppressLineNumbers/>
        <w:spacing w:before="12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t>AND EXAMPLES OF GOOD PRACTICES</w:t>
      </w:r>
    </w:p>
    <w:p w:rsidR="00054C1F" w:rsidRPr="00054C1F" w:rsidRDefault="00054C1F" w:rsidP="00054C1F">
      <w:pPr>
        <w:keepNext/>
        <w:suppressLineNumbers/>
        <w:spacing w:before="12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t xml:space="preserve"> -FOCUS ON DENMARK, POLAND, THE UNITED KINGDOM AND SPAIN-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t>1.1.</w:t>
      </w:r>
      <w:r w:rsidRPr="00054C1F">
        <w:rPr>
          <w:rFonts w:ascii="Cambria" w:eastAsia="MS Mincho" w:hAnsi="Cambria"/>
          <w:lang w:val="en-GB" w:eastAsia="en-US" w:bidi="ar-SA"/>
        </w:rPr>
        <w:t xml:space="preserve"> </w:t>
      </w:r>
      <w:r w:rsidRPr="00054C1F">
        <w:rPr>
          <w:rFonts w:ascii="Cambria" w:eastAsia="MS Mincho" w:hAnsi="Cambria"/>
          <w:b/>
          <w:lang w:val="en-GB" w:eastAsia="en-US" w:bidi="ar-SA"/>
        </w:rPr>
        <w:t>DENMARK: Including Civil Society as a Means for Continuous Democracy</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054C1F">
        <w:rPr>
          <w:rFonts w:ascii="Cambria" w:eastAsia="MS Mincho" w:hAnsi="Cambria"/>
          <w:vertAlign w:val="superscript"/>
          <w:lang w:val="en-GB" w:eastAsia="en-US" w:bidi="ar-SA"/>
        </w:rPr>
        <w:footnoteReference w:id="6"/>
      </w:r>
      <w:r w:rsidRPr="00054C1F">
        <w:rPr>
          <w:rFonts w:ascii="Cambria" w:eastAsia="MS Mincho" w:hAnsi="Cambria"/>
          <w:lang w:val="en-GB" w:eastAsia="en-US" w:bidi="ar-SA"/>
        </w:rPr>
        <w:t>.</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Civil society consultation is not the rule, but an often implemented exception. Indeed, civil society consultation is provided for in particular cases and defined in laws. Civil society is consulted both formally and informally. </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First of all, it holds dialogues with Parliament thanks to its representation in Parliament committees. In this context, it participates in developing drafts via </w:t>
      </w:r>
      <w:r w:rsidRPr="00054C1F">
        <w:rPr>
          <w:rFonts w:ascii="Cambria" w:eastAsia="MS Mincho" w:hAnsi="Cambria"/>
          <w:i/>
          <w:lang w:val="en-GB" w:eastAsia="en-US" w:bidi="ar-SA"/>
        </w:rPr>
        <w:t>ex ante</w:t>
      </w:r>
      <w:r w:rsidRPr="00054C1F">
        <w:rPr>
          <w:rFonts w:ascii="Cambria" w:eastAsia="MS Mincho" w:hAnsi="Cambria"/>
          <w:lang w:val="en-GB" w:eastAsia="en-US" w:bidi="ar-SA"/>
        </w:rPr>
        <w:t xml:space="preserve"> impact assessments, the dialogues and hearings it has with and by Committees discussing the potential of the draft. Informal discussions between CSOs and government are also common.</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CSOs also participate in government-established advisory bodies. These are created on specific matters in order to ensure a continuous dialogue between citizens and government via their representatives</w:t>
      </w:r>
      <w:r w:rsidRPr="00054C1F">
        <w:rPr>
          <w:rFonts w:ascii="Cambria" w:eastAsia="MS Mincho" w:hAnsi="Cambria"/>
          <w:vertAlign w:val="superscript"/>
          <w:lang w:val="en-GB" w:eastAsia="en-US" w:bidi="ar-SA"/>
        </w:rPr>
        <w:footnoteReference w:id="7"/>
      </w:r>
      <w:r w:rsidRPr="00054C1F">
        <w:rPr>
          <w:rFonts w:ascii="Cambria" w:eastAsia="MS Mincho" w:hAnsi="Cambria"/>
          <w:lang w:val="en-GB" w:eastAsia="en-US" w:bidi="ar-SA"/>
        </w:rPr>
        <w:t>. With regard to local democracy, citizens and CSOs are called to join in debates held by Municipal Councils where they informally participate in decision-making.</w:t>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br w:type="page"/>
      </w:r>
      <w:r w:rsidRPr="00054C1F">
        <w:rPr>
          <w:rFonts w:ascii="Cambria" w:eastAsia="MS Mincho" w:hAnsi="Cambria"/>
          <w:b/>
          <w:lang w:val="en-GB" w:eastAsia="en-US" w:bidi="ar-SA"/>
        </w:rPr>
        <w:lastRenderedPageBreak/>
        <w:t>1.2. POLAND: A Dialogue based on Civil Society Organisation Expertise</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For many reasons, mainly historical, the notion of consultation appears in Poland “with regard to general acts prepared by government, as well as local acts prepared by municipalities”</w:t>
      </w:r>
      <w:r w:rsidRPr="00054C1F">
        <w:rPr>
          <w:rFonts w:ascii="Cambria" w:eastAsia="MS Mincho" w:hAnsi="Cambria"/>
          <w:vertAlign w:val="superscript"/>
          <w:lang w:val="en-GB" w:eastAsia="en-US" w:bidi="ar-SA"/>
        </w:rPr>
        <w:footnoteReference w:id="8"/>
      </w:r>
      <w:r w:rsidRPr="00054C1F">
        <w:rPr>
          <w:rFonts w:ascii="Cambria" w:eastAsia="MS Mincho" w:hAnsi="Cambria"/>
          <w:lang w:val="en-GB" w:eastAsia="en-US" w:bidi="ar-SA"/>
        </w:rPr>
        <w:t xml:space="preserve">.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Civil society consultation is not the rule, but the exception. When civil society intervenes, it does so in the framework of Advisory Bodies, along with national and/or local government representatives and experts.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054C1F">
        <w:rPr>
          <w:rFonts w:ascii="Cambria" w:eastAsia="MS Mincho" w:hAnsi="Cambria"/>
          <w:vertAlign w:val="superscript"/>
          <w:lang w:val="en-GB" w:eastAsia="en-US" w:bidi="ar-SA"/>
        </w:rPr>
        <w:footnoteReference w:id="9"/>
      </w:r>
      <w:r w:rsidRPr="00054C1F">
        <w:rPr>
          <w:rFonts w:ascii="Cambria" w:eastAsia="MS Mincho" w:hAnsi="Cambria"/>
          <w:lang w:val="en-GB" w:eastAsia="en-US" w:bidi="ar-SA"/>
        </w:rPr>
        <w: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Local authorities, on the other hand, are more open to contributions from civil society, and therefore change in practices in Poland might come from the bottom up.</w:t>
      </w:r>
      <w:r w:rsidRPr="00054C1F" w:rsidDel="00D31BA1">
        <w:rPr>
          <w:rFonts w:ascii="Cambria" w:eastAsia="MS Mincho" w:hAnsi="Cambria"/>
          <w:lang w:val="en-GB" w:eastAsia="en-US" w:bidi="ar-SA"/>
        </w:rPr>
        <w:t xml:space="preserve"> </w:t>
      </w:r>
      <w:r w:rsidRPr="00054C1F">
        <w:rPr>
          <w:rFonts w:ascii="Cambria" w:eastAsia="MS Mincho" w:hAnsi="Cambria"/>
          <w:lang w:val="en-GB" w:eastAsia="en-US" w:bidi="ar-SA"/>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ind w:left="360"/>
        <w:jc w:val="center"/>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1.3. THE UNITED KINGDOM: A Structured Dialogue for Overarching Input from Civil Society</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054C1F">
        <w:rPr>
          <w:rFonts w:ascii="Cambria" w:eastAsia="MS Mincho" w:hAnsi="Cambria"/>
          <w:vertAlign w:val="superscript"/>
          <w:lang w:val="en-GB" w:eastAsia="en-US" w:bidi="ar-SA"/>
        </w:rPr>
        <w:footnoteReference w:id="10"/>
      </w:r>
      <w:r w:rsidRPr="00054C1F">
        <w:rPr>
          <w:rFonts w:ascii="Cambria" w:eastAsia="MS Mincho" w:hAnsi="Cambria"/>
          <w:lang w:val="en-GB" w:eastAsia="en-US" w:bidi="ar-SA"/>
        </w:rPr>
        <w:t xml:space="preserve">.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Such an approach was recognised in the Open Government Partnership UK National Action Plan 2013-2015. In this partnership, the government aims to:</w:t>
      </w:r>
    </w:p>
    <w:p w:rsidR="00054C1F" w:rsidRPr="00054C1F" w:rsidRDefault="00054C1F" w:rsidP="00054C1F">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Work with civil society to develop an OGP national action plan;</w:t>
      </w:r>
    </w:p>
    <w:p w:rsidR="00054C1F" w:rsidRPr="00054C1F" w:rsidRDefault="00054C1F" w:rsidP="00054C1F">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Implement OGP commitments in accordance with the action plan timeline;</w:t>
      </w:r>
    </w:p>
    <w:p w:rsidR="00054C1F" w:rsidRPr="00054C1F" w:rsidRDefault="00054C1F" w:rsidP="00054C1F">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Prepare an annual self-assessment report;</w:t>
      </w:r>
    </w:p>
    <w:p w:rsidR="00054C1F" w:rsidRPr="00054C1F" w:rsidRDefault="00054C1F" w:rsidP="00054C1F">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Participate in the independent reporting mechanism research process;</w:t>
      </w:r>
    </w:p>
    <w:p w:rsidR="00054C1F" w:rsidRPr="00054C1F" w:rsidRDefault="00054C1F" w:rsidP="00054C1F">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Contribute to </w:t>
      </w:r>
      <w:proofErr w:type="gramStart"/>
      <w:r w:rsidRPr="00054C1F">
        <w:rPr>
          <w:rFonts w:ascii="Cambria" w:eastAsia="MS Mincho" w:hAnsi="Cambria"/>
          <w:lang w:val="en-GB" w:eastAsia="en-US" w:bidi="ar-SA"/>
        </w:rPr>
        <w:t>peer</w:t>
      </w:r>
      <w:proofErr w:type="gramEnd"/>
      <w:r w:rsidRPr="00054C1F">
        <w:rPr>
          <w:rFonts w:ascii="Cambria" w:eastAsia="MS Mincho" w:hAnsi="Cambria"/>
          <w:lang w:val="en-GB" w:eastAsia="en-US" w:bidi="ar-SA"/>
        </w:rPr>
        <w:t xml:space="preserve"> learning across the OGP</w:t>
      </w:r>
      <w:r w:rsidRPr="00054C1F">
        <w:rPr>
          <w:rFonts w:ascii="Cambria" w:eastAsia="MS Mincho" w:hAnsi="Cambria"/>
          <w:vertAlign w:val="superscript"/>
          <w:lang w:val="en-GB" w:eastAsia="en-US" w:bidi="ar-SA"/>
        </w:rPr>
        <w:footnoteReference w:id="11"/>
      </w:r>
      <w:r w:rsidRPr="00054C1F">
        <w:rPr>
          <w:rFonts w:ascii="Cambria" w:eastAsia="MS Mincho" w:hAnsi="Cambria"/>
          <w:lang w:val="en-GB" w:eastAsia="en-US" w:bidi="ar-SA"/>
        </w:rPr>
        <w: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 first report was issued in 2013 and called for government to encourage more civil society participation, a conclusion which was accepted by the government in power.</w:t>
      </w:r>
    </w:p>
    <w:p w:rsidR="00054C1F" w:rsidRPr="00054C1F" w:rsidRDefault="00054C1F" w:rsidP="00054C1F">
      <w:pPr>
        <w:keepNext/>
        <w:suppressLineNumbers/>
        <w:spacing w:before="240" w:after="60" w:line="240" w:lineRule="auto"/>
        <w:outlineLvl w:val="1"/>
        <w:rPr>
          <w:rFonts w:ascii="Cambria" w:eastAsia="MS Mincho" w:hAnsi="Cambria"/>
          <w:u w:val="single"/>
          <w:lang w:val="en-GB" w:eastAsia="en-US" w:bidi="ar-SA"/>
        </w:rPr>
      </w:pPr>
      <w:r w:rsidRPr="00054C1F">
        <w:rPr>
          <w:rFonts w:ascii="Cambria" w:eastAsia="MS Mincho" w:hAnsi="Cambria"/>
          <w:u w:val="single"/>
          <w:lang w:val="en-GB" w:eastAsia="en-US" w:bidi="ar-SA"/>
        </w:rPr>
        <w:t>The Compact</w:t>
      </w:r>
    </w:p>
    <w:p w:rsidR="00054C1F" w:rsidRPr="00054C1F" w:rsidRDefault="00054C1F" w:rsidP="00054C1F">
      <w:pPr>
        <w:keepNext/>
        <w:suppressLineNumbers/>
        <w:spacing w:before="240" w:after="60" w:line="240" w:lineRule="auto"/>
        <w:outlineLvl w:val="1"/>
        <w:rPr>
          <w:rFonts w:ascii="Cambria" w:eastAsia="MS Mincho" w:hAnsi="Cambria"/>
          <w:iCs/>
          <w:lang w:val="en-GB" w:eastAsia="en-US" w:bidi="ar-SA"/>
        </w:rPr>
      </w:pPr>
      <w:r w:rsidRPr="00054C1F">
        <w:rPr>
          <w:rFonts w:ascii="Cambria" w:eastAsia="MS Mincho" w:hAnsi="Cambria"/>
          <w:lang w:val="en-GB" w:eastAsia="en-US" w:bidi="ar-SA"/>
        </w:rPr>
        <w:t>The UK’s legal order provides a</w:t>
      </w:r>
      <w:r w:rsidRPr="00054C1F">
        <w:rPr>
          <w:rFonts w:ascii="Cambria" w:eastAsia="MS Mincho" w:hAnsi="Cambria"/>
          <w:iCs/>
          <w:lang w:val="en-GB" w:eastAsia="en-US" w:bidi="ar-SA"/>
        </w:rPr>
        <w:t xml:space="preserve"> consultation mechanism for CSOs to observe, submit evidence and set agendas for consultation procedures. This mechanism is to be found in the UK Government Compact, made in 1998 and renewed in 2010.</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054C1F">
        <w:rPr>
          <w:rFonts w:ascii="Cambria" w:eastAsia="MS Mincho" w:hAnsi="Cambria"/>
          <w:vertAlign w:val="superscript"/>
          <w:lang w:val="en-GB" w:eastAsia="en-US" w:bidi="ar-SA"/>
        </w:rPr>
        <w:footnoteReference w:id="12"/>
      </w:r>
      <w:r w:rsidRPr="00054C1F">
        <w:rPr>
          <w:rFonts w:ascii="Cambria" w:eastAsia="MS Mincho" w:hAnsi="Cambria"/>
          <w:lang w:val="en-GB" w:eastAsia="en-US" w:bidi="ar-SA"/>
        </w:rPr>
        <w: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Although the Compact is not legally binding, it has become a kind of custom, and it can therefore be expected that signatories will act according to its provisions.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It is also followed by an Accountability and Transparency Guide, “which outlines steps to take at national and local level if these principles are not followed, including dispute resolution, internal complaints procedures and ombudsmen functions”</w:t>
      </w:r>
      <w:r w:rsidRPr="00054C1F">
        <w:rPr>
          <w:rFonts w:ascii="Cambria" w:eastAsia="MS Mincho" w:hAnsi="Cambria"/>
          <w:vertAlign w:val="superscript"/>
          <w:lang w:val="en-GB" w:eastAsia="en-US" w:bidi="ar-SA"/>
        </w:rPr>
        <w:footnoteReference w:id="13"/>
      </w:r>
      <w:r w:rsidRPr="00054C1F">
        <w:rPr>
          <w:rFonts w:ascii="Cambria" w:eastAsia="MS Mincho" w:hAnsi="Cambria"/>
          <w:lang w:val="en-GB" w:eastAsia="en-US" w:bidi="ar-SA"/>
        </w:rPr>
        <w: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Finally, it also creates a permanent representative body for the volunteer sector, the Compact Voice.</w:t>
      </w:r>
    </w:p>
    <w:p w:rsidR="00054C1F" w:rsidRDefault="00054C1F">
      <w:pPr>
        <w:spacing w:line="240" w:lineRule="auto"/>
        <w:jc w:val="left"/>
        <w:rPr>
          <w:rFonts w:ascii="Cambria" w:eastAsia="MS Mincho" w:hAnsi="Cambria"/>
          <w:u w:val="single"/>
          <w:lang w:val="en-GB" w:eastAsia="en-US" w:bidi="ar-SA"/>
        </w:rPr>
      </w:pPr>
      <w:r>
        <w:rPr>
          <w:rFonts w:ascii="Cambria" w:eastAsia="MS Mincho" w:hAnsi="Cambria"/>
          <w:u w:val="single"/>
          <w:lang w:val="en-GB" w:eastAsia="en-US" w:bidi="ar-SA"/>
        </w:rPr>
        <w:br w:type="page"/>
      </w:r>
    </w:p>
    <w:p w:rsidR="00054C1F" w:rsidRPr="00054C1F" w:rsidRDefault="00054C1F" w:rsidP="00054C1F">
      <w:pPr>
        <w:keepNext/>
        <w:suppressLineNumbers/>
        <w:spacing w:before="240" w:after="60" w:line="240" w:lineRule="auto"/>
        <w:outlineLvl w:val="1"/>
        <w:rPr>
          <w:rFonts w:ascii="Cambria" w:eastAsia="MS Mincho" w:hAnsi="Cambria"/>
          <w:u w:val="single"/>
          <w:lang w:val="en-GB" w:eastAsia="en-US" w:bidi="ar-SA"/>
        </w:rPr>
      </w:pPr>
      <w:r w:rsidRPr="00054C1F">
        <w:rPr>
          <w:rFonts w:ascii="Cambria" w:eastAsia="MS Mincho" w:hAnsi="Cambria"/>
          <w:u w:val="single"/>
          <w:lang w:val="en-GB" w:eastAsia="en-US" w:bidi="ar-SA"/>
        </w:rPr>
        <w:lastRenderedPageBreak/>
        <w:t>Other Formats for Civil Society Consultation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Civil society also plays an important role after legislation has been enacted, namely by participating in </w:t>
      </w:r>
      <w:r w:rsidRPr="00054C1F">
        <w:rPr>
          <w:rFonts w:ascii="Cambria" w:eastAsia="MS Mincho" w:hAnsi="Cambria"/>
          <w:i/>
          <w:lang w:val="en-GB" w:eastAsia="en-US" w:bidi="ar-SA"/>
        </w:rPr>
        <w:t>ex post</w:t>
      </w:r>
      <w:r w:rsidRPr="00054C1F">
        <w:rPr>
          <w:rFonts w:ascii="Cambria" w:eastAsia="MS Mincho" w:hAnsi="Cambria"/>
          <w:lang w:val="en-GB" w:eastAsia="en-US" w:bidi="ar-SA"/>
        </w:rPr>
        <w:t xml:space="preserve"> impact assessments, in the framework of specialised Councils or committees.</w:t>
      </w:r>
    </w:p>
    <w:p w:rsid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Finally, civil society is successful in its lobbying activities, another way of influencing policymaking outside the strict confines of consultation.</w:t>
      </w:r>
    </w:p>
    <w:p w:rsidR="00054C1F" w:rsidRDefault="00054C1F">
      <w:pPr>
        <w:spacing w:line="240" w:lineRule="auto"/>
        <w:jc w:val="left"/>
        <w:rPr>
          <w:rFonts w:ascii="Cambria" w:eastAsia="MS Mincho" w:hAnsi="Cambria"/>
          <w:lang w:val="en-GB" w:eastAsia="en-US" w:bidi="ar-SA"/>
        </w:rPr>
      </w:pPr>
      <w:r>
        <w:rPr>
          <w:rFonts w:ascii="Cambria" w:eastAsia="MS Mincho" w:hAnsi="Cambria"/>
          <w:lang w:val="en-GB" w:eastAsia="en-US" w:bidi="ar-SA"/>
        </w:rPr>
        <w:br w:type="page"/>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1.4. SPAIN: Weak and Formal Consultation of Civil Society</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Having been ruled by a dictatorship for almost 40 years, Spain joined the union of democracies with very poorly developed civil society. </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spacing w:val="-4"/>
          <w:lang w:val="en-GB" w:eastAsia="en-US" w:bidi="ar-SA"/>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054C1F">
        <w:rPr>
          <w:rFonts w:ascii="Cambria" w:eastAsia="MS Mincho" w:hAnsi="Cambria"/>
          <w:spacing w:val="-4"/>
          <w:lang w:val="en-GB" w:eastAsia="en-US" w:bidi="ar-SA"/>
        </w:rPr>
        <w:t>Consejo</w:t>
      </w:r>
      <w:proofErr w:type="spellEnd"/>
      <w:r w:rsidRPr="00054C1F">
        <w:rPr>
          <w:rFonts w:ascii="Cambria" w:eastAsia="MS Mincho" w:hAnsi="Cambria"/>
          <w:spacing w:val="-4"/>
          <w:lang w:val="en-GB" w:eastAsia="en-US" w:bidi="ar-SA"/>
        </w:rPr>
        <w:t xml:space="preserve"> </w:t>
      </w:r>
      <w:proofErr w:type="spellStart"/>
      <w:r w:rsidRPr="00054C1F">
        <w:rPr>
          <w:rFonts w:ascii="Cambria" w:eastAsia="MS Mincho" w:hAnsi="Cambria"/>
          <w:spacing w:val="-4"/>
          <w:lang w:val="en-GB" w:eastAsia="en-US" w:bidi="ar-SA"/>
        </w:rPr>
        <w:t>Asesor</w:t>
      </w:r>
      <w:proofErr w:type="spellEnd"/>
      <w:r w:rsidRPr="00054C1F">
        <w:rPr>
          <w:rFonts w:ascii="Cambria" w:eastAsia="MS Mincho" w:hAnsi="Cambria"/>
          <w:spacing w:val="-4"/>
          <w:lang w:val="en-GB" w:eastAsia="en-US" w:bidi="ar-SA"/>
        </w:rPr>
        <w:t xml:space="preserve"> de Medio </w:t>
      </w:r>
      <w:proofErr w:type="spellStart"/>
      <w:r w:rsidRPr="00054C1F">
        <w:rPr>
          <w:rFonts w:ascii="Cambria" w:eastAsia="MS Mincho" w:hAnsi="Cambria"/>
          <w:spacing w:val="-4"/>
          <w:lang w:val="en-GB" w:eastAsia="en-US" w:bidi="ar-SA"/>
        </w:rPr>
        <w:t>Ambiente</w:t>
      </w:r>
      <w:proofErr w:type="spellEnd"/>
      <w:r w:rsidRPr="00054C1F">
        <w:rPr>
          <w:rFonts w:ascii="Cambria" w:eastAsia="MS Mincho" w:hAnsi="Cambria"/>
          <w:spacing w:val="-4"/>
          <w:lang w:val="en-GB" w:eastAsia="en-US" w:bidi="ar-SA"/>
        </w:rPr>
        <w:t>), The Consumers' and Users' Council (</w:t>
      </w:r>
      <w:proofErr w:type="spellStart"/>
      <w:r w:rsidRPr="00054C1F">
        <w:rPr>
          <w:rFonts w:ascii="Cambria" w:eastAsia="MS Mincho" w:hAnsi="Cambria"/>
          <w:spacing w:val="-4"/>
          <w:lang w:val="en-GB" w:eastAsia="en-US" w:bidi="ar-SA"/>
        </w:rPr>
        <w:t>Consejo</w:t>
      </w:r>
      <w:proofErr w:type="spellEnd"/>
      <w:r w:rsidRPr="00054C1F">
        <w:rPr>
          <w:rFonts w:ascii="Cambria" w:eastAsia="MS Mincho" w:hAnsi="Cambria"/>
          <w:spacing w:val="-4"/>
          <w:lang w:val="en-GB" w:eastAsia="en-US" w:bidi="ar-SA"/>
        </w:rPr>
        <w:t xml:space="preserve"> de </w:t>
      </w:r>
      <w:proofErr w:type="spellStart"/>
      <w:r w:rsidRPr="00054C1F">
        <w:rPr>
          <w:rFonts w:ascii="Cambria" w:eastAsia="MS Mincho" w:hAnsi="Cambria"/>
          <w:spacing w:val="-4"/>
          <w:lang w:val="en-GB" w:eastAsia="en-US" w:bidi="ar-SA"/>
        </w:rPr>
        <w:t>Consumidores</w:t>
      </w:r>
      <w:proofErr w:type="spellEnd"/>
      <w:r w:rsidRPr="00054C1F">
        <w:rPr>
          <w:rFonts w:ascii="Cambria" w:eastAsia="MS Mincho" w:hAnsi="Cambria"/>
          <w:spacing w:val="-4"/>
          <w:lang w:val="en-GB" w:eastAsia="en-US" w:bidi="ar-SA"/>
        </w:rPr>
        <w:t xml:space="preserve"> y </w:t>
      </w:r>
      <w:proofErr w:type="spellStart"/>
      <w:r w:rsidRPr="00054C1F">
        <w:rPr>
          <w:rFonts w:ascii="Cambria" w:eastAsia="MS Mincho" w:hAnsi="Cambria"/>
          <w:spacing w:val="-4"/>
          <w:lang w:val="en-GB" w:eastAsia="en-US" w:bidi="ar-SA"/>
        </w:rPr>
        <w:t>Usuarios</w:t>
      </w:r>
      <w:proofErr w:type="spellEnd"/>
      <w:r w:rsidRPr="00054C1F">
        <w:rPr>
          <w:rFonts w:ascii="Cambria" w:eastAsia="MS Mincho" w:hAnsi="Cambria"/>
          <w:spacing w:val="-4"/>
          <w:lang w:val="en-GB" w:eastAsia="en-US" w:bidi="ar-SA"/>
        </w:rPr>
        <w:t>), The Council on Women's Participation (</w:t>
      </w:r>
      <w:proofErr w:type="spellStart"/>
      <w:r w:rsidRPr="00054C1F">
        <w:rPr>
          <w:rFonts w:ascii="Cambria" w:eastAsia="MS Mincho" w:hAnsi="Cambria"/>
          <w:spacing w:val="-4"/>
          <w:lang w:val="en-GB" w:eastAsia="en-US" w:bidi="ar-SA"/>
        </w:rPr>
        <w:t>Consejo</w:t>
      </w:r>
      <w:proofErr w:type="spellEnd"/>
      <w:r w:rsidRPr="00054C1F">
        <w:rPr>
          <w:rFonts w:ascii="Cambria" w:eastAsia="MS Mincho" w:hAnsi="Cambria"/>
          <w:spacing w:val="-4"/>
          <w:lang w:val="en-GB" w:eastAsia="en-US" w:bidi="ar-SA"/>
        </w:rPr>
        <w:t xml:space="preserve"> de </w:t>
      </w:r>
      <w:proofErr w:type="spellStart"/>
      <w:r w:rsidRPr="00054C1F">
        <w:rPr>
          <w:rFonts w:ascii="Cambria" w:eastAsia="MS Mincho" w:hAnsi="Cambria"/>
          <w:spacing w:val="-4"/>
          <w:lang w:val="en-GB" w:eastAsia="en-US" w:bidi="ar-SA"/>
        </w:rPr>
        <w:t>Participación</w:t>
      </w:r>
      <w:proofErr w:type="spellEnd"/>
      <w:r w:rsidRPr="00054C1F">
        <w:rPr>
          <w:rFonts w:ascii="Cambria" w:eastAsia="MS Mincho" w:hAnsi="Cambria"/>
          <w:spacing w:val="-4"/>
          <w:lang w:val="en-GB" w:eastAsia="en-US" w:bidi="ar-SA"/>
        </w:rPr>
        <w:t xml:space="preserve"> de la </w:t>
      </w:r>
      <w:proofErr w:type="spellStart"/>
      <w:r w:rsidRPr="00054C1F">
        <w:rPr>
          <w:rFonts w:ascii="Cambria" w:eastAsia="MS Mincho" w:hAnsi="Cambria"/>
          <w:spacing w:val="-4"/>
          <w:lang w:val="en-GB" w:eastAsia="en-US" w:bidi="ar-SA"/>
        </w:rPr>
        <w:t>Mujer</w:t>
      </w:r>
      <w:proofErr w:type="spellEnd"/>
      <w:r w:rsidRPr="00054C1F">
        <w:rPr>
          <w:rFonts w:ascii="Cambria" w:eastAsia="MS Mincho" w:hAnsi="Cambria"/>
          <w:spacing w:val="-4"/>
          <w:lang w:val="en-GB" w:eastAsia="en-US" w:bidi="ar-SA"/>
        </w:rPr>
        <w:t>)</w:t>
      </w:r>
      <w:r w:rsidRPr="00054C1F">
        <w:rPr>
          <w:rFonts w:ascii="Cambria" w:eastAsia="MS Mincho" w:hAnsi="Cambria"/>
          <w:vertAlign w:val="superscript"/>
          <w:lang w:val="en-GB" w:eastAsia="en-US" w:bidi="ar-SA"/>
        </w:rPr>
        <w:footnoteReference w:id="14"/>
      </w:r>
      <w:r w:rsidRPr="00054C1F">
        <w:rPr>
          <w:rFonts w:ascii="Cambria" w:eastAsia="MS Mincho" w:hAnsi="Cambria"/>
          <w:lang w:val="en-GB" w:eastAsia="en-US" w:bidi="ar-SA"/>
        </w:rPr>
        <w:t>.</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Their tasks include delivering opinions, issuing recommendations and producing reports falling under their area of expertise.</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Even if these organisations exist, they remain in an official framework closely linked to the government.</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054C1F">
        <w:rPr>
          <w:rFonts w:ascii="Cambria" w:eastAsia="MS Mincho" w:hAnsi="Cambria"/>
          <w:vertAlign w:val="superscript"/>
          <w:lang w:val="en-GB" w:eastAsia="en-US" w:bidi="ar-SA"/>
        </w:rPr>
        <w:footnoteReference w:id="15"/>
      </w:r>
      <w:r w:rsidRPr="00054C1F">
        <w:rPr>
          <w:rFonts w:ascii="Cambria" w:eastAsia="MS Mincho" w:hAnsi="Cambria"/>
          <w:lang w:val="en-GB" w:eastAsia="en-US" w:bidi="ar-SA"/>
        </w:rPr>
        <w:t xml:space="preserve">. </w:t>
      </w:r>
    </w:p>
    <w:p w:rsidR="00054C1F" w:rsidRPr="00054C1F" w:rsidRDefault="00054C1F" w:rsidP="00054C1F">
      <w:pPr>
        <w:keepNext/>
        <w:suppressLineNumbers/>
        <w:spacing w:before="12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What’s more, a number of significant reforms were introduced starting in 2003</w:t>
      </w:r>
      <w:r w:rsidRPr="00054C1F">
        <w:rPr>
          <w:rFonts w:ascii="Cambria" w:eastAsia="MS Mincho" w:hAnsi="Cambria"/>
          <w:vertAlign w:val="superscript"/>
          <w:lang w:val="en-GB" w:eastAsia="en-US" w:bidi="ar-SA"/>
        </w:rPr>
        <w:footnoteReference w:id="16"/>
      </w:r>
      <w:r w:rsidRPr="00054C1F">
        <w:rPr>
          <w:rFonts w:ascii="Cambria" w:eastAsia="MS Mincho" w:hAnsi="Cambria"/>
          <w:lang w:val="en-GB" w:eastAsia="en-US" w:bidi="ar-SA"/>
        </w:rPr>
        <w:t>, and have gained significant importance with citizens' attempts to respond locally to the difficulties they have been facing since the beginning of the economic crisis, which is particularly virulent in Spain:</w:t>
      </w:r>
    </w:p>
    <w:p w:rsidR="00054C1F" w:rsidRPr="00054C1F" w:rsidRDefault="00054C1F" w:rsidP="00054C1F">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054C1F">
        <w:rPr>
          <w:rFonts w:ascii="Cambria" w:eastAsia="MS Mincho" w:hAnsi="Cambria"/>
          <w:bCs/>
          <w:lang w:val="en-GB" w:eastAsia="en-US" w:bidi="ar-SA"/>
        </w:rPr>
        <w:t xml:space="preserve">“Popular initiatives” </w:t>
      </w:r>
      <w:r w:rsidRPr="00054C1F">
        <w:rPr>
          <w:rFonts w:ascii="Cambria" w:eastAsia="MS Mincho" w:hAnsi="Cambria"/>
          <w:lang w:val="en-GB" w:eastAsia="en-US" w:bidi="ar-SA"/>
        </w:rPr>
        <w:t xml:space="preserve">may now be presented for agreements, actions or draft regulations in matters of municipal competence. </w:t>
      </w:r>
    </w:p>
    <w:p w:rsidR="00054C1F" w:rsidRPr="00054C1F" w:rsidRDefault="00054C1F" w:rsidP="00054C1F">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City councils were obliged to create districts, with the explicit aim of promoting and developing citizen participation in municipal affairs. </w:t>
      </w:r>
    </w:p>
    <w:p w:rsidR="00054C1F" w:rsidRPr="00054C1F" w:rsidRDefault="00054C1F" w:rsidP="00054C1F">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A </w:t>
      </w:r>
      <w:r w:rsidRPr="00054C1F">
        <w:rPr>
          <w:rFonts w:ascii="Cambria" w:eastAsia="MS Mincho" w:hAnsi="Cambria"/>
          <w:bCs/>
          <w:lang w:val="en-GB" w:eastAsia="en-US" w:bidi="ar-SA"/>
        </w:rPr>
        <w:t xml:space="preserve">City Social Council </w:t>
      </w:r>
      <w:r w:rsidRPr="00054C1F">
        <w:rPr>
          <w:rFonts w:ascii="Cambria" w:eastAsia="MS Mincho" w:hAnsi="Cambria"/>
          <w:lang w:val="en-GB" w:eastAsia="en-US" w:bidi="ar-SA"/>
        </w:rPr>
        <w:t>(</w:t>
      </w:r>
      <w:proofErr w:type="spellStart"/>
      <w:r w:rsidRPr="00054C1F">
        <w:rPr>
          <w:rFonts w:ascii="Cambria" w:eastAsia="MS Mincho" w:hAnsi="Cambria"/>
          <w:lang w:val="en-GB" w:eastAsia="en-US" w:bidi="ar-SA"/>
        </w:rPr>
        <w:t>Consejo</w:t>
      </w:r>
      <w:proofErr w:type="spellEnd"/>
      <w:r w:rsidRPr="00054C1F">
        <w:rPr>
          <w:rFonts w:ascii="Cambria" w:eastAsia="MS Mincho" w:hAnsi="Cambria"/>
          <w:lang w:val="en-GB" w:eastAsia="en-US" w:bidi="ar-SA"/>
        </w:rPr>
        <w:t xml:space="preserve"> social de la ciudad) had to be established, composed of representatives of economic, social, </w:t>
      </w:r>
      <w:proofErr w:type="gramStart"/>
      <w:r w:rsidRPr="00054C1F">
        <w:rPr>
          <w:rFonts w:ascii="Cambria" w:eastAsia="MS Mincho" w:hAnsi="Cambria"/>
          <w:lang w:val="en-GB" w:eastAsia="en-US" w:bidi="ar-SA"/>
        </w:rPr>
        <w:t>professional</w:t>
      </w:r>
      <w:proofErr w:type="gramEnd"/>
      <w:r w:rsidRPr="00054C1F">
        <w:rPr>
          <w:rFonts w:ascii="Cambria" w:eastAsia="MS Mincho" w:hAnsi="Cambria"/>
          <w:lang w:val="en-GB" w:eastAsia="en-US" w:bidi="ar-SA"/>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054C1F" w:rsidRPr="00054C1F" w:rsidRDefault="00054C1F" w:rsidP="00054C1F">
      <w:pPr>
        <w:keepNext/>
        <w:numPr>
          <w:ilvl w:val="0"/>
          <w:numId w:val="8"/>
        </w:numPr>
        <w:suppressLineNumbers/>
        <w:spacing w:before="60" w:after="60" w:line="240" w:lineRule="auto"/>
        <w:ind w:left="426" w:hanging="357"/>
        <w:jc w:val="left"/>
        <w:outlineLvl w:val="1"/>
        <w:rPr>
          <w:rFonts w:ascii="Cambria" w:eastAsia="MS Mincho" w:hAnsi="Cambria"/>
          <w:bCs/>
          <w:lang w:val="en-GB" w:eastAsia="en-US" w:bidi="ar-SA"/>
        </w:rPr>
      </w:pPr>
      <w:r w:rsidRPr="00054C1F">
        <w:rPr>
          <w:rFonts w:ascii="Cambria" w:eastAsia="MS Mincho" w:hAnsi="Cambria"/>
          <w:lang w:val="en-GB" w:eastAsia="en-US" w:bidi="ar-SA"/>
        </w:rPr>
        <w:t xml:space="preserve">Finally, Spain is one of the leading countries in Europe in implementing </w:t>
      </w:r>
      <w:r w:rsidRPr="00054C1F">
        <w:rPr>
          <w:rFonts w:ascii="Cambria" w:eastAsia="MS Mincho" w:hAnsi="Cambria"/>
          <w:bCs/>
          <w:lang w:val="en-GB" w:eastAsia="en-US" w:bidi="ar-SA"/>
        </w:rPr>
        <w:t>participatory budgeting</w:t>
      </w:r>
      <w:r w:rsidRPr="00054C1F">
        <w:rPr>
          <w:rFonts w:ascii="Cambria" w:eastAsia="MS Mincho" w:hAnsi="Cambria"/>
          <w:lang w:val="en-GB" w:eastAsia="en-US" w:bidi="ar-SA"/>
        </w:rPr>
        <w:t xml:space="preserve">. </w:t>
      </w:r>
    </w:p>
    <w:p w:rsidR="00054C1F" w:rsidRPr="00054C1F" w:rsidRDefault="00054C1F" w:rsidP="00054C1F">
      <w:pPr>
        <w:keepNext/>
        <w:suppressLineNumbers/>
        <w:spacing w:before="240" w:after="60" w:line="240" w:lineRule="auto"/>
        <w:jc w:val="center"/>
        <w:outlineLvl w:val="1"/>
        <w:rPr>
          <w:rFonts w:ascii="Cambria" w:eastAsia="MS Mincho" w:hAnsi="Cambria"/>
          <w:b/>
          <w:bCs/>
          <w:sz w:val="24"/>
          <w:szCs w:val="24"/>
          <w:lang w:val="en-GB" w:eastAsia="en-US" w:bidi="ar-SA"/>
        </w:rPr>
      </w:pPr>
      <w:r w:rsidRPr="00054C1F">
        <w:rPr>
          <w:rFonts w:ascii="Cambria" w:eastAsia="MS Mincho" w:hAnsi="Cambria"/>
          <w:b/>
          <w:lang w:val="en-GB" w:eastAsia="en-US" w:bidi="ar-SA"/>
        </w:rPr>
        <w:br w:type="page"/>
      </w:r>
      <w:r w:rsidRPr="00054C1F">
        <w:rPr>
          <w:rFonts w:ascii="Cambria" w:eastAsia="MS Mincho" w:hAnsi="Cambria"/>
          <w:b/>
          <w:lang w:val="en-GB" w:eastAsia="en-US" w:bidi="ar-SA"/>
        </w:rPr>
        <w:lastRenderedPageBreak/>
        <w:t xml:space="preserve">1.5. GERMANY: </w:t>
      </w:r>
      <w:r w:rsidRPr="00054C1F">
        <w:rPr>
          <w:rFonts w:ascii="Cambria" w:eastAsia="MS Mincho" w:hAnsi="Cambria"/>
          <w:b/>
          <w:bCs/>
          <w:sz w:val="24"/>
          <w:szCs w:val="24"/>
          <w:lang w:val="en-GB" w:eastAsia="en-US" w:bidi="ar-SA"/>
        </w:rPr>
        <w:t>Variety of Civil Actors and Medium-to-Strong Corporatist Political Structure</w:t>
      </w:r>
    </w:p>
    <w:p w:rsidR="00054C1F" w:rsidRPr="00054C1F" w:rsidRDefault="00054C1F" w:rsidP="00054C1F">
      <w:pPr>
        <w:keepNext/>
        <w:suppressLineNumbers/>
        <w:spacing w:before="240" w:after="60" w:line="240" w:lineRule="auto"/>
        <w:outlineLvl w:val="1"/>
        <w:rPr>
          <w:rFonts w:ascii="Cambria" w:eastAsia="MS Mincho" w:hAnsi="Cambria"/>
          <w:bCs/>
          <w:lang w:val="en-GB" w:eastAsia="en-US" w:bidi="ar-SA"/>
        </w:rPr>
      </w:pPr>
      <w:r w:rsidRPr="00054C1F">
        <w:rPr>
          <w:rFonts w:ascii="Cambria" w:eastAsia="MS Mincho" w:hAnsi="Cambria"/>
          <w:bCs/>
          <w:lang w:val="en-GB" w:eastAsia="en-US" w:bidi="ar-SA"/>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054C1F">
        <w:rPr>
          <w:rFonts w:ascii="Cambria" w:eastAsia="MS Mincho" w:hAnsi="Cambria"/>
          <w:bCs/>
          <w:vertAlign w:val="superscript"/>
          <w:lang w:val="en-GB" w:eastAsia="en-US" w:bidi="ar-SA"/>
        </w:rPr>
        <w:footnoteReference w:id="17"/>
      </w:r>
      <w:r w:rsidRPr="00054C1F">
        <w:rPr>
          <w:rFonts w:ascii="Cambria" w:eastAsia="MS Mincho" w:hAnsi="Cambria"/>
          <w:bCs/>
          <w:lang w:val="en-GB" w:eastAsia="en-US" w:bidi="ar-SA"/>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054C1F">
        <w:rPr>
          <w:rFonts w:ascii="Cambria" w:eastAsia="MS Mincho" w:hAnsi="Cambria"/>
          <w:bCs/>
          <w:vertAlign w:val="superscript"/>
          <w:lang w:val="en-GB" w:eastAsia="en-US" w:bidi="ar-SA"/>
        </w:rPr>
        <w:footnoteReference w:id="18"/>
      </w:r>
      <w:r w:rsidRPr="00054C1F">
        <w:rPr>
          <w:rFonts w:ascii="Cambria" w:eastAsia="MS Mincho" w:hAnsi="Cambria"/>
          <w:bCs/>
          <w:lang w:val="en-GB" w:eastAsia="en-US" w:bidi="ar-SA"/>
        </w:rPr>
        <w:t xml:space="preserve">. </w:t>
      </w:r>
    </w:p>
    <w:p w:rsidR="00054C1F" w:rsidRPr="00054C1F" w:rsidRDefault="00054C1F" w:rsidP="00054C1F">
      <w:pPr>
        <w:keepNext/>
        <w:suppressLineNumbers/>
        <w:spacing w:before="240" w:after="60" w:line="240" w:lineRule="auto"/>
        <w:outlineLvl w:val="1"/>
        <w:rPr>
          <w:rFonts w:ascii="Cambria" w:eastAsia="MS Mincho" w:hAnsi="Cambria"/>
          <w:bCs/>
          <w:lang w:val="en-GB" w:eastAsia="en-US" w:bidi="ar-SA"/>
        </w:rPr>
      </w:pPr>
      <w:r w:rsidRPr="00054C1F">
        <w:rPr>
          <w:rFonts w:ascii="Cambria" w:eastAsia="MS Mincho" w:hAnsi="Cambria"/>
          <w:bCs/>
          <w:spacing w:val="-4"/>
          <w:lang w:val="en-GB" w:eastAsia="en-US" w:bidi="ar-SA"/>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054C1F">
        <w:rPr>
          <w:rFonts w:ascii="Cambria" w:eastAsia="MS Mincho" w:hAnsi="Cambria"/>
          <w:bCs/>
          <w:spacing w:val="-4"/>
          <w:vertAlign w:val="superscript"/>
          <w:lang w:val="en-GB" w:eastAsia="en-US" w:bidi="ar-SA"/>
        </w:rPr>
        <w:footnoteReference w:id="19"/>
      </w:r>
      <w:r w:rsidRPr="00054C1F">
        <w:rPr>
          <w:rFonts w:ascii="Cambria" w:eastAsia="MS Mincho" w:hAnsi="Cambria"/>
          <w:bCs/>
          <w:spacing w:val="-4"/>
          <w:lang w:val="en-GB" w:eastAsia="en-US" w:bidi="ar-SA"/>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054C1F">
        <w:rPr>
          <w:rFonts w:ascii="Cambria" w:eastAsia="MS Mincho" w:hAnsi="Cambria"/>
          <w:bCs/>
          <w:lang w:val="en-GB" w:eastAsia="en-US" w:bidi="ar-SA"/>
        </w:rPr>
        <w:t xml:space="preserve"> </w:t>
      </w:r>
      <w:r w:rsidRPr="00054C1F">
        <w:rPr>
          <w:rFonts w:ascii="Cambria" w:eastAsia="MS Mincho" w:hAnsi="Cambria"/>
          <w:bCs/>
          <w:vertAlign w:val="superscript"/>
          <w:lang w:val="en-GB" w:eastAsia="en-US" w:bidi="ar-SA"/>
        </w:rPr>
        <w:footnoteReference w:id="20"/>
      </w:r>
    </w:p>
    <w:p w:rsidR="00054C1F" w:rsidRPr="00054C1F" w:rsidRDefault="00054C1F" w:rsidP="00054C1F">
      <w:pPr>
        <w:keepNext/>
        <w:suppressLineNumbers/>
        <w:spacing w:before="240" w:after="60" w:line="240" w:lineRule="auto"/>
        <w:outlineLvl w:val="1"/>
        <w:rPr>
          <w:rFonts w:ascii="Cambria" w:eastAsia="MS Mincho" w:hAnsi="Cambria"/>
          <w:bCs/>
          <w:lang w:val="en-GB" w:eastAsia="en-US" w:bidi="ar-SA"/>
        </w:rPr>
      </w:pPr>
      <w:r w:rsidRPr="00054C1F">
        <w:rPr>
          <w:rFonts w:ascii="Cambria" w:eastAsia="MS Mincho" w:hAnsi="Cambria"/>
          <w:bCs/>
          <w:lang w:val="en-GB" w:eastAsia="en-US" w:bidi="ar-SA"/>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054C1F" w:rsidRPr="00054C1F" w:rsidRDefault="00054C1F" w:rsidP="00054C1F">
      <w:pPr>
        <w:keepNext/>
        <w:suppressLineNumbers/>
        <w:spacing w:before="240" w:after="60" w:line="240" w:lineRule="auto"/>
        <w:outlineLvl w:val="1"/>
        <w:rPr>
          <w:rFonts w:ascii="Cambria" w:eastAsia="MS Mincho" w:hAnsi="Cambria"/>
          <w:bCs/>
          <w:lang w:val="en-GB" w:eastAsia="en-US" w:bidi="ar-SA"/>
        </w:rPr>
      </w:pPr>
      <w:r w:rsidRPr="00054C1F">
        <w:rPr>
          <w:rFonts w:ascii="Cambria" w:eastAsia="MS Mincho" w:hAnsi="Cambria"/>
          <w:bCs/>
          <w:lang w:val="en-GB" w:eastAsia="en-US" w:bidi="ar-SA"/>
        </w:rPr>
        <w:t>In order to combine national-level engagement politics with European integration politics, EM Germany and the “National Network for Civil Society” BBE</w:t>
      </w:r>
      <w:r w:rsidRPr="00054C1F">
        <w:rPr>
          <w:rFonts w:ascii="Cambria" w:eastAsia="MS Mincho" w:hAnsi="Cambria"/>
          <w:bCs/>
          <w:vertAlign w:val="superscript"/>
          <w:lang w:val="en-GB" w:eastAsia="en-US" w:bidi="ar-SA"/>
        </w:rPr>
        <w:footnoteReference w:id="21"/>
      </w:r>
      <w:r w:rsidRPr="00054C1F">
        <w:rPr>
          <w:rFonts w:ascii="Cambria" w:eastAsia="MS Mincho" w:hAnsi="Cambria"/>
          <w:bCs/>
          <w:lang w:val="en-GB" w:eastAsia="en-US" w:bidi="ar-SA"/>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054C1F">
        <w:rPr>
          <w:rFonts w:ascii="Cambria" w:eastAsia="MS Mincho" w:hAnsi="Cambria"/>
          <w:lang w:val="en-GB" w:eastAsia="en-US" w:bidi="ar-SA"/>
        </w:rPr>
        <w:t>”</w:t>
      </w:r>
      <w:r w:rsidRPr="00054C1F">
        <w:rPr>
          <w:rFonts w:ascii="Cambria" w:eastAsia="MS Mincho" w:hAnsi="Cambria"/>
          <w:bCs/>
          <w:lang w:val="en-GB" w:eastAsia="en-US" w:bidi="ar-SA"/>
        </w:rPr>
        <w:t>.</w:t>
      </w:r>
    </w:p>
    <w:p w:rsidR="00054C1F" w:rsidRPr="00054C1F" w:rsidRDefault="00054C1F" w:rsidP="00054C1F">
      <w:pPr>
        <w:keepNext/>
        <w:suppressLineNumbers/>
        <w:spacing w:before="240" w:after="60" w:line="240" w:lineRule="auto"/>
        <w:outlineLvl w:val="1"/>
        <w:rPr>
          <w:rFonts w:ascii="Cambria" w:eastAsia="MS Mincho" w:hAnsi="Cambria"/>
          <w:bCs/>
          <w:lang w:val="en-GB" w:eastAsia="en-US" w:bidi="ar-SA"/>
        </w:rPr>
      </w:pPr>
      <w:r w:rsidRPr="00054C1F">
        <w:rPr>
          <w:rFonts w:ascii="Cambria" w:eastAsia="MS Mincho" w:hAnsi="Cambria"/>
          <w:bCs/>
          <w:lang w:val="en-GB" w:eastAsia="en-US" w:bidi="ar-SA"/>
        </w:rPr>
        <w:t xml:space="preserve">The close cooperation of EM Germany with the Federal Foreign office has been officially assigned since 2011. Not only is internal federalism a major challenge for German EU </w:t>
      </w:r>
      <w:r w:rsidRPr="00054C1F">
        <w:rPr>
          <w:rFonts w:ascii="Cambria" w:eastAsia="MS Mincho" w:hAnsi="Cambria"/>
          <w:bCs/>
          <w:lang w:val="en-GB" w:eastAsia="en-US" w:bidi="ar-SA"/>
        </w:rPr>
        <w:lastRenderedPageBreak/>
        <w:t xml:space="preserve">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054C1F">
        <w:rPr>
          <w:rFonts w:ascii="Cambria" w:eastAsia="MS Mincho" w:hAnsi="Cambria"/>
          <w:bCs/>
          <w:lang w:val="en-GB" w:eastAsia="en-US" w:bidi="ar-SA"/>
        </w:rPr>
        <w:t>11 TEU.</w:t>
      </w:r>
      <w:proofErr w:type="gramEnd"/>
      <w:r w:rsidRPr="00054C1F">
        <w:rPr>
          <w:rFonts w:ascii="Cambria" w:eastAsia="MS Mincho" w:hAnsi="Cambria"/>
          <w:bCs/>
          <w:lang w:val="en-GB" w:eastAsia="en-US" w:bidi="ar-SA"/>
        </w:rPr>
        <w:t xml:space="preserve"> </w:t>
      </w:r>
    </w:p>
    <w:p w:rsidR="00054C1F" w:rsidRDefault="00054C1F" w:rsidP="00054C1F">
      <w:pPr>
        <w:keepNext/>
        <w:suppressLineNumbers/>
        <w:spacing w:before="240" w:after="60" w:line="240" w:lineRule="auto"/>
        <w:outlineLvl w:val="1"/>
        <w:rPr>
          <w:rFonts w:ascii="Cambria" w:eastAsia="MS Mincho" w:hAnsi="Cambria"/>
          <w:bCs/>
          <w:lang w:val="en-GB" w:eastAsia="en-US" w:bidi="ar-SA"/>
        </w:rPr>
      </w:pPr>
      <w:r w:rsidRPr="00054C1F">
        <w:rPr>
          <w:rFonts w:ascii="Cambria" w:eastAsia="MS Mincho" w:hAnsi="Cambria"/>
          <w:bCs/>
          <w:lang w:val="en-GB" w:eastAsia="en-US" w:bidi="ar-SA"/>
        </w:rPr>
        <w:t xml:space="preserve">Above all, the extensive use of </w:t>
      </w:r>
      <w:proofErr w:type="spellStart"/>
      <w:r w:rsidRPr="00054C1F">
        <w:rPr>
          <w:rFonts w:ascii="Cambria" w:eastAsia="MS Mincho" w:hAnsi="Cambria"/>
          <w:bCs/>
          <w:lang w:val="en-GB" w:eastAsia="en-US" w:bidi="ar-SA"/>
        </w:rPr>
        <w:t>trilogues</w:t>
      </w:r>
      <w:proofErr w:type="spellEnd"/>
      <w:r w:rsidRPr="00054C1F">
        <w:rPr>
          <w:rFonts w:ascii="Cambria" w:eastAsia="MS Mincho" w:hAnsi="Cambria"/>
          <w:bCs/>
          <w:lang w:val="en-GB" w:eastAsia="en-US" w:bidi="ar-SA"/>
        </w:rPr>
        <w:t xml:space="preserve"> during the EU's legislation process makes it extremely difficult to balance the need for efficient law-making and transparency. </w:t>
      </w:r>
    </w:p>
    <w:p w:rsidR="00054C1F" w:rsidRDefault="00054C1F">
      <w:pPr>
        <w:spacing w:line="240" w:lineRule="auto"/>
        <w:jc w:val="left"/>
        <w:rPr>
          <w:rFonts w:ascii="Cambria" w:eastAsia="MS Mincho" w:hAnsi="Cambria"/>
          <w:bCs/>
          <w:lang w:val="en-GB" w:eastAsia="en-US" w:bidi="ar-SA"/>
        </w:rPr>
      </w:pPr>
      <w:r>
        <w:rPr>
          <w:rFonts w:ascii="Cambria" w:eastAsia="MS Mincho" w:hAnsi="Cambria"/>
          <w:bCs/>
          <w:lang w:val="en-GB" w:eastAsia="en-US" w:bidi="ar-SA"/>
        </w:rPr>
        <w:br w:type="page"/>
      </w:r>
    </w:p>
    <w:p w:rsidR="00054C1F" w:rsidRPr="00054C1F" w:rsidRDefault="00054C1F" w:rsidP="00054C1F">
      <w:pPr>
        <w:spacing w:line="240" w:lineRule="auto"/>
        <w:jc w:val="center"/>
        <w:rPr>
          <w:rFonts w:eastAsia="MS Mincho"/>
          <w:b/>
          <w:sz w:val="24"/>
          <w:szCs w:val="24"/>
          <w:lang w:val="en-GB" w:eastAsia="en-US" w:bidi="ar-SA"/>
        </w:rPr>
      </w:pPr>
      <w:r w:rsidRPr="00054C1F">
        <w:rPr>
          <w:rFonts w:eastAsia="MS Mincho"/>
          <w:b/>
          <w:sz w:val="24"/>
          <w:szCs w:val="24"/>
          <w:lang w:val="en-GB" w:eastAsia="en-US" w:bidi="ar-SA"/>
        </w:rPr>
        <w:lastRenderedPageBreak/>
        <w:t>1.6. ESTONIA: Innovative Policy Idea Crowdsourcing Process</w:t>
      </w:r>
    </w:p>
    <w:p w:rsidR="00054C1F" w:rsidRPr="00054C1F" w:rsidRDefault="00054C1F" w:rsidP="00054C1F">
      <w:pPr>
        <w:spacing w:line="240" w:lineRule="auto"/>
        <w:jc w:val="center"/>
        <w:rPr>
          <w:rFonts w:eastAsia="MS Mincho"/>
          <w:b/>
          <w:sz w:val="24"/>
          <w:szCs w:val="24"/>
          <w:lang w:val="en-GB" w:eastAsia="en-US" w:bidi="ar-SA"/>
        </w:rPr>
      </w:pPr>
    </w:p>
    <w:p w:rsidR="00054C1F" w:rsidRPr="00054C1F" w:rsidRDefault="00054C1F" w:rsidP="00054C1F">
      <w:pPr>
        <w:spacing w:line="240" w:lineRule="auto"/>
        <w:rPr>
          <w:rFonts w:eastAsia="MS Mincho"/>
          <w:sz w:val="24"/>
          <w:szCs w:val="24"/>
          <w:lang w:val="en-GB" w:eastAsia="en-US" w:bidi="ar-SA"/>
        </w:rPr>
      </w:pPr>
      <w:r w:rsidRPr="00054C1F">
        <w:rPr>
          <w:rFonts w:eastAsia="MS Mincho"/>
          <w:sz w:val="24"/>
          <w:szCs w:val="24"/>
          <w:lang w:val="en-GB" w:eastAsia="en-US" w:bidi="ar-SA"/>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054C1F" w:rsidRPr="00054C1F" w:rsidRDefault="00054C1F" w:rsidP="00054C1F">
      <w:pPr>
        <w:spacing w:line="240" w:lineRule="auto"/>
        <w:jc w:val="left"/>
        <w:rPr>
          <w:rFonts w:eastAsia="MS Mincho"/>
          <w:sz w:val="24"/>
          <w:szCs w:val="24"/>
          <w:lang w:val="en-GB" w:eastAsia="en-US" w:bidi="ar-SA"/>
        </w:rPr>
      </w:pPr>
    </w:p>
    <w:p w:rsidR="00054C1F" w:rsidRPr="00054C1F" w:rsidRDefault="00054C1F" w:rsidP="00054C1F">
      <w:pPr>
        <w:spacing w:line="240" w:lineRule="auto"/>
        <w:jc w:val="left"/>
        <w:rPr>
          <w:rFonts w:eastAsia="MS Mincho"/>
          <w:sz w:val="24"/>
          <w:szCs w:val="24"/>
          <w:lang w:val="en-GB" w:eastAsia="en-US" w:bidi="ar-SA"/>
        </w:rPr>
      </w:pPr>
      <w:r w:rsidRPr="00054C1F">
        <w:rPr>
          <w:rFonts w:eastAsia="MS Mincho"/>
          <w:sz w:val="24"/>
          <w:szCs w:val="24"/>
          <w:lang w:val="en-GB" w:eastAsia="en-US" w:bidi="ar-SA"/>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054C1F">
        <w:rPr>
          <w:rFonts w:eastAsia="MS Mincho"/>
          <w:sz w:val="24"/>
          <w:szCs w:val="24"/>
          <w:lang w:val="en-GB" w:eastAsia="en-US" w:bidi="ar-SA"/>
        </w:rPr>
        <w:t>Toomas</w:t>
      </w:r>
      <w:proofErr w:type="spellEnd"/>
      <w:r w:rsidRPr="00054C1F">
        <w:rPr>
          <w:rFonts w:eastAsia="MS Mincho"/>
          <w:sz w:val="24"/>
          <w:szCs w:val="24"/>
          <w:lang w:val="en-GB" w:eastAsia="en-US" w:bidi="ar-SA"/>
        </w:rPr>
        <w:t xml:space="preserve"> Hendrik </w:t>
      </w:r>
      <w:proofErr w:type="spellStart"/>
      <w:r w:rsidRPr="00054C1F">
        <w:rPr>
          <w:rFonts w:eastAsia="MS Mincho"/>
          <w:sz w:val="24"/>
          <w:szCs w:val="24"/>
          <w:lang w:val="en-GB" w:eastAsia="en-US" w:bidi="ar-SA"/>
        </w:rPr>
        <w:t>Ilves</w:t>
      </w:r>
      <w:proofErr w:type="spellEnd"/>
      <w:r w:rsidRPr="00054C1F">
        <w:rPr>
          <w:rFonts w:eastAsia="MS Mincho"/>
          <w:sz w:val="24"/>
          <w:szCs w:val="24"/>
          <w:lang w:val="en-GB" w:eastAsia="en-US" w:bidi="ar-SA"/>
        </w:rPr>
        <w:t>. The proposals were discussed by the Parliament and some of them have already been transformed into law (example, the proposal to institutionalise agenda-setting civic initiatives).</w:t>
      </w:r>
    </w:p>
    <w:p w:rsidR="00054C1F" w:rsidRPr="00054C1F" w:rsidRDefault="00054C1F" w:rsidP="00054C1F">
      <w:pPr>
        <w:spacing w:line="240" w:lineRule="auto"/>
        <w:jc w:val="left"/>
        <w:rPr>
          <w:rFonts w:eastAsia="MS Mincho"/>
          <w:sz w:val="24"/>
          <w:szCs w:val="24"/>
          <w:lang w:val="en-GB" w:eastAsia="en-US" w:bidi="ar-SA"/>
        </w:rPr>
      </w:pPr>
    </w:p>
    <w:p w:rsidR="00054C1F" w:rsidRDefault="00054C1F">
      <w:pPr>
        <w:spacing w:line="240" w:lineRule="auto"/>
        <w:jc w:val="left"/>
        <w:rPr>
          <w:b/>
          <w:sz w:val="24"/>
          <w:szCs w:val="24"/>
          <w:lang w:val="en-GB" w:eastAsia="lv-LV" w:bidi="ar-SA"/>
        </w:rPr>
      </w:pPr>
      <w:r>
        <w:rPr>
          <w:b/>
          <w:sz w:val="24"/>
          <w:szCs w:val="24"/>
          <w:lang w:val="en-GB" w:eastAsia="lv-LV" w:bidi="ar-SA"/>
        </w:rPr>
        <w:br w:type="page"/>
      </w:r>
    </w:p>
    <w:p w:rsidR="00054C1F" w:rsidRPr="00054C1F" w:rsidRDefault="00054C1F" w:rsidP="00054C1F">
      <w:pPr>
        <w:spacing w:line="240" w:lineRule="auto"/>
        <w:jc w:val="center"/>
        <w:rPr>
          <w:b/>
          <w:sz w:val="24"/>
          <w:szCs w:val="24"/>
          <w:lang w:val="en-GB" w:eastAsia="lv-LV" w:bidi="ar-SA"/>
        </w:rPr>
      </w:pPr>
      <w:r w:rsidRPr="00054C1F">
        <w:rPr>
          <w:b/>
          <w:sz w:val="24"/>
          <w:szCs w:val="24"/>
          <w:lang w:val="en-GB" w:eastAsia="lv-LV" w:bidi="ar-SA"/>
        </w:rPr>
        <w:lastRenderedPageBreak/>
        <w:t>1.7. LATVIA: Institutionalising E-participation</w:t>
      </w:r>
    </w:p>
    <w:p w:rsidR="00054C1F" w:rsidRPr="00054C1F" w:rsidRDefault="00054C1F" w:rsidP="00054C1F">
      <w:pPr>
        <w:spacing w:line="240" w:lineRule="auto"/>
        <w:jc w:val="left"/>
        <w:rPr>
          <w:sz w:val="24"/>
          <w:szCs w:val="24"/>
          <w:lang w:val="en-GB" w:eastAsia="lv-LV" w:bidi="ar-SA"/>
        </w:rPr>
      </w:pPr>
    </w:p>
    <w:p w:rsidR="00054C1F" w:rsidRPr="00054C1F" w:rsidRDefault="00054C1F" w:rsidP="00054C1F">
      <w:pPr>
        <w:spacing w:line="240" w:lineRule="auto"/>
        <w:rPr>
          <w:sz w:val="24"/>
          <w:szCs w:val="24"/>
          <w:lang w:val="en-GB" w:eastAsia="lv-LV" w:bidi="ar-SA"/>
        </w:rPr>
      </w:pPr>
      <w:r w:rsidRPr="00054C1F">
        <w:rPr>
          <w:sz w:val="24"/>
          <w:szCs w:val="24"/>
          <w:lang w:val="en-GB" w:eastAsia="lv-LV" w:bidi="ar-SA"/>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054C1F" w:rsidRPr="00054C1F" w:rsidRDefault="00054C1F" w:rsidP="00054C1F">
      <w:pPr>
        <w:spacing w:line="240" w:lineRule="auto"/>
        <w:rPr>
          <w:sz w:val="24"/>
          <w:szCs w:val="24"/>
          <w:lang w:val="en-GB" w:eastAsia="lv-LV" w:bidi="ar-SA"/>
        </w:rPr>
      </w:pPr>
    </w:p>
    <w:p w:rsidR="00054C1F" w:rsidRPr="00054C1F" w:rsidRDefault="00054C1F" w:rsidP="00054C1F">
      <w:pPr>
        <w:spacing w:line="240" w:lineRule="auto"/>
        <w:rPr>
          <w:sz w:val="24"/>
          <w:szCs w:val="24"/>
          <w:lang w:val="en-GB" w:eastAsia="lv-LV" w:bidi="ar-SA"/>
        </w:rPr>
      </w:pPr>
      <w:r w:rsidRPr="00054C1F">
        <w:rPr>
          <w:sz w:val="24"/>
          <w:szCs w:val="24"/>
          <w:lang w:val="en-GB" w:eastAsia="lv-LV" w:bidi="ar-SA"/>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054C1F" w:rsidRPr="00054C1F" w:rsidRDefault="00054C1F" w:rsidP="00054C1F">
      <w:pPr>
        <w:spacing w:line="240" w:lineRule="auto"/>
        <w:rPr>
          <w:sz w:val="24"/>
          <w:szCs w:val="24"/>
          <w:lang w:val="en-GB" w:eastAsia="lv-LV" w:bidi="ar-SA"/>
        </w:rPr>
      </w:pPr>
    </w:p>
    <w:p w:rsidR="00054C1F" w:rsidRPr="00054C1F" w:rsidRDefault="00054C1F" w:rsidP="00054C1F">
      <w:pPr>
        <w:spacing w:line="240" w:lineRule="auto"/>
        <w:rPr>
          <w:sz w:val="24"/>
          <w:szCs w:val="24"/>
          <w:lang w:val="en-GB" w:eastAsia="lv-LV" w:bidi="ar-SA"/>
        </w:rPr>
      </w:pPr>
      <w:r w:rsidRPr="00054C1F">
        <w:rPr>
          <w:sz w:val="24"/>
          <w:szCs w:val="24"/>
          <w:lang w:val="en-GB" w:eastAsia="lv-LV" w:bidi="ar-SA"/>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054C1F" w:rsidRPr="00054C1F" w:rsidRDefault="00054C1F" w:rsidP="00054C1F">
      <w:pPr>
        <w:spacing w:line="240" w:lineRule="auto"/>
        <w:rPr>
          <w:sz w:val="24"/>
          <w:szCs w:val="24"/>
          <w:lang w:val="en-GB" w:eastAsia="lv-LV" w:bidi="ar-SA"/>
        </w:rPr>
      </w:pPr>
    </w:p>
    <w:p w:rsidR="00054C1F" w:rsidRPr="00054C1F" w:rsidRDefault="00054C1F" w:rsidP="00054C1F">
      <w:pPr>
        <w:spacing w:line="240" w:lineRule="auto"/>
        <w:rPr>
          <w:sz w:val="24"/>
          <w:szCs w:val="24"/>
          <w:lang w:val="en-GB" w:eastAsia="lv-LV" w:bidi="ar-SA"/>
        </w:rPr>
      </w:pPr>
      <w:r w:rsidRPr="00054C1F">
        <w:rPr>
          <w:sz w:val="24"/>
          <w:szCs w:val="24"/>
          <w:lang w:val="en-GB" w:eastAsia="lv-LV" w:bidi="ar-SA"/>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Bibliography</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D. </w:t>
      </w:r>
      <w:proofErr w:type="spellStart"/>
      <w:r w:rsidRPr="00054C1F">
        <w:rPr>
          <w:rFonts w:ascii="Cambria" w:eastAsia="MS Mincho" w:hAnsi="Cambria"/>
          <w:lang w:val="en-GB" w:eastAsia="en-US" w:bidi="ar-SA"/>
        </w:rPr>
        <w:t>Chabanet</w:t>
      </w:r>
      <w:proofErr w:type="spellEnd"/>
      <w:r w:rsidRPr="00054C1F">
        <w:rPr>
          <w:rFonts w:ascii="Cambria" w:eastAsia="MS Mincho" w:hAnsi="Cambria"/>
          <w:lang w:val="en-GB" w:eastAsia="en-US" w:bidi="ar-SA"/>
        </w:rPr>
        <w:t xml:space="preserve"> and A. </w:t>
      </w:r>
      <w:proofErr w:type="spellStart"/>
      <w:r w:rsidRPr="00054C1F">
        <w:rPr>
          <w:rFonts w:ascii="Cambria" w:eastAsia="MS Mincho" w:hAnsi="Cambria"/>
          <w:lang w:val="en-GB" w:eastAsia="en-US" w:bidi="ar-SA"/>
        </w:rPr>
        <w:t>H.Trechsel</w:t>
      </w:r>
      <w:proofErr w:type="spellEnd"/>
      <w:r w:rsidRPr="00054C1F">
        <w:rPr>
          <w:rFonts w:ascii="Cambria" w:eastAsia="MS Mincho" w:hAnsi="Cambria"/>
          <w:lang w:val="en-GB" w:eastAsia="en-US" w:bidi="ar-SA"/>
        </w:rPr>
        <w:t xml:space="preserve">, </w:t>
      </w:r>
      <w:r w:rsidRPr="00054C1F">
        <w:rPr>
          <w:rFonts w:ascii="Cambria" w:eastAsia="MS Mincho" w:hAnsi="Cambria"/>
          <w:bCs/>
          <w:i/>
          <w:lang w:val="en-GB" w:eastAsia="en-US" w:bidi="ar-SA"/>
        </w:rPr>
        <w:t>EU Member States’ Consultation with Civil Society on European Policy Matters</w:t>
      </w:r>
      <w:r w:rsidRPr="00054C1F">
        <w:rPr>
          <w:rFonts w:ascii="Cambria" w:eastAsia="MS Mincho" w:hAnsi="Cambria"/>
          <w:bCs/>
          <w:lang w:val="en-GB" w:eastAsia="en-US" w:bidi="ar-SA"/>
        </w:rPr>
        <w:t>, Robert Schuman Centre for Advanced Studies, European University Institute, 10. 2011.</w:t>
      </w:r>
    </w:p>
    <w:p w:rsidR="00054C1F" w:rsidRPr="00054C1F" w:rsidRDefault="00054C1F" w:rsidP="00054C1F">
      <w:pPr>
        <w:keepNext/>
        <w:suppressLineNumbers/>
        <w:spacing w:before="240" w:after="60" w:line="240" w:lineRule="auto"/>
        <w:jc w:val="left"/>
        <w:outlineLvl w:val="1"/>
        <w:rPr>
          <w:rFonts w:ascii="Cambria" w:eastAsia="MS Mincho" w:hAnsi="Cambria"/>
          <w:lang w:val="en-GB" w:eastAsia="en-US" w:bidi="ar-SA"/>
        </w:rPr>
      </w:pPr>
      <w:hyperlink r:id="rId13" w:history="1">
        <w:r w:rsidRPr="00054C1F">
          <w:rPr>
            <w:rFonts w:ascii="Cambria" w:eastAsia="MS Mincho" w:hAnsi="Cambria"/>
            <w:color w:val="0000FF"/>
            <w:u w:val="single"/>
            <w:lang w:val="en-GB" w:eastAsia="en-US" w:bidi="ar-SA"/>
          </w:rPr>
          <w:t>http://cadmus.eui.eu/bitstream/handle/1814/19357/EUDO_Report_2011_04.pdf?sequence=1</w:t>
        </w:r>
      </w:hyperlink>
    </w:p>
    <w:p w:rsidR="00054C1F" w:rsidRPr="00054C1F" w:rsidRDefault="00054C1F" w:rsidP="00054C1F">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054C1F">
        <w:rPr>
          <w:rFonts w:ascii="Cambria" w:eastAsia="MS Mincho" w:hAnsi="Cambria"/>
          <w:i/>
          <w:lang w:val="en-GB" w:eastAsia="en-US" w:bidi="ar-SA"/>
        </w:rPr>
        <w:t xml:space="preserve">For A Democratic Europe Now, </w:t>
      </w:r>
      <w:r w:rsidRPr="00054C1F">
        <w:rPr>
          <w:rFonts w:ascii="Cambria" w:eastAsia="MS Mincho" w:hAnsi="Cambria"/>
          <w:lang w:val="en-GB" w:eastAsia="en-US" w:bidi="ar-SA"/>
        </w:rPr>
        <w:t xml:space="preserve">Final Report of the “Real Civil Society Democracy in Europe” project led by Civil Society Organisations CSV (UK), </w:t>
      </w:r>
      <w:proofErr w:type="spellStart"/>
      <w:r w:rsidRPr="00054C1F">
        <w:rPr>
          <w:rFonts w:ascii="Cambria" w:eastAsia="MS Mincho" w:hAnsi="Cambria"/>
          <w:lang w:val="en-GB" w:eastAsia="en-US" w:bidi="ar-SA"/>
        </w:rPr>
        <w:t>Solidar</w:t>
      </w:r>
      <w:proofErr w:type="spellEnd"/>
      <w:r w:rsidRPr="00054C1F">
        <w:rPr>
          <w:rFonts w:ascii="Cambria" w:eastAsia="MS Mincho" w:hAnsi="Cambria"/>
          <w:lang w:val="en-GB" w:eastAsia="en-US" w:bidi="ar-SA"/>
        </w:rPr>
        <w:t xml:space="preserve"> (EU network), La </w:t>
      </w:r>
      <w:proofErr w:type="spellStart"/>
      <w:r w:rsidRPr="00054C1F">
        <w:rPr>
          <w:rFonts w:ascii="Cambria" w:eastAsia="MS Mincho" w:hAnsi="Cambria"/>
          <w:lang w:val="en-GB" w:eastAsia="en-US" w:bidi="ar-SA"/>
        </w:rPr>
        <w:t>Ligue</w:t>
      </w:r>
      <w:proofErr w:type="spellEnd"/>
      <w:r w:rsidRPr="00054C1F">
        <w:rPr>
          <w:rFonts w:ascii="Cambria" w:eastAsia="MS Mincho" w:hAnsi="Cambria"/>
          <w:lang w:val="en-GB" w:eastAsia="en-US" w:bidi="ar-SA"/>
        </w:rPr>
        <w:t xml:space="preserve"> de </w:t>
      </w:r>
      <w:proofErr w:type="spellStart"/>
      <w:r w:rsidRPr="00054C1F">
        <w:rPr>
          <w:rFonts w:ascii="Cambria" w:eastAsia="MS Mincho" w:hAnsi="Cambria"/>
          <w:lang w:val="en-GB" w:eastAsia="en-US" w:bidi="ar-SA"/>
        </w:rPr>
        <w:t>l’Enseignement</w:t>
      </w:r>
      <w:proofErr w:type="spellEnd"/>
      <w:r w:rsidRPr="00054C1F">
        <w:rPr>
          <w:rFonts w:ascii="Cambria" w:eastAsia="MS Mincho" w:hAnsi="Cambria"/>
          <w:lang w:val="en-GB" w:eastAsia="en-US" w:bidi="ar-SA"/>
        </w:rPr>
        <w:t xml:space="preserve"> (FR), Forum for International Cooperation Denmark (DK), IDEAS Institute (IR) and </w:t>
      </w:r>
      <w:proofErr w:type="spellStart"/>
      <w:r w:rsidRPr="00054C1F">
        <w:rPr>
          <w:rFonts w:ascii="Cambria" w:eastAsia="MS Mincho" w:hAnsi="Cambria"/>
          <w:lang w:val="en-GB" w:eastAsia="en-US" w:bidi="ar-SA"/>
        </w:rPr>
        <w:t>Confederazione</w:t>
      </w:r>
      <w:proofErr w:type="spellEnd"/>
      <w:r w:rsidRPr="00054C1F">
        <w:rPr>
          <w:rFonts w:ascii="Cambria" w:eastAsia="MS Mincho" w:hAnsi="Cambria"/>
          <w:lang w:val="en-GB" w:eastAsia="en-US" w:bidi="ar-SA"/>
        </w:rPr>
        <w:t xml:space="preserve"> </w:t>
      </w:r>
      <w:proofErr w:type="spellStart"/>
      <w:r w:rsidRPr="00054C1F">
        <w:rPr>
          <w:rFonts w:ascii="Cambria" w:eastAsia="MS Mincho" w:hAnsi="Cambria"/>
          <w:lang w:val="en-GB" w:eastAsia="en-US" w:bidi="ar-SA"/>
        </w:rPr>
        <w:t>Generale</w:t>
      </w:r>
      <w:proofErr w:type="spellEnd"/>
      <w:r w:rsidRPr="00054C1F">
        <w:rPr>
          <w:rFonts w:ascii="Cambria" w:eastAsia="MS Mincho" w:hAnsi="Cambria"/>
          <w:lang w:val="en-GB" w:eastAsia="en-US" w:bidi="ar-SA"/>
        </w:rPr>
        <w:t xml:space="preserve"> </w:t>
      </w:r>
      <w:proofErr w:type="spellStart"/>
      <w:r w:rsidRPr="00054C1F">
        <w:rPr>
          <w:rFonts w:ascii="Cambria" w:eastAsia="MS Mincho" w:hAnsi="Cambria"/>
          <w:lang w:val="en-GB" w:eastAsia="en-US" w:bidi="ar-SA"/>
        </w:rPr>
        <w:t>Italiana</w:t>
      </w:r>
      <w:proofErr w:type="spellEnd"/>
      <w:r w:rsidRPr="00054C1F">
        <w:rPr>
          <w:rFonts w:ascii="Cambria" w:eastAsia="MS Mincho" w:hAnsi="Cambria"/>
          <w:lang w:val="en-GB" w:eastAsia="en-US" w:bidi="ar-SA"/>
        </w:rPr>
        <w:t xml:space="preserve"> del </w:t>
      </w:r>
      <w:proofErr w:type="spellStart"/>
      <w:r w:rsidRPr="00054C1F">
        <w:rPr>
          <w:rFonts w:ascii="Cambria" w:eastAsia="MS Mincho" w:hAnsi="Cambria"/>
          <w:lang w:val="en-GB" w:eastAsia="en-US" w:bidi="ar-SA"/>
        </w:rPr>
        <w:t>Lavoro</w:t>
      </w:r>
      <w:proofErr w:type="spellEnd"/>
      <w:r w:rsidRPr="00054C1F">
        <w:rPr>
          <w:rFonts w:ascii="Cambria" w:eastAsia="MS Mincho" w:hAnsi="Cambria"/>
          <w:lang w:val="en-GB" w:eastAsia="en-US" w:bidi="ar-SA"/>
        </w:rPr>
        <w:t xml:space="preserve"> (IT), November 2014. </w:t>
      </w:r>
      <w:hyperlink r:id="rId14" w:history="1">
        <w:r w:rsidRPr="00054C1F">
          <w:rPr>
            <w:rFonts w:ascii="Cambria" w:eastAsia="MS Mincho" w:hAnsi="Cambria"/>
            <w:color w:val="0000FF"/>
            <w:u w:val="single"/>
            <w:lang w:val="en-GB" w:eastAsia="en-US" w:bidi="ar-SA"/>
          </w:rPr>
          <w:t>http://www.solidar.org/IMG/pdf/for_a_democratic_europe_web.pdf</w:t>
        </w:r>
      </w:hyperlink>
    </w:p>
    <w:p w:rsidR="00054C1F" w:rsidRPr="00054C1F" w:rsidRDefault="00054C1F" w:rsidP="00054C1F">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2013 CSO Sustainability Index for Central and Eastern Europe and Eurasia, 17</w:t>
      </w:r>
      <w:r w:rsidRPr="00054C1F">
        <w:rPr>
          <w:rFonts w:ascii="Cambria" w:eastAsia="MS Mincho" w:hAnsi="Cambria"/>
          <w:vertAlign w:val="superscript"/>
          <w:lang w:val="en-GB" w:eastAsia="en-US" w:bidi="ar-SA"/>
        </w:rPr>
        <w:t>th</w:t>
      </w:r>
      <w:r w:rsidRPr="00054C1F">
        <w:rPr>
          <w:rFonts w:ascii="Cambria" w:eastAsia="MS Mincho" w:hAnsi="Cambria"/>
          <w:lang w:val="en-GB" w:eastAsia="en-US" w:bidi="ar-SA"/>
        </w:rPr>
        <w:t xml:space="preserve"> Edition, June </w:t>
      </w:r>
      <w:r w:rsidRPr="00054C1F">
        <w:rPr>
          <w:rFonts w:ascii="Cambria" w:eastAsia="MS Mincho" w:hAnsi="Cambria"/>
          <w:lang w:val="en-GB" w:eastAsia="en-US" w:bidi="ar-SA"/>
        </w:rPr>
        <w:tab/>
        <w:t>2014.</w:t>
      </w:r>
    </w:p>
    <w:p w:rsidR="00054C1F" w:rsidRPr="00054C1F" w:rsidRDefault="00054C1F" w:rsidP="00054C1F">
      <w:pPr>
        <w:keepNext/>
        <w:suppressLineNumbers/>
        <w:spacing w:before="240" w:after="60" w:line="240" w:lineRule="auto"/>
        <w:jc w:val="left"/>
        <w:outlineLvl w:val="1"/>
        <w:rPr>
          <w:rFonts w:ascii="Cambria" w:eastAsia="MS Mincho" w:hAnsi="Cambria"/>
          <w:lang w:val="en-GB" w:eastAsia="en-US" w:bidi="ar-SA"/>
        </w:rPr>
      </w:pPr>
      <w:hyperlink r:id="rId15" w:history="1">
        <w:r w:rsidRPr="00054C1F">
          <w:rPr>
            <w:rFonts w:ascii="Cambria" w:eastAsia="MS Mincho" w:hAnsi="Cambria"/>
            <w:color w:val="0000FF"/>
            <w:u w:val="single"/>
            <w:lang w:val="en-GB" w:eastAsia="en-US" w:bidi="ar-SA"/>
          </w:rPr>
          <w:t>http://www.usaid.gov/sites/default/files/documents/1863/E&amp;E%202013%20CSOSI%20Final%2010-29-14.pdf</w:t>
        </w:r>
      </w:hyperlink>
    </w:p>
    <w:p w:rsidR="00054C1F" w:rsidRPr="00054C1F" w:rsidRDefault="00054C1F" w:rsidP="00054C1F">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A. Del Rio </w:t>
      </w:r>
      <w:proofErr w:type="spellStart"/>
      <w:r w:rsidRPr="00054C1F">
        <w:rPr>
          <w:rFonts w:ascii="Cambria" w:eastAsia="MS Mincho" w:hAnsi="Cambria"/>
          <w:lang w:val="en-GB" w:eastAsia="en-US" w:bidi="ar-SA"/>
        </w:rPr>
        <w:t>Rosello</w:t>
      </w:r>
      <w:proofErr w:type="spellEnd"/>
      <w:r w:rsidRPr="00054C1F">
        <w:rPr>
          <w:rFonts w:ascii="Cambria" w:eastAsia="MS Mincho" w:hAnsi="Cambria"/>
          <w:lang w:val="en-GB" w:eastAsia="en-US" w:bidi="ar-SA"/>
        </w:rPr>
        <w:t>, “Updating Policymaking and Participation in Europe”, Thesis, University of Milan, July 2014.</w:t>
      </w:r>
    </w:p>
    <w:p w:rsidR="00054C1F" w:rsidRPr="00054C1F" w:rsidRDefault="00054C1F" w:rsidP="00054C1F">
      <w:pPr>
        <w:keepNext/>
        <w:suppressLineNumbers/>
        <w:spacing w:before="240" w:after="60" w:line="240" w:lineRule="auto"/>
        <w:jc w:val="left"/>
        <w:outlineLvl w:val="1"/>
        <w:rPr>
          <w:rFonts w:ascii="Cambria" w:eastAsia="MS Mincho" w:hAnsi="Cambria"/>
          <w:lang w:val="en-GB" w:eastAsia="en-US" w:bidi="ar-SA"/>
        </w:rPr>
      </w:pPr>
    </w:p>
    <w:p w:rsidR="00054C1F" w:rsidRPr="00054C1F" w:rsidRDefault="00054C1F" w:rsidP="00054C1F">
      <w:pPr>
        <w:keepNext/>
        <w:suppressLineNumbers/>
        <w:spacing w:before="240" w:after="60" w:line="240" w:lineRule="auto"/>
        <w:ind w:left="284" w:hanging="284"/>
        <w:jc w:val="center"/>
        <w:outlineLvl w:val="1"/>
        <w:rPr>
          <w:rFonts w:ascii="Cambria" w:eastAsia="MS Mincho" w:hAnsi="Cambria"/>
          <w:b/>
          <w:i/>
          <w:u w:val="single"/>
          <w:lang w:val="en-GB" w:eastAsia="en-US" w:bidi="ar-SA"/>
        </w:rPr>
      </w:pPr>
      <w:r w:rsidRPr="00054C1F">
        <w:rPr>
          <w:rFonts w:ascii="Cambria" w:eastAsia="MS Mincho" w:hAnsi="Cambria"/>
          <w:lang w:val="en-GB" w:eastAsia="en-US" w:bidi="ar-SA"/>
        </w:rPr>
        <w:br w:type="page"/>
      </w:r>
      <w:r w:rsidRPr="00054C1F">
        <w:rPr>
          <w:rFonts w:ascii="Cambria" w:eastAsia="MS Mincho" w:hAnsi="Cambria"/>
          <w:b/>
          <w:u w:val="single"/>
          <w:lang w:val="en-GB" w:eastAsia="en-US" w:bidi="ar-SA"/>
        </w:rPr>
        <w:lastRenderedPageBreak/>
        <w:t>Annex 2</w:t>
      </w:r>
    </w:p>
    <w:p w:rsidR="00054C1F" w:rsidRPr="00054C1F" w:rsidRDefault="00054C1F" w:rsidP="00054C1F">
      <w:pPr>
        <w:keepNext/>
        <w:suppressLineNumbers/>
        <w:spacing w:before="120" w:after="60" w:line="240" w:lineRule="auto"/>
        <w:ind w:left="284" w:hanging="284"/>
        <w:jc w:val="center"/>
        <w:outlineLvl w:val="1"/>
        <w:rPr>
          <w:rFonts w:ascii="Cambria" w:eastAsia="MS Mincho" w:hAnsi="Cambria"/>
          <w:b/>
          <w:lang w:val="en-GB" w:eastAsia="en-US" w:bidi="ar-SA"/>
        </w:rPr>
      </w:pPr>
      <w:r w:rsidRPr="00054C1F">
        <w:rPr>
          <w:rFonts w:ascii="Cambria" w:eastAsia="MS Mincho" w:hAnsi="Cambria"/>
          <w:b/>
          <w:lang w:val="en-GB" w:eastAsia="en-US" w:bidi="ar-SA"/>
        </w:rPr>
        <w:t xml:space="preserve">2.1. Civil dialogue in matters covered by the "Europe for citizens" programme </w:t>
      </w:r>
    </w:p>
    <w:p w:rsidR="00054C1F" w:rsidRPr="00054C1F" w:rsidRDefault="00054C1F" w:rsidP="00054C1F">
      <w:pPr>
        <w:keepNext/>
        <w:suppressLineNumbers/>
        <w:spacing w:before="120" w:after="60" w:line="240" w:lineRule="auto"/>
        <w:ind w:left="284" w:hanging="284"/>
        <w:jc w:val="center"/>
        <w:outlineLvl w:val="1"/>
        <w:rPr>
          <w:rFonts w:ascii="Cambria" w:eastAsia="MS Mincho" w:hAnsi="Cambria"/>
          <w:b/>
          <w:lang w:val="en-GB" w:eastAsia="en-US" w:bidi="ar-SA"/>
        </w:rPr>
      </w:pPr>
      <w:r w:rsidRPr="00054C1F">
        <w:rPr>
          <w:rFonts w:ascii="Cambria" w:eastAsia="MS Mincho" w:hAnsi="Cambria"/>
          <w:b/>
          <w:lang w:val="en-GB" w:eastAsia="en-US" w:bidi="ar-SA"/>
        </w:rPr>
        <w:t>2014-2020</w:t>
      </w:r>
    </w:p>
    <w:p w:rsidR="00054C1F" w:rsidRPr="00054C1F" w:rsidRDefault="00054C1F" w:rsidP="00054C1F">
      <w:pPr>
        <w:keepNext/>
        <w:suppressLineNumbers/>
        <w:spacing w:before="120" w:after="60" w:line="240" w:lineRule="auto"/>
        <w:ind w:left="284" w:hanging="284"/>
        <w:jc w:val="center"/>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2.1.1. Description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 group’s tasks are:</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 To hold a regular dialogue on all matters relating to the Europe for Citizens programme, including “Remembrance” and “Democratic and civic engagement”, and to implement it. </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To bring about exchanges of experiences and good practices in those fields.</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To contribute to the dissemination of the programme’s results.</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To contribute to preparation and implementation of any event or activities organised under the programme.</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 To monitor and discuss policy developments in related fields. </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There are usually two meetings per year, depending on the Europe for Citizens programme agenda and on the European political agenda, including the annual priorities of the European Union.</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 group, which may set up working groups to examine specific questions, is composed of 55 organisations:</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 Organisations selected to receive an operating grant under the "Europe for Citizens" Programme, under strand 1, “Remembrance”, and 2, “Democratic engagement and civic participation”. </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Organisations which have received an operating grant under the former "Europe for Citizens" Programme 2007-13 and have expressed their continued interest to take part in the dialogue.</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Some organisations/think tanks which have expressed an interest in the Europe for Citizens programme and/or work in this policy area but were not necessarily supported by the programme.</w:t>
      </w:r>
    </w:p>
    <w:p w:rsidR="00054C1F" w:rsidRPr="00054C1F" w:rsidRDefault="00054C1F" w:rsidP="00054C1F">
      <w:pPr>
        <w:keepNext/>
        <w:suppressLineNumbers/>
        <w:spacing w:before="6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Member organisations are invited to register on the Transparency Register.</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2.1.2. Evolution/lessons learnt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2.1.3. Links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16" w:history="1">
        <w:r w:rsidRPr="00054C1F">
          <w:rPr>
            <w:rFonts w:ascii="Cambria" w:eastAsia="MS Mincho" w:hAnsi="Cambria"/>
            <w:color w:val="0000FF"/>
            <w:u w:val="single"/>
            <w:lang w:val="en-GB" w:eastAsia="en-US" w:bidi="ar-SA"/>
          </w:rPr>
          <w:t>http://ec.europa.eu/citizenship/europe-for-citizens-programme/civil-dialogue/index_en.htm</w:t>
        </w:r>
      </w:hyperlink>
    </w:p>
    <w:p w:rsidR="00054C1F" w:rsidRPr="00054C1F" w:rsidRDefault="00054C1F" w:rsidP="00054C1F">
      <w:pPr>
        <w:keepNext/>
        <w:suppressLineNumbers/>
        <w:spacing w:before="240" w:after="60" w:line="240" w:lineRule="auto"/>
        <w:jc w:val="center"/>
        <w:outlineLvl w:val="1"/>
        <w:rPr>
          <w:rFonts w:ascii="Cambria" w:eastAsia="MS Mincho" w:hAnsi="Cambria"/>
          <w:b/>
          <w:i/>
          <w:u w:val="single"/>
          <w:lang w:val="en-GB" w:eastAsia="en-US" w:bidi="ar-SA"/>
        </w:rPr>
      </w:pPr>
      <w:r w:rsidRPr="00054C1F">
        <w:rPr>
          <w:rFonts w:ascii="Cambria" w:eastAsia="MS Mincho" w:hAnsi="Cambria"/>
          <w:lang w:val="en-GB" w:eastAsia="en-US" w:bidi="ar-SA"/>
        </w:rPr>
        <w:br w:type="page"/>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2.2. European Migration Forum</w:t>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p>
    <w:p w:rsidR="00054C1F" w:rsidRPr="00054C1F" w:rsidRDefault="00054C1F" w:rsidP="00054C1F">
      <w:pPr>
        <w:keepNext/>
        <w:suppressLineNumbers/>
        <w:tabs>
          <w:tab w:val="left" w:pos="284"/>
        </w:tab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2.2.1. Description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2.2.2. Novelties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The first edition of the EMF took place on 26-27 January 2015 with a focus on mixed migration flows in the Mediterranean.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b/>
          <w:lang w:val="en-GB" w:eastAsia="en-US" w:bidi="ar-SA"/>
        </w:rPr>
        <w:t>2.2.3. Evolution/lessons learnt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2.2.4. Links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17" w:history="1">
        <w:r w:rsidRPr="00054C1F">
          <w:rPr>
            <w:rFonts w:ascii="Cambria" w:eastAsia="MS Mincho" w:hAnsi="Cambria"/>
            <w:color w:val="0000FF"/>
            <w:u w:val="single"/>
            <w:lang w:val="en-GB" w:eastAsia="en-US" w:bidi="ar-SA"/>
          </w:rPr>
          <w:t>http://www.eesc.europa.eu/?i=portal.en.events-and-activities-european-migration-forum-1</w:t>
        </w:r>
      </w:hyperlink>
      <w:r w:rsidRPr="00054C1F">
        <w:rPr>
          <w:rFonts w:ascii="Cambria" w:eastAsia="MS Mincho" w:hAnsi="Cambria"/>
          <w:lang w:val="en-GB" w:eastAsia="en-US" w:bidi="ar-SA"/>
        </w:rPr>
        <w:t xml:space="preserve"> </w:t>
      </w:r>
    </w:p>
    <w:p w:rsidR="00054C1F" w:rsidRPr="00054C1F" w:rsidRDefault="00054C1F" w:rsidP="00054C1F">
      <w:pPr>
        <w:keepNext/>
        <w:suppressLineNumbers/>
        <w:spacing w:before="240" w:after="60" w:line="240" w:lineRule="auto"/>
        <w:jc w:val="center"/>
        <w:outlineLvl w:val="1"/>
        <w:rPr>
          <w:rFonts w:ascii="Cambria" w:eastAsia="MS Mincho" w:hAnsi="Cambria"/>
          <w:b/>
          <w:i/>
          <w:u w:val="single"/>
          <w:lang w:val="en-GB" w:eastAsia="en-US" w:bidi="ar-SA"/>
        </w:rPr>
      </w:pPr>
      <w:r w:rsidRPr="00054C1F">
        <w:rPr>
          <w:rFonts w:ascii="Cambria" w:eastAsia="MS Mincho" w:hAnsi="Cambria"/>
          <w:lang w:val="en-GB" w:eastAsia="en-US" w:bidi="ar-SA"/>
        </w:rPr>
        <w:br w:type="page"/>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2.3. Structured Dialogue on Youth</w:t>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p>
    <w:p w:rsidR="00054C1F" w:rsidRPr="00054C1F" w:rsidRDefault="00054C1F" w:rsidP="00054C1F">
      <w:pPr>
        <w:keepNext/>
        <w:suppressLineNumbers/>
        <w:tabs>
          <w:tab w:val="left" w:pos="284"/>
        </w:tabs>
        <w:spacing w:before="240" w:after="60" w:line="240" w:lineRule="auto"/>
        <w:ind w:left="-11"/>
        <w:outlineLvl w:val="1"/>
        <w:rPr>
          <w:rFonts w:ascii="Cambria" w:eastAsia="MS Mincho" w:hAnsi="Cambria"/>
          <w:b/>
          <w:lang w:val="en-GB" w:eastAsia="en-US" w:bidi="ar-SA"/>
        </w:rPr>
      </w:pPr>
      <w:r w:rsidRPr="00054C1F">
        <w:rPr>
          <w:rFonts w:ascii="Cambria" w:eastAsia="MS Mincho" w:hAnsi="Cambria"/>
          <w:b/>
          <w:lang w:val="en-GB" w:eastAsia="en-US" w:bidi="ar-SA"/>
        </w:rPr>
        <w:t>2.3.1. Description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054C1F">
        <w:rPr>
          <w:rFonts w:ascii="Cambria" w:eastAsia="MS Mincho" w:hAnsi="Cambria"/>
          <w:bCs/>
          <w:lang w:val="en-GB" w:eastAsia="en-US" w:bidi="ar-SA"/>
        </w:rPr>
        <w:t>It involves regular consultations of young people and youth organisations</w:t>
      </w:r>
      <w:r w:rsidRPr="00054C1F">
        <w:rPr>
          <w:rFonts w:ascii="Cambria" w:eastAsia="MS Mincho" w:hAnsi="Cambria"/>
          <w:lang w:val="en-GB" w:eastAsia="en-US" w:bidi="ar-SA"/>
        </w:rPr>
        <w:t xml:space="preserve"> at all levels in EU countries, as well as dialogue between youth representatives and policymakers at EU Youth Conferences organised by the Member States holding the EU presidency.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2.3.2. Novelties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2.3.3. Evolution/lessons learnt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2.3.4. Links</w:t>
      </w:r>
    </w:p>
    <w:p w:rsidR="00054C1F" w:rsidRPr="00054C1F" w:rsidRDefault="00054C1F" w:rsidP="00054C1F">
      <w:pPr>
        <w:keepNext/>
        <w:suppressLineNumber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European Youth Forum: </w:t>
      </w:r>
      <w:hyperlink r:id="rId18" w:history="1">
        <w:r w:rsidRPr="00054C1F">
          <w:rPr>
            <w:rFonts w:ascii="Cambria" w:eastAsia="MS Mincho" w:hAnsi="Cambria"/>
            <w:color w:val="0000FF"/>
            <w:u w:val="single"/>
            <w:lang w:val="en-GB" w:eastAsia="en-US" w:bidi="ar-SA"/>
          </w:rPr>
          <w:t>http://www.youthforum.org/claims/empowered-youth/the-structured-dialogue/</w:t>
        </w:r>
      </w:hyperlink>
    </w:p>
    <w:p w:rsidR="00054C1F" w:rsidRPr="00054C1F" w:rsidRDefault="00054C1F" w:rsidP="00054C1F">
      <w:pPr>
        <w:keepNext/>
        <w:suppressLineNumber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European Commission webpage: </w:t>
      </w:r>
      <w:hyperlink r:id="rId19" w:history="1">
        <w:r w:rsidRPr="00054C1F">
          <w:rPr>
            <w:rFonts w:ascii="Cambria" w:eastAsia="MS Mincho" w:hAnsi="Cambria"/>
            <w:color w:val="0000FF"/>
            <w:u w:val="single"/>
            <w:lang w:val="en-GB" w:eastAsia="en-US" w:bidi="ar-SA"/>
          </w:rPr>
          <w:t>http://ec.europa.eu/youth/policy/implementation/dialogue_en.htm</w:t>
        </w:r>
      </w:hyperlink>
    </w:p>
    <w:p w:rsidR="00054C1F" w:rsidRPr="00054C1F" w:rsidRDefault="00054C1F" w:rsidP="00054C1F">
      <w:pPr>
        <w:keepNext/>
        <w:suppressLineNumber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 xml:space="preserve">European Youth Portal: </w:t>
      </w:r>
      <w:hyperlink r:id="rId20" w:history="1">
        <w:r w:rsidRPr="00054C1F">
          <w:rPr>
            <w:rFonts w:ascii="Cambria" w:eastAsia="MS Mincho" w:hAnsi="Cambria"/>
            <w:color w:val="0000FF"/>
            <w:u w:val="single"/>
            <w:lang w:val="en-GB" w:eastAsia="en-US" w:bidi="ar-SA"/>
          </w:rPr>
          <w:t>http://europa.eu/youth/sd_en</w:t>
        </w:r>
      </w:hyperlink>
      <w:r w:rsidRPr="00054C1F">
        <w:rPr>
          <w:rFonts w:ascii="Cambria" w:eastAsia="MS Mincho" w:hAnsi="Cambria"/>
          <w:u w:val="single"/>
          <w:lang w:val="en-GB" w:eastAsia="en-US" w:bidi="ar-SA"/>
        </w:rPr>
        <w:t>.</w:t>
      </w:r>
    </w:p>
    <w:p w:rsidR="00054C1F" w:rsidRPr="00054C1F" w:rsidRDefault="00054C1F" w:rsidP="00054C1F">
      <w:pPr>
        <w:keepNext/>
        <w:suppressLineNumbers/>
        <w:spacing w:before="240" w:after="60" w:line="240" w:lineRule="auto"/>
        <w:jc w:val="center"/>
        <w:outlineLvl w:val="1"/>
        <w:rPr>
          <w:rFonts w:ascii="Cambria" w:eastAsia="MS Mincho" w:hAnsi="Cambria"/>
          <w:b/>
          <w:i/>
          <w:u w:val="single"/>
          <w:lang w:val="en-GB" w:eastAsia="en-US" w:bidi="ar-SA"/>
        </w:rPr>
      </w:pPr>
      <w:r w:rsidRPr="00054C1F">
        <w:rPr>
          <w:rFonts w:ascii="Cambria" w:eastAsia="MS Mincho" w:hAnsi="Cambria"/>
          <w:lang w:val="en-GB" w:eastAsia="en-US" w:bidi="ar-SA"/>
        </w:rPr>
        <w:br w:type="page"/>
      </w: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2.4. Participation of Social Platform in b</w:t>
      </w:r>
      <w:r w:rsidRPr="00054C1F">
        <w:rPr>
          <w:rFonts w:ascii="Cambria" w:eastAsia="MS Mincho" w:hAnsi="Cambria"/>
          <w:b/>
          <w:bCs/>
          <w:lang w:val="en-GB" w:eastAsia="en-US" w:bidi="ar-SA"/>
        </w:rPr>
        <w:t>i-annual informal EPSCO meetings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p>
    <w:p w:rsidR="00054C1F" w:rsidRPr="00054C1F" w:rsidRDefault="00054C1F" w:rsidP="00054C1F">
      <w:pPr>
        <w:keepNext/>
        <w:suppressLineNumbers/>
        <w:tabs>
          <w:tab w:val="left" w:pos="284"/>
        </w:tabs>
        <w:spacing w:before="240" w:after="60" w:line="240" w:lineRule="auto"/>
        <w:ind w:left="-11"/>
        <w:outlineLvl w:val="1"/>
        <w:rPr>
          <w:rFonts w:ascii="Cambria" w:eastAsia="MS Mincho" w:hAnsi="Cambria"/>
          <w:b/>
          <w:lang w:val="en-GB" w:eastAsia="en-US" w:bidi="ar-SA"/>
        </w:rPr>
      </w:pPr>
      <w:r w:rsidRPr="00054C1F">
        <w:rPr>
          <w:rFonts w:ascii="Cambria" w:eastAsia="MS Mincho" w:hAnsi="Cambria"/>
          <w:b/>
          <w:lang w:val="en-GB" w:eastAsia="en-US" w:bidi="ar-SA"/>
        </w:rPr>
        <w:t>2.4.1. Description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054C1F">
        <w:rPr>
          <w:rFonts w:ascii="Cambria" w:eastAsia="MS Mincho" w:hAnsi="Cambria"/>
          <w:vertAlign w:val="superscript"/>
          <w:lang w:val="en-GB" w:eastAsia="en-US" w:bidi="ar-SA"/>
        </w:rPr>
        <w:footnoteReference w:id="22"/>
      </w:r>
      <w:r w:rsidRPr="00054C1F">
        <w:rPr>
          <w:rFonts w:ascii="Cambria" w:eastAsia="MS Mincho" w:hAnsi="Cambria"/>
          <w:lang w:val="en-GB" w:eastAsia="en-US" w:bidi="ar-SA"/>
        </w:rPr>
        <w:t xml:space="preserve"> since the Danish EU Presidency in 2002. This has led to a unique structured civil dialogue between the EPSCO Council and civil society organisations.</w:t>
      </w:r>
    </w:p>
    <w:p w:rsidR="00054C1F" w:rsidRPr="00054C1F" w:rsidRDefault="00054C1F" w:rsidP="00054C1F">
      <w:pPr>
        <w:keepNext/>
        <w:numPr>
          <w:ilvl w:val="2"/>
          <w:numId w:val="9"/>
        </w:numPr>
        <w:suppressLineNumbers/>
        <w:tabs>
          <w:tab w:val="left" w:pos="284"/>
        </w:tabs>
        <w:spacing w:before="240" w:after="60" w:line="240" w:lineRule="auto"/>
        <w:jc w:val="left"/>
        <w:outlineLvl w:val="1"/>
        <w:rPr>
          <w:rFonts w:ascii="Cambria" w:eastAsia="MS Mincho" w:hAnsi="Cambria"/>
          <w:b/>
          <w:lang w:val="en-GB" w:eastAsia="en-US" w:bidi="ar-SA"/>
        </w:rPr>
      </w:pPr>
      <w:r w:rsidRPr="00054C1F">
        <w:rPr>
          <w:rFonts w:ascii="Cambria" w:eastAsia="MS Mincho" w:hAnsi="Cambria"/>
          <w:b/>
          <w:lang w:val="en-GB" w:eastAsia="en-US" w:bidi="ar-SA"/>
        </w:rPr>
        <w:t>Novelties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b/>
          <w:lang w:val="en-GB" w:eastAsia="en-US" w:bidi="ar-SA"/>
        </w:rPr>
        <w:t>2.4.3. Evolution/lessons learnt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054C1F" w:rsidRPr="00054C1F" w:rsidRDefault="00054C1F" w:rsidP="00054C1F">
      <w:pPr>
        <w:keepNext/>
        <w:suppressLineNumbers/>
        <w:tabs>
          <w:tab w:val="left" w:pos="284"/>
        </w:tab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2.4.4. Links</w:t>
      </w:r>
    </w:p>
    <w:p w:rsidR="00054C1F" w:rsidRPr="00054C1F" w:rsidRDefault="00054C1F" w:rsidP="00054C1F">
      <w:pPr>
        <w:keepNext/>
        <w:suppressLineNumbers/>
        <w:spacing w:before="240" w:after="60" w:line="240" w:lineRule="auto"/>
        <w:ind w:left="360"/>
        <w:outlineLvl w:val="1"/>
        <w:rPr>
          <w:rFonts w:ascii="Cambria" w:eastAsia="MS Mincho" w:hAnsi="Cambria"/>
          <w:color w:val="0000FF"/>
          <w:u w:val="single"/>
          <w:lang w:val="en-GB" w:eastAsia="en-US" w:bidi="ar-SA"/>
        </w:rPr>
      </w:pPr>
      <w:hyperlink r:id="rId21" w:tgtFrame="_blank" w:history="1">
        <w:r w:rsidRPr="00054C1F">
          <w:rPr>
            <w:rFonts w:ascii="Cambria" w:eastAsia="MS Mincho" w:hAnsi="Cambria"/>
            <w:color w:val="0000FF"/>
            <w:u w:val="single"/>
            <w:lang w:val="en-GB" w:eastAsia="en-US" w:bidi="ar-SA"/>
          </w:rPr>
          <w:t>How to establish an effective dialogue between the EU and civil society organisation</w:t>
        </w:r>
      </w:hyperlink>
      <w:r w:rsidRPr="00054C1F">
        <w:rPr>
          <w:rFonts w:ascii="Cambria" w:eastAsia="MS Mincho" w:hAnsi="Cambria"/>
          <w:color w:val="0000FF"/>
          <w:u w:val="single"/>
          <w:lang w:val="en-GB" w:eastAsia="en-US" w:bidi="ar-SA"/>
        </w:rPr>
        <w:t>s</w:t>
      </w:r>
    </w:p>
    <w:p w:rsidR="00054C1F" w:rsidRDefault="00054C1F">
      <w:pPr>
        <w:spacing w:line="240" w:lineRule="auto"/>
        <w:jc w:val="left"/>
        <w:rPr>
          <w:rFonts w:asciiTheme="majorHAnsi" w:eastAsia="MS Mincho" w:hAnsiTheme="majorHAnsi"/>
          <w:b/>
          <w:lang w:val="en-GB" w:eastAsia="en-US" w:bidi="ar-SA"/>
        </w:rPr>
      </w:pPr>
      <w:r>
        <w:rPr>
          <w:rFonts w:asciiTheme="majorHAnsi" w:eastAsia="MS Mincho" w:hAnsiTheme="majorHAnsi"/>
          <w:b/>
          <w:lang w:val="en-GB" w:eastAsia="en-US" w:bidi="ar-SA"/>
        </w:rPr>
        <w:br w:type="page"/>
      </w:r>
    </w:p>
    <w:p w:rsidR="00054C1F" w:rsidRPr="00054C1F" w:rsidRDefault="00054C1F" w:rsidP="00054C1F">
      <w:pPr>
        <w:spacing w:line="240" w:lineRule="auto"/>
        <w:jc w:val="center"/>
        <w:rPr>
          <w:rFonts w:asciiTheme="majorHAnsi" w:eastAsia="MS Mincho" w:hAnsiTheme="majorHAnsi"/>
          <w:b/>
          <w:lang w:val="en-GB" w:eastAsia="en-US" w:bidi="ar-SA"/>
        </w:rPr>
      </w:pPr>
      <w:r w:rsidRPr="00054C1F">
        <w:rPr>
          <w:rFonts w:asciiTheme="majorHAnsi" w:eastAsia="MS Mincho" w:hAnsiTheme="majorHAnsi"/>
          <w:b/>
          <w:lang w:val="en-GB" w:eastAsia="en-US" w:bidi="ar-SA"/>
        </w:rPr>
        <w:lastRenderedPageBreak/>
        <w:t>2.5. Deliberative citizen forums at European level</w:t>
      </w:r>
    </w:p>
    <w:p w:rsidR="00054C1F" w:rsidRPr="00054C1F" w:rsidRDefault="00054C1F" w:rsidP="00054C1F">
      <w:pPr>
        <w:spacing w:line="240" w:lineRule="auto"/>
        <w:jc w:val="center"/>
        <w:rPr>
          <w:rFonts w:asciiTheme="majorHAnsi" w:eastAsia="MS Mincho" w:hAnsiTheme="majorHAnsi"/>
          <w:b/>
          <w:lang w:val="en-GB" w:eastAsia="en-US" w:bidi="ar-SA"/>
        </w:rPr>
      </w:pPr>
    </w:p>
    <w:p w:rsidR="00054C1F" w:rsidRPr="00054C1F" w:rsidRDefault="00054C1F" w:rsidP="00054C1F">
      <w:pPr>
        <w:spacing w:line="240" w:lineRule="auto"/>
        <w:jc w:val="center"/>
        <w:rPr>
          <w:rFonts w:asciiTheme="majorHAnsi" w:eastAsia="MS Mincho" w:hAnsiTheme="majorHAnsi"/>
          <w:b/>
          <w:lang w:val="en-GB" w:eastAsia="en-US" w:bidi="ar-SA"/>
        </w:rPr>
      </w:pPr>
    </w:p>
    <w:p w:rsidR="00054C1F" w:rsidRPr="00054C1F" w:rsidRDefault="00054C1F" w:rsidP="00054C1F">
      <w:pPr>
        <w:spacing w:line="240" w:lineRule="auto"/>
        <w:rPr>
          <w:rFonts w:asciiTheme="majorHAnsi" w:eastAsia="MS Mincho" w:hAnsiTheme="majorHAnsi"/>
          <w:b/>
          <w:lang w:val="en-GB" w:eastAsia="en-US" w:bidi="ar-SA"/>
        </w:rPr>
      </w:pPr>
      <w:r w:rsidRPr="00054C1F">
        <w:rPr>
          <w:rFonts w:asciiTheme="majorHAnsi" w:eastAsia="MS Mincho" w:hAnsiTheme="majorHAnsi"/>
          <w:b/>
          <w:lang w:val="en-GB" w:eastAsia="en-US" w:bidi="ar-SA"/>
        </w:rPr>
        <w:t>2.5.1. Description</w:t>
      </w:r>
    </w:p>
    <w:p w:rsidR="00054C1F" w:rsidRPr="00054C1F" w:rsidRDefault="00054C1F" w:rsidP="00054C1F">
      <w:pPr>
        <w:spacing w:line="240" w:lineRule="auto"/>
        <w:rPr>
          <w:rFonts w:asciiTheme="majorHAnsi" w:eastAsia="MS Mincho" w:hAnsiTheme="majorHAnsi"/>
          <w:b/>
          <w:lang w:val="en-GB" w:eastAsia="en-US" w:bidi="ar-SA"/>
        </w:rPr>
      </w:pPr>
    </w:p>
    <w:p w:rsidR="00054C1F" w:rsidRPr="00054C1F" w:rsidRDefault="00054C1F" w:rsidP="00054C1F">
      <w:pPr>
        <w:spacing w:line="240" w:lineRule="auto"/>
        <w:rPr>
          <w:rFonts w:asciiTheme="majorHAnsi" w:eastAsia="MS Mincho" w:hAnsiTheme="majorHAnsi"/>
          <w:lang w:val="en-GB" w:eastAsia="en-US" w:bidi="ar-SA"/>
        </w:rPr>
      </w:pPr>
      <w:r w:rsidRPr="00054C1F">
        <w:rPr>
          <w:rFonts w:asciiTheme="majorHAnsi" w:eastAsia="MS Mincho" w:hAnsiTheme="majorHAnsi"/>
          <w:lang w:val="en-GB" w:eastAsia="en-US" w:bidi="ar-SA"/>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054C1F">
        <w:rPr>
          <w:rFonts w:asciiTheme="majorHAnsi" w:eastAsia="MS Mincho" w:hAnsiTheme="majorHAnsi"/>
          <w:lang w:val="en-GB" w:eastAsia="en-US" w:bidi="ar-SA"/>
        </w:rPr>
        <w:t>EuropeWideViews</w:t>
      </w:r>
      <w:proofErr w:type="spellEnd"/>
      <w:r w:rsidRPr="00054C1F">
        <w:rPr>
          <w:rFonts w:asciiTheme="majorHAnsi" w:eastAsia="MS Mincho" w:hAnsiTheme="majorHAnsi"/>
          <w:lang w:val="en-GB" w:eastAsia="en-US" w:bidi="ar-SA"/>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054C1F" w:rsidRPr="00054C1F" w:rsidRDefault="00054C1F" w:rsidP="00054C1F">
      <w:pPr>
        <w:spacing w:line="240" w:lineRule="auto"/>
        <w:rPr>
          <w:rFonts w:asciiTheme="majorHAnsi" w:eastAsia="MS Mincho" w:hAnsiTheme="majorHAnsi"/>
          <w:lang w:val="en-GB" w:eastAsia="en-US" w:bidi="ar-SA"/>
        </w:rPr>
      </w:pPr>
    </w:p>
    <w:p w:rsidR="00054C1F" w:rsidRPr="00054C1F" w:rsidRDefault="00054C1F" w:rsidP="00054C1F">
      <w:pPr>
        <w:spacing w:line="240" w:lineRule="auto"/>
        <w:rPr>
          <w:rFonts w:asciiTheme="majorHAnsi" w:eastAsia="MS Mincho" w:hAnsiTheme="majorHAnsi"/>
          <w:lang w:val="en-GB" w:eastAsia="en-US" w:bidi="ar-SA"/>
        </w:rPr>
      </w:pPr>
    </w:p>
    <w:p w:rsidR="00054C1F" w:rsidRPr="00054C1F" w:rsidRDefault="00054C1F" w:rsidP="00054C1F">
      <w:pPr>
        <w:spacing w:line="240" w:lineRule="auto"/>
        <w:rPr>
          <w:rFonts w:asciiTheme="majorHAnsi" w:eastAsia="MS Mincho" w:hAnsiTheme="majorHAnsi"/>
          <w:b/>
          <w:lang w:val="en-GB" w:eastAsia="en-US" w:bidi="ar-SA"/>
        </w:rPr>
      </w:pPr>
      <w:r w:rsidRPr="00054C1F">
        <w:rPr>
          <w:rFonts w:asciiTheme="majorHAnsi" w:eastAsia="MS Mincho" w:hAnsiTheme="majorHAnsi"/>
          <w:b/>
          <w:lang w:val="en-GB" w:eastAsia="en-US" w:bidi="ar-SA"/>
        </w:rPr>
        <w:t>2.5.2. Lessons learnt</w:t>
      </w:r>
    </w:p>
    <w:p w:rsidR="00054C1F" w:rsidRPr="00054C1F" w:rsidRDefault="00054C1F" w:rsidP="00054C1F">
      <w:pPr>
        <w:spacing w:line="240" w:lineRule="auto"/>
        <w:rPr>
          <w:rFonts w:asciiTheme="majorHAnsi" w:eastAsia="MS Mincho" w:hAnsiTheme="majorHAnsi"/>
          <w:b/>
          <w:lang w:val="en-GB" w:eastAsia="en-US" w:bidi="ar-SA"/>
        </w:rPr>
      </w:pPr>
    </w:p>
    <w:p w:rsidR="00054C1F" w:rsidRPr="00054C1F" w:rsidRDefault="00054C1F" w:rsidP="00054C1F">
      <w:pPr>
        <w:spacing w:line="240" w:lineRule="auto"/>
        <w:rPr>
          <w:rFonts w:asciiTheme="majorHAnsi" w:eastAsia="MS Mincho" w:hAnsiTheme="majorHAnsi"/>
          <w:lang w:val="en-GB" w:eastAsia="en-US" w:bidi="ar-SA"/>
        </w:rPr>
      </w:pPr>
      <w:r w:rsidRPr="00054C1F">
        <w:rPr>
          <w:rFonts w:asciiTheme="majorHAnsi" w:eastAsia="MS Mincho" w:hAnsiTheme="majorHAnsi"/>
          <w:lang w:val="en-GB" w:eastAsia="en-US" w:bidi="ar-SA"/>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054C1F">
        <w:rPr>
          <w:rFonts w:asciiTheme="majorHAnsi" w:eastAsia="MS Mincho" w:hAnsiTheme="majorHAnsi"/>
          <w:lang w:val="en-GB" w:eastAsia="en-US" w:bidi="ar-SA"/>
        </w:rPr>
        <w:fldChar w:fldCharType="begin"/>
      </w:r>
      <w:r w:rsidRPr="00054C1F">
        <w:rPr>
          <w:rFonts w:asciiTheme="majorHAnsi" w:eastAsia="MS Mincho" w:hAnsiTheme="majorHAnsi"/>
          <w:lang w:val="en-GB" w:eastAsia="en-US" w:bidi="ar-SA"/>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054C1F">
        <w:rPr>
          <w:rFonts w:asciiTheme="majorHAnsi" w:eastAsia="MS Mincho" w:hAnsiTheme="majorHAnsi"/>
          <w:lang w:val="en-GB" w:eastAsia="en-US" w:bidi="ar-SA"/>
        </w:rPr>
        <w:fldChar w:fldCharType="separate"/>
      </w:r>
      <w:r w:rsidRPr="00054C1F">
        <w:rPr>
          <w:rFonts w:asciiTheme="majorHAnsi" w:eastAsia="MS Mincho" w:hAnsiTheme="majorHAnsi"/>
          <w:lang w:val="en-GB" w:eastAsia="en-US" w:bidi="ar-SA"/>
        </w:rPr>
        <w:t>(Boucher 2009)</w:t>
      </w:r>
      <w:r w:rsidRPr="00054C1F">
        <w:rPr>
          <w:rFonts w:asciiTheme="majorHAnsi" w:eastAsia="MS Mincho" w:hAnsiTheme="majorHAnsi"/>
          <w:lang w:val="en-GB" w:eastAsia="en-US" w:bidi="ar-SA"/>
        </w:rPr>
        <w:fldChar w:fldCharType="end"/>
      </w:r>
      <w:r w:rsidRPr="00054C1F">
        <w:rPr>
          <w:rFonts w:asciiTheme="majorHAnsi" w:eastAsia="MS Mincho" w:hAnsiTheme="majorHAnsi"/>
          <w:lang w:val="en-GB" w:eastAsia="en-US" w:bidi="ar-SA"/>
        </w:rPr>
        <w:t xml:space="preserve">. </w:t>
      </w:r>
    </w:p>
    <w:p w:rsidR="00054C1F" w:rsidRPr="00054C1F" w:rsidRDefault="00054C1F" w:rsidP="00054C1F">
      <w:pPr>
        <w:spacing w:line="240" w:lineRule="auto"/>
        <w:rPr>
          <w:rFonts w:asciiTheme="majorHAnsi" w:eastAsia="MS Mincho" w:hAnsiTheme="majorHAnsi"/>
          <w:lang w:val="en-GB" w:eastAsia="en-US" w:bidi="ar-SA"/>
        </w:rPr>
      </w:pPr>
      <w:r w:rsidRPr="00054C1F">
        <w:rPr>
          <w:rFonts w:asciiTheme="majorHAnsi" w:eastAsia="MS Mincho" w:hAnsiTheme="majorHAnsi"/>
          <w:lang w:val="en-GB" w:eastAsia="en-US" w:bidi="ar-SA"/>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054C1F" w:rsidRPr="00054C1F" w:rsidRDefault="00054C1F" w:rsidP="00054C1F">
      <w:pPr>
        <w:spacing w:line="240" w:lineRule="auto"/>
        <w:rPr>
          <w:rFonts w:asciiTheme="majorHAnsi" w:eastAsia="MS Mincho" w:hAnsiTheme="majorHAnsi"/>
          <w:lang w:val="en-GB" w:eastAsia="en-US" w:bidi="ar-SA"/>
        </w:rPr>
      </w:pPr>
    </w:p>
    <w:p w:rsidR="00054C1F" w:rsidRPr="00054C1F" w:rsidRDefault="00054C1F" w:rsidP="00054C1F">
      <w:pPr>
        <w:spacing w:line="240" w:lineRule="auto"/>
        <w:rPr>
          <w:rFonts w:asciiTheme="majorHAnsi" w:eastAsia="MS Mincho" w:hAnsiTheme="majorHAnsi"/>
          <w:lang w:val="en-GB" w:eastAsia="en-US" w:bidi="ar-SA"/>
        </w:rPr>
      </w:pPr>
    </w:p>
    <w:p w:rsidR="00054C1F" w:rsidRPr="00054C1F" w:rsidRDefault="00054C1F" w:rsidP="00054C1F">
      <w:pPr>
        <w:spacing w:line="240" w:lineRule="auto"/>
        <w:rPr>
          <w:rFonts w:asciiTheme="majorHAnsi" w:eastAsia="MS Mincho" w:hAnsiTheme="majorHAnsi"/>
          <w:b/>
          <w:lang w:val="en-GB" w:eastAsia="en-US" w:bidi="ar-SA"/>
        </w:rPr>
      </w:pPr>
      <w:r w:rsidRPr="00054C1F">
        <w:rPr>
          <w:rFonts w:asciiTheme="majorHAnsi" w:eastAsia="MS Mincho" w:hAnsiTheme="majorHAnsi"/>
          <w:b/>
          <w:lang w:val="en-GB" w:eastAsia="en-US" w:bidi="ar-SA"/>
        </w:rPr>
        <w:t>2.5.3. Links</w:t>
      </w:r>
    </w:p>
    <w:p w:rsidR="00054C1F" w:rsidRPr="00054C1F" w:rsidRDefault="00054C1F" w:rsidP="00054C1F">
      <w:pPr>
        <w:spacing w:line="240" w:lineRule="auto"/>
        <w:rPr>
          <w:rFonts w:asciiTheme="majorHAnsi" w:eastAsia="MS Mincho" w:hAnsiTheme="majorHAnsi"/>
          <w:b/>
          <w:lang w:val="en-GB" w:eastAsia="en-US" w:bidi="ar-SA"/>
        </w:rPr>
      </w:pPr>
    </w:p>
    <w:p w:rsidR="00054C1F" w:rsidRPr="00054C1F" w:rsidRDefault="00054C1F" w:rsidP="00054C1F">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2" w:history="1">
        <w:r w:rsidRPr="00054C1F">
          <w:rPr>
            <w:rFonts w:asciiTheme="majorHAnsi" w:eastAsia="Calibri" w:hAnsiTheme="majorHAnsi"/>
            <w:color w:val="0000FF"/>
            <w:sz w:val="21"/>
            <w:szCs w:val="21"/>
            <w:u w:val="single"/>
            <w:lang w:val="en-GB" w:eastAsia="en-US" w:bidi="ar-SA"/>
          </w:rPr>
          <w:t>http://www.participedia.net</w:t>
        </w:r>
      </w:hyperlink>
      <w:r w:rsidRPr="00054C1F">
        <w:rPr>
          <w:rFonts w:asciiTheme="majorHAnsi" w:eastAsia="Calibri" w:hAnsiTheme="majorHAnsi"/>
          <w:sz w:val="21"/>
          <w:szCs w:val="21"/>
          <w:lang w:val="en-GB" w:eastAsia="en-US" w:bidi="ar-SA"/>
        </w:rPr>
        <w:t xml:space="preserve"> gives an insightful overview about various methods and case studies</w:t>
      </w:r>
    </w:p>
    <w:p w:rsidR="00054C1F" w:rsidRPr="00054C1F" w:rsidRDefault="00054C1F" w:rsidP="00054C1F">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3" w:history="1">
        <w:r w:rsidRPr="00054C1F">
          <w:rPr>
            <w:rFonts w:asciiTheme="majorHAnsi" w:eastAsia="Calibri" w:hAnsiTheme="majorHAnsi"/>
            <w:color w:val="0000FF"/>
            <w:sz w:val="21"/>
            <w:szCs w:val="21"/>
            <w:u w:val="single"/>
            <w:lang w:val="en-GB" w:eastAsia="en-US" w:bidi="ar-SA"/>
          </w:rPr>
          <w:t>https://europa.eu/sinapse/sinapse/index.cfm?&amp;fuseaction=lib.attachment&amp;lib_id=2FF96871-9617-84CB-19401CF971500B1F&amp;attach=LIB_DOC_EN</w:t>
        </w:r>
      </w:hyperlink>
      <w:r w:rsidRPr="00054C1F">
        <w:rPr>
          <w:rFonts w:asciiTheme="majorHAnsi" w:eastAsia="Calibri" w:hAnsiTheme="majorHAnsi"/>
          <w:sz w:val="21"/>
          <w:szCs w:val="21"/>
          <w:lang w:val="en-GB" w:eastAsia="en-US" w:bidi="ar-SA"/>
        </w:rPr>
        <w:t>, report from Meeting of Minds – European Citizens Deliberation on Brain Science</w:t>
      </w:r>
    </w:p>
    <w:p w:rsidR="00054C1F" w:rsidRPr="00054C1F" w:rsidRDefault="00054C1F" w:rsidP="00054C1F">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4" w:history="1">
        <w:r w:rsidRPr="00054C1F">
          <w:rPr>
            <w:rFonts w:asciiTheme="majorHAnsi" w:eastAsia="Calibri" w:hAnsiTheme="majorHAnsi"/>
            <w:color w:val="0000FF"/>
            <w:sz w:val="21"/>
            <w:szCs w:val="21"/>
            <w:u w:val="single"/>
            <w:lang w:val="en-GB" w:eastAsia="en-US" w:bidi="ar-SA"/>
          </w:rPr>
          <w:t>http://ecc.european-citizens-consultations.eu/</w:t>
        </w:r>
      </w:hyperlink>
      <w:r w:rsidRPr="00054C1F">
        <w:rPr>
          <w:rFonts w:asciiTheme="majorHAnsi" w:eastAsia="Calibri" w:hAnsiTheme="majorHAnsi"/>
          <w:sz w:val="21"/>
          <w:szCs w:val="21"/>
          <w:lang w:val="en-GB" w:eastAsia="en-US" w:bidi="ar-SA"/>
        </w:rPr>
        <w:t>, website documenting European Citizen Consultations</w:t>
      </w:r>
    </w:p>
    <w:p w:rsidR="00054C1F" w:rsidRPr="00054C1F" w:rsidRDefault="00054C1F" w:rsidP="00054C1F">
      <w:pPr>
        <w:numPr>
          <w:ilvl w:val="0"/>
          <w:numId w:val="10"/>
        </w:numPr>
        <w:spacing w:after="160" w:line="259" w:lineRule="auto"/>
        <w:ind w:left="426"/>
        <w:contextualSpacing/>
        <w:jc w:val="left"/>
        <w:rPr>
          <w:rFonts w:eastAsia="Calibri"/>
          <w:sz w:val="21"/>
          <w:szCs w:val="21"/>
          <w:lang w:val="en-GB" w:eastAsia="en-US" w:bidi="ar-SA"/>
        </w:rPr>
      </w:pPr>
      <w:hyperlink r:id="rId25" w:history="1">
        <w:r w:rsidRPr="00054C1F">
          <w:rPr>
            <w:rFonts w:asciiTheme="majorHAnsi" w:eastAsia="Calibri" w:hAnsiTheme="majorHAnsi"/>
            <w:color w:val="0000FF"/>
            <w:sz w:val="21"/>
            <w:szCs w:val="21"/>
            <w:u w:val="single"/>
            <w:lang w:val="en-GB" w:eastAsia="en-US" w:bidi="ar-SA"/>
          </w:rPr>
          <w:t>http://citizenconsultation.pacitaproject.eu/</w:t>
        </w:r>
      </w:hyperlink>
      <w:r w:rsidRPr="00054C1F">
        <w:rPr>
          <w:rFonts w:asciiTheme="majorHAnsi" w:eastAsia="Calibri" w:hAnsiTheme="majorHAnsi"/>
          <w:sz w:val="21"/>
          <w:szCs w:val="21"/>
          <w:lang w:val="en-GB" w:eastAsia="en-US" w:bidi="ar-SA"/>
        </w:rPr>
        <w:t xml:space="preserve">, website documenting </w:t>
      </w:r>
      <w:proofErr w:type="spellStart"/>
      <w:r w:rsidRPr="00054C1F">
        <w:rPr>
          <w:rFonts w:asciiTheme="majorHAnsi" w:eastAsia="Calibri" w:hAnsiTheme="majorHAnsi"/>
          <w:sz w:val="21"/>
          <w:szCs w:val="21"/>
          <w:lang w:val="en-GB" w:eastAsia="en-US" w:bidi="ar-SA"/>
        </w:rPr>
        <w:t>EuropeWideViews</w:t>
      </w:r>
      <w:proofErr w:type="spellEnd"/>
      <w:r w:rsidRPr="00054C1F">
        <w:rPr>
          <w:rFonts w:asciiTheme="majorHAnsi" w:eastAsia="Calibri" w:hAnsiTheme="majorHAnsi"/>
          <w:sz w:val="21"/>
          <w:szCs w:val="21"/>
          <w:lang w:val="en-GB" w:eastAsia="en-US" w:bidi="ar-SA"/>
        </w:rPr>
        <w:t xml:space="preserve"> on Sustainable Consumption</w:t>
      </w:r>
    </w:p>
    <w:p w:rsidR="00054C1F" w:rsidRPr="00054C1F" w:rsidRDefault="00054C1F" w:rsidP="00054C1F">
      <w:pPr>
        <w:spacing w:after="160" w:line="259" w:lineRule="auto"/>
        <w:ind w:left="720"/>
        <w:contextualSpacing/>
        <w:rPr>
          <w:rFonts w:eastAsia="Calibri"/>
          <w:lang w:val="en-GB" w:eastAsia="en-US" w:bidi="ar-SA"/>
        </w:rPr>
      </w:pPr>
    </w:p>
    <w:p w:rsidR="00054C1F" w:rsidRPr="00054C1F" w:rsidRDefault="00054C1F" w:rsidP="00054C1F">
      <w:pPr>
        <w:spacing w:line="240" w:lineRule="auto"/>
        <w:rPr>
          <w:rFonts w:eastAsia="MS Mincho"/>
          <w:b/>
          <w:sz w:val="24"/>
          <w:szCs w:val="24"/>
          <w:lang w:val="en-GB" w:eastAsia="en-US" w:bidi="ar-SA"/>
        </w:rPr>
      </w:pPr>
      <w:r w:rsidRPr="00054C1F">
        <w:rPr>
          <w:rFonts w:eastAsia="MS Mincho"/>
          <w:b/>
          <w:sz w:val="24"/>
          <w:szCs w:val="24"/>
          <w:lang w:val="en-GB" w:eastAsia="en-US" w:bidi="ar-SA"/>
        </w:rPr>
        <w:t>2.5.4.</w:t>
      </w:r>
      <w:r w:rsidRPr="00054C1F">
        <w:rPr>
          <w:rFonts w:eastAsia="MS Mincho"/>
          <w:sz w:val="24"/>
          <w:szCs w:val="24"/>
          <w:lang w:val="en-GB" w:eastAsia="en-US" w:bidi="ar-SA"/>
        </w:rPr>
        <w:t xml:space="preserve"> </w:t>
      </w:r>
      <w:r w:rsidRPr="00054C1F">
        <w:rPr>
          <w:rFonts w:eastAsia="MS Mincho"/>
          <w:b/>
          <w:sz w:val="24"/>
          <w:szCs w:val="24"/>
          <w:lang w:val="en-GB" w:eastAsia="en-US" w:bidi="ar-SA"/>
        </w:rPr>
        <w:t>References</w:t>
      </w:r>
    </w:p>
    <w:p w:rsidR="00054C1F" w:rsidRPr="00054C1F" w:rsidRDefault="00054C1F" w:rsidP="00054C1F">
      <w:pPr>
        <w:spacing w:line="240" w:lineRule="auto"/>
        <w:rPr>
          <w:rFonts w:eastAsia="MS Mincho"/>
          <w:b/>
          <w:sz w:val="24"/>
          <w:szCs w:val="24"/>
          <w:lang w:val="en-GB" w:eastAsia="en-US" w:bidi="ar-SA"/>
        </w:rPr>
      </w:pPr>
    </w:p>
    <w:p w:rsidR="00054C1F" w:rsidRPr="00054C1F" w:rsidRDefault="00054C1F" w:rsidP="00054C1F">
      <w:pPr>
        <w:spacing w:line="240" w:lineRule="auto"/>
        <w:jc w:val="left"/>
        <w:rPr>
          <w:rFonts w:ascii="Cambria" w:eastAsia="MS Mincho" w:hAnsi="Cambria"/>
          <w:lang w:val="en-GB" w:eastAsia="en-US" w:bidi="ar-SA"/>
        </w:rPr>
      </w:pPr>
      <w:r w:rsidRPr="00054C1F">
        <w:rPr>
          <w:rFonts w:asciiTheme="majorHAnsi" w:hAnsiTheme="majorHAnsi"/>
          <w:lang w:val="en-GB" w:eastAsia="de-DE" w:bidi="ar-SA"/>
        </w:rPr>
        <w:t xml:space="preserve">Boucher, S. 2009. </w:t>
      </w:r>
      <w:r w:rsidRPr="00054C1F">
        <w:rPr>
          <w:rFonts w:asciiTheme="majorHAnsi" w:hAnsiTheme="majorHAnsi"/>
          <w:i/>
          <w:iCs/>
          <w:lang w:val="en-GB" w:eastAsia="de-DE" w:bidi="ar-SA"/>
        </w:rPr>
        <w:t xml:space="preserve">If citizens have a voice, who’s listening? </w:t>
      </w:r>
      <w:proofErr w:type="gramStart"/>
      <w:r w:rsidRPr="00054C1F">
        <w:rPr>
          <w:rFonts w:asciiTheme="majorHAnsi" w:hAnsiTheme="majorHAnsi"/>
          <w:i/>
          <w:iCs/>
          <w:lang w:val="en-GB" w:eastAsia="de-DE" w:bidi="ar-SA"/>
        </w:rPr>
        <w:t>Lessons from recent citizen consultation experiments for the European Union</w:t>
      </w:r>
      <w:r w:rsidRPr="00054C1F">
        <w:rPr>
          <w:rFonts w:asciiTheme="majorHAnsi" w:hAnsiTheme="majorHAnsi"/>
          <w:lang w:val="en-GB" w:eastAsia="de-DE" w:bidi="ar-SA"/>
        </w:rPr>
        <w:t>.</w:t>
      </w:r>
      <w:proofErr w:type="gramEnd"/>
      <w:r w:rsidRPr="00054C1F">
        <w:rPr>
          <w:rFonts w:asciiTheme="majorHAnsi" w:hAnsiTheme="majorHAnsi"/>
          <w:lang w:val="en-GB" w:eastAsia="de-DE" w:bidi="ar-SA"/>
        </w:rPr>
        <w:t xml:space="preserve"> URL: </w:t>
      </w:r>
      <w:hyperlink r:id="rId26" w:history="1">
        <w:r w:rsidRPr="00054C1F">
          <w:rPr>
            <w:rFonts w:asciiTheme="majorHAnsi" w:hAnsiTheme="majorHAnsi"/>
            <w:color w:val="0000FF"/>
            <w:u w:val="single"/>
            <w:lang w:val="en-GB" w:eastAsia="de-DE" w:bidi="ar-SA"/>
          </w:rPr>
          <w:t>http://www.ceps.eu/book/if-citizens-have-voice-whos-listening-lessons-recent-citizen-consultation-experiments-european-</w:t>
        </w:r>
      </w:hyperlink>
    </w:p>
    <w:p w:rsidR="00054C1F" w:rsidRPr="00054C1F" w:rsidRDefault="00054C1F" w:rsidP="00054C1F">
      <w:pPr>
        <w:keepNext/>
        <w:suppressLineNumbers/>
        <w:spacing w:before="240" w:after="60" w:line="240" w:lineRule="auto"/>
        <w:jc w:val="center"/>
        <w:outlineLvl w:val="1"/>
        <w:rPr>
          <w:rFonts w:ascii="Cambria" w:eastAsia="MS Mincho" w:hAnsi="Cambria"/>
          <w:b/>
          <w:u w:val="single"/>
          <w:lang w:val="en-GB" w:eastAsia="en-US" w:bidi="ar-SA"/>
        </w:rPr>
      </w:pPr>
      <w:r w:rsidRPr="00054C1F">
        <w:rPr>
          <w:rFonts w:ascii="Cambria" w:eastAsia="MS Mincho" w:hAnsi="Cambria"/>
          <w:b/>
          <w:u w:val="single"/>
          <w:lang w:val="en-GB" w:eastAsia="en-US" w:bidi="ar-SA"/>
        </w:rPr>
        <w:lastRenderedPageBreak/>
        <w:t>Annex 3</w:t>
      </w:r>
    </w:p>
    <w:p w:rsidR="00054C1F" w:rsidRPr="00054C1F" w:rsidRDefault="00054C1F" w:rsidP="00054C1F">
      <w:pPr>
        <w:keepNext/>
        <w:suppressLineNumbers/>
        <w:spacing w:before="12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t>3.1. Policy Agenda on Volunteering in Europe (PAVE)</w:t>
      </w:r>
    </w:p>
    <w:p w:rsidR="00054C1F" w:rsidRPr="00054C1F" w:rsidRDefault="00054C1F" w:rsidP="00054C1F">
      <w:pPr>
        <w:keepNext/>
        <w:suppressLineNumbers/>
        <w:spacing w:before="120" w:after="60" w:line="240" w:lineRule="auto"/>
        <w:jc w:val="center"/>
        <w:outlineLvl w:val="1"/>
        <w:rPr>
          <w:rFonts w:ascii="Cambria" w:eastAsia="MS Mincho" w:hAnsi="Cambria"/>
          <w:b/>
          <w:lang w:val="en-GB" w:eastAsia="en-US" w:bidi="ar-SA"/>
        </w:rPr>
      </w:pPr>
    </w:p>
    <w:p w:rsidR="00054C1F" w:rsidRPr="00054C1F" w:rsidRDefault="00054C1F" w:rsidP="00054C1F">
      <w:pPr>
        <w:keepNext/>
        <w:suppressLineNumbers/>
        <w:spacing w:before="12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3.1.1. Description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054C1F">
        <w:rPr>
          <w:rFonts w:ascii="Cambria" w:eastAsia="MS Mincho" w:hAnsi="Cambria"/>
          <w:lang w:val="en-GB" w:eastAsia="en-US" w:bidi="ar-SA"/>
        </w:rPr>
        <w:t>PAVE aims to ensure a lasting legacy for the European Year of Volunteering 2011 (EYV 2011) by encouraging all stakeholders to address the shortcomings of current policies.</w:t>
      </w:r>
      <w:proofErr w:type="gramEnd"/>
      <w:r w:rsidRPr="00054C1F">
        <w:rPr>
          <w:rFonts w:ascii="Cambria" w:eastAsia="MS Mincho" w:hAnsi="Cambria"/>
          <w:lang w:val="en-GB" w:eastAsia="en-US" w:bidi="ar-SA"/>
        </w:rPr>
        <w:t xml:space="preserve"> Consequently P.A.V.E contributes to reaching the EYV 2011 objectives and securing the legacy it promised for volunteering in Europe.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054C1F">
        <w:rPr>
          <w:sz w:val="24"/>
          <w:szCs w:val="24"/>
          <w:lang w:val="en-GB" w:eastAsia="lv-LV" w:bidi="ar-SA"/>
        </w:rPr>
        <w:t>–</w:t>
      </w:r>
      <w:r w:rsidRPr="00054C1F">
        <w:rPr>
          <w:rFonts w:ascii="Cambria" w:eastAsia="MS Mincho" w:hAnsi="Cambria"/>
          <w:lang w:val="en-GB" w:eastAsia="en-US" w:bidi="ar-SA"/>
        </w:rPr>
        <w:t xml:space="preserve"> profit, non-profit, public, private etc. and trade unions) and civil society, and are informed by the conclusions of the EYV 2011 Alliance working groups.</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3.1.2. Innovation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3.1.3. Evolution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3.1.4. Links</w:t>
      </w:r>
    </w:p>
    <w:p w:rsidR="00054C1F" w:rsidRPr="00054C1F" w:rsidRDefault="00054C1F" w:rsidP="00054C1F">
      <w:pPr>
        <w:keepNext/>
        <w:suppressLineNumbers/>
        <w:tabs>
          <w:tab w:val="left" w:pos="284"/>
        </w:tab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 </w:t>
      </w:r>
      <w:hyperlink r:id="rId27" w:history="1">
        <w:r w:rsidRPr="00054C1F">
          <w:rPr>
            <w:rFonts w:ascii="Cambria" w:eastAsia="MS Mincho" w:hAnsi="Cambria"/>
            <w:color w:val="0000FF"/>
            <w:u w:val="single"/>
            <w:lang w:val="en-GB" w:eastAsia="en-US" w:bidi="ar-SA"/>
          </w:rPr>
          <w:t>http://www.eyv2011.eu/resources-library/item/39-the-european-year-of-volunteering-eyv- 2011-discussion-paper</w:t>
        </w:r>
      </w:hyperlink>
      <w:r w:rsidRPr="00054C1F">
        <w:rPr>
          <w:rFonts w:ascii="Cambria" w:eastAsia="MS Mincho" w:hAnsi="Cambria"/>
          <w:lang w:val="en-GB" w:eastAsia="en-US" w:bidi="ar-SA"/>
        </w:rPr>
        <w:t>,</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 </w:t>
      </w:r>
      <w:hyperlink r:id="rId28" w:history="1">
        <w:r w:rsidRPr="00054C1F">
          <w:rPr>
            <w:rFonts w:ascii="Cambria" w:eastAsia="MS Mincho" w:hAnsi="Cambria"/>
            <w:color w:val="0000FF"/>
            <w:u w:val="single"/>
            <w:lang w:val="en-GB" w:eastAsia="en-US" w:bidi="ar-SA"/>
          </w:rPr>
          <w:t>http://www.eyv2011.eu/resources-library/item/40-eyv- 2011-alliance-position-paper-available-in-different-language-versions-2008</w:t>
        </w:r>
      </w:hyperlink>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29" w:history="1">
        <w:r w:rsidRPr="00054C1F">
          <w:rPr>
            <w:rFonts w:ascii="Cambria" w:eastAsia="MS Mincho" w:hAnsi="Cambria"/>
            <w:color w:val="0000FF"/>
            <w:u w:val="single"/>
            <w:lang w:val="en-GB" w:eastAsia="en-US" w:bidi="ar-SA"/>
          </w:rPr>
          <w:t>EYV 2011 Council Decision</w:t>
        </w:r>
      </w:hyperlink>
      <w:r w:rsidRPr="00054C1F">
        <w:rPr>
          <w:rFonts w:ascii="Cambria" w:eastAsia="MS Mincho" w:hAnsi="Cambria"/>
          <w:lang w:val="en-GB" w:eastAsia="en-US" w:bidi="ar-SA"/>
        </w:rPr>
        <w:t xml:space="preserve"> (2009)</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30" w:history="1">
        <w:r w:rsidRPr="00054C1F">
          <w:rPr>
            <w:rFonts w:ascii="Cambria" w:eastAsia="MS Mincho" w:hAnsi="Cambria"/>
            <w:color w:val="0000FF"/>
            <w:u w:val="single"/>
            <w:lang w:val="en-GB" w:eastAsia="en-US" w:bidi="ar-SA"/>
          </w:rPr>
          <w:t>EC Communication on EU Policies and Volunteering</w:t>
        </w:r>
      </w:hyperlink>
      <w:r w:rsidRPr="00054C1F">
        <w:rPr>
          <w:rFonts w:ascii="Cambria" w:eastAsia="MS Mincho" w:hAnsi="Cambria"/>
          <w:lang w:val="en-GB" w:eastAsia="en-US" w:bidi="ar-SA"/>
        </w:rPr>
        <w:t xml:space="preserve"> (2011)</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31" w:history="1">
        <w:r w:rsidRPr="00054C1F">
          <w:rPr>
            <w:rFonts w:ascii="Cambria" w:eastAsia="MS Mincho" w:hAnsi="Cambria"/>
            <w:color w:val="0000FF"/>
            <w:u w:val="single"/>
            <w:lang w:val="en-GB" w:eastAsia="en-US" w:bidi="ar-SA"/>
          </w:rPr>
          <w:t>http://www.eyv2011.eu/images/stories/pdf/EYV2011Alliance_PAVE_copyfriendly.pdf</w:t>
        </w:r>
      </w:hyperlink>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32" w:history="1">
        <w:r w:rsidRPr="00054C1F">
          <w:rPr>
            <w:rFonts w:ascii="Cambria" w:eastAsia="MS Mincho" w:hAnsi="Cambria"/>
            <w:color w:val="0000FF"/>
            <w:u w:val="single"/>
            <w:lang w:val="en-GB" w:eastAsia="en-US" w:bidi="ar-SA"/>
          </w:rPr>
          <w:t>http://www.cev.be/initiatives/european-volunteering-capital/</w:t>
        </w:r>
      </w:hyperlink>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33" w:history="1">
        <w:r w:rsidRPr="00054C1F">
          <w:rPr>
            <w:rFonts w:ascii="Cambria" w:eastAsia="MS Mincho" w:hAnsi="Cambria"/>
            <w:color w:val="0000FF"/>
            <w:u w:val="single"/>
            <w:lang w:val="en-GB" w:eastAsia="en-US" w:bidi="ar-SA"/>
          </w:rPr>
          <w:t>http://www.volunteering-alliance.eu/</w:t>
        </w:r>
      </w:hyperlink>
    </w:p>
    <w:p w:rsidR="00054C1F" w:rsidRDefault="00054C1F">
      <w:pPr>
        <w:spacing w:line="240" w:lineRule="auto"/>
        <w:jc w:val="left"/>
        <w:rPr>
          <w:rFonts w:ascii="Cambria" w:eastAsia="MS Mincho" w:hAnsi="Cambria"/>
          <w:b/>
          <w:lang w:val="en-GB" w:eastAsia="en-US" w:bidi="ar-SA"/>
        </w:rPr>
      </w:pPr>
      <w:r>
        <w:rPr>
          <w:rFonts w:ascii="Cambria" w:eastAsia="MS Mincho" w:hAnsi="Cambria"/>
          <w:b/>
          <w:lang w:val="en-GB" w:eastAsia="en-US" w:bidi="ar-SA"/>
        </w:rPr>
        <w:br w:type="page"/>
      </w:r>
    </w:p>
    <w:p w:rsidR="00054C1F" w:rsidRPr="00054C1F" w:rsidRDefault="00054C1F" w:rsidP="00054C1F">
      <w:pPr>
        <w:keepNext/>
        <w:suppressLineNumbers/>
        <w:spacing w:before="120" w:after="60" w:line="240" w:lineRule="auto"/>
        <w:jc w:val="center"/>
        <w:outlineLvl w:val="1"/>
        <w:rPr>
          <w:rFonts w:ascii="Cambria" w:eastAsia="MS Mincho" w:hAnsi="Cambria"/>
          <w:b/>
          <w:lang w:val="en-GB" w:eastAsia="en-US" w:bidi="ar-SA"/>
        </w:rPr>
      </w:pPr>
      <w:r w:rsidRPr="00054C1F">
        <w:rPr>
          <w:rFonts w:ascii="Cambria" w:eastAsia="MS Mincho" w:hAnsi="Cambria"/>
          <w:b/>
          <w:lang w:val="en-GB" w:eastAsia="en-US" w:bidi="ar-SA"/>
        </w:rPr>
        <w:lastRenderedPageBreak/>
        <w:t>3.2. EYCA and Civil Society Europe</w:t>
      </w:r>
    </w:p>
    <w:p w:rsidR="00054C1F" w:rsidRPr="00054C1F" w:rsidRDefault="00054C1F" w:rsidP="00054C1F">
      <w:pPr>
        <w:keepNext/>
        <w:suppressLineNumbers/>
        <w:spacing w:before="120" w:after="60" w:line="240" w:lineRule="auto"/>
        <w:jc w:val="center"/>
        <w:outlineLvl w:val="1"/>
        <w:rPr>
          <w:rFonts w:ascii="Cambria" w:eastAsia="MS Mincho" w:hAnsi="Cambria"/>
          <w:b/>
          <w:lang w:val="en-GB" w:eastAsia="en-US" w:bidi="ar-SA"/>
        </w:rPr>
      </w:pPr>
    </w:p>
    <w:p w:rsidR="00054C1F" w:rsidRPr="00054C1F" w:rsidRDefault="00054C1F" w:rsidP="00054C1F">
      <w:pPr>
        <w:keepNext/>
        <w:suppressLineNumbers/>
        <w:spacing w:before="12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3.2.1. Description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3.2.2</w:t>
      </w:r>
      <w:proofErr w:type="gramStart"/>
      <w:r w:rsidRPr="00054C1F">
        <w:rPr>
          <w:rFonts w:ascii="Cambria" w:eastAsia="MS Mincho" w:hAnsi="Cambria"/>
          <w:b/>
          <w:lang w:val="en-GB" w:eastAsia="en-US" w:bidi="ar-SA"/>
        </w:rPr>
        <w:t>.  Evolution</w:t>
      </w:r>
      <w:proofErr w:type="gramEnd"/>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 xml:space="preserve">It then seemed necessary to keep up the momentum, unite and coordinate these efforts to make this vision become a reality. </w:t>
      </w:r>
      <w:r w:rsidRPr="00054C1F">
        <w:rPr>
          <w:rFonts w:ascii="Cambria" w:eastAsia="MS Mincho" w:hAnsi="Cambria"/>
          <w:b/>
          <w:lang w:val="en-GB" w:eastAsia="en-US" w:bidi="ar-SA"/>
        </w:rPr>
        <w:t>Civil Society Europe</w:t>
      </w:r>
      <w:r w:rsidRPr="00054C1F">
        <w:rPr>
          <w:rFonts w:ascii="Cambria" w:eastAsia="MS Mincho" w:hAnsi="Cambria"/>
          <w:lang w:val="en-GB" w:eastAsia="en-US" w:bidi="ar-SA"/>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3.2.3. Links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hyperlink r:id="rId34" w:history="1">
        <w:r w:rsidRPr="00054C1F">
          <w:rPr>
            <w:rFonts w:ascii="Cambria" w:eastAsia="MS Mincho" w:hAnsi="Cambria"/>
            <w:color w:val="0000FF"/>
            <w:u w:val="single"/>
            <w:lang w:val="en-GB" w:eastAsia="en-US" w:bidi="ar-SA"/>
          </w:rPr>
          <w:t>www.ey2013-alliance.eu</w:t>
        </w:r>
      </w:hyperlink>
      <w:r w:rsidRPr="00054C1F">
        <w:rPr>
          <w:rFonts w:ascii="Cambria" w:eastAsia="MS Mincho" w:hAnsi="Cambria"/>
          <w:lang w:val="en-GB" w:eastAsia="en-US" w:bidi="ar-SA"/>
        </w:rPr>
        <w:t xml:space="preserve"> </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p>
    <w:p w:rsidR="00054C1F" w:rsidRPr="00054C1F" w:rsidRDefault="00054C1F" w:rsidP="00054C1F">
      <w:pPr>
        <w:keepNext/>
        <w:suppressLineNumbers/>
        <w:spacing w:before="240" w:after="60" w:line="240" w:lineRule="auto"/>
        <w:jc w:val="center"/>
        <w:outlineLvl w:val="1"/>
        <w:rPr>
          <w:rFonts w:ascii="Cambria" w:eastAsia="MS Mincho" w:hAnsi="Cambria"/>
          <w:b/>
          <w:lang w:val="en-GB" w:eastAsia="en-US" w:bidi="ar-SA"/>
        </w:rPr>
      </w:pPr>
      <w:bookmarkStart w:id="0" w:name="_GoBack"/>
      <w:bookmarkEnd w:id="0"/>
      <w:r w:rsidRPr="00054C1F">
        <w:rPr>
          <w:rFonts w:ascii="Cambria" w:eastAsia="MS Mincho" w:hAnsi="Cambria"/>
          <w:b/>
          <w:lang w:val="en-GB" w:eastAsia="en-US" w:bidi="ar-SA"/>
        </w:rPr>
        <w:lastRenderedPageBreak/>
        <w:t>3.3. Digital tools for a European Common Space</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3.3.1. Description</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r w:rsidRPr="00054C1F">
        <w:rPr>
          <w:rFonts w:ascii="Cambria" w:eastAsia="MS Mincho" w:hAnsi="Cambria"/>
          <w:lang w:val="en-GB" w:eastAsia="en-US" w:bidi="ar-SA"/>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p>
    <w:p w:rsidR="00054C1F" w:rsidRPr="00054C1F" w:rsidRDefault="00054C1F" w:rsidP="00054C1F">
      <w:pPr>
        <w:keepNext/>
        <w:suppressLineNumbers/>
        <w:spacing w:before="240" w:after="60" w:line="240" w:lineRule="auto"/>
        <w:outlineLvl w:val="1"/>
        <w:rPr>
          <w:rFonts w:ascii="Cambria" w:eastAsia="MS Mincho" w:hAnsi="Cambria"/>
          <w:b/>
          <w:lang w:val="en-GB" w:eastAsia="en-US" w:bidi="ar-SA"/>
        </w:rPr>
      </w:pPr>
      <w:r w:rsidRPr="00054C1F">
        <w:rPr>
          <w:rFonts w:ascii="Cambria" w:eastAsia="MS Mincho" w:hAnsi="Cambria"/>
          <w:b/>
          <w:lang w:val="en-GB" w:eastAsia="en-US" w:bidi="ar-SA"/>
        </w:rPr>
        <w:t>3.3.2</w:t>
      </w:r>
      <w:proofErr w:type="gramStart"/>
      <w:r w:rsidRPr="00054C1F">
        <w:rPr>
          <w:rFonts w:ascii="Cambria" w:eastAsia="MS Mincho" w:hAnsi="Cambria"/>
          <w:b/>
          <w:lang w:val="en-GB" w:eastAsia="en-US" w:bidi="ar-SA"/>
        </w:rPr>
        <w:t>.  Development</w:t>
      </w:r>
      <w:proofErr w:type="gramEnd"/>
    </w:p>
    <w:p w:rsidR="00054C1F" w:rsidRPr="00054C1F" w:rsidRDefault="00054C1F" w:rsidP="00054C1F">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Define the role of CSOs as intermediaries that facilitate the process of both decision-makers and citizens using digital tools so as to enable broader participation in the policy-making process.</w:t>
      </w:r>
    </w:p>
    <w:p w:rsidR="00054C1F" w:rsidRPr="00054C1F" w:rsidRDefault="00054C1F" w:rsidP="00054C1F">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Design a comprehensive framework for combining on-line with off-line activities and devoting sufficient resources to ensure their smooth running and impact – EU Citizen 2.0 Strategy.</w:t>
      </w:r>
    </w:p>
    <w:p w:rsidR="00054C1F" w:rsidRPr="00054C1F" w:rsidRDefault="00054C1F" w:rsidP="00054C1F">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Identify and create a Knowledge Centre of successful examples of e-democracy platforms that are user-friendly with simple and effective designs.</w:t>
      </w:r>
    </w:p>
    <w:p w:rsidR="00054C1F" w:rsidRPr="00054C1F" w:rsidRDefault="00054C1F" w:rsidP="00054C1F">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Advocate and motivate policy-makers to engage in an open and transparent dialogue with citizens on line, using the knowledge and technology that is already available at national level.</w:t>
      </w:r>
    </w:p>
    <w:p w:rsidR="00054C1F" w:rsidRPr="00054C1F" w:rsidRDefault="00054C1F" w:rsidP="00054C1F">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Advocate at EU level for progress from Commission consultations towards true co-decision.</w:t>
      </w:r>
    </w:p>
    <w:p w:rsidR="00054C1F" w:rsidRPr="00054C1F" w:rsidRDefault="00054C1F" w:rsidP="00054C1F">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054C1F">
        <w:rPr>
          <w:rFonts w:ascii="Cambria" w:eastAsia="MS Mincho" w:hAnsi="Cambria"/>
          <w:lang w:val="en-GB" w:eastAsia="en-US" w:bidi="ar-SA"/>
        </w:rPr>
        <w:t>Shape a space for mutual learning, networking and synergy building between the different national, local and European e-democracy projects.</w:t>
      </w:r>
    </w:p>
    <w:p w:rsidR="00054C1F" w:rsidRPr="00054C1F" w:rsidRDefault="00054C1F" w:rsidP="00054C1F">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054C1F">
        <w:rPr>
          <w:rFonts w:ascii="Cambria" w:eastAsia="MS Mincho" w:hAnsi="Cambria"/>
          <w:lang w:val="en-GB" w:eastAsia="en-US" w:bidi="ar-SA"/>
        </w:rPr>
        <w:t>Develop a training curriculum for the use of the new digital tools to foster truly pan-European discussion and overcome technical challenges.</w:t>
      </w:r>
    </w:p>
    <w:p w:rsidR="00054C1F" w:rsidRPr="00054C1F" w:rsidRDefault="00054C1F" w:rsidP="00054C1F">
      <w:pPr>
        <w:keepNext/>
        <w:suppressLineNumbers/>
        <w:spacing w:before="240" w:after="60" w:line="240" w:lineRule="auto"/>
        <w:outlineLvl w:val="1"/>
        <w:rPr>
          <w:rFonts w:ascii="Cambria" w:eastAsia="MS Mincho" w:hAnsi="Cambria"/>
          <w:lang w:val="en-GB" w:eastAsia="en-US" w:bidi="ar-SA"/>
        </w:rPr>
      </w:pPr>
    </w:p>
    <w:p w:rsidR="00054C1F" w:rsidRPr="00054C1F" w:rsidRDefault="00054C1F" w:rsidP="00054C1F">
      <w:pPr>
        <w:keepNext/>
        <w:suppressLineNumbers/>
        <w:spacing w:before="240" w:after="60" w:line="240" w:lineRule="auto"/>
        <w:jc w:val="center"/>
        <w:outlineLvl w:val="1"/>
        <w:rPr>
          <w:rFonts w:ascii="Cambria" w:eastAsia="MS Mincho" w:hAnsi="Cambria"/>
          <w:lang w:val="en-GB" w:eastAsia="en-US" w:bidi="ar-SA"/>
        </w:rPr>
      </w:pPr>
      <w:r w:rsidRPr="00054C1F">
        <w:rPr>
          <w:rFonts w:ascii="Cambria" w:eastAsia="MS Mincho" w:hAnsi="Cambria"/>
          <w:lang w:val="en-GB" w:eastAsia="en-US" w:bidi="ar-SA"/>
        </w:rPr>
        <w:t>___________________________________</w:t>
      </w:r>
    </w:p>
    <w:p w:rsidR="00054C1F" w:rsidRPr="00054C1F" w:rsidRDefault="00054C1F" w:rsidP="00054C1F">
      <w:pPr>
        <w:spacing w:line="240" w:lineRule="auto"/>
        <w:jc w:val="left"/>
        <w:rPr>
          <w:rFonts w:ascii="Cambria" w:eastAsia="MS Mincho" w:hAnsi="Cambria"/>
          <w:lang w:val="en-GB" w:eastAsia="en-US" w:bidi="ar-SA"/>
        </w:rPr>
      </w:pPr>
    </w:p>
    <w:p w:rsidR="0007112B" w:rsidRPr="00230308" w:rsidRDefault="0007112B" w:rsidP="005D13AF">
      <w:pPr>
        <w:keepNext/>
        <w:suppressLineNumbers/>
        <w:spacing w:line="276" w:lineRule="auto"/>
        <w:jc w:val="center"/>
        <w:outlineLvl w:val="1"/>
      </w:pPr>
    </w:p>
    <w:sectPr w:rsidR="0007112B" w:rsidRPr="00230308" w:rsidSect="003011C3">
      <w:footerReference w:type="default" r:id="rId35"/>
      <w:pgSz w:w="11907" w:h="16839" w:code="9"/>
      <w:pgMar w:top="1701" w:right="1440" w:bottom="1928" w:left="1440" w:header="567" w:footer="11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2D" w:rsidRDefault="00A4622D" w:rsidP="00590292">
      <w:r>
        <w:separator/>
      </w:r>
    </w:p>
  </w:endnote>
  <w:endnote w:type="continuationSeparator" w:id="0">
    <w:p w:rsidR="00A4622D" w:rsidRDefault="00A4622D" w:rsidP="005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Kokila">
    <w:panose1 w:val="020B0604020202020204"/>
    <w:charset w:val="00"/>
    <w:family w:val="swiss"/>
    <w:pitch w:val="variable"/>
    <w:sig w:usb0="00008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66" w:rsidRPr="003011C3" w:rsidRDefault="003011C3" w:rsidP="003011C3">
    <w:pPr>
      <w:pStyle w:val="Footer"/>
    </w:pPr>
    <w:r>
      <w:t>EESC-</w:t>
    </w:r>
    <w:proofErr w:type="gramStart"/>
    <w:r>
      <w:t>2015-00542</w:t>
    </w:r>
    <w:proofErr w:type="gramEnd"/>
    <w:r>
      <w:t xml:space="preserve">-01-01-ADMIN-TRA (EN) </w:t>
    </w:r>
    <w:r>
      <w:fldChar w:fldCharType="begin"/>
    </w:r>
    <w:r>
      <w:instrText xml:space="preserve"> PAGE  \* Arabic  \* MERGEFORMAT </w:instrText>
    </w:r>
    <w:r>
      <w:fldChar w:fldCharType="separate"/>
    </w:r>
    <w:r w:rsidR="00054C1F">
      <w:rPr>
        <w:noProof/>
      </w:rPr>
      <w:t>29</w:t>
    </w:r>
    <w:r>
      <w:fldChar w:fldCharType="end"/>
    </w:r>
    <w:r>
      <w:t>/</w:t>
    </w:r>
    <w:r>
      <w:fldChar w:fldCharType="begin"/>
    </w:r>
    <w:r>
      <w:instrText xml:space="preserve"> = </w:instrText>
    </w:r>
    <w:r w:rsidR="00054C1F">
      <w:fldChar w:fldCharType="begin"/>
    </w:r>
    <w:r w:rsidR="00054C1F">
      <w:instrText xml:space="preserve"> NUMPAGES </w:instrText>
    </w:r>
    <w:r w:rsidR="00054C1F">
      <w:fldChar w:fldCharType="separate"/>
    </w:r>
    <w:r w:rsidR="00054C1F">
      <w:rPr>
        <w:noProof/>
      </w:rPr>
      <w:instrText>29</w:instrText>
    </w:r>
    <w:r w:rsidR="00054C1F">
      <w:rPr>
        <w:noProof/>
      </w:rPr>
      <w:fldChar w:fldCharType="end"/>
    </w:r>
    <w:r>
      <w:instrText xml:space="preserve"> </w:instrText>
    </w:r>
    <w:r>
      <w:fldChar w:fldCharType="separate"/>
    </w:r>
    <w:r w:rsidR="00054C1F">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2D" w:rsidRDefault="00A4622D" w:rsidP="00590292">
      <w:r>
        <w:separator/>
      </w:r>
    </w:p>
  </w:footnote>
  <w:footnote w:type="continuationSeparator" w:id="0">
    <w:p w:rsidR="00A4622D" w:rsidRDefault="00A4622D" w:rsidP="00590292">
      <w:r>
        <w:continuationSeparator/>
      </w:r>
    </w:p>
  </w:footnote>
  <w:footnote w:id="1">
    <w:p w:rsidR="000304FD" w:rsidRPr="005D13AF" w:rsidRDefault="00D30266" w:rsidP="005D13AF">
      <w:pPr>
        <w:pStyle w:val="FootnoteText"/>
        <w:rPr>
          <w:rFonts w:ascii="Cambria" w:hAnsi="Cambria"/>
        </w:rPr>
      </w:pPr>
      <w:r>
        <w:rPr>
          <w:rStyle w:val="FootnoteReference"/>
        </w:rPr>
        <w:footnoteRef/>
      </w:r>
      <w:r>
        <w:tab/>
      </w:r>
      <w:r>
        <w:rPr>
          <w:rFonts w:ascii="Cambria" w:hAnsi="Cambria"/>
        </w:rPr>
        <w:t>EESK definierar "civil dialog" som en demokratisk och opinionsbildande process som kan anta olika former beroende på vilka aktörer som är involverade.</w:t>
      </w:r>
    </w:p>
  </w:footnote>
  <w:footnote w:id="2">
    <w:p w:rsidR="00D30266" w:rsidRPr="005D13AF" w:rsidRDefault="00D30266" w:rsidP="005D13AF">
      <w:pPr>
        <w:pStyle w:val="FootnoteText"/>
        <w:rPr>
          <w:rFonts w:ascii="Cambria" w:hAnsi="Cambria"/>
        </w:rPr>
      </w:pPr>
      <w:r>
        <w:rPr>
          <w:rStyle w:val="FootnoteReference"/>
        </w:rPr>
        <w:footnoteRef/>
      </w:r>
      <w:r>
        <w:tab/>
      </w:r>
      <w:r>
        <w:rPr>
          <w:rFonts w:ascii="Cambria" w:hAnsi="Cambria"/>
        </w:rPr>
        <w:t>I detta sammanhang innefattar begreppet "det civila samhället" både aktiva enskilda personer och det organiserade civila samhället.</w:t>
      </w:r>
    </w:p>
  </w:footnote>
  <w:footnote w:id="3">
    <w:p w:rsidR="00D30266" w:rsidRPr="005D13AF" w:rsidRDefault="00D30266" w:rsidP="005D13AF">
      <w:pPr>
        <w:pStyle w:val="FootnoteText"/>
        <w:rPr>
          <w:rFonts w:ascii="Cambria" w:hAnsi="Cambria"/>
        </w:rPr>
      </w:pPr>
      <w:r>
        <w:rPr>
          <w:rStyle w:val="FootnoteReference"/>
        </w:rPr>
        <w:footnoteRef/>
      </w:r>
      <w:r>
        <w:tab/>
      </w:r>
      <w:r>
        <w:rPr>
          <w:rFonts w:ascii="Cambria" w:hAnsi="Cambria"/>
        </w:rPr>
        <w:t>Se några exempel på bästa praxis i bilaga 1.</w:t>
      </w:r>
    </w:p>
  </w:footnote>
  <w:footnote w:id="4">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r>
        <w:rPr>
          <w:rFonts w:ascii="Cambria" w:hAnsi="Cambria"/>
        </w:rPr>
        <w:t>Se några exempel på bästa praxis i bilaga 2.</w:t>
      </w:r>
    </w:p>
  </w:footnote>
  <w:footnote w:id="5">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r>
        <w:rPr>
          <w:rFonts w:ascii="Cambria" w:hAnsi="Cambria"/>
        </w:rPr>
        <w:t>Se bilaga 3 för två exempel på bästa praxis.</w:t>
      </w:r>
    </w:p>
  </w:footnote>
  <w:footnote w:id="6">
    <w:p w:rsidR="00054C1F" w:rsidRPr="00F23344" w:rsidRDefault="00054C1F" w:rsidP="00054C1F">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054C1F" w:rsidRPr="007A158D" w:rsidRDefault="00054C1F" w:rsidP="00054C1F">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054C1F" w:rsidRPr="00F23344" w:rsidRDefault="00054C1F" w:rsidP="00054C1F">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054C1F" w:rsidRPr="00E74DB9" w:rsidRDefault="00054C1F" w:rsidP="00054C1F">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054C1F" w:rsidRPr="00E74DB9" w:rsidRDefault="00054C1F" w:rsidP="00054C1F">
      <w:pPr>
        <w:pStyle w:val="FootnoteText"/>
        <w:rPr>
          <w:lang w:val="en-GB"/>
        </w:rPr>
      </w:pPr>
    </w:p>
  </w:footnote>
  <w:footnote w:id="10">
    <w:p w:rsidR="00054C1F" w:rsidRPr="00F23344" w:rsidRDefault="00054C1F" w:rsidP="00054C1F">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054C1F" w:rsidRPr="00F23344" w:rsidRDefault="00054C1F" w:rsidP="00054C1F">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054C1F" w:rsidRPr="00F23344" w:rsidRDefault="00054C1F" w:rsidP="00054C1F">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054C1F" w:rsidRPr="00D27721" w:rsidRDefault="00054C1F" w:rsidP="00054C1F">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054C1F" w:rsidRPr="00662AD0" w:rsidRDefault="00054C1F" w:rsidP="00054C1F">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054C1F" w:rsidRPr="00662AD0" w:rsidRDefault="00054C1F" w:rsidP="00054C1F">
      <w:pPr>
        <w:pStyle w:val="ListParagraph"/>
        <w:spacing w:after="0"/>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054C1F" w:rsidRPr="00662AD0" w:rsidRDefault="00054C1F" w:rsidP="00054C1F">
      <w:pPr>
        <w:pStyle w:val="FootnoteText"/>
        <w:rPr>
          <w:i/>
        </w:rPr>
      </w:pPr>
      <w:r w:rsidRPr="00662AD0">
        <w:rPr>
          <w:rStyle w:val="FootnoteReference"/>
          <w:sz w:val="20"/>
          <w:szCs w:val="20"/>
        </w:rPr>
        <w:footnoteRef/>
      </w:r>
      <w:r w:rsidRPr="00662AD0">
        <w:rPr>
          <w:sz w:val="20"/>
          <w:szCs w:val="20"/>
        </w:rPr>
        <w:t xml:space="preserve"> </w:t>
      </w:r>
      <w:r w:rsidRPr="00662AD0">
        <w:rPr>
          <w:i/>
          <w:sz w:val="20"/>
          <w:szCs w:val="20"/>
        </w:rPr>
        <w:t xml:space="preserve">Ibid. </w:t>
      </w:r>
      <w:proofErr w:type="spellStart"/>
      <w:r w:rsidRPr="00662AD0">
        <w:rPr>
          <w:i/>
          <w:sz w:val="20"/>
          <w:szCs w:val="20"/>
        </w:rPr>
        <w:t>above</w:t>
      </w:r>
      <w:proofErr w:type="spellEnd"/>
      <w:r w:rsidRPr="00662AD0">
        <w:rPr>
          <w:i/>
          <w:sz w:val="20"/>
          <w:szCs w:val="20"/>
        </w:rPr>
        <w:t>.</w:t>
      </w:r>
    </w:p>
  </w:footnote>
  <w:footnote w:id="17">
    <w:p w:rsidR="00054C1F" w:rsidRPr="009B6EAA" w:rsidRDefault="00054C1F" w:rsidP="00054C1F">
      <w:pPr>
        <w:pStyle w:val="FootnoteText"/>
        <w:rPr>
          <w:szCs w:val="16"/>
        </w:rPr>
      </w:pPr>
      <w:r w:rsidRPr="009B6EAA">
        <w:rPr>
          <w:rStyle w:val="FootnoteReference"/>
          <w:sz w:val="16"/>
          <w:szCs w:val="16"/>
        </w:rPr>
        <w:footnoteRef/>
      </w:r>
      <w:r w:rsidRPr="009B6EAA">
        <w:rPr>
          <w:szCs w:val="16"/>
        </w:rPr>
        <w:t xml:space="preserve"> D. </w:t>
      </w:r>
      <w:proofErr w:type="spellStart"/>
      <w:r w:rsidRPr="009B6EAA">
        <w:rPr>
          <w:szCs w:val="16"/>
        </w:rPr>
        <w:t>Chabanet</w:t>
      </w:r>
      <w:proofErr w:type="spellEnd"/>
      <w:r w:rsidRPr="009B6EAA">
        <w:rPr>
          <w:szCs w:val="16"/>
        </w:rPr>
        <w:t xml:space="preserve"> and A. H. </w:t>
      </w:r>
      <w:proofErr w:type="spellStart"/>
      <w:r w:rsidRPr="009B6EAA">
        <w:rPr>
          <w:szCs w:val="16"/>
        </w:rPr>
        <w:t>Trechsel</w:t>
      </w:r>
      <w:proofErr w:type="spellEnd"/>
      <w:r w:rsidRPr="009B6EAA">
        <w:rPr>
          <w:szCs w:val="16"/>
        </w:rPr>
        <w:t xml:space="preserve">, EU </w:t>
      </w:r>
      <w:proofErr w:type="spellStart"/>
      <w:r w:rsidRPr="009B6EAA">
        <w:rPr>
          <w:szCs w:val="16"/>
        </w:rPr>
        <w:t>Member</w:t>
      </w:r>
      <w:proofErr w:type="spellEnd"/>
      <w:r w:rsidRPr="009B6EAA">
        <w:rPr>
          <w:szCs w:val="16"/>
        </w:rPr>
        <w:t xml:space="preserve"> States’ </w:t>
      </w:r>
      <w:proofErr w:type="spellStart"/>
      <w:r w:rsidRPr="009B6EAA">
        <w:rPr>
          <w:szCs w:val="16"/>
        </w:rPr>
        <w:t>Consultation</w:t>
      </w:r>
      <w:proofErr w:type="spellEnd"/>
      <w:r w:rsidRPr="009B6EAA">
        <w:rPr>
          <w:szCs w:val="16"/>
        </w:rPr>
        <w:t xml:space="preserve"> </w:t>
      </w:r>
      <w:proofErr w:type="spellStart"/>
      <w:r w:rsidRPr="009B6EAA">
        <w:rPr>
          <w:szCs w:val="16"/>
        </w:rPr>
        <w:t>with</w:t>
      </w:r>
      <w:proofErr w:type="spellEnd"/>
      <w:r w:rsidRPr="009B6EAA">
        <w:rPr>
          <w:szCs w:val="16"/>
        </w:rPr>
        <w:t xml:space="preserve"> Civil </w:t>
      </w:r>
      <w:proofErr w:type="spellStart"/>
      <w:r w:rsidRPr="009B6EAA">
        <w:rPr>
          <w:szCs w:val="16"/>
        </w:rPr>
        <w:t>Society</w:t>
      </w:r>
      <w:proofErr w:type="spellEnd"/>
      <w:r w:rsidRPr="009B6EAA">
        <w:rPr>
          <w:szCs w:val="16"/>
        </w:rPr>
        <w:t xml:space="preserve"> on</w:t>
      </w:r>
      <w:r>
        <w:rPr>
          <w:szCs w:val="16"/>
        </w:rPr>
        <w:t xml:space="preserve"> </w:t>
      </w:r>
      <w:proofErr w:type="spellStart"/>
      <w:r w:rsidRPr="009B6EAA">
        <w:rPr>
          <w:szCs w:val="16"/>
        </w:rPr>
        <w:t>European</w:t>
      </w:r>
      <w:proofErr w:type="spellEnd"/>
      <w:r w:rsidRPr="009B6EAA">
        <w:rPr>
          <w:szCs w:val="16"/>
        </w:rPr>
        <w:t xml:space="preserve"> Policy </w:t>
      </w:r>
      <w:proofErr w:type="spellStart"/>
      <w:r w:rsidRPr="009B6EAA">
        <w:rPr>
          <w:szCs w:val="16"/>
        </w:rPr>
        <w:t>Matters</w:t>
      </w:r>
      <w:proofErr w:type="spellEnd"/>
      <w:r w:rsidRPr="009B6EAA">
        <w:rPr>
          <w:szCs w:val="16"/>
        </w:rPr>
        <w:t>,</w:t>
      </w:r>
      <w:r>
        <w:rPr>
          <w:szCs w:val="16"/>
        </w:rPr>
        <w:t xml:space="preserve"> </w:t>
      </w:r>
      <w:r w:rsidRPr="009B6EAA">
        <w:rPr>
          <w:szCs w:val="16"/>
        </w:rPr>
        <w:t xml:space="preserve">Robert Schuman Centre for </w:t>
      </w:r>
      <w:proofErr w:type="spellStart"/>
      <w:r w:rsidRPr="009B6EAA">
        <w:rPr>
          <w:szCs w:val="16"/>
        </w:rPr>
        <w:t>Advanced</w:t>
      </w:r>
      <w:proofErr w:type="spellEnd"/>
      <w:r w:rsidRPr="009B6EAA">
        <w:rPr>
          <w:szCs w:val="16"/>
        </w:rPr>
        <w:t xml:space="preserve"> Studies, </w:t>
      </w:r>
      <w:proofErr w:type="spellStart"/>
      <w:r w:rsidRPr="009B6EAA">
        <w:rPr>
          <w:szCs w:val="16"/>
        </w:rPr>
        <w:t>European</w:t>
      </w:r>
      <w:proofErr w:type="spellEnd"/>
      <w:r w:rsidRPr="009B6EAA">
        <w:rPr>
          <w:szCs w:val="16"/>
        </w:rPr>
        <w:t xml:space="preserve"> University </w:t>
      </w:r>
      <w:proofErr w:type="spellStart"/>
      <w:r w:rsidRPr="009B6EAA">
        <w:rPr>
          <w:szCs w:val="16"/>
        </w:rPr>
        <w:t>Institute</w:t>
      </w:r>
      <w:proofErr w:type="spellEnd"/>
      <w:r w:rsidRPr="009B6EAA">
        <w:rPr>
          <w:szCs w:val="16"/>
        </w:rPr>
        <w:t>,</w:t>
      </w:r>
      <w:r>
        <w:rPr>
          <w:szCs w:val="16"/>
        </w:rPr>
        <w:t xml:space="preserve"> </w:t>
      </w:r>
      <w:proofErr w:type="spellStart"/>
      <w:r w:rsidRPr="009B6EAA">
        <w:rPr>
          <w:szCs w:val="16"/>
        </w:rPr>
        <w:t>October</w:t>
      </w:r>
      <w:proofErr w:type="spellEnd"/>
      <w:r w:rsidRPr="009B6EAA">
        <w:rPr>
          <w:szCs w:val="16"/>
        </w:rPr>
        <w:t xml:space="preserve"> 2011, p. 69ff</w:t>
      </w:r>
    </w:p>
  </w:footnote>
  <w:footnote w:id="18">
    <w:p w:rsidR="00054C1F" w:rsidRPr="009B6EAA" w:rsidRDefault="00054C1F" w:rsidP="00054C1F">
      <w:pPr>
        <w:pStyle w:val="FootnoteText"/>
        <w:rPr>
          <w:szCs w:val="16"/>
          <w:lang w:val="en-GB"/>
        </w:rPr>
      </w:pPr>
      <w:r w:rsidRPr="009B6EAA">
        <w:rPr>
          <w:rStyle w:val="FootnoteReference"/>
          <w:sz w:val="16"/>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054C1F" w:rsidRPr="009B6EAA" w:rsidRDefault="00054C1F" w:rsidP="00054C1F">
      <w:pPr>
        <w:pStyle w:val="FootnoteText"/>
        <w:rPr>
          <w:szCs w:val="16"/>
          <w:lang w:val="en-GB"/>
        </w:rPr>
      </w:pPr>
      <w:r w:rsidRPr="009B6EAA">
        <w:rPr>
          <w:rStyle w:val="FootnoteReference"/>
          <w:sz w:val="16"/>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054C1F" w:rsidRPr="00720627" w:rsidRDefault="00054C1F" w:rsidP="00054C1F">
      <w:pPr>
        <w:pStyle w:val="FootnoteText"/>
        <w:rPr>
          <w:szCs w:val="16"/>
          <w:lang w:val="en-GB"/>
        </w:rPr>
      </w:pPr>
      <w:r w:rsidRPr="009B6EAA">
        <w:rPr>
          <w:rStyle w:val="FootnoteReference"/>
          <w:sz w:val="16"/>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054C1F" w:rsidRPr="00961293" w:rsidRDefault="00054C1F" w:rsidP="00054C1F">
      <w:pPr>
        <w:pStyle w:val="FootnoteText"/>
      </w:pPr>
      <w:r w:rsidRPr="009B6EAA">
        <w:rPr>
          <w:rStyle w:val="FootnoteReference"/>
          <w:sz w:val="16"/>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r w:rsidRPr="009B6EAA">
        <w:rPr>
          <w:szCs w:val="16"/>
        </w:rPr>
        <w:t xml:space="preserve">as an </w:t>
      </w:r>
      <w:proofErr w:type="spellStart"/>
      <w:r w:rsidRPr="009B6EAA">
        <w:rPr>
          <w:szCs w:val="16"/>
        </w:rPr>
        <w:t>example</w:t>
      </w:r>
      <w:proofErr w:type="spellEnd"/>
      <w:r w:rsidRPr="009B6EAA">
        <w:rPr>
          <w:szCs w:val="16"/>
        </w:rPr>
        <w:t xml:space="preserve"> for a </w:t>
      </w:r>
      <w:proofErr w:type="spellStart"/>
      <w:r w:rsidRPr="009B6EAA">
        <w:rPr>
          <w:szCs w:val="16"/>
        </w:rPr>
        <w:t>network</w:t>
      </w:r>
      <w:proofErr w:type="spellEnd"/>
      <w:r w:rsidRPr="009B6EAA">
        <w:rPr>
          <w:szCs w:val="16"/>
        </w:rPr>
        <w:t xml:space="preserve"> </w:t>
      </w:r>
      <w:proofErr w:type="spellStart"/>
      <w:r w:rsidRPr="009B6EAA">
        <w:rPr>
          <w:szCs w:val="16"/>
        </w:rPr>
        <w:t>of</w:t>
      </w:r>
      <w:proofErr w:type="spellEnd"/>
      <w:r>
        <w:rPr>
          <w:szCs w:val="16"/>
        </w:rPr>
        <w:t xml:space="preserve"> </w:t>
      </w:r>
      <w:r w:rsidRPr="009B6EAA">
        <w:rPr>
          <w:szCs w:val="16"/>
        </w:rPr>
        <w:t>“</w:t>
      </w:r>
      <w:proofErr w:type="spellStart"/>
      <w:r w:rsidRPr="009B6EAA">
        <w:rPr>
          <w:szCs w:val="16"/>
        </w:rPr>
        <w:t>civic</w:t>
      </w:r>
      <w:proofErr w:type="spellEnd"/>
      <w:r w:rsidRPr="009B6EAA">
        <w:rPr>
          <w:szCs w:val="16"/>
        </w:rPr>
        <w:t xml:space="preserve"> </w:t>
      </w:r>
      <w:proofErr w:type="spellStart"/>
      <w:r w:rsidRPr="009B6EAA">
        <w:rPr>
          <w:szCs w:val="16"/>
        </w:rPr>
        <w:t>involvement</w:t>
      </w:r>
      <w:proofErr w:type="spellEnd"/>
      <w:r w:rsidRPr="009B6EAA">
        <w:rPr>
          <w:szCs w:val="16"/>
        </w:rPr>
        <w:t xml:space="preserve">” </w:t>
      </w:r>
      <w:proofErr w:type="spellStart"/>
      <w:r w:rsidRPr="009B6EAA">
        <w:rPr>
          <w:szCs w:val="16"/>
        </w:rPr>
        <w:t>CSOs</w:t>
      </w:r>
      <w:proofErr w:type="spellEnd"/>
    </w:p>
  </w:footnote>
  <w:footnote w:id="22">
    <w:p w:rsidR="00054C1F" w:rsidRPr="00155CCB" w:rsidRDefault="00054C1F" w:rsidP="00054C1F">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Trade</w:t>
      </w:r>
      <w:proofErr w:type="spellEnd"/>
      <w:r w:rsidRPr="00155CCB">
        <w:rPr>
          <w:sz w:val="20"/>
          <w:szCs w:val="20"/>
        </w:rPr>
        <w:t xml:space="preserve"> Union </w:t>
      </w:r>
      <w:proofErr w:type="spellStart"/>
      <w:r w:rsidRPr="00155CCB">
        <w:rPr>
          <w:sz w:val="20"/>
          <w:szCs w:val="20"/>
        </w:rPr>
        <w:t>Confederation</w:t>
      </w:r>
      <w:proofErr w:type="spellEnd"/>
      <w:r w:rsidRPr="00155CCB">
        <w:rPr>
          <w:sz w:val="20"/>
          <w:szCs w:val="20"/>
        </w:rPr>
        <w:t xml:space="preserve"> (ETUC), Business Europe, the </w:t>
      </w:r>
      <w:proofErr w:type="spellStart"/>
      <w:r w:rsidRPr="00155CCB">
        <w:rPr>
          <w:sz w:val="20"/>
          <w:szCs w:val="20"/>
        </w:rPr>
        <w:t>European</w:t>
      </w:r>
      <w:proofErr w:type="spellEnd"/>
      <w:r w:rsidRPr="00155CCB">
        <w:rPr>
          <w:sz w:val="20"/>
          <w:szCs w:val="20"/>
        </w:rPr>
        <w:t xml:space="preserve"> Association </w:t>
      </w:r>
      <w:proofErr w:type="spellStart"/>
      <w:r w:rsidRPr="00155CCB">
        <w:rPr>
          <w:sz w:val="20"/>
          <w:szCs w:val="20"/>
        </w:rPr>
        <w:t>of</w:t>
      </w:r>
      <w:proofErr w:type="spellEnd"/>
      <w:r w:rsidRPr="00155CCB">
        <w:rPr>
          <w:sz w:val="20"/>
          <w:szCs w:val="20"/>
        </w:rPr>
        <w:t xml:space="preserve"> Craft, Small and Medium-</w:t>
      </w:r>
      <w:proofErr w:type="spellStart"/>
      <w:r w:rsidRPr="00155CCB">
        <w:rPr>
          <w:sz w:val="20"/>
          <w:szCs w:val="20"/>
        </w:rPr>
        <w:t>sized</w:t>
      </w:r>
      <w:proofErr w:type="spellEnd"/>
      <w:r w:rsidRPr="00155CCB">
        <w:rPr>
          <w:sz w:val="20"/>
          <w:szCs w:val="20"/>
        </w:rPr>
        <w:t xml:space="preserve"> Enterprises (U</w:t>
      </w:r>
      <w:r>
        <w:rPr>
          <w:sz w:val="20"/>
          <w:szCs w:val="20"/>
        </w:rPr>
        <w:t>E</w:t>
      </w:r>
      <w:r w:rsidRPr="00155CCB">
        <w:rPr>
          <w:sz w:val="20"/>
          <w:szCs w:val="20"/>
        </w:rPr>
        <w:t xml:space="preserve">APME) and the </w:t>
      </w:r>
      <w:proofErr w:type="spellStart"/>
      <w:r w:rsidRPr="00155CCB">
        <w:rPr>
          <w:sz w:val="20"/>
          <w:szCs w:val="20"/>
        </w:rPr>
        <w:t>European</w:t>
      </w:r>
      <w:proofErr w:type="spellEnd"/>
      <w:r w:rsidRPr="00155CCB">
        <w:rPr>
          <w:sz w:val="20"/>
          <w:szCs w:val="20"/>
        </w:rPr>
        <w:t xml:space="preserve"> Centre </w:t>
      </w:r>
      <w:proofErr w:type="spellStart"/>
      <w:r w:rsidRPr="00155CCB">
        <w:rPr>
          <w:sz w:val="20"/>
          <w:szCs w:val="20"/>
        </w:rPr>
        <w:t>of</w:t>
      </w:r>
      <w:proofErr w:type="spellEnd"/>
      <w:r w:rsidRPr="00155CCB">
        <w:rPr>
          <w:sz w:val="20"/>
          <w:szCs w:val="20"/>
        </w:rPr>
        <w:t xml:space="preserve"> </w:t>
      </w:r>
      <w:proofErr w:type="spellStart"/>
      <w:r w:rsidRPr="00155CCB">
        <w:rPr>
          <w:sz w:val="20"/>
          <w:szCs w:val="20"/>
        </w:rPr>
        <w:t>Employers</w:t>
      </w:r>
      <w:proofErr w:type="spellEnd"/>
      <w:r w:rsidRPr="00155CCB">
        <w:rPr>
          <w:sz w:val="20"/>
          <w:szCs w:val="20"/>
        </w:rPr>
        <w:t xml:space="preserve"> and Enterprises </w:t>
      </w:r>
      <w:proofErr w:type="spellStart"/>
      <w:r w:rsidRPr="00155CCB">
        <w:rPr>
          <w:sz w:val="20"/>
          <w:szCs w:val="20"/>
        </w:rPr>
        <w:t>providing</w:t>
      </w:r>
      <w:proofErr w:type="spellEnd"/>
      <w:r w:rsidRPr="00155CCB">
        <w:rPr>
          <w:sz w:val="20"/>
          <w:szCs w:val="20"/>
        </w:rPr>
        <w:t xml:space="preserve"> Public Services (CEEP)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2F2C94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C94249"/>
    <w:multiLevelType w:val="hybridMultilevel"/>
    <w:tmpl w:val="77880DD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282000"/>
    <w:multiLevelType w:val="hybridMultilevel"/>
    <w:tmpl w:val="D46E22E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773349"/>
    <w:multiLevelType w:val="hybridMultilevel"/>
    <w:tmpl w:val="642C52EC"/>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rPr>
          <w:b w:val="0"/>
          <w:i w:val="0"/>
        </w:rPr>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9"/>
  </w:num>
  <w:num w:numId="4">
    <w:abstractNumId w:val="4"/>
  </w:num>
  <w:num w:numId="5">
    <w:abstractNumId w:val="1"/>
  </w:num>
  <w:num w:numId="6">
    <w:abstractNumId w:val="3"/>
  </w:num>
  <w:num w:numId="7">
    <w:abstractNumId w:val="7"/>
  </w:num>
  <w:num w:numId="8">
    <w:abstractNumId w:val="6"/>
  </w:num>
  <w:num w:numId="9">
    <w:abstractNumId w:val="5"/>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0145A"/>
    <w:rsid w:val="00001E01"/>
    <w:rsid w:val="000042BF"/>
    <w:rsid w:val="0001135E"/>
    <w:rsid w:val="000269C8"/>
    <w:rsid w:val="00027FAC"/>
    <w:rsid w:val="000304FD"/>
    <w:rsid w:val="0003520D"/>
    <w:rsid w:val="00040BD3"/>
    <w:rsid w:val="00044560"/>
    <w:rsid w:val="00050BEC"/>
    <w:rsid w:val="00052EE8"/>
    <w:rsid w:val="00053C40"/>
    <w:rsid w:val="00054C1F"/>
    <w:rsid w:val="0007112B"/>
    <w:rsid w:val="00076487"/>
    <w:rsid w:val="0007686F"/>
    <w:rsid w:val="00081B12"/>
    <w:rsid w:val="000948CA"/>
    <w:rsid w:val="00097AB4"/>
    <w:rsid w:val="000A2102"/>
    <w:rsid w:val="000A4001"/>
    <w:rsid w:val="000A696E"/>
    <w:rsid w:val="000B531A"/>
    <w:rsid w:val="000B549D"/>
    <w:rsid w:val="000C20BD"/>
    <w:rsid w:val="000C5F18"/>
    <w:rsid w:val="000C68E9"/>
    <w:rsid w:val="000D1BBC"/>
    <w:rsid w:val="000D4B5B"/>
    <w:rsid w:val="000E2F92"/>
    <w:rsid w:val="000E5A41"/>
    <w:rsid w:val="000F1051"/>
    <w:rsid w:val="00103C90"/>
    <w:rsid w:val="00111A1E"/>
    <w:rsid w:val="001138AC"/>
    <w:rsid w:val="00115C16"/>
    <w:rsid w:val="00116ACF"/>
    <w:rsid w:val="001232E9"/>
    <w:rsid w:val="001238EB"/>
    <w:rsid w:val="001300B0"/>
    <w:rsid w:val="00136360"/>
    <w:rsid w:val="00140A12"/>
    <w:rsid w:val="00147B57"/>
    <w:rsid w:val="00150E57"/>
    <w:rsid w:val="00150EB5"/>
    <w:rsid w:val="00155CCB"/>
    <w:rsid w:val="0015631A"/>
    <w:rsid w:val="00157D5C"/>
    <w:rsid w:val="00165914"/>
    <w:rsid w:val="001841E4"/>
    <w:rsid w:val="00185F0A"/>
    <w:rsid w:val="001875C5"/>
    <w:rsid w:val="001901CA"/>
    <w:rsid w:val="001A10A2"/>
    <w:rsid w:val="001A49E0"/>
    <w:rsid w:val="001B28B5"/>
    <w:rsid w:val="001C768B"/>
    <w:rsid w:val="001D265D"/>
    <w:rsid w:val="001E0D57"/>
    <w:rsid w:val="001F158B"/>
    <w:rsid w:val="002152CE"/>
    <w:rsid w:val="00216064"/>
    <w:rsid w:val="00230308"/>
    <w:rsid w:val="0023321C"/>
    <w:rsid w:val="00241EBC"/>
    <w:rsid w:val="00246AAA"/>
    <w:rsid w:val="002827D0"/>
    <w:rsid w:val="002A5174"/>
    <w:rsid w:val="002A62C1"/>
    <w:rsid w:val="002B6AFC"/>
    <w:rsid w:val="002C4162"/>
    <w:rsid w:val="002D556F"/>
    <w:rsid w:val="002D76FE"/>
    <w:rsid w:val="002E33A3"/>
    <w:rsid w:val="002F7D4D"/>
    <w:rsid w:val="003011C3"/>
    <w:rsid w:val="00302409"/>
    <w:rsid w:val="00304D1B"/>
    <w:rsid w:val="00311BF3"/>
    <w:rsid w:val="003138DC"/>
    <w:rsid w:val="00316373"/>
    <w:rsid w:val="00323272"/>
    <w:rsid w:val="00326355"/>
    <w:rsid w:val="00331926"/>
    <w:rsid w:val="0033227E"/>
    <w:rsid w:val="00333A7E"/>
    <w:rsid w:val="00335376"/>
    <w:rsid w:val="00342303"/>
    <w:rsid w:val="003457B2"/>
    <w:rsid w:val="0035205F"/>
    <w:rsid w:val="00363F1A"/>
    <w:rsid w:val="00364E7B"/>
    <w:rsid w:val="00365A10"/>
    <w:rsid w:val="0037047A"/>
    <w:rsid w:val="00373774"/>
    <w:rsid w:val="00376C04"/>
    <w:rsid w:val="00382031"/>
    <w:rsid w:val="00384DDF"/>
    <w:rsid w:val="00397531"/>
    <w:rsid w:val="003C4592"/>
    <w:rsid w:val="003E2427"/>
    <w:rsid w:val="003E56D4"/>
    <w:rsid w:val="003E5B4D"/>
    <w:rsid w:val="003E65D3"/>
    <w:rsid w:val="003E7109"/>
    <w:rsid w:val="003F2BBD"/>
    <w:rsid w:val="003F6FD9"/>
    <w:rsid w:val="003F74BC"/>
    <w:rsid w:val="003F7C56"/>
    <w:rsid w:val="00400276"/>
    <w:rsid w:val="004111CF"/>
    <w:rsid w:val="00411BEF"/>
    <w:rsid w:val="0041793D"/>
    <w:rsid w:val="00417B41"/>
    <w:rsid w:val="004255D8"/>
    <w:rsid w:val="00425B97"/>
    <w:rsid w:val="00437C49"/>
    <w:rsid w:val="004407EA"/>
    <w:rsid w:val="0044669B"/>
    <w:rsid w:val="0045004F"/>
    <w:rsid w:val="00451687"/>
    <w:rsid w:val="00456671"/>
    <w:rsid w:val="004639BF"/>
    <w:rsid w:val="00465E70"/>
    <w:rsid w:val="00467AAD"/>
    <w:rsid w:val="004710DE"/>
    <w:rsid w:val="00472BA9"/>
    <w:rsid w:val="004865F6"/>
    <w:rsid w:val="004A0553"/>
    <w:rsid w:val="004A3CFE"/>
    <w:rsid w:val="004B1B42"/>
    <w:rsid w:val="004D596A"/>
    <w:rsid w:val="004E6CF7"/>
    <w:rsid w:val="00505089"/>
    <w:rsid w:val="00520792"/>
    <w:rsid w:val="00543AC7"/>
    <w:rsid w:val="00544E22"/>
    <w:rsid w:val="00555298"/>
    <w:rsid w:val="0056177B"/>
    <w:rsid w:val="00564135"/>
    <w:rsid w:val="0056429B"/>
    <w:rsid w:val="00564BE0"/>
    <w:rsid w:val="00566018"/>
    <w:rsid w:val="00580621"/>
    <w:rsid w:val="0058258D"/>
    <w:rsid w:val="0058652E"/>
    <w:rsid w:val="00590292"/>
    <w:rsid w:val="005904FA"/>
    <w:rsid w:val="005A04BC"/>
    <w:rsid w:val="005A4F24"/>
    <w:rsid w:val="005B422B"/>
    <w:rsid w:val="005D13AF"/>
    <w:rsid w:val="005D3E57"/>
    <w:rsid w:val="005D7EB6"/>
    <w:rsid w:val="005E5081"/>
    <w:rsid w:val="005E7C74"/>
    <w:rsid w:val="00611AF6"/>
    <w:rsid w:val="00611DD6"/>
    <w:rsid w:val="00611DEC"/>
    <w:rsid w:val="00613601"/>
    <w:rsid w:val="00635E74"/>
    <w:rsid w:val="00637C88"/>
    <w:rsid w:val="0064363D"/>
    <w:rsid w:val="006440AE"/>
    <w:rsid w:val="00647390"/>
    <w:rsid w:val="0065370C"/>
    <w:rsid w:val="00653839"/>
    <w:rsid w:val="006546B1"/>
    <w:rsid w:val="00662AD0"/>
    <w:rsid w:val="0067328A"/>
    <w:rsid w:val="00673774"/>
    <w:rsid w:val="0067559E"/>
    <w:rsid w:val="00682FF3"/>
    <w:rsid w:val="0068443A"/>
    <w:rsid w:val="006945D6"/>
    <w:rsid w:val="006A1E23"/>
    <w:rsid w:val="006A7569"/>
    <w:rsid w:val="006D7CFA"/>
    <w:rsid w:val="006F13AF"/>
    <w:rsid w:val="006F75C8"/>
    <w:rsid w:val="00700535"/>
    <w:rsid w:val="007052E8"/>
    <w:rsid w:val="00707487"/>
    <w:rsid w:val="007124C4"/>
    <w:rsid w:val="00720627"/>
    <w:rsid w:val="00724AF5"/>
    <w:rsid w:val="0072690D"/>
    <w:rsid w:val="0073106E"/>
    <w:rsid w:val="0073198F"/>
    <w:rsid w:val="00736ED8"/>
    <w:rsid w:val="007453BF"/>
    <w:rsid w:val="00756F5F"/>
    <w:rsid w:val="007571F7"/>
    <w:rsid w:val="007634D4"/>
    <w:rsid w:val="007647F7"/>
    <w:rsid w:val="0076763C"/>
    <w:rsid w:val="007834C4"/>
    <w:rsid w:val="00790AD8"/>
    <w:rsid w:val="00791490"/>
    <w:rsid w:val="007919AE"/>
    <w:rsid w:val="007A5C15"/>
    <w:rsid w:val="007A6D8C"/>
    <w:rsid w:val="007C65A9"/>
    <w:rsid w:val="007D38BC"/>
    <w:rsid w:val="007D6B91"/>
    <w:rsid w:val="007D7BFB"/>
    <w:rsid w:val="008027FF"/>
    <w:rsid w:val="008030DE"/>
    <w:rsid w:val="00806EB3"/>
    <w:rsid w:val="00807925"/>
    <w:rsid w:val="0081485A"/>
    <w:rsid w:val="008159F2"/>
    <w:rsid w:val="008260FF"/>
    <w:rsid w:val="008309A6"/>
    <w:rsid w:val="00834E8A"/>
    <w:rsid w:val="00835A5D"/>
    <w:rsid w:val="00844309"/>
    <w:rsid w:val="00845966"/>
    <w:rsid w:val="008469F7"/>
    <w:rsid w:val="008519D5"/>
    <w:rsid w:val="00851A91"/>
    <w:rsid w:val="008550A9"/>
    <w:rsid w:val="00862BF9"/>
    <w:rsid w:val="00872ED2"/>
    <w:rsid w:val="0087449B"/>
    <w:rsid w:val="00885555"/>
    <w:rsid w:val="00886D6D"/>
    <w:rsid w:val="008A10E3"/>
    <w:rsid w:val="008A2416"/>
    <w:rsid w:val="008A3AEA"/>
    <w:rsid w:val="008A6666"/>
    <w:rsid w:val="008B6944"/>
    <w:rsid w:val="008B73D8"/>
    <w:rsid w:val="008C19B4"/>
    <w:rsid w:val="008D0042"/>
    <w:rsid w:val="008D280C"/>
    <w:rsid w:val="008D3D42"/>
    <w:rsid w:val="008D4A18"/>
    <w:rsid w:val="008F217C"/>
    <w:rsid w:val="008F2E91"/>
    <w:rsid w:val="0090302B"/>
    <w:rsid w:val="00912836"/>
    <w:rsid w:val="00913D89"/>
    <w:rsid w:val="00923ECA"/>
    <w:rsid w:val="009360CC"/>
    <w:rsid w:val="009456E9"/>
    <w:rsid w:val="00945B16"/>
    <w:rsid w:val="00954950"/>
    <w:rsid w:val="00962CE7"/>
    <w:rsid w:val="00971584"/>
    <w:rsid w:val="00976767"/>
    <w:rsid w:val="00982479"/>
    <w:rsid w:val="009833FE"/>
    <w:rsid w:val="009949E8"/>
    <w:rsid w:val="009A51C5"/>
    <w:rsid w:val="009A7934"/>
    <w:rsid w:val="009B1660"/>
    <w:rsid w:val="009D15D7"/>
    <w:rsid w:val="009E12AE"/>
    <w:rsid w:val="009E2435"/>
    <w:rsid w:val="009F1FB6"/>
    <w:rsid w:val="009F7CF5"/>
    <w:rsid w:val="00A1739B"/>
    <w:rsid w:val="00A20893"/>
    <w:rsid w:val="00A34019"/>
    <w:rsid w:val="00A36B7D"/>
    <w:rsid w:val="00A4622D"/>
    <w:rsid w:val="00A510A0"/>
    <w:rsid w:val="00A562C8"/>
    <w:rsid w:val="00A636E7"/>
    <w:rsid w:val="00A647CB"/>
    <w:rsid w:val="00A651A6"/>
    <w:rsid w:val="00A66FE2"/>
    <w:rsid w:val="00A7400A"/>
    <w:rsid w:val="00A75BD7"/>
    <w:rsid w:val="00A76297"/>
    <w:rsid w:val="00A775E8"/>
    <w:rsid w:val="00A9236A"/>
    <w:rsid w:val="00AA5448"/>
    <w:rsid w:val="00AB4B13"/>
    <w:rsid w:val="00AB4F85"/>
    <w:rsid w:val="00AC1071"/>
    <w:rsid w:val="00AC120A"/>
    <w:rsid w:val="00AC2B79"/>
    <w:rsid w:val="00AC2D9D"/>
    <w:rsid w:val="00AD3707"/>
    <w:rsid w:val="00AE2D69"/>
    <w:rsid w:val="00AF4161"/>
    <w:rsid w:val="00B07CC7"/>
    <w:rsid w:val="00B21FF6"/>
    <w:rsid w:val="00B41BCE"/>
    <w:rsid w:val="00B45895"/>
    <w:rsid w:val="00B64C44"/>
    <w:rsid w:val="00B66E8F"/>
    <w:rsid w:val="00B7676F"/>
    <w:rsid w:val="00B8194C"/>
    <w:rsid w:val="00B823FC"/>
    <w:rsid w:val="00B854B3"/>
    <w:rsid w:val="00B85E87"/>
    <w:rsid w:val="00B96578"/>
    <w:rsid w:val="00BB5209"/>
    <w:rsid w:val="00BC2439"/>
    <w:rsid w:val="00BC2591"/>
    <w:rsid w:val="00BD5F6A"/>
    <w:rsid w:val="00BD6E2F"/>
    <w:rsid w:val="00BE33D6"/>
    <w:rsid w:val="00BF63AB"/>
    <w:rsid w:val="00C03D0F"/>
    <w:rsid w:val="00C12916"/>
    <w:rsid w:val="00C13ACB"/>
    <w:rsid w:val="00C40E07"/>
    <w:rsid w:val="00C425B1"/>
    <w:rsid w:val="00C4286C"/>
    <w:rsid w:val="00C55528"/>
    <w:rsid w:val="00C74E21"/>
    <w:rsid w:val="00C75254"/>
    <w:rsid w:val="00C7731A"/>
    <w:rsid w:val="00C836C9"/>
    <w:rsid w:val="00C85CBC"/>
    <w:rsid w:val="00C935FC"/>
    <w:rsid w:val="00C970B4"/>
    <w:rsid w:val="00CA6301"/>
    <w:rsid w:val="00CB2B26"/>
    <w:rsid w:val="00CB588C"/>
    <w:rsid w:val="00CB653D"/>
    <w:rsid w:val="00CB7C6E"/>
    <w:rsid w:val="00CC7CCB"/>
    <w:rsid w:val="00CD309D"/>
    <w:rsid w:val="00CD6487"/>
    <w:rsid w:val="00CD7555"/>
    <w:rsid w:val="00CE54A2"/>
    <w:rsid w:val="00CE6027"/>
    <w:rsid w:val="00D03A5F"/>
    <w:rsid w:val="00D10A67"/>
    <w:rsid w:val="00D275B7"/>
    <w:rsid w:val="00D30266"/>
    <w:rsid w:val="00D3031D"/>
    <w:rsid w:val="00D30937"/>
    <w:rsid w:val="00D31484"/>
    <w:rsid w:val="00D31BA1"/>
    <w:rsid w:val="00D44FB8"/>
    <w:rsid w:val="00D475F4"/>
    <w:rsid w:val="00D5168F"/>
    <w:rsid w:val="00D6271F"/>
    <w:rsid w:val="00D661ED"/>
    <w:rsid w:val="00D66C29"/>
    <w:rsid w:val="00D71B66"/>
    <w:rsid w:val="00D76D60"/>
    <w:rsid w:val="00D84AE2"/>
    <w:rsid w:val="00D95565"/>
    <w:rsid w:val="00DB442F"/>
    <w:rsid w:val="00DB68F9"/>
    <w:rsid w:val="00DB6F28"/>
    <w:rsid w:val="00DC5315"/>
    <w:rsid w:val="00DC55D8"/>
    <w:rsid w:val="00DC7863"/>
    <w:rsid w:val="00DD12A6"/>
    <w:rsid w:val="00DD376B"/>
    <w:rsid w:val="00DE520F"/>
    <w:rsid w:val="00DF2F5A"/>
    <w:rsid w:val="00E039E5"/>
    <w:rsid w:val="00E07B54"/>
    <w:rsid w:val="00E11529"/>
    <w:rsid w:val="00E20AC2"/>
    <w:rsid w:val="00E23E9D"/>
    <w:rsid w:val="00E25AA7"/>
    <w:rsid w:val="00E27EAB"/>
    <w:rsid w:val="00E3290B"/>
    <w:rsid w:val="00E463EE"/>
    <w:rsid w:val="00E51C72"/>
    <w:rsid w:val="00E57942"/>
    <w:rsid w:val="00E678C7"/>
    <w:rsid w:val="00E80817"/>
    <w:rsid w:val="00E80C38"/>
    <w:rsid w:val="00E81DC7"/>
    <w:rsid w:val="00E8734A"/>
    <w:rsid w:val="00E964C2"/>
    <w:rsid w:val="00E972F5"/>
    <w:rsid w:val="00EA30F0"/>
    <w:rsid w:val="00EA6B6B"/>
    <w:rsid w:val="00EB31A5"/>
    <w:rsid w:val="00EB50A4"/>
    <w:rsid w:val="00EB56E1"/>
    <w:rsid w:val="00EC546F"/>
    <w:rsid w:val="00EC6E14"/>
    <w:rsid w:val="00ED3DED"/>
    <w:rsid w:val="00EE61C6"/>
    <w:rsid w:val="00EE7FAE"/>
    <w:rsid w:val="00EF1678"/>
    <w:rsid w:val="00F01256"/>
    <w:rsid w:val="00F02F4C"/>
    <w:rsid w:val="00F0566C"/>
    <w:rsid w:val="00F05984"/>
    <w:rsid w:val="00F06966"/>
    <w:rsid w:val="00F23344"/>
    <w:rsid w:val="00F25278"/>
    <w:rsid w:val="00F35A60"/>
    <w:rsid w:val="00F5652F"/>
    <w:rsid w:val="00F57021"/>
    <w:rsid w:val="00F57AF5"/>
    <w:rsid w:val="00F73623"/>
    <w:rsid w:val="00F7646F"/>
    <w:rsid w:val="00F97408"/>
    <w:rsid w:val="00FA01F3"/>
    <w:rsid w:val="00FB0BE7"/>
    <w:rsid w:val="00FC4EA1"/>
    <w:rsid w:val="00FD0B63"/>
    <w:rsid w:val="00FD20A6"/>
    <w:rsid w:val="00FD748D"/>
    <w:rsid w:val="00FE236B"/>
    <w:rsid w:val="00FE496D"/>
    <w:rsid w:val="00FE4E8F"/>
    <w:rsid w:val="00FE78AA"/>
    <w:rsid w:val="00FF3027"/>
    <w:rsid w:val="00FF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1"/>
      </w:numPr>
      <w:ind w:left="720" w:hanging="720"/>
      <w:outlineLvl w:val="0"/>
    </w:pPr>
    <w:rPr>
      <w:kern w:val="28"/>
    </w:rPr>
  </w:style>
  <w:style w:type="paragraph" w:styleId="Heading2">
    <w:name w:val="heading 2"/>
    <w:basedOn w:val="Normal"/>
    <w:next w:val="Normal"/>
    <w:link w:val="Heading2Char"/>
    <w:qFormat/>
    <w:rsid w:val="0001135E"/>
    <w:pPr>
      <w:numPr>
        <w:ilvl w:val="1"/>
        <w:numId w:val="1"/>
      </w:numPr>
      <w:ind w:left="720" w:hanging="720"/>
      <w:outlineLvl w:val="1"/>
    </w:pPr>
  </w:style>
  <w:style w:type="paragraph" w:styleId="Heading3">
    <w:name w:val="heading 3"/>
    <w:basedOn w:val="Normal"/>
    <w:next w:val="Normal"/>
    <w:link w:val="Heading3Char"/>
    <w:qFormat/>
    <w:rsid w:val="0001135E"/>
    <w:pPr>
      <w:numPr>
        <w:ilvl w:val="2"/>
        <w:numId w:val="1"/>
      </w:numPr>
      <w:ind w:left="720" w:hanging="720"/>
      <w:outlineLvl w:val="2"/>
    </w:pPr>
  </w:style>
  <w:style w:type="paragraph" w:styleId="Heading4">
    <w:name w:val="heading 4"/>
    <w:basedOn w:val="Normal"/>
    <w:next w:val="Normal"/>
    <w:link w:val="Heading4Char"/>
    <w:qFormat/>
    <w:rsid w:val="0001135E"/>
    <w:pPr>
      <w:numPr>
        <w:ilvl w:val="3"/>
        <w:numId w:val="1"/>
      </w:numPr>
      <w:ind w:left="720" w:hanging="720"/>
      <w:outlineLvl w:val="3"/>
    </w:pPr>
  </w:style>
  <w:style w:type="paragraph" w:styleId="Heading5">
    <w:name w:val="heading 5"/>
    <w:basedOn w:val="Normal"/>
    <w:next w:val="Normal"/>
    <w:link w:val="Heading5Char"/>
    <w:qFormat/>
    <w:rsid w:val="0001135E"/>
    <w:pPr>
      <w:numPr>
        <w:ilvl w:val="4"/>
        <w:numId w:val="1"/>
      </w:numPr>
      <w:ind w:left="720" w:hanging="720"/>
      <w:outlineLvl w:val="4"/>
    </w:pPr>
  </w:style>
  <w:style w:type="paragraph" w:styleId="Heading6">
    <w:name w:val="heading 6"/>
    <w:basedOn w:val="Normal"/>
    <w:next w:val="Normal"/>
    <w:link w:val="Heading6Char"/>
    <w:qFormat/>
    <w:rsid w:val="0001135E"/>
    <w:pPr>
      <w:numPr>
        <w:ilvl w:val="5"/>
        <w:numId w:val="1"/>
      </w:numPr>
      <w:ind w:left="720" w:hanging="720"/>
      <w:outlineLvl w:val="5"/>
    </w:pPr>
  </w:style>
  <w:style w:type="paragraph" w:styleId="Heading7">
    <w:name w:val="heading 7"/>
    <w:basedOn w:val="Normal"/>
    <w:next w:val="Normal"/>
    <w:link w:val="Heading7Char"/>
    <w:qFormat/>
    <w:rsid w:val="0001135E"/>
    <w:pPr>
      <w:numPr>
        <w:ilvl w:val="6"/>
        <w:numId w:val="1"/>
      </w:numPr>
      <w:ind w:left="720" w:hanging="720"/>
      <w:outlineLvl w:val="6"/>
    </w:pPr>
  </w:style>
  <w:style w:type="paragraph" w:styleId="Heading8">
    <w:name w:val="heading 8"/>
    <w:basedOn w:val="Normal"/>
    <w:next w:val="Normal"/>
    <w:link w:val="Heading8Char"/>
    <w:qFormat/>
    <w:rsid w:val="0001135E"/>
    <w:pPr>
      <w:numPr>
        <w:ilvl w:val="7"/>
        <w:numId w:val="1"/>
      </w:numPr>
      <w:ind w:left="720" w:hanging="720"/>
      <w:outlineLvl w:val="7"/>
    </w:pPr>
  </w:style>
  <w:style w:type="paragraph" w:styleId="Heading9">
    <w:name w:val="heading 9"/>
    <w:basedOn w:val="Normal"/>
    <w:next w:val="Normal"/>
    <w:link w:val="Heading9Char"/>
    <w:qFormat/>
    <w:rsid w:val="0001135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sv-SE" w:eastAsia="sv-SE"/>
    </w:rPr>
  </w:style>
  <w:style w:type="character" w:customStyle="1" w:styleId="Heading2Char">
    <w:name w:val="Heading 2 Char"/>
    <w:link w:val="Heading2"/>
    <w:rsid w:val="00EB56E1"/>
    <w:rPr>
      <w:rFonts w:ascii="Times New Roman" w:eastAsia="Times New Roman" w:hAnsi="Times New Roman"/>
      <w:sz w:val="22"/>
      <w:szCs w:val="22"/>
      <w:lang w:val="sv-SE" w:eastAsia="sv-SE"/>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sv-SE" w:eastAsia="sv-SE"/>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sv-SE" w:eastAsia="sv-SE"/>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sv-SE" w:eastAsia="sv-SE"/>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sv-SE" w:eastAsia="sv-SE"/>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sv-SE" w:eastAsia="sv-SE"/>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sv-SE" w:eastAsia="sv-SE"/>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sv-SE" w:eastAsia="sv-SE"/>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sv-SE" w:eastAsia="sv-SE"/>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sv-SE" w:eastAsia="sv-SE"/>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sv-SE" w:eastAsia="sv-SE"/>
    </w:rPr>
  </w:style>
  <w:style w:type="paragraph" w:customStyle="1" w:styleId="quotes">
    <w:name w:val="quotes"/>
    <w:basedOn w:val="Normal"/>
    <w:next w:val="Normal"/>
    <w:rsid w:val="0001135E"/>
    <w:pPr>
      <w:ind w:left="720"/>
    </w:pPr>
    <w:rPr>
      <w:i/>
    </w:rPr>
  </w:style>
  <w:style w:type="paragraph" w:styleId="BalloonText">
    <w:name w:val="Balloon Text"/>
    <w:basedOn w:val="Normal"/>
    <w:link w:val="BalloonTextChar"/>
    <w:uiPriority w:val="99"/>
    <w:semiHidden/>
    <w:unhideWhenUsed/>
    <w:rsid w:val="00440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A"/>
    <w:rPr>
      <w:rFonts w:ascii="Tahoma" w:eastAsia="Times New Roman"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1"/>
      </w:numPr>
      <w:ind w:left="720" w:hanging="720"/>
      <w:outlineLvl w:val="0"/>
    </w:pPr>
    <w:rPr>
      <w:kern w:val="28"/>
    </w:rPr>
  </w:style>
  <w:style w:type="paragraph" w:styleId="Heading2">
    <w:name w:val="heading 2"/>
    <w:basedOn w:val="Normal"/>
    <w:next w:val="Normal"/>
    <w:link w:val="Heading2Char"/>
    <w:qFormat/>
    <w:rsid w:val="0001135E"/>
    <w:pPr>
      <w:numPr>
        <w:ilvl w:val="1"/>
        <w:numId w:val="1"/>
      </w:numPr>
      <w:ind w:left="720" w:hanging="720"/>
      <w:outlineLvl w:val="1"/>
    </w:pPr>
  </w:style>
  <w:style w:type="paragraph" w:styleId="Heading3">
    <w:name w:val="heading 3"/>
    <w:basedOn w:val="Normal"/>
    <w:next w:val="Normal"/>
    <w:link w:val="Heading3Char"/>
    <w:qFormat/>
    <w:rsid w:val="0001135E"/>
    <w:pPr>
      <w:numPr>
        <w:ilvl w:val="2"/>
        <w:numId w:val="1"/>
      </w:numPr>
      <w:ind w:left="720" w:hanging="720"/>
      <w:outlineLvl w:val="2"/>
    </w:pPr>
  </w:style>
  <w:style w:type="paragraph" w:styleId="Heading4">
    <w:name w:val="heading 4"/>
    <w:basedOn w:val="Normal"/>
    <w:next w:val="Normal"/>
    <w:link w:val="Heading4Char"/>
    <w:qFormat/>
    <w:rsid w:val="0001135E"/>
    <w:pPr>
      <w:numPr>
        <w:ilvl w:val="3"/>
        <w:numId w:val="1"/>
      </w:numPr>
      <w:ind w:left="720" w:hanging="720"/>
      <w:outlineLvl w:val="3"/>
    </w:pPr>
  </w:style>
  <w:style w:type="paragraph" w:styleId="Heading5">
    <w:name w:val="heading 5"/>
    <w:basedOn w:val="Normal"/>
    <w:next w:val="Normal"/>
    <w:link w:val="Heading5Char"/>
    <w:qFormat/>
    <w:rsid w:val="0001135E"/>
    <w:pPr>
      <w:numPr>
        <w:ilvl w:val="4"/>
        <w:numId w:val="1"/>
      </w:numPr>
      <w:ind w:left="720" w:hanging="720"/>
      <w:outlineLvl w:val="4"/>
    </w:pPr>
  </w:style>
  <w:style w:type="paragraph" w:styleId="Heading6">
    <w:name w:val="heading 6"/>
    <w:basedOn w:val="Normal"/>
    <w:next w:val="Normal"/>
    <w:link w:val="Heading6Char"/>
    <w:qFormat/>
    <w:rsid w:val="0001135E"/>
    <w:pPr>
      <w:numPr>
        <w:ilvl w:val="5"/>
        <w:numId w:val="1"/>
      </w:numPr>
      <w:ind w:left="720" w:hanging="720"/>
      <w:outlineLvl w:val="5"/>
    </w:pPr>
  </w:style>
  <w:style w:type="paragraph" w:styleId="Heading7">
    <w:name w:val="heading 7"/>
    <w:basedOn w:val="Normal"/>
    <w:next w:val="Normal"/>
    <w:link w:val="Heading7Char"/>
    <w:qFormat/>
    <w:rsid w:val="0001135E"/>
    <w:pPr>
      <w:numPr>
        <w:ilvl w:val="6"/>
        <w:numId w:val="1"/>
      </w:numPr>
      <w:ind w:left="720" w:hanging="720"/>
      <w:outlineLvl w:val="6"/>
    </w:pPr>
  </w:style>
  <w:style w:type="paragraph" w:styleId="Heading8">
    <w:name w:val="heading 8"/>
    <w:basedOn w:val="Normal"/>
    <w:next w:val="Normal"/>
    <w:link w:val="Heading8Char"/>
    <w:qFormat/>
    <w:rsid w:val="0001135E"/>
    <w:pPr>
      <w:numPr>
        <w:ilvl w:val="7"/>
        <w:numId w:val="1"/>
      </w:numPr>
      <w:ind w:left="720" w:hanging="720"/>
      <w:outlineLvl w:val="7"/>
    </w:pPr>
  </w:style>
  <w:style w:type="paragraph" w:styleId="Heading9">
    <w:name w:val="heading 9"/>
    <w:basedOn w:val="Normal"/>
    <w:next w:val="Normal"/>
    <w:link w:val="Heading9Char"/>
    <w:qFormat/>
    <w:rsid w:val="0001135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lang w:val="sv-SE" w:eastAsia="sv-SE"/>
    </w:rPr>
  </w:style>
  <w:style w:type="character" w:customStyle="1" w:styleId="Heading2Char">
    <w:name w:val="Heading 2 Char"/>
    <w:link w:val="Heading2"/>
    <w:rsid w:val="00EB56E1"/>
    <w:rPr>
      <w:rFonts w:ascii="Times New Roman" w:eastAsia="Times New Roman" w:hAnsi="Times New Roman"/>
      <w:sz w:val="22"/>
      <w:szCs w:val="22"/>
      <w:lang w:val="sv-SE" w:eastAsia="sv-SE"/>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sv-SE" w:eastAsia="sv-SE"/>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sv-SE" w:eastAsia="sv-SE"/>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sv-SE" w:eastAsia="sv-SE"/>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lang w:val="sv-SE" w:eastAsia="sv-SE"/>
    </w:rPr>
  </w:style>
  <w:style w:type="character" w:customStyle="1" w:styleId="Heading4Char">
    <w:name w:val="Heading 4 Char"/>
    <w:basedOn w:val="DefaultParagraphFont"/>
    <w:link w:val="Heading4"/>
    <w:rsid w:val="00DD12A6"/>
    <w:rPr>
      <w:rFonts w:ascii="Times New Roman" w:eastAsia="Times New Roman" w:hAnsi="Times New Roman"/>
      <w:sz w:val="22"/>
      <w:szCs w:val="22"/>
      <w:lang w:val="sv-SE" w:eastAsia="sv-SE"/>
    </w:rPr>
  </w:style>
  <w:style w:type="character" w:customStyle="1" w:styleId="Heading5Char">
    <w:name w:val="Heading 5 Char"/>
    <w:basedOn w:val="DefaultParagraphFont"/>
    <w:link w:val="Heading5"/>
    <w:rsid w:val="00DD12A6"/>
    <w:rPr>
      <w:rFonts w:ascii="Times New Roman" w:eastAsia="Times New Roman" w:hAnsi="Times New Roman"/>
      <w:sz w:val="22"/>
      <w:szCs w:val="22"/>
      <w:lang w:val="sv-SE" w:eastAsia="sv-SE"/>
    </w:rPr>
  </w:style>
  <w:style w:type="character" w:customStyle="1" w:styleId="Heading6Char">
    <w:name w:val="Heading 6 Char"/>
    <w:basedOn w:val="DefaultParagraphFont"/>
    <w:link w:val="Heading6"/>
    <w:rsid w:val="00DD12A6"/>
    <w:rPr>
      <w:rFonts w:ascii="Times New Roman" w:eastAsia="Times New Roman" w:hAnsi="Times New Roman"/>
      <w:sz w:val="22"/>
      <w:szCs w:val="22"/>
      <w:lang w:val="sv-SE" w:eastAsia="sv-SE"/>
    </w:rPr>
  </w:style>
  <w:style w:type="character" w:customStyle="1" w:styleId="Heading7Char">
    <w:name w:val="Heading 7 Char"/>
    <w:basedOn w:val="DefaultParagraphFont"/>
    <w:link w:val="Heading7"/>
    <w:rsid w:val="00DD12A6"/>
    <w:rPr>
      <w:rFonts w:ascii="Times New Roman" w:eastAsia="Times New Roman" w:hAnsi="Times New Roman"/>
      <w:sz w:val="22"/>
      <w:szCs w:val="22"/>
      <w:lang w:val="sv-SE" w:eastAsia="sv-SE"/>
    </w:rPr>
  </w:style>
  <w:style w:type="character" w:customStyle="1" w:styleId="Heading8Char">
    <w:name w:val="Heading 8 Char"/>
    <w:basedOn w:val="DefaultParagraphFont"/>
    <w:link w:val="Heading8"/>
    <w:rsid w:val="00DD12A6"/>
    <w:rPr>
      <w:rFonts w:ascii="Times New Roman" w:eastAsia="Times New Roman" w:hAnsi="Times New Roman"/>
      <w:sz w:val="22"/>
      <w:szCs w:val="22"/>
      <w:lang w:val="sv-SE" w:eastAsia="sv-SE"/>
    </w:rPr>
  </w:style>
  <w:style w:type="character" w:customStyle="1" w:styleId="Heading9Char">
    <w:name w:val="Heading 9 Char"/>
    <w:basedOn w:val="DefaultParagraphFont"/>
    <w:link w:val="Heading9"/>
    <w:rsid w:val="00DD12A6"/>
    <w:rPr>
      <w:rFonts w:ascii="Times New Roman" w:eastAsia="Times New Roman" w:hAnsi="Times New Roman"/>
      <w:sz w:val="22"/>
      <w:szCs w:val="22"/>
      <w:lang w:val="sv-SE" w:eastAsia="sv-SE"/>
    </w:rPr>
  </w:style>
  <w:style w:type="paragraph" w:customStyle="1" w:styleId="quotes">
    <w:name w:val="quotes"/>
    <w:basedOn w:val="Normal"/>
    <w:next w:val="Normal"/>
    <w:rsid w:val="0001135E"/>
    <w:pPr>
      <w:ind w:left="720"/>
    </w:pPr>
    <w:rPr>
      <w:i/>
    </w:rPr>
  </w:style>
  <w:style w:type="paragraph" w:styleId="BalloonText">
    <w:name w:val="Balloon Text"/>
    <w:basedOn w:val="Normal"/>
    <w:link w:val="BalloonTextChar"/>
    <w:uiPriority w:val="99"/>
    <w:semiHidden/>
    <w:unhideWhenUsed/>
    <w:rsid w:val="00440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A"/>
    <w:rPr>
      <w:rFonts w:ascii="Tahoma" w:eastAsia="Times New Roman"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1">
      <w:bodyDiv w:val="1"/>
      <w:marLeft w:val="0"/>
      <w:marRight w:val="0"/>
      <w:marTop w:val="0"/>
      <w:marBottom w:val="0"/>
      <w:divBdr>
        <w:top w:val="none" w:sz="0" w:space="0" w:color="auto"/>
        <w:left w:val="none" w:sz="0" w:space="0" w:color="auto"/>
        <w:bottom w:val="none" w:sz="0" w:space="0" w:color="auto"/>
        <w:right w:val="none" w:sz="0" w:space="0" w:color="auto"/>
      </w:divBdr>
      <w:divsChild>
        <w:div w:id="267548153">
          <w:marLeft w:val="0"/>
          <w:marRight w:val="0"/>
          <w:marTop w:val="0"/>
          <w:marBottom w:val="0"/>
          <w:divBdr>
            <w:top w:val="none" w:sz="0" w:space="0" w:color="auto"/>
            <w:left w:val="none" w:sz="0" w:space="0" w:color="auto"/>
            <w:bottom w:val="none" w:sz="0" w:space="0" w:color="auto"/>
            <w:right w:val="none" w:sz="0" w:space="0" w:color="auto"/>
          </w:divBdr>
        </w:div>
        <w:div w:id="607195673">
          <w:marLeft w:val="0"/>
          <w:marRight w:val="0"/>
          <w:marTop w:val="0"/>
          <w:marBottom w:val="0"/>
          <w:divBdr>
            <w:top w:val="none" w:sz="0" w:space="0" w:color="auto"/>
            <w:left w:val="none" w:sz="0" w:space="0" w:color="auto"/>
            <w:bottom w:val="none" w:sz="0" w:space="0" w:color="auto"/>
            <w:right w:val="none" w:sz="0" w:space="0" w:color="auto"/>
          </w:divBdr>
        </w:div>
        <w:div w:id="1146824472">
          <w:marLeft w:val="0"/>
          <w:marRight w:val="0"/>
          <w:marTop w:val="0"/>
          <w:marBottom w:val="0"/>
          <w:divBdr>
            <w:top w:val="none" w:sz="0" w:space="0" w:color="auto"/>
            <w:left w:val="none" w:sz="0" w:space="0" w:color="auto"/>
            <w:bottom w:val="none" w:sz="0" w:space="0" w:color="auto"/>
            <w:right w:val="none" w:sz="0" w:space="0" w:color="auto"/>
          </w:divBdr>
        </w:div>
        <w:div w:id="1588266796">
          <w:marLeft w:val="0"/>
          <w:marRight w:val="0"/>
          <w:marTop w:val="0"/>
          <w:marBottom w:val="0"/>
          <w:divBdr>
            <w:top w:val="none" w:sz="0" w:space="0" w:color="auto"/>
            <w:left w:val="none" w:sz="0" w:space="0" w:color="auto"/>
            <w:bottom w:val="none" w:sz="0" w:space="0" w:color="auto"/>
            <w:right w:val="none" w:sz="0" w:space="0" w:color="auto"/>
          </w:divBdr>
        </w:div>
        <w:div w:id="1626426623">
          <w:marLeft w:val="0"/>
          <w:marRight w:val="0"/>
          <w:marTop w:val="0"/>
          <w:marBottom w:val="0"/>
          <w:divBdr>
            <w:top w:val="none" w:sz="0" w:space="0" w:color="auto"/>
            <w:left w:val="none" w:sz="0" w:space="0" w:color="auto"/>
            <w:bottom w:val="none" w:sz="0" w:space="0" w:color="auto"/>
            <w:right w:val="none" w:sz="0" w:space="0" w:color="auto"/>
          </w:divBdr>
        </w:div>
        <w:div w:id="1680042747">
          <w:marLeft w:val="0"/>
          <w:marRight w:val="0"/>
          <w:marTop w:val="0"/>
          <w:marBottom w:val="0"/>
          <w:divBdr>
            <w:top w:val="none" w:sz="0" w:space="0" w:color="auto"/>
            <w:left w:val="none" w:sz="0" w:space="0" w:color="auto"/>
            <w:bottom w:val="none" w:sz="0" w:space="0" w:color="auto"/>
            <w:right w:val="none" w:sz="0" w:space="0" w:color="auto"/>
          </w:divBdr>
        </w:div>
        <w:div w:id="1691376957">
          <w:marLeft w:val="0"/>
          <w:marRight w:val="0"/>
          <w:marTop w:val="0"/>
          <w:marBottom w:val="0"/>
          <w:divBdr>
            <w:top w:val="none" w:sz="0" w:space="0" w:color="auto"/>
            <w:left w:val="none" w:sz="0" w:space="0" w:color="auto"/>
            <w:bottom w:val="none" w:sz="0" w:space="0" w:color="auto"/>
            <w:right w:val="none" w:sz="0" w:space="0" w:color="auto"/>
          </w:divBdr>
        </w:div>
        <w:div w:id="2075932587">
          <w:marLeft w:val="0"/>
          <w:marRight w:val="0"/>
          <w:marTop w:val="0"/>
          <w:marBottom w:val="0"/>
          <w:divBdr>
            <w:top w:val="none" w:sz="0" w:space="0" w:color="auto"/>
            <w:left w:val="none" w:sz="0" w:space="0" w:color="auto"/>
            <w:bottom w:val="none" w:sz="0" w:space="0" w:color="auto"/>
            <w:right w:val="none" w:sz="0" w:space="0" w:color="auto"/>
          </w:divBdr>
        </w:div>
      </w:divsChild>
    </w:div>
    <w:div w:id="1371883723">
      <w:bodyDiv w:val="1"/>
      <w:marLeft w:val="0"/>
      <w:marRight w:val="0"/>
      <w:marTop w:val="0"/>
      <w:marBottom w:val="0"/>
      <w:divBdr>
        <w:top w:val="none" w:sz="0" w:space="0" w:color="auto"/>
        <w:left w:val="none" w:sz="0" w:space="0" w:color="auto"/>
        <w:bottom w:val="none" w:sz="0" w:space="0" w:color="auto"/>
        <w:right w:val="none" w:sz="0" w:space="0" w:color="auto"/>
      </w:divBdr>
    </w:div>
    <w:div w:id="1757166916">
      <w:bodyDiv w:val="1"/>
      <w:marLeft w:val="0"/>
      <w:marRight w:val="0"/>
      <w:marTop w:val="0"/>
      <w:marBottom w:val="0"/>
      <w:divBdr>
        <w:top w:val="none" w:sz="0" w:space="0" w:color="auto"/>
        <w:left w:val="none" w:sz="0" w:space="0" w:color="auto"/>
        <w:bottom w:val="none" w:sz="0" w:space="0" w:color="auto"/>
        <w:right w:val="none" w:sz="0" w:space="0" w:color="auto"/>
      </w:divBdr>
    </w:div>
    <w:div w:id="1761556905">
      <w:bodyDiv w:val="1"/>
      <w:marLeft w:val="0"/>
      <w:marRight w:val="0"/>
      <w:marTop w:val="0"/>
      <w:marBottom w:val="0"/>
      <w:divBdr>
        <w:top w:val="none" w:sz="0" w:space="0" w:color="auto"/>
        <w:left w:val="none" w:sz="0" w:space="0" w:color="auto"/>
        <w:bottom w:val="none" w:sz="0" w:space="0" w:color="auto"/>
        <w:right w:val="none" w:sz="0" w:space="0" w:color="auto"/>
      </w:divBdr>
    </w:div>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210001602">
          <w:marLeft w:val="0"/>
          <w:marRight w:val="0"/>
          <w:marTop w:val="0"/>
          <w:marBottom w:val="0"/>
          <w:divBdr>
            <w:top w:val="none" w:sz="0" w:space="0" w:color="auto"/>
            <w:left w:val="none" w:sz="0" w:space="0" w:color="auto"/>
            <w:bottom w:val="none" w:sz="0" w:space="0" w:color="auto"/>
            <w:right w:val="none" w:sz="0" w:space="0" w:color="auto"/>
          </w:divBdr>
        </w:div>
        <w:div w:id="745999561">
          <w:marLeft w:val="0"/>
          <w:marRight w:val="0"/>
          <w:marTop w:val="0"/>
          <w:marBottom w:val="0"/>
          <w:divBdr>
            <w:top w:val="none" w:sz="0" w:space="0" w:color="auto"/>
            <w:left w:val="none" w:sz="0" w:space="0" w:color="auto"/>
            <w:bottom w:val="none" w:sz="0" w:space="0" w:color="auto"/>
            <w:right w:val="none" w:sz="0" w:space="0" w:color="auto"/>
          </w:divBdr>
        </w:div>
        <w:div w:id="850068452">
          <w:marLeft w:val="0"/>
          <w:marRight w:val="0"/>
          <w:marTop w:val="0"/>
          <w:marBottom w:val="0"/>
          <w:divBdr>
            <w:top w:val="none" w:sz="0" w:space="0" w:color="auto"/>
            <w:left w:val="none" w:sz="0" w:space="0" w:color="auto"/>
            <w:bottom w:val="none" w:sz="0" w:space="0" w:color="auto"/>
            <w:right w:val="none" w:sz="0" w:space="0" w:color="auto"/>
          </w:divBdr>
        </w:div>
        <w:div w:id="1060787576">
          <w:marLeft w:val="0"/>
          <w:marRight w:val="0"/>
          <w:marTop w:val="0"/>
          <w:marBottom w:val="0"/>
          <w:divBdr>
            <w:top w:val="none" w:sz="0" w:space="0" w:color="auto"/>
            <w:left w:val="none" w:sz="0" w:space="0" w:color="auto"/>
            <w:bottom w:val="none" w:sz="0" w:space="0" w:color="auto"/>
            <w:right w:val="none" w:sz="0" w:space="0" w:color="auto"/>
          </w:divBdr>
        </w:div>
        <w:div w:id="1066034181">
          <w:marLeft w:val="0"/>
          <w:marRight w:val="0"/>
          <w:marTop w:val="0"/>
          <w:marBottom w:val="0"/>
          <w:divBdr>
            <w:top w:val="none" w:sz="0" w:space="0" w:color="auto"/>
            <w:left w:val="none" w:sz="0" w:space="0" w:color="auto"/>
            <w:bottom w:val="none" w:sz="0" w:space="0" w:color="auto"/>
            <w:right w:val="none" w:sz="0" w:space="0" w:color="auto"/>
          </w:divBdr>
        </w:div>
        <w:div w:id="1116216013">
          <w:marLeft w:val="0"/>
          <w:marRight w:val="0"/>
          <w:marTop w:val="0"/>
          <w:marBottom w:val="0"/>
          <w:divBdr>
            <w:top w:val="none" w:sz="0" w:space="0" w:color="auto"/>
            <w:left w:val="none" w:sz="0" w:space="0" w:color="auto"/>
            <w:bottom w:val="none" w:sz="0" w:space="0" w:color="auto"/>
            <w:right w:val="none" w:sz="0" w:space="0" w:color="auto"/>
          </w:divBdr>
        </w:div>
        <w:div w:id="1443956502">
          <w:marLeft w:val="0"/>
          <w:marRight w:val="0"/>
          <w:marTop w:val="0"/>
          <w:marBottom w:val="0"/>
          <w:divBdr>
            <w:top w:val="none" w:sz="0" w:space="0" w:color="auto"/>
            <w:left w:val="none" w:sz="0" w:space="0" w:color="auto"/>
            <w:bottom w:val="none" w:sz="0" w:space="0" w:color="auto"/>
            <w:right w:val="none" w:sz="0" w:space="0" w:color="auto"/>
          </w:divBdr>
        </w:div>
        <w:div w:id="200870779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admus.eui.eu/bitstream/handle/1814/19357/EUDO_Report_2011_04.pdf?sequence=1" TargetMode="External"/><Relationship Id="rId18" Type="http://schemas.openxmlformats.org/officeDocument/2006/relationships/hyperlink" Target="http://www.youthforum.org/claims/empowered-youth/the-structured-dialogue/" TargetMode="External"/><Relationship Id="rId26" Type="http://schemas.openxmlformats.org/officeDocument/2006/relationships/hyperlink" Target="http://www.ceps.eu/book/if-citizens-have-voice-whos-listening-lessons-recent-citizen-consultation-experiments-european-" TargetMode="External"/><Relationship Id="rId3" Type="http://schemas.openxmlformats.org/officeDocument/2006/relationships/customXml" Target="../customXml/item3.xml"/><Relationship Id="rId21" Type="http://schemas.openxmlformats.org/officeDocument/2006/relationships/hyperlink" Target="http://www.socialplatform.org/wp-content/uploads/2013/07/20100201_SocialPlatform_EffectiveCivilDialogue.pdf" TargetMode="External"/><Relationship Id="rId34" Type="http://schemas.openxmlformats.org/officeDocument/2006/relationships/hyperlink" Target="http://www.ey2013-alliance.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vents-and-activities-european-migration-forum-1" TargetMode="External"/><Relationship Id="rId25" Type="http://schemas.openxmlformats.org/officeDocument/2006/relationships/hyperlink" Target="http://citizenconsultation.pacitaproject.eu/" TargetMode="External"/><Relationship Id="rId33" Type="http://schemas.openxmlformats.org/officeDocument/2006/relationships/hyperlink" Target="http://www.volunteering-alliance.eu/" TargetMode="External"/><Relationship Id="rId2" Type="http://schemas.openxmlformats.org/officeDocument/2006/relationships/customXml" Target="../customXml/item2.xml"/><Relationship Id="rId16" Type="http://schemas.openxmlformats.org/officeDocument/2006/relationships/hyperlink" Target="http://ec.europa.eu/citizenship/europe-for-citizens-programme/civil-dialogue/index_en.htm" TargetMode="External"/><Relationship Id="rId20" Type="http://schemas.openxmlformats.org/officeDocument/2006/relationships/hyperlink" Target="http://europa.eu/youth/sd_en" TargetMode="External"/><Relationship Id="rId29" Type="http://schemas.openxmlformats.org/officeDocument/2006/relationships/hyperlink" Target="http://ec.europa.eu/citizenship/pdf/20091127_council_decision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c.european-citizens-consultations.eu/" TargetMode="External"/><Relationship Id="rId32" Type="http://schemas.openxmlformats.org/officeDocument/2006/relationships/hyperlink" Target="http://www.cev.be/initiatives/european-volunteering-capita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said.gov/sites/default/files/documents/1863/E&amp;E%202013%20CSOSI%20Final%2010-29-14.pdf" TargetMode="External"/><Relationship Id="rId23" Type="http://schemas.openxmlformats.org/officeDocument/2006/relationships/hyperlink" Target="https://europa.eu/sinapse/sinapse/index.cfm?&amp;fuseaction=lib.attachment&amp;lib_id=2FF96871-9617-84CB-19401CF971500B1F&amp;attach=LIB_DOC_EN" TargetMode="External"/><Relationship Id="rId28" Type="http://schemas.openxmlformats.org/officeDocument/2006/relationships/hyperlink" Target="http://www.eyv2011.eu/resources-library/item/40-eyv-%202011-alliance-position-paper-available-in-different-language-versions-2008"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youth/policy/implementation/dialogue_en.htm" TargetMode="External"/><Relationship Id="rId31" Type="http://schemas.openxmlformats.org/officeDocument/2006/relationships/hyperlink" Target="http://www.eyv2011.eu/images/stories/pdf/EYV2011Alliance_PAVE_copyfriendl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lidar.org/IMG/pdf/for_a_democratic_europe_web.pdf" TargetMode="External"/><Relationship Id="rId22" Type="http://schemas.openxmlformats.org/officeDocument/2006/relationships/hyperlink" Target="http://www.participedia.net" TargetMode="External"/><Relationship Id="rId27" Type="http://schemas.openxmlformats.org/officeDocument/2006/relationships/hyperlink" Target="http://www.eyv2011.eu/resources-library/item/39-the-european-year-of-volunteering-eyv-%202011-discussion-paper" TargetMode="External"/><Relationship Id="rId30" Type="http://schemas.openxmlformats.org/officeDocument/2006/relationships/hyperlink" Target="http://ec.europa.eu/citizenship/pdf/doc1311_en.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SNS6YXTC77FS-3-6692</_dlc_DocId>
    <_dlc_DocIdUrl xmlns="9f264e46-9252-4f01-a3b2-4cb67eb6fc3c">
      <Url>http://dm/EESC/2015/_layouts/DocIdRedir.aspx?ID=SNS6YXTC77FS-3-6692</Url>
      <Description>SNS6YXTC77FS-3-6692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2015-03-27T12:00:00+00:00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69C9-7E89-47C2-B0D5-71F77D05DE05}">
  <ds:schemaRefs>
    <ds:schemaRef ds:uri="http://schemas.microsoft.com/sharepoint/v3/contenttype/forms"/>
  </ds:schemaRefs>
</ds:datastoreItem>
</file>

<file path=customXml/itemProps2.xml><?xml version="1.0" encoding="utf-8"?>
<ds:datastoreItem xmlns:ds="http://schemas.openxmlformats.org/officeDocument/2006/customXml" ds:itemID="{793E6F43-9631-4E14-B7D5-3F47FD9CF8FF}">
  <ds:schemaRefs>
    <ds:schemaRef ds:uri="http://schemas.openxmlformats.org/package/2006/metadata/core-properties"/>
    <ds:schemaRef ds:uri="9f264e46-9252-4f01-a3b2-4cb67eb6fc3c"/>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daefb7e8-1f47-44e3-ba48-d0d28204e5f9"/>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C3280756-03FB-4CD0-8DF4-E3FDCB461C86}">
  <ds:schemaRefs>
    <ds:schemaRef ds:uri="http://schemas.microsoft.com/sharepoint/events"/>
  </ds:schemaRefs>
</ds:datastoreItem>
</file>

<file path=customXml/itemProps4.xml><?xml version="1.0" encoding="utf-8"?>
<ds:datastoreItem xmlns:ds="http://schemas.openxmlformats.org/officeDocument/2006/customXml" ds:itemID="{F0E44D03-CA17-4859-A3AA-774B2F243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4570A0-3292-4801-90EB-85493677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29</Pages>
  <Words>8842</Words>
  <Characters>48637</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Färdplan för genomförandet av artikel 11 i EU-fördraget</vt:lpstr>
      <vt:lpstr/>
    </vt:vector>
  </TitlesOfParts>
  <Company>CESE-CdR</Company>
  <LinksUpToDate>false</LinksUpToDate>
  <CharactersWithSpaces>57365</CharactersWithSpaces>
  <SharedDoc>false</SharedDoc>
  <HLinks>
    <vt:vector size="132" baseType="variant">
      <vt:variant>
        <vt:i4>2359422</vt:i4>
      </vt:variant>
      <vt:variant>
        <vt:i4>48</vt:i4>
      </vt:variant>
      <vt:variant>
        <vt:i4>0</vt:i4>
      </vt:variant>
      <vt:variant>
        <vt:i4>5</vt:i4>
      </vt:variant>
      <vt:variant>
        <vt:lpwstr>http://www.ey2013-alliance.eu/</vt:lpwstr>
      </vt:variant>
      <vt:variant>
        <vt:lpwstr/>
      </vt:variant>
      <vt:variant>
        <vt:i4>5177345</vt:i4>
      </vt:variant>
      <vt:variant>
        <vt:i4>45</vt:i4>
      </vt:variant>
      <vt:variant>
        <vt:i4>0</vt:i4>
      </vt:variant>
      <vt:variant>
        <vt:i4>5</vt:i4>
      </vt:variant>
      <vt:variant>
        <vt:lpwstr>http://www.volunteering-alliance.eu/</vt:lpwstr>
      </vt:variant>
      <vt:variant>
        <vt:lpwstr/>
      </vt:variant>
      <vt:variant>
        <vt:i4>6029379</vt:i4>
      </vt:variant>
      <vt:variant>
        <vt:i4>42</vt:i4>
      </vt:variant>
      <vt:variant>
        <vt:i4>0</vt:i4>
      </vt:variant>
      <vt:variant>
        <vt:i4>5</vt:i4>
      </vt:variant>
      <vt:variant>
        <vt:lpwstr>http://www.cev.be/initiatives/european-volunteering-capital/</vt:lpwstr>
      </vt:variant>
      <vt:variant>
        <vt:lpwstr/>
      </vt:variant>
      <vt:variant>
        <vt:i4>5570638</vt:i4>
      </vt:variant>
      <vt:variant>
        <vt:i4>39</vt:i4>
      </vt:variant>
      <vt:variant>
        <vt:i4>0</vt:i4>
      </vt:variant>
      <vt:variant>
        <vt:i4>5</vt:i4>
      </vt:variant>
      <vt:variant>
        <vt:lpwstr>http://www.eyv2011.eu/images/stories/pdf/EYV2011Alliance_PAVE_copyfriendly.pdf</vt:lpwstr>
      </vt:variant>
      <vt:variant>
        <vt:lpwstr/>
      </vt:variant>
      <vt:variant>
        <vt:i4>131185</vt:i4>
      </vt:variant>
      <vt:variant>
        <vt:i4>36</vt:i4>
      </vt:variant>
      <vt:variant>
        <vt:i4>0</vt:i4>
      </vt:variant>
      <vt:variant>
        <vt:i4>5</vt:i4>
      </vt:variant>
      <vt:variant>
        <vt:lpwstr>http://ec.europa.eu/citizenship/pdf/doc1311_en.pdf</vt:lpwstr>
      </vt:variant>
      <vt:variant>
        <vt:lpwstr/>
      </vt:variant>
      <vt:variant>
        <vt:i4>6291478</vt:i4>
      </vt:variant>
      <vt:variant>
        <vt:i4>33</vt:i4>
      </vt:variant>
      <vt:variant>
        <vt:i4>0</vt:i4>
      </vt:variant>
      <vt:variant>
        <vt:i4>5</vt:i4>
      </vt:variant>
      <vt:variant>
        <vt:lpwstr>http://ec.europa.eu/citizenship/pdf/20091127_council_decision_en.pdf</vt:lpwstr>
      </vt:variant>
      <vt:variant>
        <vt:lpwstr/>
      </vt:variant>
      <vt:variant>
        <vt:i4>8323198</vt:i4>
      </vt:variant>
      <vt:variant>
        <vt:i4>30</vt:i4>
      </vt:variant>
      <vt:variant>
        <vt:i4>0</vt:i4>
      </vt:variant>
      <vt:variant>
        <vt:i4>5</vt:i4>
      </vt:variant>
      <vt:variant>
        <vt:lpwstr>http://www.eyv2011.eu/resources-library/item/40-eyv- 2011-alliance-position-paper-available-in-different-language-versions-2008</vt:lpwstr>
      </vt:variant>
      <vt:variant>
        <vt:lpwstr/>
      </vt:variant>
      <vt:variant>
        <vt:i4>5439510</vt:i4>
      </vt:variant>
      <vt:variant>
        <vt:i4>27</vt:i4>
      </vt:variant>
      <vt:variant>
        <vt:i4>0</vt:i4>
      </vt:variant>
      <vt:variant>
        <vt:i4>5</vt:i4>
      </vt:variant>
      <vt:variant>
        <vt:lpwstr>http://www.eyv2011.eu/resources-library/item/39-the-european-year-of-volunteering-eyv- 2011-discussion-paper</vt:lpwstr>
      </vt:variant>
      <vt:variant>
        <vt:lpwstr/>
      </vt:variant>
      <vt:variant>
        <vt:i4>4522055</vt:i4>
      </vt:variant>
      <vt:variant>
        <vt:i4>24</vt:i4>
      </vt:variant>
      <vt:variant>
        <vt:i4>0</vt:i4>
      </vt:variant>
      <vt:variant>
        <vt:i4>5</vt:i4>
      </vt:variant>
      <vt:variant>
        <vt:lpwstr>http://www.socialplatform.org/wp-content/uploads/2013/07/20100201_SocialPlatform_EffectiveCivilDialogue.pdf</vt:lpwstr>
      </vt:variant>
      <vt:variant>
        <vt:lpwstr/>
      </vt:variant>
      <vt:variant>
        <vt:i4>3211277</vt:i4>
      </vt:variant>
      <vt:variant>
        <vt:i4>21</vt:i4>
      </vt:variant>
      <vt:variant>
        <vt:i4>0</vt:i4>
      </vt:variant>
      <vt:variant>
        <vt:i4>5</vt:i4>
      </vt:variant>
      <vt:variant>
        <vt:lpwstr>http://europa.eu/youth/sd_en</vt:lpwstr>
      </vt:variant>
      <vt:variant>
        <vt:lpwstr/>
      </vt:variant>
      <vt:variant>
        <vt:i4>8060992</vt:i4>
      </vt:variant>
      <vt:variant>
        <vt:i4>18</vt:i4>
      </vt:variant>
      <vt:variant>
        <vt:i4>0</vt:i4>
      </vt:variant>
      <vt:variant>
        <vt:i4>5</vt:i4>
      </vt:variant>
      <vt:variant>
        <vt:lpwstr>http://ec.europa.eu/youth/policy/implementation/dialogue_en.htm</vt:lpwstr>
      </vt:variant>
      <vt:variant>
        <vt:lpwstr/>
      </vt:variant>
      <vt:variant>
        <vt:i4>589912</vt:i4>
      </vt:variant>
      <vt:variant>
        <vt:i4>15</vt:i4>
      </vt:variant>
      <vt:variant>
        <vt:i4>0</vt:i4>
      </vt:variant>
      <vt:variant>
        <vt:i4>5</vt:i4>
      </vt:variant>
      <vt:variant>
        <vt:lpwstr>http://www.youthforum.org/claims/empowered-youth/the-structured-dialogue/</vt:lpwstr>
      </vt:variant>
      <vt:variant>
        <vt:lpwstr/>
      </vt:variant>
      <vt:variant>
        <vt:i4>3801185</vt:i4>
      </vt:variant>
      <vt:variant>
        <vt:i4>12</vt:i4>
      </vt:variant>
      <vt:variant>
        <vt:i4>0</vt:i4>
      </vt:variant>
      <vt:variant>
        <vt:i4>5</vt:i4>
      </vt:variant>
      <vt:variant>
        <vt:lpwstr>http://www.eesc.europa.eu/?i=portal.en.events-and-activities-european-migration-forum-1</vt:lpwstr>
      </vt:variant>
      <vt:variant>
        <vt:lpwstr/>
      </vt:variant>
      <vt:variant>
        <vt:i4>1179693</vt:i4>
      </vt:variant>
      <vt:variant>
        <vt:i4>9</vt:i4>
      </vt:variant>
      <vt:variant>
        <vt:i4>0</vt:i4>
      </vt:variant>
      <vt:variant>
        <vt:i4>5</vt:i4>
      </vt:variant>
      <vt:variant>
        <vt:lpwstr>http://ec.europa.eu/citizenship/europe-for-citizens-programme/civil-dialogue/index_en.htm</vt:lpwstr>
      </vt:variant>
      <vt:variant>
        <vt:lpwstr/>
      </vt:variant>
      <vt:variant>
        <vt:i4>4259852</vt:i4>
      </vt:variant>
      <vt:variant>
        <vt:i4>6</vt:i4>
      </vt:variant>
      <vt:variant>
        <vt:i4>0</vt:i4>
      </vt:variant>
      <vt:variant>
        <vt:i4>5</vt:i4>
      </vt:variant>
      <vt:variant>
        <vt:lpwstr>http://www.usaid.gov/sites/default/files/documents/1863/E&amp;E 2013 CSOSI Final 10-29-14.pdf</vt:lpwstr>
      </vt:variant>
      <vt:variant>
        <vt:lpwstr/>
      </vt:variant>
      <vt:variant>
        <vt:i4>393306</vt:i4>
      </vt:variant>
      <vt:variant>
        <vt:i4>3</vt:i4>
      </vt:variant>
      <vt:variant>
        <vt:i4>0</vt:i4>
      </vt:variant>
      <vt:variant>
        <vt:i4>5</vt:i4>
      </vt:variant>
      <vt:variant>
        <vt:lpwstr>http://www.solidar.org/IMG/pdf/for_a_democratic_europe_web.pdf</vt:lpwstr>
      </vt:variant>
      <vt:variant>
        <vt:lpwstr/>
      </vt:variant>
      <vt:variant>
        <vt:i4>2621456</vt:i4>
      </vt:variant>
      <vt:variant>
        <vt:i4>0</vt:i4>
      </vt:variant>
      <vt:variant>
        <vt:i4>0</vt:i4>
      </vt:variant>
      <vt:variant>
        <vt:i4>5</vt:i4>
      </vt:variant>
      <vt:variant>
        <vt:lpwstr>http://cadmus.eui.eu/bitstream/handle/1814/19357/EUDO_Report_2011_04.pdf?sequence=1</vt:lpwstr>
      </vt:variant>
      <vt:variant>
        <vt:lpwstr/>
      </vt:variant>
      <vt:variant>
        <vt:i4>327707</vt:i4>
      </vt:variant>
      <vt:variant>
        <vt:i4>12</vt:i4>
      </vt:variant>
      <vt:variant>
        <vt:i4>0</vt:i4>
      </vt:variant>
      <vt:variant>
        <vt:i4>5</vt:i4>
      </vt:variant>
      <vt:variant>
        <vt:lpwstr>http://www.b-b-e.de/</vt:lpwstr>
      </vt:variant>
      <vt:variant>
        <vt:lpwstr/>
      </vt:variant>
      <vt:variant>
        <vt:i4>3145764</vt:i4>
      </vt:variant>
      <vt:variant>
        <vt:i4>9</vt:i4>
      </vt:variant>
      <vt:variant>
        <vt:i4>0</vt:i4>
      </vt:variant>
      <vt:variant>
        <vt:i4>5</vt:i4>
      </vt:variant>
      <vt:variant>
        <vt:lpwstr>http://www.netzwerk-ebd.de/</vt:lpwstr>
      </vt:variant>
      <vt:variant>
        <vt:lpwstr/>
      </vt:variant>
      <vt:variant>
        <vt:i4>7274544</vt:i4>
      </vt:variant>
      <vt:variant>
        <vt:i4>6</vt:i4>
      </vt:variant>
      <vt:variant>
        <vt:i4>0</vt:i4>
      </vt:variant>
      <vt:variant>
        <vt:i4>5</vt:i4>
      </vt:variant>
      <vt:variant>
        <vt:lpwstr>http://www.netzwerk-ebd.de/aktivitaeten/politik/civil-dialogue-in-germany/</vt:lpwstr>
      </vt:variant>
      <vt:variant>
        <vt:lpwstr/>
      </vt:variant>
      <vt:variant>
        <vt:i4>8060992</vt:i4>
      </vt:variant>
      <vt:variant>
        <vt:i4>3</vt:i4>
      </vt:variant>
      <vt:variant>
        <vt:i4>0</vt:i4>
      </vt:variant>
      <vt:variant>
        <vt:i4>5</vt:i4>
      </vt:variant>
      <vt:variant>
        <vt:lpwstr>http://ec.europa.eu/youth/policy/implementation/dialogue_en.htm</vt:lpwstr>
      </vt:variant>
      <vt:variant>
        <vt:lpwstr/>
      </vt:variant>
      <vt:variant>
        <vt:i4>3211304</vt:i4>
      </vt:variant>
      <vt:variant>
        <vt:i4>0</vt:i4>
      </vt:variant>
      <vt:variant>
        <vt:i4>0</vt:i4>
      </vt:variant>
      <vt:variant>
        <vt:i4>5</vt:i4>
      </vt:variant>
      <vt:variant>
        <vt:lpwstr>http://amg.um.dk/en/~/media/UM/Danish-site/Documents/Danida/Samarbejde/Civil-org/Dokumenter/Strat/Civilsamfundspolitik_UK_web.pdf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Färdplan för genomförandet av artikel 11 i EU-fördraget</dc:title>
  <dc:subject>Administrativt dokument</dc:subject>
  <dc:creator>Myriam Meyer</dc:creator>
  <cp:keywords>EESC-2015-00542-01-01-ADMIN-TRA-SV</cp:keywords>
  <dc:description>Föredragande: -_x000d_
Originalspråk: EN_x000d_
Dokumentets datum: 27/03/2015_x000d_
Sammanträdesdatum: _x000d_
Externa dokument: -_x000d_
Ansvarig tjänsteman: Brombo Pierluigi, tfn: +32 (0)2 546 9718_x000d_
_x000d_
Sammanfattning:</dc:description>
  <cp:lastModifiedBy>Myriam Meyer</cp:lastModifiedBy>
  <cp:revision>3</cp:revision>
  <cp:lastPrinted>2015-03-27T08:15:00Z</cp:lastPrinted>
  <dcterms:created xsi:type="dcterms:W3CDTF">2015-04-07T10:08:00Z</dcterms:created>
  <dcterms:modified xsi:type="dcterms:W3CDTF">2015-04-15T14:49:00Z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27/03/2015, 26/03/2015, 11/03/2015, 11/03/2015, 11/03/2015</vt:lpwstr>
  </property>
  <property fmtid="{D5CDD505-2E9C-101B-9397-08002B2CF9AE}" pid="4" name="Pref_Time">
    <vt:lpwstr>10/39/16, 14/32/02, 11/13/42, 10/53/39, 09:31:41</vt:lpwstr>
  </property>
  <property fmtid="{D5CDD505-2E9C-101B-9397-08002B2CF9AE}" pid="5" name="Pref_User">
    <vt:lpwstr>jhvi, jhvi, amett, mkop, hnic</vt:lpwstr>
  </property>
  <property fmtid="{D5CDD505-2E9C-101B-9397-08002B2CF9AE}" pid="6" name="Pref_FileName">
    <vt:lpwstr>EESC-2015-00542-01-01-ADMIN-TRA.docx, EESC-2015-00542-01-01-ADMIN-ORI.docx, EESC-2015-00542-01-00-ADMIN-ORI.docx, EESC-2015-00542-01-00-ADMIN-TRA-EN-CRR.docx, EESC-2015-00542-01-00-ADMIN-CRR-EN.docx</vt:lpwstr>
  </property>
  <property fmtid="{D5CDD505-2E9C-101B-9397-08002B2CF9AE}" pid="7" name="StyleCheckSum">
    <vt:lpwstr>54340_C13714_P117_L21</vt:lpwstr>
  </property>
  <property fmtid="{D5CDD505-2E9C-101B-9397-08002B2CF9AE}" pid="8" name="ContentTypeId">
    <vt:lpwstr>0x010100EA97B91038054C99906057A708A1480A00BD5EE53CA4B49C49ACBE99A76B489250</vt:lpwstr>
  </property>
  <property fmtid="{D5CDD505-2E9C-101B-9397-08002B2CF9AE}" pid="9" name="_dlc_DocIdItemGuid">
    <vt:lpwstr>1765a932-1e2c-483e-a021-94f215acd941</vt:lpwstr>
  </property>
  <property fmtid="{D5CDD505-2E9C-101B-9397-08002B2CF9AE}" pid="10"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30;#ADMIN|58d8ac89-e690-41f6-a5e8-508fa4a7c73c</vt:lpwstr>
  </property>
  <property fmtid="{D5CDD505-2E9C-101B-9397-08002B2CF9AE}" pid="19" name="DocumentLanguage">
    <vt:lpwstr>18;#SV|c2ed69e7-a339-43d7-8f22-d93680a92aa0</vt:lpwstr>
  </property>
  <property fmtid="{D5CDD505-2E9C-101B-9397-08002B2CF9AE}" pid="20" name="DocumentType_0">
    <vt:lpwstr>ADMIN|58d8ac89-e690-41f6-a5e8-508fa4a7c73c</vt:lpwstr>
  </property>
  <property fmtid="{D5CDD505-2E9C-101B-9397-08002B2CF9AE}" pid="21" name="DossierName_0">
    <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20;#DE|f6b31e5a-26fa-4935-b661-318e46daf27e;#16;#PL|1e03da61-4678-4e07-b136-b5024ca9197b;#120;#Final|ea5e6674-7b27-4bac-b091-73adbb394efe;#37;#BG|1a1b3951-7821-4e6a-85f5;#13;#SL|98a412ae-eb01-49e9-ae3d-585a81724cfc;#33;#HU|6b229040-c589-4408-b4c1-4285663d</vt:lpwstr>
  </property>
  <property fmtid="{D5CDD505-2E9C-101B-9397-08002B2CF9AE}" pid="29" name="AvailableTranslations_0">
    <vt:lpwstr>HU|6b229040-c589-4408-b4c1-4285663d20a8;SL|98a412ae-eb01-49e9-ae3d-585a81724cfc;DE|f6b31e5a-26fa-4935-b661-318e46daf27e;RO|feb747a2-64cd-4299-af12-4833ddc30497;PL|1e03da61-4678-4e07-b136-b5024ca9197b;BG|1a1b3951-7821-4e6a-85f5</vt:lpwstr>
  </property>
  <property fmtid="{D5CDD505-2E9C-101B-9397-08002B2CF9AE}" pid="30" name="VersionStatus_0">
    <vt:lpwstr>Final|ea5e6674-7b27-4bac-b091-73adbb394efe</vt:lpwstr>
  </property>
</Properties>
</file>