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1C" w:rsidRPr="00DD6FF3" w:rsidRDefault="001A3C60" w:rsidP="00C25B4D">
      <w:pPr>
        <w:overflowPunct/>
        <w:adjustRightInd/>
        <w:snapToGrid w:val="0"/>
        <w:jc w:val="center"/>
        <w:textAlignment w:val="auto"/>
      </w:pPr>
      <w:r w:rsidRPr="00DD6FF3">
        <w:rPr>
          <w:noProof/>
          <w:lang w:val="en-US" w:eastAsia="en-US" w:bidi="ar-SA"/>
        </w:rPr>
        <w:drawing>
          <wp:inline distT="0" distB="0" distL="0" distR="0" wp14:anchorId="57F01D94" wp14:editId="31ABA9A2">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DD6FF3">
        <w:rPr>
          <w:noProof/>
          <w:lang w:val="en-US" w:eastAsia="en-US" w:bidi="ar-SA"/>
        </w:rPr>
        <mc:AlternateContent>
          <mc:Choice Requires="wps">
            <w:drawing>
              <wp:anchor distT="0" distB="0" distL="114300" distR="114300" simplePos="0" relativeHeight="251657216" behindDoc="1" locked="0" layoutInCell="0" allowOverlap="1" wp14:anchorId="219770CA" wp14:editId="49CEAD0E">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DB" w:rsidRPr="00C25B4D" w:rsidRDefault="00620DDB" w:rsidP="00C25B4D">
                            <w:pPr>
                              <w:overflowPunct/>
                              <w:adjustRightInd/>
                              <w:snapToGrid w:val="0"/>
                              <w:jc w:val="center"/>
                              <w:textAlignment w:val="auto"/>
                              <w:rPr>
                                <w:rFonts w:ascii="Arial" w:hAnsi="Arial" w:cs="Arial"/>
                                <w:b/>
                                <w:sz w:val="48"/>
                              </w:rPr>
                            </w:pPr>
                            <w:r>
                              <w:rPr>
                                <w:rFonts w:ascii="Arial" w:hAnsi="Arial"/>
                                <w:b/>
                                <w:noProof/>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620DDB" w:rsidRPr="00C25B4D" w:rsidRDefault="00620DDB" w:rsidP="00C25B4D">
                      <w:pPr>
                        <w:overflowPunct/>
                        <w:adjustRightInd/>
                        <w:snapToGrid w:val="0"/>
                        <w:jc w:val="center"/>
                        <w:textAlignment w:val="auto"/>
                        <w:rPr>
                          <w:rFonts w:ascii="Arial" w:hAnsi="Arial" w:cs="Arial"/>
                          <w:b/>
                          <w:sz w:val="48"/>
                        </w:rPr>
                      </w:pPr>
                      <w:r>
                        <w:rPr>
                          <w:rFonts w:ascii="Arial" w:hAnsi="Arial"/>
                          <w:b/>
                          <w:noProof/>
                          <w:sz w:val="48"/>
                        </w:rPr>
                        <w:t>RO</w:t>
                      </w:r>
                    </w:p>
                  </w:txbxContent>
                </v:textbox>
                <w10:wrap anchorx="page" anchory="page"/>
              </v:shape>
            </w:pict>
          </mc:Fallback>
        </mc:AlternateContent>
      </w:r>
      <w:r w:rsidRPr="00DD6FF3">
        <w:rPr>
          <w:noProof/>
          <w:lang w:val="en-US" w:eastAsia="en-US" w:bidi="ar-SA"/>
        </w:rPr>
        <mc:AlternateContent>
          <mc:Choice Requires="wps">
            <w:drawing>
              <wp:anchor distT="0" distB="0" distL="114300" distR="114300" simplePos="0" relativeHeight="251658240" behindDoc="1" locked="0" layoutInCell="0" allowOverlap="1" wp14:anchorId="18D1CA5B" wp14:editId="434CB77C">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DB" w:rsidRPr="00C25B4D" w:rsidRDefault="00620DDB" w:rsidP="00C25B4D">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620DDB" w:rsidRPr="00C25B4D" w:rsidRDefault="00620DDB" w:rsidP="00C25B4D">
                            <w:pPr>
                              <w:pBdr>
                                <w:top w:val="single" w:sz="4" w:space="1" w:color="auto"/>
                              </w:pBdr>
                              <w:overflowPunct/>
                              <w:adjustRightInd/>
                              <w:snapToGrid w:val="0"/>
                              <w:jc w:val="center"/>
                              <w:textAlignment w:val="auto"/>
                              <w:rPr>
                                <w:b/>
                                <w:sz w:val="16"/>
                              </w:rPr>
                            </w:pPr>
                            <w:r>
                              <w:rPr>
                                <w:b/>
                                <w:noProof/>
                                <w:sz w:val="16"/>
                              </w:rPr>
                              <w:t xml:space="preserve">Tel. +32 25469011 — Fax +32 25134893 — Internet: </w:t>
                            </w:r>
                            <w:hyperlink r:id="rId12">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620DDB" w:rsidRPr="00C25B4D" w:rsidRDefault="00620DDB" w:rsidP="00C25B4D">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620DDB" w:rsidRPr="00C25B4D" w:rsidRDefault="00620DDB" w:rsidP="00C25B4D">
                      <w:pPr>
                        <w:pBdr>
                          <w:top w:val="single" w:sz="4" w:space="1" w:color="auto"/>
                        </w:pBdr>
                        <w:overflowPunct/>
                        <w:adjustRightInd/>
                        <w:snapToGrid w:val="0"/>
                        <w:jc w:val="center"/>
                        <w:textAlignment w:val="auto"/>
                        <w:rPr>
                          <w:b/>
                          <w:sz w:val="16"/>
                        </w:rPr>
                      </w:pPr>
                      <w:r>
                        <w:rPr>
                          <w:b/>
                          <w:noProof/>
                          <w:sz w:val="16"/>
                        </w:rPr>
                        <w:t xml:space="preserve">Tel. +32 25469011 — Fax +32 25134893 — Internet: </w:t>
                      </w:r>
                      <w:hyperlink r:id="rId17">
                        <w:r>
                          <w:rPr>
                            <w:rStyle w:val="Hyperlink"/>
                            <w:b/>
                            <w:noProof/>
                            <w:sz w:val="16"/>
                          </w:rPr>
                          <w:t>http://www.eesc.europa.eu</w:t>
                        </w:r>
                      </w:hyperlink>
                    </w:p>
                  </w:txbxContent>
                </v:textbox>
                <w10:wrap anchorx="page" anchory="page"/>
              </v:shape>
            </w:pict>
          </mc:Fallback>
        </mc:AlternateContent>
      </w:r>
    </w:p>
    <w:p w:rsidR="0036271C" w:rsidRPr="00DD6FF3" w:rsidRDefault="0036271C" w:rsidP="00C25B4D">
      <w:pPr>
        <w:overflowPunct/>
        <w:adjustRightInd/>
        <w:snapToGrid w:val="0"/>
        <w:jc w:val="center"/>
        <w:textAlignment w:val="auto"/>
        <w:rPr>
          <w:rFonts w:ascii="Arial" w:hAnsi="Arial" w:cs="Arial"/>
          <w:b/>
          <w:i/>
          <w:sz w:val="20"/>
        </w:rPr>
      </w:pPr>
      <w:r w:rsidRPr="00DD6FF3">
        <w:rPr>
          <w:rFonts w:ascii="Arial" w:hAnsi="Arial"/>
          <w:b/>
          <w:i/>
          <w:sz w:val="20"/>
        </w:rPr>
        <w:t>Comitetul Economic și Social European</w:t>
      </w:r>
    </w:p>
    <w:p w:rsidR="0036271C" w:rsidRPr="00DD6FF3" w:rsidRDefault="0036271C" w:rsidP="00C25B4D">
      <w:pPr>
        <w:overflowPunct/>
        <w:adjustRightInd/>
        <w:jc w:val="left"/>
        <w:textAlignment w:val="auto"/>
        <w:rPr>
          <w:rFonts w:ascii="Arial" w:eastAsia="SimSun" w:hAnsi="Arial" w:cs="Arial"/>
          <w:b/>
          <w:i/>
          <w:sz w:val="20"/>
        </w:rPr>
        <w:sectPr w:rsidR="0036271C" w:rsidRPr="00DD6FF3" w:rsidSect="008725CD">
          <w:headerReference w:type="even" r:id="rId18"/>
          <w:headerReference w:type="default" r:id="rId19"/>
          <w:footerReference w:type="even" r:id="rId20"/>
          <w:footerReference w:type="default" r:id="rId21"/>
          <w:headerReference w:type="first" r:id="rId22"/>
          <w:footerReference w:type="first" r:id="rId23"/>
          <w:pgSz w:w="11907" w:h="16839"/>
          <w:pgMar w:top="567" w:right="1440" w:bottom="1928" w:left="1440" w:header="283" w:footer="1134" w:gutter="0"/>
          <w:pgNumType w:start="1"/>
          <w:cols w:space="708"/>
          <w:docGrid w:linePitch="360"/>
        </w:sectPr>
      </w:pPr>
    </w:p>
    <w:p w:rsidR="0036271C" w:rsidRPr="00DD6FF3" w:rsidRDefault="0036271C" w:rsidP="008725CD"/>
    <w:p w:rsidR="00145FF4" w:rsidRPr="00DD6FF3" w:rsidRDefault="00145FF4" w:rsidP="00C25B4D">
      <w:pPr>
        <w:overflowPunct/>
        <w:adjustRightInd/>
        <w:snapToGrid w:val="0"/>
        <w:textAlignment w:val="auto"/>
      </w:pPr>
    </w:p>
    <w:p w:rsidR="00145FF4" w:rsidRPr="00DD6FF3" w:rsidRDefault="00145FF4" w:rsidP="00C25B4D">
      <w:pPr>
        <w:overflowPunct/>
        <w:adjustRightInd/>
        <w:snapToGrid w:val="0"/>
        <w:textAlignment w:val="auto"/>
      </w:pPr>
    </w:p>
    <w:p w:rsidR="0036271C" w:rsidRPr="00DD6FF3" w:rsidRDefault="00126DAA" w:rsidP="00C25B4D">
      <w:pPr>
        <w:overflowPunct/>
        <w:adjustRightInd/>
        <w:snapToGrid w:val="0"/>
        <w:jc w:val="right"/>
        <w:textAlignment w:val="auto"/>
      </w:pPr>
      <w:r w:rsidRPr="00DD6FF3">
        <w:t xml:space="preserve">Bruxelles, </w:t>
      </w:r>
      <w:r w:rsidR="00741989" w:rsidRPr="00DD6FF3">
        <w:t>12</w:t>
      </w:r>
      <w:r w:rsidRPr="00DD6FF3">
        <w:t xml:space="preserve"> martie 2015</w:t>
      </w:r>
    </w:p>
    <w:p w:rsidR="0036271C" w:rsidRPr="00DD6FF3" w:rsidRDefault="0036271C" w:rsidP="00C25B4D">
      <w:pPr>
        <w:overflowPunct/>
        <w:adjustRightInd/>
        <w:snapToGrid w:val="0"/>
        <w:textAlignment w:val="auto"/>
      </w:pPr>
    </w:p>
    <w:p w:rsidR="0036271C" w:rsidRPr="00DD6FF3" w:rsidRDefault="0036271C" w:rsidP="00C25B4D">
      <w:pPr>
        <w:overflowPunct/>
        <w:adjustRightInd/>
        <w:snapToGrid w:val="0"/>
        <w:textAlignment w:val="auto"/>
      </w:pPr>
    </w:p>
    <w:p w:rsidR="0036271C" w:rsidRPr="00DD6FF3" w:rsidRDefault="0036271C" w:rsidP="00C25B4D">
      <w:pPr>
        <w:overflowPunct/>
        <w:adjustRightInd/>
        <w:snapToGrid w:val="0"/>
        <w:textAlignment w:val="auto"/>
      </w:pPr>
    </w:p>
    <w:p w:rsidR="0036271C" w:rsidRPr="00DD6FF3" w:rsidRDefault="0036271C" w:rsidP="00C25B4D">
      <w:pPr>
        <w:overflowPunct/>
        <w:adjustRightInd/>
        <w:snapToGrid w:val="0"/>
        <w:textAlignment w:val="auto"/>
      </w:pPr>
    </w:p>
    <w:p w:rsidR="0036271C" w:rsidRPr="00DD6FF3" w:rsidRDefault="0036271C" w:rsidP="00C25B4D">
      <w:pPr>
        <w:overflowPunct/>
        <w:adjustRightInd/>
        <w:snapToGrid w:val="0"/>
        <w:textAlignment w:val="auto"/>
      </w:pPr>
    </w:p>
    <w:tbl>
      <w:tblPr>
        <w:tblW w:w="0" w:type="auto"/>
        <w:tblLayout w:type="fixed"/>
        <w:tblLook w:val="0000" w:firstRow="0" w:lastRow="0" w:firstColumn="0" w:lastColumn="0" w:noHBand="0" w:noVBand="0"/>
      </w:tblPr>
      <w:tblGrid>
        <w:gridCol w:w="9243"/>
      </w:tblGrid>
      <w:tr w:rsidR="0036271C" w:rsidRPr="00DD6FF3">
        <w:tc>
          <w:tcPr>
            <w:tcW w:w="9243" w:type="dxa"/>
            <w:tcBorders>
              <w:top w:val="nil"/>
              <w:left w:val="nil"/>
              <w:bottom w:val="double" w:sz="4" w:space="0" w:color="auto"/>
              <w:right w:val="nil"/>
            </w:tcBorders>
          </w:tcPr>
          <w:p w:rsidR="0036271C" w:rsidRPr="00DD6FF3" w:rsidRDefault="00B46DAA" w:rsidP="00C25B4D">
            <w:pPr>
              <w:overflowPunct/>
              <w:adjustRightInd/>
              <w:snapToGrid w:val="0"/>
              <w:jc w:val="center"/>
              <w:textAlignment w:val="auto"/>
              <w:rPr>
                <w:b/>
                <w:sz w:val="32"/>
              </w:rPr>
            </w:pPr>
            <w:r w:rsidRPr="00DD6FF3">
              <w:rPr>
                <w:b/>
                <w:sz w:val="32"/>
              </w:rPr>
              <w:t xml:space="preserve">SESIUNEA PLENARĂ </w:t>
            </w:r>
            <w:r w:rsidRPr="00DD6FF3">
              <w:rPr>
                <w:b/>
                <w:sz w:val="32"/>
              </w:rPr>
              <w:br/>
              <w:t xml:space="preserve"> </w:t>
            </w:r>
            <w:r w:rsidRPr="00DD6FF3">
              <w:rPr>
                <w:b/>
                <w:sz w:val="32"/>
              </w:rPr>
              <w:br/>
            </w:r>
            <w:r w:rsidR="00BE08D1" w:rsidRPr="00DD6FF3">
              <w:rPr>
                <w:b/>
                <w:sz w:val="32"/>
              </w:rPr>
              <w:t xml:space="preserve">DIN 18 ȘI 19 FEBRUARIE 2015 </w:t>
            </w:r>
            <w:r w:rsidRPr="00DD6FF3">
              <w:rPr>
                <w:b/>
                <w:sz w:val="32"/>
              </w:rPr>
              <w:br/>
              <w:t>SINTEZA AVIZELOR ADOPTATE</w:t>
            </w:r>
          </w:p>
          <w:p w:rsidR="0036271C" w:rsidRPr="00DD6FF3" w:rsidRDefault="0036271C" w:rsidP="00C25B4D">
            <w:pPr>
              <w:overflowPunct/>
              <w:adjustRightInd/>
              <w:snapToGrid w:val="0"/>
              <w:jc w:val="center"/>
              <w:textAlignment w:val="auto"/>
              <w:rPr>
                <w:b/>
                <w:bCs/>
                <w:szCs w:val="22"/>
              </w:rPr>
            </w:pPr>
          </w:p>
        </w:tc>
      </w:tr>
      <w:tr w:rsidR="0036271C" w:rsidRPr="00DD6FF3">
        <w:tc>
          <w:tcPr>
            <w:tcW w:w="9243" w:type="dxa"/>
            <w:tcBorders>
              <w:top w:val="double" w:sz="4" w:space="0" w:color="auto"/>
              <w:left w:val="double" w:sz="4" w:space="0" w:color="auto"/>
              <w:bottom w:val="double" w:sz="4" w:space="0" w:color="auto"/>
              <w:right w:val="double" w:sz="4" w:space="0" w:color="auto"/>
            </w:tcBorders>
          </w:tcPr>
          <w:p w:rsidR="0036271C" w:rsidRPr="00DD6FF3" w:rsidRDefault="0036271C" w:rsidP="00C25B4D">
            <w:pPr>
              <w:overflowPunct/>
              <w:adjustRightInd/>
              <w:snapToGrid w:val="0"/>
              <w:jc w:val="center"/>
              <w:textAlignment w:val="auto"/>
              <w:rPr>
                <w:b/>
              </w:rPr>
            </w:pPr>
            <w:r w:rsidRPr="00DD6FF3">
              <w:rPr>
                <w:b/>
              </w:rPr>
              <w:t>Prezentul document este disponibil în limbile oficiale ale UE pe site-ul internet al Comitetului,</w:t>
            </w:r>
            <w:r w:rsidR="00433CDF" w:rsidRPr="00DD6FF3">
              <w:rPr>
                <w:b/>
              </w:rPr>
              <w:t xml:space="preserve"> </w:t>
            </w:r>
            <w:r w:rsidR="00433CDF" w:rsidRPr="00DD6FF3">
              <w:rPr>
                <w:b/>
              </w:rPr>
              <w:br/>
            </w:r>
            <w:r w:rsidRPr="00DD6FF3">
              <w:rPr>
                <w:b/>
              </w:rPr>
              <w:t>la adresa:</w:t>
            </w:r>
          </w:p>
          <w:p w:rsidR="0036271C" w:rsidRPr="00DD6FF3" w:rsidRDefault="0036271C" w:rsidP="00C25B4D">
            <w:pPr>
              <w:overflowPunct/>
              <w:adjustRightInd/>
              <w:snapToGrid w:val="0"/>
              <w:jc w:val="center"/>
              <w:textAlignment w:val="auto"/>
              <w:rPr>
                <w:b/>
              </w:rPr>
            </w:pPr>
          </w:p>
          <w:p w:rsidR="009506BB" w:rsidRPr="00DD6FF3" w:rsidRDefault="00785BB7" w:rsidP="00C25B4D">
            <w:pPr>
              <w:overflowPunct/>
              <w:adjustRightInd/>
              <w:jc w:val="center"/>
              <w:textAlignment w:val="auto"/>
              <w:rPr>
                <w:color w:val="0000FF"/>
                <w:u w:val="single"/>
              </w:rPr>
            </w:pPr>
            <w:hyperlink r:id="rId24" w:anchor="/boxTab1-2" w:history="1">
              <w:r w:rsidR="00BE08D1" w:rsidRPr="00DD6FF3">
                <w:rPr>
                  <w:rStyle w:val="Hyperlink"/>
                  <w:b/>
                </w:rPr>
                <w:t>http://www.eesc.europa.eu/?i=portal.en.documents#/boxTab1-2</w:t>
              </w:r>
            </w:hyperlink>
            <w:r w:rsidR="00BE08D1" w:rsidRPr="00DD6FF3">
              <w:rPr>
                <w:b/>
                <w:color w:val="0000FF"/>
                <w:u w:val="single"/>
              </w:rPr>
              <w:t xml:space="preserve"> </w:t>
            </w:r>
          </w:p>
          <w:p w:rsidR="0036271C" w:rsidRPr="00DD6FF3" w:rsidRDefault="0036271C" w:rsidP="00C25B4D">
            <w:pPr>
              <w:overflowPunct/>
              <w:adjustRightInd/>
              <w:snapToGrid w:val="0"/>
              <w:jc w:val="center"/>
              <w:textAlignment w:val="auto"/>
            </w:pPr>
          </w:p>
          <w:p w:rsidR="0036271C" w:rsidRPr="00DD6FF3" w:rsidRDefault="0036271C" w:rsidP="00C25B4D">
            <w:pPr>
              <w:overflowPunct/>
              <w:adjustRightInd/>
              <w:snapToGrid w:val="0"/>
              <w:jc w:val="center"/>
              <w:textAlignment w:val="auto"/>
              <w:rPr>
                <w:rFonts w:eastAsia="SimSun"/>
              </w:rPr>
            </w:pPr>
          </w:p>
          <w:p w:rsidR="0079350D" w:rsidRPr="00DD6FF3" w:rsidRDefault="0036271C" w:rsidP="00C25B4D">
            <w:pPr>
              <w:overflowPunct/>
              <w:adjustRightInd/>
              <w:snapToGrid w:val="0"/>
              <w:jc w:val="center"/>
              <w:textAlignment w:val="auto"/>
              <w:rPr>
                <w:b/>
              </w:rPr>
            </w:pPr>
            <w:r w:rsidRPr="00DD6FF3">
              <w:rPr>
                <w:b/>
              </w:rPr>
              <w:t>Avizele menționate pot fi consultate online prin intermediul motorului de căutare al Comitetului:</w:t>
            </w:r>
          </w:p>
          <w:p w:rsidR="0079350D" w:rsidRPr="00DD6FF3" w:rsidRDefault="0079350D" w:rsidP="00C25B4D">
            <w:pPr>
              <w:overflowPunct/>
              <w:adjustRightInd/>
              <w:snapToGrid w:val="0"/>
              <w:jc w:val="center"/>
              <w:textAlignment w:val="auto"/>
              <w:rPr>
                <w:b/>
              </w:rPr>
            </w:pPr>
          </w:p>
          <w:p w:rsidR="0036271C" w:rsidRPr="00DD6FF3" w:rsidRDefault="00785BB7" w:rsidP="00C25B4D">
            <w:pPr>
              <w:overflowPunct/>
              <w:adjustRightInd/>
              <w:snapToGrid w:val="0"/>
              <w:jc w:val="center"/>
              <w:textAlignment w:val="auto"/>
              <w:rPr>
                <w:b/>
              </w:rPr>
            </w:pPr>
            <w:hyperlink r:id="rId25">
              <w:r w:rsidR="001F4855" w:rsidRPr="00DD6FF3">
                <w:rPr>
                  <w:rStyle w:val="Hyperlink"/>
                  <w:b/>
                </w:rPr>
                <w:t>http://www.eesc.europa.eu/?i=portal.en.opinions-search</w:t>
              </w:r>
            </w:hyperlink>
            <w:r w:rsidR="00BE08D1" w:rsidRPr="00DD6FF3">
              <w:rPr>
                <w:rStyle w:val="Hyperlink"/>
                <w:b/>
              </w:rPr>
              <w:t xml:space="preserve"> </w:t>
            </w:r>
          </w:p>
          <w:p w:rsidR="0036271C" w:rsidRPr="00DD6FF3" w:rsidRDefault="0036271C" w:rsidP="00C25B4D">
            <w:pPr>
              <w:overflowPunct/>
              <w:adjustRightInd/>
              <w:snapToGrid w:val="0"/>
              <w:jc w:val="center"/>
              <w:textAlignment w:val="auto"/>
              <w:rPr>
                <w:b/>
                <w:bCs/>
                <w:szCs w:val="22"/>
              </w:rPr>
            </w:pPr>
          </w:p>
        </w:tc>
      </w:tr>
    </w:tbl>
    <w:p w:rsidR="0036271C" w:rsidRPr="00DD6FF3" w:rsidRDefault="0036271C" w:rsidP="00C25B4D">
      <w:pPr>
        <w:overflowPunct/>
        <w:adjustRightInd/>
        <w:textAlignment w:val="auto"/>
      </w:pPr>
    </w:p>
    <w:p w:rsidR="0036271C" w:rsidRPr="00DD6FF3" w:rsidRDefault="0036271C" w:rsidP="00C25B4D">
      <w:pPr>
        <w:overflowPunct/>
        <w:adjustRightInd/>
        <w:snapToGrid w:val="0"/>
        <w:textAlignment w:val="auto"/>
      </w:pPr>
    </w:p>
    <w:p w:rsidR="0036271C" w:rsidRPr="00DD6FF3" w:rsidRDefault="0036271C" w:rsidP="00C25B4D">
      <w:pPr>
        <w:overflowPunct/>
        <w:adjustRightInd/>
        <w:jc w:val="left"/>
        <w:textAlignment w:val="auto"/>
        <w:rPr>
          <w:rFonts w:eastAsia="SimSun"/>
          <w:b/>
          <w:sz w:val="28"/>
          <w:u w:val="single"/>
        </w:rPr>
        <w:sectPr w:rsidR="0036271C" w:rsidRPr="00DD6FF3" w:rsidSect="008725CD">
          <w:headerReference w:type="even" r:id="rId26"/>
          <w:headerReference w:type="default" r:id="rId27"/>
          <w:footerReference w:type="even" r:id="rId28"/>
          <w:footerReference w:type="default" r:id="rId29"/>
          <w:headerReference w:type="first" r:id="rId30"/>
          <w:footerReference w:type="first" r:id="rId31"/>
          <w:type w:val="continuous"/>
          <w:pgSz w:w="11907" w:h="16839"/>
          <w:pgMar w:top="1701" w:right="1440" w:bottom="1928" w:left="1440" w:header="1020" w:footer="1247" w:gutter="0"/>
          <w:cols w:space="720"/>
          <w:docGrid w:linePitch="299"/>
        </w:sectPr>
      </w:pPr>
    </w:p>
    <w:p w:rsidR="0036271C" w:rsidRPr="00DD6FF3" w:rsidRDefault="0036271C" w:rsidP="00C25B4D">
      <w:pPr>
        <w:overflowPunct/>
        <w:adjustRightInd/>
        <w:snapToGrid w:val="0"/>
        <w:textAlignment w:val="auto"/>
        <w:rPr>
          <w:b/>
          <w:sz w:val="28"/>
          <w:u w:val="single"/>
        </w:rPr>
      </w:pPr>
    </w:p>
    <w:p w:rsidR="0036271C" w:rsidRPr="00DD6FF3" w:rsidRDefault="0036271C" w:rsidP="00C25B4D">
      <w:pPr>
        <w:overflowPunct/>
        <w:adjustRightInd/>
        <w:snapToGrid w:val="0"/>
        <w:textAlignment w:val="auto"/>
        <w:rPr>
          <w:b/>
          <w:sz w:val="28"/>
          <w:u w:val="single"/>
        </w:rPr>
      </w:pPr>
      <w:r w:rsidRPr="00DD6FF3">
        <w:rPr>
          <w:b/>
        </w:rPr>
        <w:t>Cuprins:</w:t>
      </w:r>
    </w:p>
    <w:p w:rsidR="007D3169" w:rsidRPr="00DD6FF3" w:rsidRDefault="007D3169" w:rsidP="00C25B4D">
      <w:pPr>
        <w:overflowPunct/>
        <w:adjustRightInd/>
        <w:snapToGrid w:val="0"/>
        <w:textAlignment w:val="auto"/>
        <w:rPr>
          <w:b/>
          <w:sz w:val="28"/>
        </w:rPr>
      </w:pPr>
    </w:p>
    <w:p w:rsidR="00BE08D1" w:rsidRPr="00DD6FF3" w:rsidRDefault="007D3169">
      <w:pPr>
        <w:pStyle w:val="TOC1"/>
        <w:tabs>
          <w:tab w:val="left" w:pos="440"/>
          <w:tab w:val="right" w:leader="dot" w:pos="9017"/>
        </w:tabs>
        <w:rPr>
          <w:rFonts w:asciiTheme="minorHAnsi" w:eastAsiaTheme="minorEastAsia" w:hAnsiTheme="minorHAnsi" w:cstheme="minorBidi"/>
          <w:szCs w:val="22"/>
          <w:lang w:bidi="ar-SA"/>
        </w:rPr>
      </w:pPr>
      <w:r w:rsidRPr="00DD6FF3">
        <w:rPr>
          <w:highlight w:val="yellow"/>
        </w:rPr>
        <w:fldChar w:fldCharType="begin"/>
      </w:r>
      <w:r w:rsidRPr="00DD6FF3">
        <w:rPr>
          <w:highlight w:val="yellow"/>
        </w:rPr>
        <w:instrText xml:space="preserve"> TOC \o "1-3" \h \z \u </w:instrText>
      </w:r>
      <w:r w:rsidRPr="00DD6FF3">
        <w:rPr>
          <w:highlight w:val="yellow"/>
        </w:rPr>
        <w:fldChar w:fldCharType="separate"/>
      </w:r>
      <w:hyperlink w:anchor="_Toc413417153" w:history="1">
        <w:r w:rsidR="00BE08D1" w:rsidRPr="00DD6FF3">
          <w:rPr>
            <w:rStyle w:val="Hyperlink"/>
          </w:rPr>
          <w:t>1.</w:t>
        </w:r>
        <w:r w:rsidR="00BE08D1" w:rsidRPr="00DD6FF3">
          <w:rPr>
            <w:rFonts w:asciiTheme="minorHAnsi" w:eastAsiaTheme="minorEastAsia" w:hAnsiTheme="minorHAnsi" w:cstheme="minorBidi"/>
            <w:szCs w:val="22"/>
            <w:lang w:bidi="ar-SA"/>
          </w:rPr>
          <w:tab/>
        </w:r>
        <w:r w:rsidR="00BE08D1" w:rsidRPr="00DD6FF3">
          <w:rPr>
            <w:rStyle w:val="Hyperlink"/>
            <w:b/>
          </w:rPr>
          <w:t>PIAȚA INTERNĂ / INSTRUMENTE FINANCIARE</w:t>
        </w:r>
        <w:r w:rsidR="00BE08D1" w:rsidRPr="00DD6FF3">
          <w:rPr>
            <w:webHidden/>
          </w:rPr>
          <w:tab/>
        </w:r>
        <w:r w:rsidR="00BE08D1" w:rsidRPr="00DD6FF3">
          <w:rPr>
            <w:webHidden/>
          </w:rPr>
          <w:fldChar w:fldCharType="begin"/>
        </w:r>
        <w:r w:rsidR="00BE08D1" w:rsidRPr="00DD6FF3">
          <w:rPr>
            <w:webHidden/>
          </w:rPr>
          <w:instrText xml:space="preserve"> PAGEREF _Toc413417153 \h </w:instrText>
        </w:r>
        <w:r w:rsidR="00BE08D1" w:rsidRPr="00DD6FF3">
          <w:rPr>
            <w:webHidden/>
          </w:rPr>
        </w:r>
        <w:r w:rsidR="00BE08D1" w:rsidRPr="00DD6FF3">
          <w:rPr>
            <w:webHidden/>
          </w:rPr>
          <w:fldChar w:fldCharType="separate"/>
        </w:r>
        <w:r w:rsidR="00BE08D1" w:rsidRPr="00DD6FF3">
          <w:rPr>
            <w:webHidden/>
          </w:rPr>
          <w:t>3</w:t>
        </w:r>
        <w:r w:rsidR="00BE08D1" w:rsidRPr="00DD6FF3">
          <w:rPr>
            <w:webHidden/>
          </w:rPr>
          <w:fldChar w:fldCharType="end"/>
        </w:r>
      </w:hyperlink>
    </w:p>
    <w:p w:rsidR="00BE08D1" w:rsidRPr="00DD6FF3" w:rsidRDefault="00785BB7">
      <w:pPr>
        <w:pStyle w:val="TOC1"/>
        <w:tabs>
          <w:tab w:val="left" w:pos="440"/>
          <w:tab w:val="right" w:leader="dot" w:pos="9017"/>
        </w:tabs>
        <w:rPr>
          <w:rFonts w:asciiTheme="minorHAnsi" w:eastAsiaTheme="minorEastAsia" w:hAnsiTheme="minorHAnsi" w:cstheme="minorBidi"/>
          <w:szCs w:val="22"/>
          <w:lang w:bidi="ar-SA"/>
        </w:rPr>
      </w:pPr>
      <w:hyperlink w:anchor="_Toc413417154" w:history="1">
        <w:r w:rsidR="00BE08D1" w:rsidRPr="00DD6FF3">
          <w:rPr>
            <w:rStyle w:val="Hyperlink"/>
          </w:rPr>
          <w:t>2.</w:t>
        </w:r>
        <w:r w:rsidR="00BE08D1" w:rsidRPr="00DD6FF3">
          <w:rPr>
            <w:rFonts w:asciiTheme="minorHAnsi" w:eastAsiaTheme="minorEastAsia" w:hAnsiTheme="minorHAnsi" w:cstheme="minorBidi"/>
            <w:szCs w:val="22"/>
            <w:lang w:bidi="ar-SA"/>
          </w:rPr>
          <w:tab/>
        </w:r>
        <w:r w:rsidR="00BE08D1" w:rsidRPr="00DD6FF3">
          <w:rPr>
            <w:rStyle w:val="Hyperlink"/>
            <w:b/>
          </w:rPr>
          <w:t>STRATEGIA EUROPA 2020 / CREȘTERE ECONOMICĂ</w:t>
        </w:r>
        <w:r w:rsidR="00BE08D1" w:rsidRPr="00DD6FF3">
          <w:rPr>
            <w:webHidden/>
          </w:rPr>
          <w:tab/>
        </w:r>
        <w:r w:rsidR="00BE08D1" w:rsidRPr="00DD6FF3">
          <w:rPr>
            <w:webHidden/>
          </w:rPr>
          <w:fldChar w:fldCharType="begin"/>
        </w:r>
        <w:r w:rsidR="00BE08D1" w:rsidRPr="00DD6FF3">
          <w:rPr>
            <w:webHidden/>
          </w:rPr>
          <w:instrText xml:space="preserve"> PAGEREF _Toc413417154 \h </w:instrText>
        </w:r>
        <w:r w:rsidR="00BE08D1" w:rsidRPr="00DD6FF3">
          <w:rPr>
            <w:webHidden/>
          </w:rPr>
        </w:r>
        <w:r w:rsidR="00BE08D1" w:rsidRPr="00DD6FF3">
          <w:rPr>
            <w:webHidden/>
          </w:rPr>
          <w:fldChar w:fldCharType="separate"/>
        </w:r>
        <w:r w:rsidR="00BE08D1" w:rsidRPr="00DD6FF3">
          <w:rPr>
            <w:webHidden/>
          </w:rPr>
          <w:t>8</w:t>
        </w:r>
        <w:r w:rsidR="00BE08D1" w:rsidRPr="00DD6FF3">
          <w:rPr>
            <w:webHidden/>
          </w:rPr>
          <w:fldChar w:fldCharType="end"/>
        </w:r>
      </w:hyperlink>
    </w:p>
    <w:p w:rsidR="00BE08D1" w:rsidRPr="00DD6FF3" w:rsidRDefault="00785BB7">
      <w:pPr>
        <w:pStyle w:val="TOC1"/>
        <w:tabs>
          <w:tab w:val="left" w:pos="440"/>
          <w:tab w:val="right" w:leader="dot" w:pos="9017"/>
        </w:tabs>
        <w:rPr>
          <w:rFonts w:asciiTheme="minorHAnsi" w:eastAsiaTheme="minorEastAsia" w:hAnsiTheme="minorHAnsi" w:cstheme="minorBidi"/>
          <w:szCs w:val="22"/>
          <w:lang w:bidi="ar-SA"/>
        </w:rPr>
      </w:pPr>
      <w:hyperlink w:anchor="_Toc413417155" w:history="1">
        <w:r w:rsidR="00BE08D1" w:rsidRPr="00DD6FF3">
          <w:rPr>
            <w:rStyle w:val="Hyperlink"/>
          </w:rPr>
          <w:t>3.</w:t>
        </w:r>
        <w:r w:rsidR="00BE08D1" w:rsidRPr="00DD6FF3">
          <w:rPr>
            <w:rFonts w:asciiTheme="minorHAnsi" w:eastAsiaTheme="minorEastAsia" w:hAnsiTheme="minorHAnsi" w:cstheme="minorBidi"/>
            <w:szCs w:val="22"/>
            <w:lang w:bidi="ar-SA"/>
          </w:rPr>
          <w:tab/>
        </w:r>
        <w:r w:rsidR="00BE08D1" w:rsidRPr="00DD6FF3">
          <w:rPr>
            <w:rStyle w:val="Hyperlink"/>
            <w:b/>
          </w:rPr>
          <w:t>SĂNĂTATE ȘI SIGURANȚĂ</w:t>
        </w:r>
        <w:r w:rsidR="00BE08D1" w:rsidRPr="00DD6FF3">
          <w:rPr>
            <w:webHidden/>
          </w:rPr>
          <w:tab/>
        </w:r>
        <w:r w:rsidR="00BE08D1" w:rsidRPr="00DD6FF3">
          <w:rPr>
            <w:webHidden/>
          </w:rPr>
          <w:fldChar w:fldCharType="begin"/>
        </w:r>
        <w:r w:rsidR="00BE08D1" w:rsidRPr="00DD6FF3">
          <w:rPr>
            <w:webHidden/>
          </w:rPr>
          <w:instrText xml:space="preserve"> PAGEREF _Toc413417155 \h </w:instrText>
        </w:r>
        <w:r w:rsidR="00BE08D1" w:rsidRPr="00DD6FF3">
          <w:rPr>
            <w:webHidden/>
          </w:rPr>
        </w:r>
        <w:r w:rsidR="00BE08D1" w:rsidRPr="00DD6FF3">
          <w:rPr>
            <w:webHidden/>
          </w:rPr>
          <w:fldChar w:fldCharType="separate"/>
        </w:r>
        <w:r w:rsidR="00BE08D1" w:rsidRPr="00DD6FF3">
          <w:rPr>
            <w:webHidden/>
          </w:rPr>
          <w:t>10</w:t>
        </w:r>
        <w:r w:rsidR="00BE08D1" w:rsidRPr="00DD6FF3">
          <w:rPr>
            <w:webHidden/>
          </w:rPr>
          <w:fldChar w:fldCharType="end"/>
        </w:r>
      </w:hyperlink>
    </w:p>
    <w:p w:rsidR="008835F3" w:rsidRPr="00DD6FF3" w:rsidRDefault="007D3169" w:rsidP="00BE08D1">
      <w:pPr>
        <w:tabs>
          <w:tab w:val="left" w:pos="440"/>
          <w:tab w:val="right" w:leader="dot" w:pos="9017"/>
        </w:tabs>
        <w:overflowPunct/>
        <w:adjustRightInd/>
        <w:spacing w:line="360" w:lineRule="auto"/>
        <w:textAlignment w:val="auto"/>
      </w:pPr>
      <w:r w:rsidRPr="00DD6FF3">
        <w:rPr>
          <w:highlight w:val="yellow"/>
        </w:rPr>
        <w:fldChar w:fldCharType="end"/>
      </w:r>
    </w:p>
    <w:p w:rsidR="00DB5EDC" w:rsidRPr="00DD6FF3" w:rsidRDefault="00727DCB" w:rsidP="00C25B4D">
      <w:pPr>
        <w:overflowPunct/>
        <w:adjustRightInd/>
        <w:textAlignment w:val="auto"/>
      </w:pPr>
      <w:r w:rsidRPr="00DD6FF3">
        <w:br w:type="page"/>
      </w:r>
      <w:r w:rsidRPr="00DD6FF3">
        <w:lastRenderedPageBreak/>
        <w:t xml:space="preserve">La sesiunea plenară din 18 și 19 februarie au participat </w:t>
      </w:r>
      <w:r w:rsidRPr="00DD6FF3">
        <w:rPr>
          <w:b/>
        </w:rPr>
        <w:t>dl</w:t>
      </w:r>
      <w:r w:rsidRPr="00DD6FF3">
        <w:t xml:space="preserve"> </w:t>
      </w:r>
      <w:r w:rsidRPr="00DD6FF3">
        <w:rPr>
          <w:b/>
        </w:rPr>
        <w:t> Jean-Claude JUNCKER</w:t>
      </w:r>
      <w:r w:rsidRPr="00DD6FF3">
        <w:t xml:space="preserve">, președintele Comisiei Europene, și </w:t>
      </w:r>
      <w:r w:rsidRPr="00DD6FF3">
        <w:rPr>
          <w:b/>
        </w:rPr>
        <w:t>dl </w:t>
      </w:r>
      <w:proofErr w:type="spellStart"/>
      <w:r w:rsidRPr="00DD6FF3">
        <w:rPr>
          <w:b/>
        </w:rPr>
        <w:t>Guntram</w:t>
      </w:r>
      <w:proofErr w:type="spellEnd"/>
      <w:r w:rsidRPr="00DD6FF3">
        <w:rPr>
          <w:b/>
        </w:rPr>
        <w:t> WOLFF</w:t>
      </w:r>
      <w:r w:rsidRPr="00DD6FF3">
        <w:t xml:space="preserve">, directorul </w:t>
      </w:r>
      <w:r w:rsidRPr="00DD6FF3">
        <w:rPr>
          <w:i/>
        </w:rPr>
        <w:t>Centrului european de reflecție Bruegel</w:t>
      </w:r>
      <w:r w:rsidRPr="00DD6FF3">
        <w:t>.</w:t>
      </w:r>
    </w:p>
    <w:p w:rsidR="0062267A" w:rsidRPr="00DD6FF3" w:rsidRDefault="0062267A" w:rsidP="00C25B4D">
      <w:pPr>
        <w:overflowPunct/>
        <w:adjustRightInd/>
        <w:textAlignment w:val="auto"/>
      </w:pPr>
    </w:p>
    <w:p w:rsidR="00411775" w:rsidRPr="00DD6FF3" w:rsidRDefault="0036271C" w:rsidP="00C25B4D">
      <w:pPr>
        <w:overflowPunct/>
        <w:adjustRightInd/>
        <w:textAlignment w:val="auto"/>
      </w:pPr>
      <w:r w:rsidRPr="00DD6FF3">
        <w:t>În cadrul sesiunii s-au adoptat următoarele avize:</w:t>
      </w:r>
    </w:p>
    <w:p w:rsidR="005E3DE2" w:rsidRPr="00DD6FF3" w:rsidRDefault="005E3DE2" w:rsidP="00C25B4D">
      <w:pPr>
        <w:tabs>
          <w:tab w:val="left" w:pos="550"/>
        </w:tabs>
        <w:overflowPunct/>
        <w:adjustRightInd/>
        <w:textAlignment w:val="auto"/>
      </w:pPr>
    </w:p>
    <w:p w:rsidR="0058626A" w:rsidRPr="00DD6FF3" w:rsidRDefault="00D3628B" w:rsidP="00BE08D1">
      <w:pPr>
        <w:pStyle w:val="Heading1"/>
        <w:rPr>
          <w:b/>
          <w:sz w:val="28"/>
          <w:szCs w:val="28"/>
        </w:rPr>
      </w:pPr>
      <w:bookmarkStart w:id="0" w:name="_Toc413417153"/>
      <w:r w:rsidRPr="00DD6FF3">
        <w:rPr>
          <w:b/>
          <w:sz w:val="28"/>
          <w:szCs w:val="28"/>
        </w:rPr>
        <w:t>PIAȚA INTERNĂ / INSTRUMENTE FINANCIARE</w:t>
      </w:r>
      <w:bookmarkEnd w:id="0"/>
    </w:p>
    <w:p w:rsidR="00D3628B" w:rsidRPr="00DD6FF3" w:rsidRDefault="00D3628B" w:rsidP="00C25B4D">
      <w:pPr>
        <w:tabs>
          <w:tab w:val="left" w:pos="550"/>
        </w:tabs>
        <w:overflowPunct/>
        <w:adjustRightInd/>
        <w:textAlignment w:val="auto"/>
      </w:pPr>
    </w:p>
    <w:p w:rsidR="007C1435" w:rsidRPr="00DD6FF3" w:rsidRDefault="007C1435" w:rsidP="00B752AB">
      <w:pPr>
        <w:widowControl w:val="0"/>
        <w:numPr>
          <w:ilvl w:val="0"/>
          <w:numId w:val="103"/>
        </w:numPr>
        <w:ind w:left="720" w:hanging="720"/>
        <w:rPr>
          <w:b/>
          <w:i/>
          <w:sz w:val="28"/>
        </w:rPr>
      </w:pPr>
      <w:r w:rsidRPr="00DD6FF3">
        <w:rPr>
          <w:b/>
          <w:i/>
          <w:sz w:val="28"/>
        </w:rPr>
        <w:t xml:space="preserve">Strategiile </w:t>
      </w:r>
      <w:proofErr w:type="spellStart"/>
      <w:r w:rsidRPr="00DD6FF3">
        <w:rPr>
          <w:b/>
          <w:i/>
          <w:sz w:val="28"/>
        </w:rPr>
        <w:t>macroregionale</w:t>
      </w:r>
      <w:proofErr w:type="spellEnd"/>
      <w:r w:rsidRPr="00DD6FF3">
        <w:rPr>
          <w:b/>
          <w:i/>
          <w:sz w:val="28"/>
        </w:rPr>
        <w:t xml:space="preserve"> în Europa (aviz din proprie inițiativă)</w:t>
      </w:r>
    </w:p>
    <w:p w:rsidR="007C1435" w:rsidRPr="00DD6FF3" w:rsidRDefault="007C1435" w:rsidP="00C25B4D">
      <w:pPr>
        <w:tabs>
          <w:tab w:val="left" w:pos="550"/>
        </w:tabs>
        <w:overflowPunct/>
        <w:adjustRightInd/>
        <w:textAlignment w:val="auto"/>
      </w:pPr>
    </w:p>
    <w:p w:rsidR="007C1435" w:rsidRPr="00DD6FF3" w:rsidRDefault="007C1435" w:rsidP="00C25B4D">
      <w:pPr>
        <w:tabs>
          <w:tab w:val="center" w:pos="284"/>
        </w:tabs>
        <w:overflowPunct/>
        <w:adjustRightInd/>
        <w:ind w:left="266" w:hanging="266"/>
        <w:textAlignment w:val="auto"/>
      </w:pPr>
      <w:r w:rsidRPr="00DD6FF3">
        <w:rPr>
          <w:b/>
        </w:rPr>
        <w:t>Raportor:</w:t>
      </w:r>
      <w:r w:rsidR="00433CDF" w:rsidRPr="00DD6FF3">
        <w:rPr>
          <w:b/>
        </w:rPr>
        <w:tab/>
      </w:r>
      <w:proofErr w:type="spellStart"/>
      <w:r w:rsidRPr="00DD6FF3">
        <w:t>Etele</w:t>
      </w:r>
      <w:proofErr w:type="spellEnd"/>
      <w:r w:rsidRPr="00DD6FF3">
        <w:t xml:space="preserve"> BARÁTH (Activităţi diverse – HU)</w:t>
      </w:r>
    </w:p>
    <w:p w:rsidR="007C1435" w:rsidRPr="00DD6FF3" w:rsidRDefault="007C1435" w:rsidP="00C25B4D">
      <w:pPr>
        <w:tabs>
          <w:tab w:val="left" w:pos="550"/>
        </w:tabs>
        <w:overflowPunct/>
        <w:adjustRightInd/>
        <w:textAlignment w:val="auto"/>
      </w:pPr>
    </w:p>
    <w:p w:rsidR="007C1435" w:rsidRPr="00DD6FF3" w:rsidRDefault="005C0147" w:rsidP="00C25B4D">
      <w:pPr>
        <w:tabs>
          <w:tab w:val="center" w:pos="284"/>
        </w:tabs>
        <w:overflowPunct/>
        <w:adjustRightInd/>
        <w:ind w:left="266" w:hanging="266"/>
        <w:textAlignment w:val="auto"/>
      </w:pPr>
      <w:r w:rsidRPr="00DD6FF3">
        <w:rPr>
          <w:b/>
        </w:rPr>
        <w:t>Referinţă:</w:t>
      </w:r>
      <w:r w:rsidR="00433CDF" w:rsidRPr="00DD6FF3">
        <w:rPr>
          <w:b/>
        </w:rPr>
        <w:tab/>
      </w:r>
      <w:r w:rsidRPr="00DD6FF3">
        <w:t>EESC-2014-02544-00-00-AC-TRA</w:t>
      </w:r>
    </w:p>
    <w:p w:rsidR="007C1435" w:rsidRPr="00DD6FF3" w:rsidRDefault="007C1435" w:rsidP="00C25B4D">
      <w:pPr>
        <w:tabs>
          <w:tab w:val="left" w:pos="550"/>
        </w:tabs>
        <w:overflowPunct/>
        <w:adjustRightInd/>
        <w:textAlignment w:val="auto"/>
      </w:pPr>
    </w:p>
    <w:p w:rsidR="007C1435" w:rsidRPr="00DD6FF3" w:rsidRDefault="007C1435" w:rsidP="00C25B4D">
      <w:pPr>
        <w:tabs>
          <w:tab w:val="center" w:pos="284"/>
        </w:tabs>
        <w:overflowPunct/>
        <w:adjustRightInd/>
        <w:ind w:left="266" w:hanging="266"/>
        <w:textAlignment w:val="auto"/>
        <w:rPr>
          <w:b/>
        </w:rPr>
      </w:pPr>
      <w:r w:rsidRPr="00DD6FF3">
        <w:rPr>
          <w:b/>
        </w:rPr>
        <w:t>Punctele principale:</w:t>
      </w:r>
    </w:p>
    <w:p w:rsidR="007C1435" w:rsidRPr="00DD6FF3" w:rsidRDefault="007C1435" w:rsidP="00C25B4D">
      <w:pPr>
        <w:tabs>
          <w:tab w:val="left" w:pos="550"/>
        </w:tabs>
        <w:overflowPunct/>
        <w:adjustRightInd/>
        <w:textAlignment w:val="auto"/>
      </w:pPr>
    </w:p>
    <w:p w:rsidR="007C1435" w:rsidRPr="00DD6FF3" w:rsidRDefault="007C1435" w:rsidP="00C25B4D">
      <w:pPr>
        <w:overflowPunct/>
        <w:adjustRightInd/>
        <w:textAlignment w:val="auto"/>
      </w:pPr>
      <w:r w:rsidRPr="00DD6FF3">
        <w:t>CESE consideră că:</w:t>
      </w:r>
    </w:p>
    <w:p w:rsidR="007C1435" w:rsidRPr="00DD6FF3" w:rsidRDefault="007C1435" w:rsidP="00C25B4D">
      <w:pPr>
        <w:overflowPunct/>
        <w:adjustRightInd/>
        <w:textAlignment w:val="auto"/>
      </w:pPr>
    </w:p>
    <w:p w:rsidR="007C1435" w:rsidRPr="00DD6FF3" w:rsidRDefault="007C1435" w:rsidP="00842AAD">
      <w:pPr>
        <w:numPr>
          <w:ilvl w:val="0"/>
          <w:numId w:val="122"/>
        </w:numPr>
        <w:overflowPunct/>
        <w:adjustRightInd/>
        <w:textAlignment w:val="auto"/>
      </w:pPr>
      <w:r w:rsidRPr="00DD6FF3">
        <w:t xml:space="preserve">strategiile </w:t>
      </w:r>
      <w:proofErr w:type="spellStart"/>
      <w:r w:rsidRPr="00DD6FF3">
        <w:t>macroregionale</w:t>
      </w:r>
      <w:proofErr w:type="spellEnd"/>
      <w:r w:rsidRPr="00DD6FF3">
        <w:t xml:space="preserve"> pot contribui la îmbunătățirea competitivității economice, la creșterea dorită a PIB și, dincolo de acestea, la sporirea valorii adăugate europene;</w:t>
      </w:r>
    </w:p>
    <w:p w:rsidR="00F53404" w:rsidRPr="00DD6FF3" w:rsidRDefault="00F53404" w:rsidP="00C25B4D">
      <w:pPr>
        <w:overflowPunct/>
        <w:adjustRightInd/>
        <w:textAlignment w:val="auto"/>
      </w:pPr>
    </w:p>
    <w:p w:rsidR="007C1435" w:rsidRPr="00DD6FF3" w:rsidRDefault="007C1435" w:rsidP="00842AAD">
      <w:pPr>
        <w:numPr>
          <w:ilvl w:val="0"/>
          <w:numId w:val="122"/>
        </w:numPr>
        <w:overflowPunct/>
        <w:adjustRightInd/>
        <w:textAlignment w:val="auto"/>
      </w:pPr>
      <w:r w:rsidRPr="00DD6FF3">
        <w:t xml:space="preserve">rolul strategiilor </w:t>
      </w:r>
      <w:proofErr w:type="spellStart"/>
      <w:r w:rsidRPr="00DD6FF3">
        <w:t>macroregionale</w:t>
      </w:r>
      <w:proofErr w:type="spellEnd"/>
      <w:r w:rsidRPr="00DD6FF3">
        <w:t xml:space="preserve"> este tot mai important pentru viitorul UE;</w:t>
      </w:r>
    </w:p>
    <w:p w:rsidR="00D66BF8" w:rsidRPr="00DD6FF3" w:rsidRDefault="00D66BF8" w:rsidP="00C25B4D">
      <w:pPr>
        <w:overflowPunct/>
        <w:adjustRightInd/>
        <w:textAlignment w:val="auto"/>
      </w:pPr>
    </w:p>
    <w:p w:rsidR="007C1435" w:rsidRPr="00DD6FF3" w:rsidRDefault="007C1435" w:rsidP="00842AAD">
      <w:pPr>
        <w:numPr>
          <w:ilvl w:val="0"/>
          <w:numId w:val="122"/>
        </w:numPr>
        <w:overflowPunct/>
        <w:adjustRightInd/>
        <w:textAlignment w:val="auto"/>
      </w:pPr>
      <w:r w:rsidRPr="00DD6FF3">
        <w:t xml:space="preserve">prin urmare, este în mod evident necesar să se dezvolte strategii </w:t>
      </w:r>
      <w:proofErr w:type="spellStart"/>
      <w:r w:rsidRPr="00DD6FF3">
        <w:t>macroregionale</w:t>
      </w:r>
      <w:proofErr w:type="spellEnd"/>
      <w:r w:rsidRPr="00DD6FF3">
        <w:t xml:space="preserve"> la nivel european.</w:t>
      </w:r>
    </w:p>
    <w:p w:rsidR="007C1435" w:rsidRPr="00DD6FF3" w:rsidRDefault="007C1435" w:rsidP="00842AAD">
      <w:pPr>
        <w:overflowPunct/>
        <w:adjustRightInd/>
        <w:textAlignment w:val="auto"/>
      </w:pPr>
    </w:p>
    <w:p w:rsidR="007C1435" w:rsidRPr="00DD6FF3" w:rsidRDefault="007C1435" w:rsidP="00842AAD">
      <w:pPr>
        <w:overflowPunct/>
        <w:adjustRightInd/>
        <w:textAlignment w:val="auto"/>
      </w:pPr>
      <w:r w:rsidRPr="00DD6FF3">
        <w:t>CESE recomandă următoarele:</w:t>
      </w:r>
    </w:p>
    <w:p w:rsidR="007C1435" w:rsidRPr="00DD6FF3" w:rsidRDefault="007C1435" w:rsidP="00C25B4D">
      <w:pPr>
        <w:overflowPunct/>
        <w:adjustRightInd/>
        <w:textAlignment w:val="auto"/>
      </w:pPr>
    </w:p>
    <w:p w:rsidR="007C1435" w:rsidRPr="00DD6FF3" w:rsidRDefault="007C1435" w:rsidP="00842AAD">
      <w:pPr>
        <w:numPr>
          <w:ilvl w:val="0"/>
          <w:numId w:val="123"/>
        </w:numPr>
        <w:overflowPunct/>
        <w:adjustRightInd/>
        <w:textAlignment w:val="auto"/>
      </w:pPr>
      <w:r w:rsidRPr="00DD6FF3">
        <w:t xml:space="preserve">adoptarea de către Consiliul European a unei poziții favorabile față de integrarea politicii </w:t>
      </w:r>
      <w:proofErr w:type="spellStart"/>
      <w:r w:rsidRPr="00DD6FF3">
        <w:t>macroregionale</w:t>
      </w:r>
      <w:proofErr w:type="spellEnd"/>
      <w:r w:rsidRPr="00DD6FF3">
        <w:t xml:space="preserve"> în structura de guvernanță a Uniunii și solicitarea elaborării de orientări pentru întreaga UE în vederea definirii unei strategii de dezvoltare </w:t>
      </w:r>
      <w:proofErr w:type="spellStart"/>
      <w:r w:rsidRPr="00DD6FF3">
        <w:t>macroregională</w:t>
      </w:r>
      <w:proofErr w:type="spellEnd"/>
      <w:r w:rsidRPr="00DD6FF3">
        <w:t xml:space="preserve"> care să sprijine dezvoltarea economică și socială;</w:t>
      </w:r>
    </w:p>
    <w:p w:rsidR="007C1435" w:rsidRPr="00DD6FF3" w:rsidRDefault="007C1435" w:rsidP="00842AAD">
      <w:pPr>
        <w:overflowPunct/>
        <w:adjustRightInd/>
        <w:textAlignment w:val="auto"/>
      </w:pPr>
    </w:p>
    <w:p w:rsidR="007C1435" w:rsidRPr="00DD6FF3" w:rsidRDefault="007C1435" w:rsidP="00842AAD">
      <w:pPr>
        <w:numPr>
          <w:ilvl w:val="0"/>
          <w:numId w:val="123"/>
        </w:numPr>
        <w:overflowPunct/>
        <w:adjustRightInd/>
        <w:textAlignment w:val="auto"/>
      </w:pPr>
      <w:r w:rsidRPr="00DD6FF3">
        <w:t xml:space="preserve">consolidarea structurii de guvernanță la nivel european prin implicarea societății civile și a autorităților locale și regionale în fiecare etapă a procesului decizional, alături de grupul de coordonare la nivel înalt alcătuit din reprezentanți ai celor 28 de țări, responsabil cu gestionarea la nivel </w:t>
      </w:r>
      <w:proofErr w:type="spellStart"/>
      <w:r w:rsidRPr="00DD6FF3">
        <w:t>macroregional</w:t>
      </w:r>
      <w:proofErr w:type="spellEnd"/>
      <w:r w:rsidRPr="00DD6FF3">
        <w:t>.</w:t>
      </w:r>
    </w:p>
    <w:p w:rsidR="007C1435" w:rsidRPr="00DD6FF3" w:rsidRDefault="007C1435" w:rsidP="00C25B4D">
      <w:pPr>
        <w:overflowPunct/>
        <w:adjustRightInd/>
        <w:textAlignment w:val="auto"/>
      </w:pPr>
    </w:p>
    <w:p w:rsidR="007C1435" w:rsidRPr="00DD6FF3" w:rsidRDefault="007C1435" w:rsidP="00C25B4D">
      <w:pPr>
        <w:overflowPunct/>
        <w:adjustRightInd/>
        <w:textAlignment w:val="auto"/>
      </w:pPr>
      <w:r w:rsidRPr="00DD6FF3">
        <w:rPr>
          <w:b/>
          <w:i/>
        </w:rPr>
        <w:t>Persoană de contact:</w:t>
      </w:r>
      <w:r w:rsidRPr="00DD6FF3">
        <w:rPr>
          <w:b/>
        </w:rPr>
        <w:t xml:space="preserve"> </w:t>
      </w:r>
      <w:r w:rsidRPr="00DD6FF3">
        <w:rPr>
          <w:i/>
        </w:rPr>
        <w:t>Helena Polomik</w:t>
      </w:r>
    </w:p>
    <w:p w:rsidR="007C1435" w:rsidRPr="00DD6FF3" w:rsidRDefault="007C1435" w:rsidP="00C25B4D">
      <w:pPr>
        <w:overflowPunct/>
        <w:adjustRightInd/>
        <w:ind w:left="266" w:hanging="266"/>
        <w:textAlignment w:val="auto"/>
      </w:pPr>
      <w:r w:rsidRPr="00DD6FF3">
        <w:rPr>
          <w:i/>
        </w:rPr>
        <w:t xml:space="preserve">(Tel: 00 32 2 546 9063 - e-mail: </w:t>
      </w:r>
      <w:hyperlink r:id="rId32">
        <w:r w:rsidRPr="00DD6FF3">
          <w:rPr>
            <w:rStyle w:val="Hyperlink"/>
            <w:i/>
          </w:rPr>
          <w:t>helena.polomik@eesc.europa.eu</w:t>
        </w:r>
      </w:hyperlink>
      <w:r w:rsidRPr="00DD6FF3">
        <w:rPr>
          <w:i/>
        </w:rPr>
        <w:t>)</w:t>
      </w:r>
    </w:p>
    <w:p w:rsidR="00433CDF" w:rsidRPr="00DD6FF3" w:rsidRDefault="00433CDF">
      <w:pPr>
        <w:overflowPunct/>
        <w:autoSpaceDE/>
        <w:autoSpaceDN/>
        <w:adjustRightInd/>
        <w:spacing w:line="240" w:lineRule="auto"/>
        <w:jc w:val="left"/>
        <w:textAlignment w:val="auto"/>
      </w:pPr>
      <w:r w:rsidRPr="00DD6FF3">
        <w:br w:type="page"/>
      </w:r>
    </w:p>
    <w:p w:rsidR="007C1435" w:rsidRPr="00DD6FF3" w:rsidRDefault="007C1435" w:rsidP="00842AAD">
      <w:pPr>
        <w:overflowPunct/>
        <w:adjustRightInd/>
        <w:textAlignment w:val="auto"/>
      </w:pPr>
    </w:p>
    <w:p w:rsidR="007C1435" w:rsidRPr="00DD6FF3" w:rsidRDefault="007C1435" w:rsidP="00B752AB">
      <w:pPr>
        <w:widowControl w:val="0"/>
        <w:numPr>
          <w:ilvl w:val="0"/>
          <w:numId w:val="103"/>
        </w:numPr>
        <w:ind w:left="720" w:hanging="720"/>
        <w:rPr>
          <w:i/>
          <w:sz w:val="28"/>
        </w:rPr>
      </w:pPr>
      <w:r w:rsidRPr="00DD6FF3">
        <w:rPr>
          <w:b/>
          <w:i/>
          <w:sz w:val="28"/>
        </w:rPr>
        <w:t>Rolul băncilor cooperatiste și al caselor de economii în coeziunea teritorială (aviz din proprie iniţiativă)</w:t>
      </w:r>
    </w:p>
    <w:p w:rsidR="007C1435" w:rsidRPr="00DD6FF3" w:rsidRDefault="007C1435" w:rsidP="00C25B4D">
      <w:pPr>
        <w:tabs>
          <w:tab w:val="center" w:pos="284"/>
        </w:tabs>
        <w:overflowPunct/>
        <w:adjustRightInd/>
        <w:ind w:left="266" w:hanging="266"/>
        <w:textAlignment w:val="auto"/>
        <w:rPr>
          <w:b/>
        </w:rPr>
      </w:pPr>
    </w:p>
    <w:p w:rsidR="007C1435" w:rsidRPr="00DD6FF3" w:rsidRDefault="007C1435" w:rsidP="00C25B4D">
      <w:pPr>
        <w:tabs>
          <w:tab w:val="center" w:pos="284"/>
        </w:tabs>
        <w:overflowPunct/>
        <w:adjustRightInd/>
        <w:ind w:left="266" w:hanging="266"/>
        <w:textAlignment w:val="auto"/>
      </w:pPr>
      <w:r w:rsidRPr="00DD6FF3">
        <w:rPr>
          <w:b/>
        </w:rPr>
        <w:t>Raportor:</w:t>
      </w:r>
      <w:r w:rsidR="00433CDF" w:rsidRPr="00DD6FF3">
        <w:tab/>
      </w:r>
      <w:r w:rsidRPr="00DD6FF3">
        <w:t>Carlos TRIAS PINTÓ (Activități diverse – ES)</w:t>
      </w:r>
    </w:p>
    <w:p w:rsidR="007C1435" w:rsidRPr="00DD6FF3" w:rsidRDefault="007C1435" w:rsidP="00C25B4D">
      <w:pPr>
        <w:tabs>
          <w:tab w:val="center" w:pos="284"/>
        </w:tabs>
        <w:overflowPunct/>
        <w:adjustRightInd/>
        <w:ind w:left="266" w:hanging="266"/>
        <w:textAlignment w:val="auto"/>
        <w:rPr>
          <w:b/>
        </w:rPr>
      </w:pPr>
    </w:p>
    <w:p w:rsidR="007C1435" w:rsidRPr="00DD6FF3" w:rsidRDefault="005C0147" w:rsidP="00C25B4D">
      <w:pPr>
        <w:tabs>
          <w:tab w:val="center" w:pos="284"/>
        </w:tabs>
        <w:overflowPunct/>
        <w:adjustRightInd/>
        <w:ind w:left="266" w:hanging="266"/>
        <w:textAlignment w:val="auto"/>
      </w:pPr>
      <w:r w:rsidRPr="00DD6FF3">
        <w:rPr>
          <w:b/>
        </w:rPr>
        <w:t>Referinţă:</w:t>
      </w:r>
      <w:r w:rsidR="00433CDF" w:rsidRPr="00DD6FF3">
        <w:rPr>
          <w:b/>
        </w:rPr>
        <w:tab/>
      </w:r>
      <w:r w:rsidRPr="00DD6FF3">
        <w:t>EESC-2014-04516-00-00-AC-TRA</w:t>
      </w:r>
    </w:p>
    <w:p w:rsidR="007C1435" w:rsidRPr="00DD6FF3" w:rsidRDefault="007C1435" w:rsidP="00C25B4D">
      <w:pPr>
        <w:tabs>
          <w:tab w:val="center" w:pos="284"/>
        </w:tabs>
        <w:overflowPunct/>
        <w:adjustRightInd/>
        <w:ind w:left="266" w:hanging="266"/>
        <w:textAlignment w:val="auto"/>
        <w:rPr>
          <w:b/>
        </w:rPr>
      </w:pPr>
    </w:p>
    <w:p w:rsidR="007C1435" w:rsidRPr="00DD6FF3" w:rsidRDefault="007C1435" w:rsidP="00C25B4D">
      <w:pPr>
        <w:tabs>
          <w:tab w:val="center" w:pos="284"/>
        </w:tabs>
        <w:overflowPunct/>
        <w:adjustRightInd/>
        <w:ind w:left="266" w:hanging="266"/>
        <w:textAlignment w:val="auto"/>
        <w:rPr>
          <w:b/>
        </w:rPr>
      </w:pPr>
      <w:r w:rsidRPr="00DD6FF3">
        <w:rPr>
          <w:b/>
        </w:rPr>
        <w:t>Punctele principale:</w:t>
      </w:r>
    </w:p>
    <w:p w:rsidR="007C1435" w:rsidRPr="00DD6FF3" w:rsidRDefault="007C1435" w:rsidP="00C25B4D">
      <w:pPr>
        <w:tabs>
          <w:tab w:val="center" w:pos="284"/>
        </w:tabs>
        <w:overflowPunct/>
        <w:adjustRightInd/>
        <w:ind w:left="266" w:hanging="266"/>
        <w:textAlignment w:val="auto"/>
        <w:rPr>
          <w:b/>
        </w:rPr>
      </w:pPr>
    </w:p>
    <w:p w:rsidR="007C1435" w:rsidRPr="00DD6FF3" w:rsidRDefault="007C1435" w:rsidP="00C25B4D">
      <w:pPr>
        <w:overflowPunct/>
        <w:adjustRightInd/>
        <w:spacing w:line="240" w:lineRule="auto"/>
        <w:textAlignment w:val="auto"/>
      </w:pPr>
      <w:r w:rsidRPr="00DD6FF3">
        <w:t>CESE:</w:t>
      </w:r>
    </w:p>
    <w:p w:rsidR="007C1435" w:rsidRPr="00DD6FF3" w:rsidRDefault="007C1435" w:rsidP="00C25B4D">
      <w:pPr>
        <w:overflowPunct/>
        <w:adjustRightInd/>
        <w:spacing w:line="240" w:lineRule="auto"/>
        <w:textAlignment w:val="auto"/>
      </w:pPr>
    </w:p>
    <w:p w:rsidR="007C1435" w:rsidRPr="00DD6FF3" w:rsidRDefault="007C1435" w:rsidP="00842AAD">
      <w:pPr>
        <w:numPr>
          <w:ilvl w:val="0"/>
          <w:numId w:val="102"/>
        </w:numPr>
      </w:pPr>
      <w:r w:rsidRPr="00DD6FF3">
        <w:t>consideră că este indispensabilă conservarea „biodiversității” sistemului financiar, fără ca aceasta să presupună aplicarea arbitrară a normelor;</w:t>
      </w:r>
    </w:p>
    <w:p w:rsidR="007C1435" w:rsidRPr="00DD6FF3" w:rsidRDefault="007C1435" w:rsidP="00433CDF"/>
    <w:p w:rsidR="007C1435" w:rsidRPr="00DD6FF3" w:rsidRDefault="007C1435" w:rsidP="00842AAD">
      <w:pPr>
        <w:numPr>
          <w:ilvl w:val="0"/>
          <w:numId w:val="102"/>
        </w:numPr>
        <w:ind w:left="714" w:hanging="357"/>
      </w:pPr>
      <w:r w:rsidRPr="00DD6FF3">
        <w:t xml:space="preserve">salută faptul că Comisia Europeană a acordat atenție introducerii unor cadre de reglementare financiară menite să țină seama de </w:t>
      </w:r>
      <w:proofErr w:type="spellStart"/>
      <w:r w:rsidRPr="00DD6FF3">
        <w:t>specificitățile</w:t>
      </w:r>
      <w:proofErr w:type="spellEnd"/>
      <w:r w:rsidRPr="00DD6FF3">
        <w:t xml:space="preserve"> băncilor cooperatiste și caselor de economii, care să evite consecințele nedorite ale aplicării uniforme a normelor prudențiale și eventuala supraîncărcare cu sarcini administrative;</w:t>
      </w:r>
    </w:p>
    <w:p w:rsidR="007C1435" w:rsidRPr="00DD6FF3" w:rsidRDefault="007C1435" w:rsidP="00433CDF"/>
    <w:p w:rsidR="007C1435" w:rsidRPr="00DD6FF3" w:rsidRDefault="007C1435" w:rsidP="00842AAD">
      <w:pPr>
        <w:numPr>
          <w:ilvl w:val="0"/>
          <w:numId w:val="102"/>
        </w:numPr>
      </w:pPr>
      <w:r w:rsidRPr="00DD6FF3">
        <w:t>reamintește că principala problemă rămâne faptul că nu se aplică în mod adecvat principiul proporționalității în noile reglementări bancare (în specia</w:t>
      </w:r>
      <w:r w:rsidR="008725CD" w:rsidRPr="00DD6FF3">
        <w:t>l în ceea ce privește Directiva </w:t>
      </w:r>
      <w:r w:rsidRPr="00DD6FF3">
        <w:t>privind cerințele de capital – CRD IV și Regulamentul privind cerințele de capital – CRR);</w:t>
      </w:r>
    </w:p>
    <w:p w:rsidR="007C1435" w:rsidRPr="00DD6FF3" w:rsidRDefault="007C1435" w:rsidP="00433CDF"/>
    <w:p w:rsidR="007C1435" w:rsidRPr="00DD6FF3" w:rsidRDefault="007C1435" w:rsidP="00842AAD">
      <w:pPr>
        <w:numPr>
          <w:ilvl w:val="0"/>
          <w:numId w:val="102"/>
        </w:numPr>
      </w:pPr>
      <w:r w:rsidRPr="00DD6FF3">
        <w:t>consideră că ar trebui să se aplice cerințele cele mai stricte băncilor mondiale, cerințe riguroase – celor paneuropene (de natură sistemică în Europa) și cerințe mai flexibile – băncilor naționale și locale;</w:t>
      </w:r>
    </w:p>
    <w:p w:rsidR="007C1435" w:rsidRPr="00DD6FF3" w:rsidRDefault="007C1435" w:rsidP="00433CDF"/>
    <w:p w:rsidR="007C1435" w:rsidRPr="00DD6FF3" w:rsidRDefault="007C1435" w:rsidP="00842AAD">
      <w:pPr>
        <w:numPr>
          <w:ilvl w:val="0"/>
          <w:numId w:val="102"/>
        </w:numPr>
        <w:ind w:left="714" w:hanging="357"/>
      </w:pPr>
      <w:r w:rsidRPr="00DD6FF3">
        <w:t>a pledat dintotdeauna pentru condiţii echitabile de concurenţă și, ca atare, este în favoarea utilizării unor parametri obiectivi, care să justifice existența unei reglementări specifice pentru fiecare model de afacere. (performanța economică și financiară, contribuția la economia reală, gestionarea riscurilor și guvernanța);</w:t>
      </w:r>
    </w:p>
    <w:p w:rsidR="007C1435" w:rsidRPr="00DD6FF3" w:rsidRDefault="007C1435" w:rsidP="00433CDF"/>
    <w:p w:rsidR="007C1435" w:rsidRPr="00DD6FF3" w:rsidRDefault="007C1435" w:rsidP="00842AAD">
      <w:pPr>
        <w:numPr>
          <w:ilvl w:val="0"/>
          <w:numId w:val="102"/>
        </w:numPr>
      </w:pPr>
      <w:r w:rsidRPr="00DD6FF3">
        <w:t xml:space="preserve">propune autorităților financiare să stimuleze actorii care îndeplinesc cel mai bine aceste condiții și pledează pentru consolidarea normelor deontologice și a codurilor de bună guvernare pentru toate tipurile de bănci, condiție </w:t>
      </w:r>
      <w:r w:rsidRPr="00DD6FF3">
        <w:rPr>
          <w:i/>
        </w:rPr>
        <w:t>sine qua non</w:t>
      </w:r>
      <w:r w:rsidRPr="00DD6FF3">
        <w:t xml:space="preserve"> pentru recuperarea încrederii pierdute.</w:t>
      </w:r>
    </w:p>
    <w:p w:rsidR="007C1435" w:rsidRPr="00DD6FF3" w:rsidRDefault="007C1435" w:rsidP="00C25B4D">
      <w:pPr>
        <w:overflowPunct/>
        <w:adjustRightInd/>
        <w:textAlignment w:val="auto"/>
      </w:pPr>
    </w:p>
    <w:p w:rsidR="007C1435" w:rsidRPr="00DD6FF3" w:rsidRDefault="007C1435" w:rsidP="00BE08D1">
      <w:r w:rsidRPr="00DD6FF3">
        <w:rPr>
          <w:b/>
          <w:i/>
        </w:rPr>
        <w:t>Persoană de contact:</w:t>
      </w:r>
      <w:r w:rsidRPr="00DD6FF3">
        <w:rPr>
          <w:b/>
        </w:rPr>
        <w:t xml:space="preserve"> </w:t>
      </w:r>
      <w:r w:rsidRPr="00DD6FF3">
        <w:rPr>
          <w:i/>
        </w:rPr>
        <w:t>Gerald Klec</w:t>
      </w:r>
    </w:p>
    <w:p w:rsidR="007C1435" w:rsidRPr="00DD6FF3" w:rsidRDefault="007C1435" w:rsidP="00BE08D1">
      <w:r w:rsidRPr="00DD6FF3">
        <w:rPr>
          <w:i/>
        </w:rPr>
        <w:t xml:space="preserve">(Tel: 00 32 2 546 9909 - e-mail: </w:t>
      </w:r>
      <w:hyperlink r:id="rId33">
        <w:r w:rsidRPr="00DD6FF3">
          <w:rPr>
            <w:rStyle w:val="Hyperlink"/>
            <w:i/>
          </w:rPr>
          <w:t>gerald.klec@eesc.europa.eu</w:t>
        </w:r>
      </w:hyperlink>
      <w:r w:rsidRPr="00DD6FF3">
        <w:rPr>
          <w:i/>
        </w:rPr>
        <w:t>)</w:t>
      </w:r>
    </w:p>
    <w:p w:rsidR="00433CDF" w:rsidRPr="00DD6FF3" w:rsidRDefault="00433CDF">
      <w:pPr>
        <w:overflowPunct/>
        <w:autoSpaceDE/>
        <w:autoSpaceDN/>
        <w:adjustRightInd/>
        <w:spacing w:line="240" w:lineRule="auto"/>
        <w:jc w:val="left"/>
        <w:textAlignment w:val="auto"/>
      </w:pPr>
      <w:r w:rsidRPr="00DD6FF3">
        <w:br w:type="page"/>
      </w:r>
    </w:p>
    <w:p w:rsidR="007C1435" w:rsidRPr="00DD6FF3" w:rsidRDefault="007C1435" w:rsidP="00C25B4D">
      <w:pPr>
        <w:overflowPunct/>
        <w:adjustRightInd/>
        <w:textAlignment w:val="auto"/>
      </w:pPr>
    </w:p>
    <w:p w:rsidR="007C1435" w:rsidRPr="00DD6FF3" w:rsidRDefault="007C1435" w:rsidP="00B752AB">
      <w:pPr>
        <w:widowControl w:val="0"/>
        <w:numPr>
          <w:ilvl w:val="0"/>
          <w:numId w:val="103"/>
        </w:numPr>
        <w:ind w:left="720" w:hanging="720"/>
        <w:rPr>
          <w:i/>
          <w:sz w:val="28"/>
        </w:rPr>
      </w:pPr>
      <w:r w:rsidRPr="00DD6FF3">
        <w:rPr>
          <w:b/>
          <w:i/>
          <w:sz w:val="28"/>
        </w:rPr>
        <w:t>Revizuirea Sistemului european de supraveghere financiară (SESF)</w:t>
      </w:r>
    </w:p>
    <w:p w:rsidR="007C1435" w:rsidRPr="00DD6FF3" w:rsidRDefault="007C1435" w:rsidP="00C25B4D">
      <w:pPr>
        <w:tabs>
          <w:tab w:val="center" w:pos="284"/>
        </w:tabs>
        <w:overflowPunct/>
        <w:adjustRightInd/>
        <w:ind w:left="266" w:hanging="266"/>
        <w:textAlignment w:val="auto"/>
        <w:rPr>
          <w:b/>
        </w:rPr>
      </w:pPr>
    </w:p>
    <w:p w:rsidR="007C1435" w:rsidRPr="00DD6FF3" w:rsidRDefault="007C1435" w:rsidP="00C25B4D">
      <w:pPr>
        <w:tabs>
          <w:tab w:val="center" w:pos="284"/>
        </w:tabs>
        <w:overflowPunct/>
        <w:adjustRightInd/>
        <w:ind w:left="266" w:hanging="266"/>
        <w:textAlignment w:val="auto"/>
      </w:pPr>
      <w:r w:rsidRPr="00DD6FF3">
        <w:rPr>
          <w:b/>
        </w:rPr>
        <w:t>Raportor:</w:t>
      </w:r>
      <w:r w:rsidR="00433CDF" w:rsidRPr="00DD6FF3">
        <w:tab/>
      </w:r>
      <w:proofErr w:type="spellStart"/>
      <w:r w:rsidRPr="00DD6FF3">
        <w:t>Carmelo</w:t>
      </w:r>
      <w:proofErr w:type="spellEnd"/>
      <w:r w:rsidRPr="00DD6FF3">
        <w:t xml:space="preserve"> CEDRONE (Lucrători – IT)</w:t>
      </w:r>
    </w:p>
    <w:p w:rsidR="007C1435" w:rsidRPr="00DD6FF3" w:rsidRDefault="007C1435" w:rsidP="00C25B4D">
      <w:pPr>
        <w:tabs>
          <w:tab w:val="center" w:pos="284"/>
        </w:tabs>
        <w:overflowPunct/>
        <w:adjustRightInd/>
        <w:ind w:left="266" w:hanging="266"/>
        <w:textAlignment w:val="auto"/>
        <w:rPr>
          <w:b/>
        </w:rPr>
      </w:pPr>
    </w:p>
    <w:p w:rsidR="005C0147" w:rsidRPr="00DD6FF3" w:rsidRDefault="007C1435" w:rsidP="00C25B4D">
      <w:pPr>
        <w:tabs>
          <w:tab w:val="center" w:pos="284"/>
        </w:tabs>
        <w:overflowPunct/>
        <w:adjustRightInd/>
        <w:ind w:left="266" w:hanging="266"/>
        <w:textAlignment w:val="auto"/>
      </w:pPr>
      <w:r w:rsidRPr="00DD6FF3">
        <w:rPr>
          <w:b/>
        </w:rPr>
        <w:t>Referințe:</w:t>
      </w:r>
      <w:r w:rsidRPr="00DD6FF3">
        <w:tab/>
        <w:t>COM(2014) 509 final și COM(2014) 508 final</w:t>
      </w:r>
    </w:p>
    <w:p w:rsidR="007C1435" w:rsidRPr="00DD6FF3" w:rsidRDefault="007C1435" w:rsidP="00842AAD">
      <w:pPr>
        <w:overflowPunct/>
        <w:adjustRightInd/>
        <w:ind w:left="1418"/>
        <w:textAlignment w:val="auto"/>
      </w:pPr>
      <w:r w:rsidRPr="00DD6FF3">
        <w:t>EESC-2014-05561-00-00-AC-TRA</w:t>
      </w:r>
    </w:p>
    <w:p w:rsidR="007C1435" w:rsidRPr="00DD6FF3" w:rsidRDefault="007C1435" w:rsidP="00C25B4D">
      <w:pPr>
        <w:tabs>
          <w:tab w:val="center" w:pos="284"/>
        </w:tabs>
        <w:overflowPunct/>
        <w:adjustRightInd/>
        <w:ind w:left="266" w:hanging="266"/>
        <w:textAlignment w:val="auto"/>
        <w:rPr>
          <w:b/>
        </w:rPr>
      </w:pPr>
    </w:p>
    <w:p w:rsidR="007C1435" w:rsidRPr="00DD6FF3" w:rsidRDefault="007C1435" w:rsidP="00C25B4D">
      <w:pPr>
        <w:tabs>
          <w:tab w:val="center" w:pos="284"/>
        </w:tabs>
        <w:overflowPunct/>
        <w:adjustRightInd/>
        <w:ind w:left="266" w:hanging="266"/>
        <w:textAlignment w:val="auto"/>
        <w:rPr>
          <w:b/>
        </w:rPr>
      </w:pPr>
      <w:r w:rsidRPr="00DD6FF3">
        <w:rPr>
          <w:b/>
        </w:rPr>
        <w:t>Punctele principale:</w:t>
      </w:r>
    </w:p>
    <w:p w:rsidR="00727BB9" w:rsidRPr="00DD6FF3" w:rsidRDefault="00727BB9" w:rsidP="00BE08D1"/>
    <w:p w:rsidR="007C1435" w:rsidRPr="00DD6FF3" w:rsidRDefault="007C1435" w:rsidP="00C25B4D">
      <w:pPr>
        <w:overflowPunct/>
        <w:adjustRightInd/>
        <w:spacing w:line="240" w:lineRule="auto"/>
        <w:textAlignment w:val="auto"/>
      </w:pPr>
      <w:r w:rsidRPr="00DD6FF3">
        <w:t>CESE:</w:t>
      </w:r>
    </w:p>
    <w:p w:rsidR="007C1435" w:rsidRPr="00DD6FF3" w:rsidRDefault="007C1435" w:rsidP="00BE08D1"/>
    <w:p w:rsidR="007C1435" w:rsidRPr="00DD6FF3" w:rsidRDefault="007C1435" w:rsidP="00842AAD">
      <w:pPr>
        <w:numPr>
          <w:ilvl w:val="0"/>
          <w:numId w:val="106"/>
        </w:numPr>
      </w:pPr>
      <w:r w:rsidRPr="00DD6FF3">
        <w:t>este de acord cu faptul că se impune adoptarea de măsuri corective menite să îmbunătățească funcționarea Sistemului european de supraveghere financiară (SESF);</w:t>
      </w:r>
    </w:p>
    <w:p w:rsidR="007C1435" w:rsidRPr="00DD6FF3" w:rsidRDefault="007C1435" w:rsidP="00C25B4D">
      <w:pPr>
        <w:overflowPunct/>
        <w:adjustRightInd/>
        <w:textAlignment w:val="auto"/>
      </w:pPr>
    </w:p>
    <w:p w:rsidR="007C1435" w:rsidRPr="00DD6FF3" w:rsidRDefault="007C1435" w:rsidP="00842AAD">
      <w:pPr>
        <w:numPr>
          <w:ilvl w:val="0"/>
          <w:numId w:val="105"/>
        </w:numPr>
      </w:pPr>
      <w:r w:rsidRPr="00DD6FF3">
        <w:t>solicită promovarea măsurilor de facilitare a coordonării SESF cu noua structură a mecanismului unic de supraveghere (MUS) și cu mecanismul unic de rezoluție (MUR);</w:t>
      </w:r>
    </w:p>
    <w:p w:rsidR="007C1435" w:rsidRPr="00DD6FF3" w:rsidRDefault="007C1435" w:rsidP="00C25B4D">
      <w:pPr>
        <w:overflowPunct/>
        <w:adjustRightInd/>
        <w:textAlignment w:val="auto"/>
      </w:pPr>
    </w:p>
    <w:p w:rsidR="007C1435" w:rsidRPr="00DD6FF3" w:rsidRDefault="007C1435" w:rsidP="00842AAD">
      <w:pPr>
        <w:numPr>
          <w:ilvl w:val="0"/>
          <w:numId w:val="105"/>
        </w:numPr>
      </w:pPr>
      <w:r w:rsidRPr="00DD6FF3">
        <w:t>solicită raționalizarea funcțiilor de reglementare ale instituțiilor SESF, pentru a favoriza simplificarea cadrului normativ și o mai mare transparență și eficiență a proceselor;</w:t>
      </w:r>
    </w:p>
    <w:p w:rsidR="007C1435" w:rsidRPr="00DD6FF3" w:rsidRDefault="007C1435" w:rsidP="00C25B4D">
      <w:pPr>
        <w:overflowPunct/>
        <w:adjustRightInd/>
        <w:textAlignment w:val="auto"/>
      </w:pPr>
    </w:p>
    <w:p w:rsidR="007C1435" w:rsidRPr="00DD6FF3" w:rsidRDefault="007C1435" w:rsidP="00842AAD">
      <w:pPr>
        <w:numPr>
          <w:ilvl w:val="0"/>
          <w:numId w:val="105"/>
        </w:numPr>
      </w:pPr>
      <w:r w:rsidRPr="00DD6FF3">
        <w:t xml:space="preserve">solicită o strategie pe termen mediu, în vederea derulării unui proces de consolidare sub aspectul organizării și funcționării autorităților de supraveghere </w:t>
      </w:r>
      <w:r w:rsidR="008725CD" w:rsidRPr="00DD6FF3">
        <w:t>[</w:t>
      </w:r>
      <w:r w:rsidRPr="00DD6FF3">
        <w:t>cu luarea în considerare a unui sediu unic și a adoptării unui model binar (</w:t>
      </w:r>
      <w:proofErr w:type="spellStart"/>
      <w:r w:rsidRPr="00DD6FF3">
        <w:rPr>
          <w:i/>
        </w:rPr>
        <w:t>twin</w:t>
      </w:r>
      <w:proofErr w:type="spellEnd"/>
      <w:r w:rsidRPr="00DD6FF3">
        <w:rPr>
          <w:i/>
        </w:rPr>
        <w:t xml:space="preserve"> </w:t>
      </w:r>
      <w:proofErr w:type="spellStart"/>
      <w:r w:rsidRPr="00DD6FF3">
        <w:rPr>
          <w:i/>
        </w:rPr>
        <w:t>peaks</w:t>
      </w:r>
      <w:proofErr w:type="spellEnd"/>
      <w:r w:rsidRPr="00DD6FF3">
        <w:t>)</w:t>
      </w:r>
      <w:r w:rsidR="008725CD" w:rsidRPr="00DD6FF3">
        <w:t>]</w:t>
      </w:r>
      <w:r w:rsidRPr="00DD6FF3">
        <w:t>;</w:t>
      </w:r>
    </w:p>
    <w:p w:rsidR="007C1435" w:rsidRPr="00DD6FF3" w:rsidRDefault="007C1435" w:rsidP="00C25B4D">
      <w:pPr>
        <w:overflowPunct/>
        <w:adjustRightInd/>
        <w:textAlignment w:val="auto"/>
      </w:pPr>
    </w:p>
    <w:p w:rsidR="007C1435" w:rsidRPr="00DD6FF3" w:rsidRDefault="007C1435" w:rsidP="00C25B4D">
      <w:pPr>
        <w:numPr>
          <w:ilvl w:val="0"/>
          <w:numId w:val="104"/>
        </w:numPr>
        <w:overflowPunct/>
        <w:adjustRightInd/>
        <w:ind w:left="720"/>
        <w:textAlignment w:val="auto"/>
      </w:pPr>
      <w:r w:rsidRPr="00DD6FF3">
        <w:t>solicită promovarea unor mecanisme care să susțină prioritățile țărilor din zona euro, în special în ceea ce privește piața bancară și mecanismele de supraveghere unică care prevăd modalități specifice de aderare a țărilor care nu folosesc moneda euro;</w:t>
      </w:r>
    </w:p>
    <w:p w:rsidR="007C1435" w:rsidRPr="00DD6FF3" w:rsidRDefault="007C1435" w:rsidP="00BE08D1"/>
    <w:p w:rsidR="007C1435" w:rsidRPr="00DD6FF3" w:rsidRDefault="007C1435" w:rsidP="00C25B4D">
      <w:pPr>
        <w:numPr>
          <w:ilvl w:val="0"/>
          <w:numId w:val="104"/>
        </w:numPr>
        <w:overflowPunct/>
        <w:adjustRightInd/>
        <w:ind w:left="720"/>
        <w:textAlignment w:val="auto"/>
      </w:pPr>
      <w:r w:rsidRPr="00DD6FF3">
        <w:t>solicită Comitetului științific al CERS și comitetelor sau grupurilor de experți ale AES să prezinte, după ce grupurile părților interesate și-au formulat avizul, propuneri specifice de îmbunătățire;</w:t>
      </w:r>
    </w:p>
    <w:p w:rsidR="007C1435" w:rsidRPr="00DD6FF3" w:rsidRDefault="007C1435" w:rsidP="00BE08D1"/>
    <w:p w:rsidR="007C1435" w:rsidRPr="00DD6FF3" w:rsidRDefault="007C1435" w:rsidP="00C25B4D">
      <w:pPr>
        <w:numPr>
          <w:ilvl w:val="0"/>
          <w:numId w:val="104"/>
        </w:numPr>
        <w:overflowPunct/>
        <w:adjustRightInd/>
        <w:ind w:left="720"/>
        <w:textAlignment w:val="auto"/>
      </w:pPr>
      <w:r w:rsidRPr="00DD6FF3">
        <w:t>solicită Comisiei Europene să evalueze, în paralel, fezabilitatea soluțiilor de natură mai structurală privind organizarea SESF și modalitățile de finanțare ale autorităților.</w:t>
      </w:r>
    </w:p>
    <w:p w:rsidR="007C1435" w:rsidRPr="00DD6FF3" w:rsidRDefault="007C1435" w:rsidP="00C25B4D">
      <w:pPr>
        <w:overflowPunct/>
        <w:adjustRightInd/>
        <w:textAlignment w:val="auto"/>
      </w:pPr>
    </w:p>
    <w:p w:rsidR="007C1435" w:rsidRPr="00DD6FF3" w:rsidRDefault="007C1435" w:rsidP="00BE08D1">
      <w:r w:rsidRPr="00DD6FF3">
        <w:rPr>
          <w:b/>
          <w:i/>
        </w:rPr>
        <w:t>Persoană de contact:</w:t>
      </w:r>
      <w:r w:rsidRPr="00DD6FF3">
        <w:rPr>
          <w:b/>
        </w:rPr>
        <w:t xml:space="preserve"> </w:t>
      </w:r>
      <w:r w:rsidRPr="00DD6FF3">
        <w:rPr>
          <w:i/>
        </w:rPr>
        <w:t>Gerald Klec</w:t>
      </w:r>
    </w:p>
    <w:p w:rsidR="007C1435" w:rsidRPr="00DD6FF3" w:rsidRDefault="007C1435" w:rsidP="00BE08D1">
      <w:r w:rsidRPr="00DD6FF3">
        <w:rPr>
          <w:i/>
        </w:rPr>
        <w:t xml:space="preserve">(Tel: 00 32 2 546 9909 - e-mail: </w:t>
      </w:r>
      <w:hyperlink r:id="rId34">
        <w:r w:rsidRPr="00DD6FF3">
          <w:rPr>
            <w:rStyle w:val="Hyperlink"/>
            <w:i/>
          </w:rPr>
          <w:t>gerald.klec@eesc.europa.eu</w:t>
        </w:r>
      </w:hyperlink>
      <w:r w:rsidRPr="00DD6FF3">
        <w:rPr>
          <w:i/>
        </w:rPr>
        <w:t>)</w:t>
      </w:r>
    </w:p>
    <w:p w:rsidR="00433CDF" w:rsidRPr="00DD6FF3" w:rsidRDefault="00433CDF">
      <w:pPr>
        <w:overflowPunct/>
        <w:autoSpaceDE/>
        <w:autoSpaceDN/>
        <w:adjustRightInd/>
        <w:spacing w:line="240" w:lineRule="auto"/>
        <w:jc w:val="left"/>
        <w:textAlignment w:val="auto"/>
      </w:pPr>
      <w:r w:rsidRPr="00DD6FF3">
        <w:br w:type="page"/>
      </w:r>
    </w:p>
    <w:p w:rsidR="007C1435" w:rsidRPr="00DD6FF3" w:rsidRDefault="007C1435" w:rsidP="00C25B4D">
      <w:pPr>
        <w:overflowPunct/>
        <w:adjustRightInd/>
        <w:textAlignment w:val="auto"/>
      </w:pPr>
    </w:p>
    <w:p w:rsidR="007C1435" w:rsidRPr="00DD6FF3" w:rsidRDefault="007C1435" w:rsidP="00B752AB">
      <w:pPr>
        <w:widowControl w:val="0"/>
        <w:numPr>
          <w:ilvl w:val="0"/>
          <w:numId w:val="103"/>
        </w:numPr>
        <w:ind w:left="720" w:hanging="720"/>
        <w:rPr>
          <w:sz w:val="28"/>
        </w:rPr>
      </w:pPr>
      <w:r w:rsidRPr="00DD6FF3">
        <w:rPr>
          <w:b/>
          <w:i/>
          <w:sz w:val="28"/>
        </w:rPr>
        <w:t>Indicații geografice ale UE / produse neagricole</w:t>
      </w:r>
    </w:p>
    <w:p w:rsidR="007C1435" w:rsidRPr="00DD6FF3" w:rsidRDefault="007C1435" w:rsidP="00C25B4D">
      <w:pPr>
        <w:tabs>
          <w:tab w:val="center" w:pos="284"/>
        </w:tabs>
        <w:overflowPunct/>
        <w:adjustRightInd/>
        <w:ind w:left="266" w:hanging="266"/>
        <w:textAlignment w:val="auto"/>
        <w:rPr>
          <w:b/>
        </w:rPr>
      </w:pPr>
    </w:p>
    <w:p w:rsidR="007C1435" w:rsidRPr="00DD6FF3" w:rsidRDefault="00BE08D1" w:rsidP="00C25B4D">
      <w:pPr>
        <w:tabs>
          <w:tab w:val="center" w:pos="284"/>
        </w:tabs>
        <w:overflowPunct/>
        <w:adjustRightInd/>
        <w:ind w:left="266" w:hanging="266"/>
        <w:textAlignment w:val="auto"/>
      </w:pPr>
      <w:r w:rsidRPr="00DD6FF3">
        <w:rPr>
          <w:b/>
        </w:rPr>
        <w:t>Raporto</w:t>
      </w:r>
      <w:r w:rsidR="007C1435" w:rsidRPr="00DD6FF3">
        <w:rPr>
          <w:b/>
        </w:rPr>
        <w:t>r:</w:t>
      </w:r>
      <w:r w:rsidR="007C1435" w:rsidRPr="00DD6FF3">
        <w:tab/>
      </w:r>
      <w:proofErr w:type="spellStart"/>
      <w:r w:rsidR="007C1435" w:rsidRPr="00DD6FF3">
        <w:t>Kathleen</w:t>
      </w:r>
      <w:proofErr w:type="spellEnd"/>
      <w:r w:rsidR="007C1435" w:rsidRPr="00DD6FF3">
        <w:t xml:space="preserve"> WALKER SHAW (Lucrători – UK)</w:t>
      </w:r>
    </w:p>
    <w:p w:rsidR="007C1435" w:rsidRPr="00DD6FF3" w:rsidRDefault="007C1435" w:rsidP="00C25B4D">
      <w:pPr>
        <w:tabs>
          <w:tab w:val="center" w:pos="284"/>
        </w:tabs>
        <w:overflowPunct/>
        <w:adjustRightInd/>
        <w:ind w:left="266" w:hanging="266"/>
        <w:textAlignment w:val="auto"/>
        <w:rPr>
          <w:b/>
        </w:rPr>
      </w:pPr>
    </w:p>
    <w:p w:rsidR="00305C00" w:rsidRPr="00DD6FF3" w:rsidRDefault="00BE08D1" w:rsidP="00C25B4D">
      <w:pPr>
        <w:tabs>
          <w:tab w:val="center" w:pos="284"/>
        </w:tabs>
        <w:overflowPunct/>
        <w:adjustRightInd/>
        <w:ind w:left="266" w:hanging="266"/>
        <w:textAlignment w:val="auto"/>
      </w:pPr>
      <w:r w:rsidRPr="00DD6FF3">
        <w:rPr>
          <w:b/>
        </w:rPr>
        <w:t>Refer</w:t>
      </w:r>
      <w:r w:rsidR="00433CDF" w:rsidRPr="00DD6FF3">
        <w:rPr>
          <w:b/>
        </w:rPr>
        <w:t>ință</w:t>
      </w:r>
      <w:r w:rsidR="007C1435" w:rsidRPr="00DD6FF3">
        <w:rPr>
          <w:b/>
        </w:rPr>
        <w:t>:</w:t>
      </w:r>
      <w:r w:rsidR="007C1435" w:rsidRPr="00DD6FF3">
        <w:tab/>
        <w:t>COM(2014) 469 final</w:t>
      </w:r>
    </w:p>
    <w:p w:rsidR="007C1435" w:rsidRPr="00DD6FF3" w:rsidRDefault="00061D37" w:rsidP="00842AAD">
      <w:pPr>
        <w:tabs>
          <w:tab w:val="center" w:pos="284"/>
        </w:tabs>
        <w:overflowPunct/>
        <w:adjustRightInd/>
        <w:ind w:left="266" w:firstLine="1152"/>
        <w:textAlignment w:val="auto"/>
      </w:pPr>
      <w:r w:rsidRPr="00DD6FF3">
        <w:t>EESC-2014-05991-00-00-AC-TRA</w:t>
      </w:r>
    </w:p>
    <w:p w:rsidR="007C1435" w:rsidRPr="00DD6FF3" w:rsidRDefault="007C1435" w:rsidP="00C25B4D">
      <w:pPr>
        <w:tabs>
          <w:tab w:val="center" w:pos="284"/>
        </w:tabs>
        <w:overflowPunct/>
        <w:adjustRightInd/>
        <w:ind w:left="266" w:hanging="266"/>
        <w:textAlignment w:val="auto"/>
      </w:pPr>
    </w:p>
    <w:p w:rsidR="007C1435" w:rsidRPr="00DD6FF3" w:rsidRDefault="007C1435" w:rsidP="00BE08D1">
      <w:pPr>
        <w:rPr>
          <w:b/>
        </w:rPr>
      </w:pPr>
      <w:r w:rsidRPr="00DD6FF3">
        <w:rPr>
          <w:b/>
        </w:rPr>
        <w:t>Punctele principale:</w:t>
      </w:r>
    </w:p>
    <w:p w:rsidR="00727BB9" w:rsidRPr="00DD6FF3" w:rsidRDefault="00727BB9" w:rsidP="00C25B4D">
      <w:pPr>
        <w:overflowPunct/>
        <w:adjustRightInd/>
        <w:textAlignment w:val="auto"/>
        <w:rPr>
          <w:b/>
        </w:rPr>
      </w:pPr>
    </w:p>
    <w:p w:rsidR="007C1435" w:rsidRPr="00DD6FF3" w:rsidRDefault="007C1435" w:rsidP="00C25B4D">
      <w:pPr>
        <w:overflowPunct/>
        <w:adjustRightInd/>
        <w:textAlignment w:val="auto"/>
      </w:pPr>
      <w:r w:rsidRPr="00DD6FF3">
        <w:t>CESE:</w:t>
      </w:r>
    </w:p>
    <w:p w:rsidR="00BB5E6B" w:rsidRPr="00DD6FF3" w:rsidRDefault="00BB5E6B" w:rsidP="00C25B4D">
      <w:pPr>
        <w:overflowPunct/>
        <w:adjustRightInd/>
        <w:textAlignment w:val="auto"/>
      </w:pPr>
    </w:p>
    <w:p w:rsidR="007C1435" w:rsidRPr="00DD6FF3" w:rsidRDefault="007C1435" w:rsidP="00C25B4D">
      <w:pPr>
        <w:numPr>
          <w:ilvl w:val="0"/>
          <w:numId w:val="124"/>
        </w:numPr>
        <w:overflowPunct/>
        <w:adjustRightInd/>
        <w:textAlignment w:val="auto"/>
      </w:pPr>
      <w:r w:rsidRPr="00DD6FF3">
        <w:t>susţine extinderea protecției indicațiilor geografice (IG) la produsele neagricole printr-o reglementare unitară a UE și consideră că, în măsura posibilului, acest sistem ar trebui să urmeze modelul cadrului existent pentru produsele agroalimentare, pentru menținerea unor sisteme uniforme de înregistrare, protecție, monitorizare și punere în aplicare, precum și pentru a se evita confuziile în rândul administrațiilor și al consumatorilor;</w:t>
      </w:r>
    </w:p>
    <w:p w:rsidR="00BB5E6B" w:rsidRPr="00DD6FF3" w:rsidRDefault="00BB5E6B" w:rsidP="00C25B4D">
      <w:pPr>
        <w:overflowPunct/>
        <w:adjustRightInd/>
        <w:textAlignment w:val="auto"/>
      </w:pPr>
    </w:p>
    <w:p w:rsidR="007C1435" w:rsidRPr="00DD6FF3" w:rsidRDefault="007C1435" w:rsidP="00C25B4D">
      <w:pPr>
        <w:numPr>
          <w:ilvl w:val="0"/>
          <w:numId w:val="124"/>
        </w:numPr>
        <w:overflowPunct/>
        <w:adjustRightInd/>
        <w:textAlignment w:val="auto"/>
      </w:pPr>
      <w:r w:rsidRPr="00DD6FF3">
        <w:t>recomandă să fie adoptate atât sistemul voluntar al indicațiilor geografice, cât și indicarea obligatorie a țării de origine pe produsele de consum din pachetul privind siguranța produselor, cu scopul de a oferi consumatorilor o mai bună trasabilitate, transparență și informare și de a asigura recunoașterea provenienței pentru producătorii de pe întregul teritoriu al UE;</w:t>
      </w:r>
    </w:p>
    <w:p w:rsidR="00BB5E6B" w:rsidRPr="00DD6FF3" w:rsidRDefault="00BB5E6B" w:rsidP="00C25B4D">
      <w:pPr>
        <w:overflowPunct/>
        <w:adjustRightInd/>
        <w:textAlignment w:val="auto"/>
      </w:pPr>
    </w:p>
    <w:p w:rsidR="007C1435" w:rsidRPr="00DD6FF3" w:rsidRDefault="007C1435" w:rsidP="00C25B4D">
      <w:pPr>
        <w:numPr>
          <w:ilvl w:val="0"/>
          <w:numId w:val="124"/>
        </w:numPr>
        <w:overflowPunct/>
        <w:adjustRightInd/>
        <w:textAlignment w:val="auto"/>
      </w:pPr>
      <w:r w:rsidRPr="00DD6FF3">
        <w:t>este convins că întreprinderile care utilizează pe scară largă IG și alte drepturi de proprietate intelectuală ar trebui sprijinite să își protejeze produsele și know-how-ul, astfel încât să își poată canaliza investițiile mai degrabă către formarea de competențe și către dezvoltarea unui capital social, decât spre acțiunile de apărare în instanță;</w:t>
      </w:r>
    </w:p>
    <w:p w:rsidR="00BB5E6B" w:rsidRPr="00DD6FF3" w:rsidRDefault="00BB5E6B" w:rsidP="00C25B4D">
      <w:pPr>
        <w:overflowPunct/>
        <w:adjustRightInd/>
        <w:textAlignment w:val="auto"/>
      </w:pPr>
    </w:p>
    <w:p w:rsidR="007C1435" w:rsidRPr="00DD6FF3" w:rsidRDefault="007C1435" w:rsidP="00C25B4D">
      <w:pPr>
        <w:numPr>
          <w:ilvl w:val="0"/>
          <w:numId w:val="124"/>
        </w:numPr>
        <w:overflowPunct/>
        <w:adjustRightInd/>
        <w:textAlignment w:val="auto"/>
      </w:pPr>
      <w:r w:rsidRPr="00DD6FF3">
        <w:t>consideră că este necesară o procedură oficială de înregistrare și că, pentru cazuri justificate, ar trebui prevăzută și o procedură de radiere din registru;</w:t>
      </w:r>
    </w:p>
    <w:p w:rsidR="00BB5E6B" w:rsidRPr="00DD6FF3" w:rsidRDefault="00BB5E6B" w:rsidP="00C25B4D">
      <w:pPr>
        <w:overflowPunct/>
        <w:adjustRightInd/>
        <w:textAlignment w:val="auto"/>
      </w:pPr>
    </w:p>
    <w:p w:rsidR="007C1435" w:rsidRPr="00DD6FF3" w:rsidRDefault="007C1435" w:rsidP="00C25B4D">
      <w:pPr>
        <w:numPr>
          <w:ilvl w:val="0"/>
          <w:numId w:val="124"/>
        </w:numPr>
        <w:overflowPunct/>
        <w:adjustRightInd/>
        <w:textAlignment w:val="auto"/>
      </w:pPr>
      <w:r w:rsidRPr="00DD6FF3">
        <w:t>consideră că prin abordarea combinată adoptată pentru produsele agricole – și anume, denumirile de origine protejată (DOP) și indicațiile geografice protejate (IGP), care sunt mai flexibile – s-ar asigura includerea tuturor produselor care necesită protecție;</w:t>
      </w:r>
    </w:p>
    <w:p w:rsidR="00BB5E6B" w:rsidRPr="00DD6FF3" w:rsidRDefault="00BB5E6B" w:rsidP="00C25B4D">
      <w:pPr>
        <w:overflowPunct/>
        <w:adjustRightInd/>
        <w:textAlignment w:val="auto"/>
      </w:pPr>
    </w:p>
    <w:p w:rsidR="007C1435" w:rsidRPr="00DD6FF3" w:rsidRDefault="007C1435" w:rsidP="00C25B4D">
      <w:pPr>
        <w:numPr>
          <w:ilvl w:val="0"/>
          <w:numId w:val="124"/>
        </w:numPr>
        <w:overflowPunct/>
        <w:adjustRightInd/>
        <w:textAlignment w:val="auto"/>
      </w:pPr>
      <w:r w:rsidRPr="00DD6FF3">
        <w:t>consideră că relația dintre sistemul IG pentru produse neagricole și legislația cu privire la mărci ar trebui definită în mod similar cu cea stabilită în prezent pentru produsele agricole, asigurând o abordare uniformă pentru toate produsele și evitând riscul de confuzie;</w:t>
      </w:r>
    </w:p>
    <w:p w:rsidR="00ED53B6" w:rsidRPr="00DD6FF3" w:rsidRDefault="00ED53B6" w:rsidP="00ED53B6">
      <w:pPr>
        <w:overflowPunct/>
        <w:adjustRightInd/>
        <w:textAlignment w:val="auto"/>
      </w:pPr>
    </w:p>
    <w:p w:rsidR="00ED53B6" w:rsidRPr="00DD6FF3" w:rsidRDefault="00ED53B6" w:rsidP="00ED53B6">
      <w:pPr>
        <w:numPr>
          <w:ilvl w:val="0"/>
          <w:numId w:val="124"/>
        </w:numPr>
        <w:overflowPunct/>
        <w:adjustRightInd/>
        <w:textAlignment w:val="auto"/>
      </w:pPr>
      <w:r w:rsidRPr="00DD6FF3">
        <w:t>subliniază importanța asigurării accesibilității sistemului pentru toate entitățile comerciale și necesitatea de a se evita costurile suplimentare pentru IMM-uri.</w:t>
      </w:r>
    </w:p>
    <w:p w:rsidR="007C1435" w:rsidRPr="00DD6FF3" w:rsidRDefault="007C1435" w:rsidP="00C25B4D">
      <w:pPr>
        <w:overflowPunct/>
        <w:adjustRightInd/>
        <w:textAlignment w:val="auto"/>
      </w:pPr>
    </w:p>
    <w:p w:rsidR="007C1435" w:rsidRPr="00DD6FF3" w:rsidRDefault="007C1435" w:rsidP="00C25B4D">
      <w:pPr>
        <w:overflowPunct/>
        <w:adjustRightInd/>
        <w:textAlignment w:val="auto"/>
        <w:rPr>
          <w:i/>
        </w:rPr>
      </w:pPr>
      <w:r w:rsidRPr="00DD6FF3">
        <w:rPr>
          <w:b/>
          <w:i/>
        </w:rPr>
        <w:t>Persoană de contact:</w:t>
      </w:r>
      <w:r w:rsidRPr="00DD6FF3">
        <w:tab/>
      </w:r>
      <w:r w:rsidRPr="00DD6FF3">
        <w:rPr>
          <w:i/>
        </w:rPr>
        <w:t>Dorota Zapatka</w:t>
      </w:r>
    </w:p>
    <w:p w:rsidR="007C1435" w:rsidRPr="00DD6FF3" w:rsidRDefault="007C1435" w:rsidP="00C25B4D">
      <w:pPr>
        <w:overflowPunct/>
        <w:adjustRightInd/>
        <w:textAlignment w:val="auto"/>
        <w:rPr>
          <w:i/>
        </w:rPr>
      </w:pPr>
      <w:r w:rsidRPr="00DD6FF3">
        <w:rPr>
          <w:i/>
        </w:rPr>
        <w:t xml:space="preserve">(Tel.: 00 32 2 546 90 67 – e-mail: </w:t>
      </w:r>
      <w:hyperlink r:id="rId35">
        <w:r w:rsidRPr="00DD6FF3">
          <w:rPr>
            <w:rStyle w:val="Hyperlink"/>
            <w:i/>
          </w:rPr>
          <w:t>dorota.zapatka@eesc.europa.eu</w:t>
        </w:r>
      </w:hyperlink>
    </w:p>
    <w:p w:rsidR="007C1435" w:rsidRPr="00DD6FF3" w:rsidRDefault="007C1435" w:rsidP="00C25B4D">
      <w:pPr>
        <w:overflowPunct/>
        <w:adjustRightInd/>
        <w:textAlignment w:val="auto"/>
      </w:pPr>
    </w:p>
    <w:p w:rsidR="007C1435" w:rsidRPr="00DD6FF3" w:rsidRDefault="007C1435" w:rsidP="00B752AB">
      <w:pPr>
        <w:widowControl w:val="0"/>
        <w:numPr>
          <w:ilvl w:val="0"/>
          <w:numId w:val="103"/>
        </w:numPr>
        <w:ind w:left="720" w:hanging="720"/>
        <w:rPr>
          <w:b/>
          <w:i/>
          <w:sz w:val="28"/>
        </w:rPr>
      </w:pPr>
      <w:r w:rsidRPr="00DD6FF3">
        <w:rPr>
          <w:b/>
          <w:i/>
          <w:sz w:val="28"/>
        </w:rPr>
        <w:t>Gestionarea riscurilor vamale</w:t>
      </w:r>
    </w:p>
    <w:p w:rsidR="007C1435" w:rsidRPr="00DD6FF3" w:rsidRDefault="007C1435" w:rsidP="00C25B4D">
      <w:pPr>
        <w:tabs>
          <w:tab w:val="center" w:pos="284"/>
        </w:tabs>
        <w:overflowPunct/>
        <w:adjustRightInd/>
        <w:ind w:left="266" w:hanging="266"/>
        <w:textAlignment w:val="auto"/>
        <w:rPr>
          <w:b/>
        </w:rPr>
      </w:pPr>
    </w:p>
    <w:p w:rsidR="007C1435" w:rsidRPr="00DD6FF3" w:rsidRDefault="007C1435" w:rsidP="00C25B4D">
      <w:pPr>
        <w:tabs>
          <w:tab w:val="center" w:pos="284"/>
        </w:tabs>
        <w:overflowPunct/>
        <w:adjustRightInd/>
        <w:ind w:left="266" w:hanging="266"/>
        <w:textAlignment w:val="auto"/>
      </w:pPr>
      <w:r w:rsidRPr="00DD6FF3">
        <w:rPr>
          <w:b/>
        </w:rPr>
        <w:t>Raportor:</w:t>
      </w:r>
      <w:r w:rsidR="00BE08D1" w:rsidRPr="00DD6FF3">
        <w:tab/>
      </w:r>
      <w:r w:rsidRPr="00DD6FF3">
        <w:t>Bernardo HERNÁNDEZ BATALLER (Activități diverse – ES)</w:t>
      </w:r>
    </w:p>
    <w:p w:rsidR="005C0147" w:rsidRPr="00DD6FF3" w:rsidRDefault="005C0147" w:rsidP="00C25B4D">
      <w:pPr>
        <w:tabs>
          <w:tab w:val="center" w:pos="284"/>
        </w:tabs>
        <w:overflowPunct/>
        <w:adjustRightInd/>
        <w:ind w:left="266" w:hanging="266"/>
        <w:textAlignment w:val="auto"/>
        <w:rPr>
          <w:b/>
        </w:rPr>
      </w:pPr>
    </w:p>
    <w:p w:rsidR="007C1435" w:rsidRPr="00DD6FF3" w:rsidRDefault="007C1435" w:rsidP="00C25B4D">
      <w:pPr>
        <w:tabs>
          <w:tab w:val="center" w:pos="284"/>
        </w:tabs>
        <w:overflowPunct/>
        <w:adjustRightInd/>
        <w:ind w:left="266" w:hanging="266"/>
        <w:textAlignment w:val="auto"/>
      </w:pPr>
      <w:r w:rsidRPr="00DD6FF3">
        <w:rPr>
          <w:b/>
        </w:rPr>
        <w:t>Coraportor:</w:t>
      </w:r>
      <w:r w:rsidRPr="00DD6FF3">
        <w:tab/>
        <w:t>Jan SIMONS (Angajatori – NL)</w:t>
      </w:r>
    </w:p>
    <w:p w:rsidR="007C1435" w:rsidRPr="00DD6FF3" w:rsidRDefault="007C1435" w:rsidP="00C25B4D">
      <w:pPr>
        <w:tabs>
          <w:tab w:val="center" w:pos="284"/>
        </w:tabs>
        <w:overflowPunct/>
        <w:adjustRightInd/>
        <w:ind w:left="266" w:hanging="266"/>
        <w:textAlignment w:val="auto"/>
        <w:rPr>
          <w:b/>
        </w:rPr>
      </w:pPr>
    </w:p>
    <w:p w:rsidR="00061D37" w:rsidRPr="00DD6FF3" w:rsidRDefault="007C1435" w:rsidP="00C25B4D">
      <w:pPr>
        <w:tabs>
          <w:tab w:val="center" w:pos="284"/>
        </w:tabs>
        <w:overflowPunct/>
        <w:adjustRightInd/>
        <w:ind w:left="266" w:hanging="266"/>
        <w:textAlignment w:val="auto"/>
      </w:pPr>
      <w:r w:rsidRPr="00DD6FF3">
        <w:rPr>
          <w:b/>
        </w:rPr>
        <w:t>R</w:t>
      </w:r>
      <w:r w:rsidR="00BE08D1" w:rsidRPr="00DD6FF3">
        <w:rPr>
          <w:b/>
        </w:rPr>
        <w:t>e</w:t>
      </w:r>
      <w:r w:rsidR="008725CD" w:rsidRPr="00DD6FF3">
        <w:rPr>
          <w:b/>
        </w:rPr>
        <w:t>ferințe</w:t>
      </w:r>
      <w:r w:rsidRPr="00DD6FF3">
        <w:rPr>
          <w:b/>
        </w:rPr>
        <w:t>:</w:t>
      </w:r>
      <w:r w:rsidRPr="00DD6FF3">
        <w:tab/>
        <w:t>COM(2014) 527 final</w:t>
      </w:r>
    </w:p>
    <w:p w:rsidR="007C1435" w:rsidRPr="00DD6FF3" w:rsidRDefault="00061D37" w:rsidP="00842AAD">
      <w:pPr>
        <w:tabs>
          <w:tab w:val="center" w:pos="284"/>
        </w:tabs>
        <w:overflowPunct/>
        <w:adjustRightInd/>
        <w:ind w:left="266" w:firstLine="1152"/>
        <w:textAlignment w:val="auto"/>
      </w:pPr>
      <w:r w:rsidRPr="00DD6FF3">
        <w:t>EESC-2014-06021-00-00-AC-TRA</w:t>
      </w:r>
    </w:p>
    <w:p w:rsidR="007C1435" w:rsidRPr="00DD6FF3" w:rsidRDefault="007C1435" w:rsidP="00C25B4D">
      <w:pPr>
        <w:tabs>
          <w:tab w:val="center" w:pos="284"/>
        </w:tabs>
        <w:overflowPunct/>
        <w:adjustRightInd/>
        <w:ind w:left="266" w:hanging="266"/>
        <w:textAlignment w:val="auto"/>
      </w:pPr>
    </w:p>
    <w:p w:rsidR="007C1435" w:rsidRPr="00DD6FF3" w:rsidRDefault="007C1435" w:rsidP="00BE08D1">
      <w:pPr>
        <w:rPr>
          <w:b/>
        </w:rPr>
      </w:pPr>
      <w:r w:rsidRPr="00DD6FF3">
        <w:rPr>
          <w:b/>
        </w:rPr>
        <w:t>Punctele principale:</w:t>
      </w:r>
    </w:p>
    <w:p w:rsidR="007C1435" w:rsidRPr="00DD6FF3" w:rsidRDefault="007C1435" w:rsidP="00C25B4D">
      <w:pPr>
        <w:overflowPunct/>
        <w:adjustRightInd/>
        <w:textAlignment w:val="auto"/>
      </w:pPr>
    </w:p>
    <w:p w:rsidR="007C1435" w:rsidRPr="00DD6FF3" w:rsidRDefault="00963F6D" w:rsidP="00C25B4D">
      <w:pPr>
        <w:overflowPunct/>
        <w:adjustRightInd/>
        <w:textAlignment w:val="auto"/>
      </w:pPr>
      <w:r w:rsidRPr="00DD6FF3">
        <w:t>CESE consideră că:</w:t>
      </w:r>
    </w:p>
    <w:p w:rsidR="008725CD" w:rsidRPr="00DD6FF3" w:rsidRDefault="008725CD" w:rsidP="00C25B4D">
      <w:pPr>
        <w:overflowPunct/>
        <w:adjustRightInd/>
        <w:textAlignment w:val="auto"/>
      </w:pPr>
    </w:p>
    <w:p w:rsidR="007C1435" w:rsidRPr="00DD6FF3" w:rsidRDefault="007C1435" w:rsidP="00C25B4D">
      <w:pPr>
        <w:numPr>
          <w:ilvl w:val="0"/>
          <w:numId w:val="125"/>
        </w:numPr>
        <w:overflowPunct/>
        <w:adjustRightInd/>
        <w:textAlignment w:val="auto"/>
      </w:pPr>
      <w:r w:rsidRPr="00DD6FF3">
        <w:t>autoritățile vamale trebuie să coopereze între ele, dar și cu autoritățile guvernamentale, în cadrul legislației vamale a Uniunii Europene și al mecanismelor de cooperare pr</w:t>
      </w:r>
      <w:r w:rsidR="00BE08D1" w:rsidRPr="00DD6FF3">
        <w:t xml:space="preserve">evăzute de legislația Uniunii; </w:t>
      </w:r>
    </w:p>
    <w:p w:rsidR="00963F6D" w:rsidRPr="00DD6FF3" w:rsidRDefault="00963F6D" w:rsidP="00C25B4D">
      <w:pPr>
        <w:overflowPunct/>
        <w:adjustRightInd/>
        <w:textAlignment w:val="auto"/>
      </w:pPr>
    </w:p>
    <w:p w:rsidR="007C1435" w:rsidRPr="00DD6FF3" w:rsidRDefault="007C1435" w:rsidP="00C25B4D">
      <w:pPr>
        <w:numPr>
          <w:ilvl w:val="0"/>
          <w:numId w:val="125"/>
        </w:numPr>
        <w:overflowPunct/>
        <w:adjustRightInd/>
        <w:textAlignment w:val="auto"/>
      </w:pPr>
      <w:r w:rsidRPr="00DD6FF3">
        <w:t>este necesar să se armonizeze punerea în aplicare a altor politici și să se asigure compatibilitatea măsurilor corespunzătoare și să se garanteze schimbul de informații, în special prin intermediul interoperabilității datelor oficiale;</w:t>
      </w:r>
    </w:p>
    <w:p w:rsidR="00963F6D" w:rsidRPr="00DD6FF3" w:rsidRDefault="00963F6D" w:rsidP="00C25B4D">
      <w:pPr>
        <w:overflowPunct/>
        <w:adjustRightInd/>
        <w:textAlignment w:val="auto"/>
      </w:pPr>
    </w:p>
    <w:p w:rsidR="007C1435" w:rsidRPr="00DD6FF3" w:rsidRDefault="007C1435" w:rsidP="00C25B4D">
      <w:pPr>
        <w:numPr>
          <w:ilvl w:val="0"/>
          <w:numId w:val="125"/>
        </w:numPr>
        <w:overflowPunct/>
        <w:adjustRightInd/>
        <w:textAlignment w:val="auto"/>
      </w:pPr>
      <w:r w:rsidRPr="00DD6FF3">
        <w:t>UE ar trebui să se bazeze pe standardele Compendiului de gestionare a riscurilor vamale și pe alte standarde ale Organizației Mondiale a Vămilor (OMV);</w:t>
      </w:r>
    </w:p>
    <w:p w:rsidR="00963F6D" w:rsidRPr="00DD6FF3" w:rsidRDefault="00963F6D" w:rsidP="00C25B4D">
      <w:pPr>
        <w:overflowPunct/>
        <w:adjustRightInd/>
        <w:textAlignment w:val="auto"/>
      </w:pPr>
    </w:p>
    <w:p w:rsidR="007C1435" w:rsidRPr="00DD6FF3" w:rsidRDefault="007C1435" w:rsidP="00C25B4D">
      <w:pPr>
        <w:numPr>
          <w:ilvl w:val="0"/>
          <w:numId w:val="125"/>
        </w:numPr>
        <w:overflowPunct/>
        <w:adjustRightInd/>
        <w:textAlignment w:val="auto"/>
      </w:pPr>
      <w:r w:rsidRPr="00DD6FF3">
        <w:t>trebuie să se definească în mod clar normele privind controalele viitoare;</w:t>
      </w:r>
    </w:p>
    <w:p w:rsidR="00963F6D" w:rsidRPr="00DD6FF3" w:rsidRDefault="00963F6D" w:rsidP="00C25B4D">
      <w:pPr>
        <w:overflowPunct/>
        <w:adjustRightInd/>
        <w:textAlignment w:val="auto"/>
      </w:pPr>
    </w:p>
    <w:p w:rsidR="007C1435" w:rsidRPr="00DD6FF3" w:rsidRDefault="007C1435" w:rsidP="00C25B4D">
      <w:pPr>
        <w:numPr>
          <w:ilvl w:val="0"/>
          <w:numId w:val="125"/>
        </w:numPr>
        <w:overflowPunct/>
        <w:adjustRightInd/>
        <w:textAlignment w:val="auto"/>
      </w:pPr>
      <w:r w:rsidRPr="00DD6FF3">
        <w:t xml:space="preserve">la momentul definirii strategiei sale, UE trebuie să țină seama de caracteristicile particulare ale practicii vamale din diversele state membre – cum ar fi amploarea fluxurilor comerciale respective, volumele și practicile. </w:t>
      </w:r>
    </w:p>
    <w:p w:rsidR="007C1435" w:rsidRPr="00DD6FF3" w:rsidRDefault="007C1435" w:rsidP="00C25B4D">
      <w:pPr>
        <w:overflowPunct/>
        <w:adjustRightInd/>
        <w:textAlignment w:val="auto"/>
      </w:pPr>
    </w:p>
    <w:p w:rsidR="007C1435" w:rsidRPr="00DD6FF3" w:rsidRDefault="007C1435" w:rsidP="00C25B4D">
      <w:pPr>
        <w:overflowPunct/>
        <w:adjustRightInd/>
        <w:textAlignment w:val="auto"/>
      </w:pPr>
      <w:r w:rsidRPr="00DD6FF3">
        <w:t>În sfârșit, CESE subliniază importanța altor parteneri sociali implicați în strategie și rolul pe care îl pot juca aceștia și pledează pentru o mai mare vizibilitate a proiectelor-pilot pe teren, și subliniază necesitatea stimulării inovării.</w:t>
      </w:r>
    </w:p>
    <w:p w:rsidR="007C1435" w:rsidRPr="00DD6FF3" w:rsidRDefault="007C1435" w:rsidP="00C25B4D">
      <w:pPr>
        <w:overflowPunct/>
        <w:adjustRightInd/>
        <w:textAlignment w:val="auto"/>
      </w:pPr>
    </w:p>
    <w:p w:rsidR="007C1435" w:rsidRPr="00DD6FF3" w:rsidRDefault="007C1435" w:rsidP="00C25B4D">
      <w:pPr>
        <w:overflowPunct/>
        <w:adjustRightInd/>
        <w:textAlignment w:val="auto"/>
        <w:rPr>
          <w:i/>
        </w:rPr>
      </w:pPr>
      <w:r w:rsidRPr="00DD6FF3">
        <w:rPr>
          <w:b/>
          <w:i/>
        </w:rPr>
        <w:t>Persoană de contact:</w:t>
      </w:r>
      <w:r w:rsidRPr="00DD6FF3">
        <w:tab/>
      </w:r>
      <w:proofErr w:type="spellStart"/>
      <w:r w:rsidRPr="00DD6FF3">
        <w:rPr>
          <w:i/>
        </w:rPr>
        <w:t>Luís</w:t>
      </w:r>
      <w:proofErr w:type="spellEnd"/>
      <w:r w:rsidRPr="00DD6FF3">
        <w:rPr>
          <w:i/>
        </w:rPr>
        <w:t xml:space="preserve"> Lobo</w:t>
      </w:r>
    </w:p>
    <w:p w:rsidR="007C1435" w:rsidRPr="00DD6FF3" w:rsidRDefault="007C1435" w:rsidP="00C25B4D">
      <w:pPr>
        <w:overflowPunct/>
        <w:adjustRightInd/>
        <w:textAlignment w:val="auto"/>
        <w:rPr>
          <w:i/>
        </w:rPr>
      </w:pPr>
      <w:r w:rsidRPr="00DD6FF3">
        <w:rPr>
          <w:i/>
        </w:rPr>
        <w:t xml:space="preserve">(Tel.: 00 32 2 546 97 17 – e-mail: </w:t>
      </w:r>
      <w:hyperlink r:id="rId36">
        <w:r w:rsidRPr="00DD6FF3">
          <w:rPr>
            <w:rStyle w:val="Hyperlink"/>
            <w:i/>
          </w:rPr>
          <w:t>luis.lobo@eesc.europa.eu</w:t>
        </w:r>
      </w:hyperlink>
      <w:r w:rsidRPr="00DD6FF3">
        <w:rPr>
          <w:i/>
        </w:rPr>
        <w:t>)</w:t>
      </w:r>
    </w:p>
    <w:p w:rsidR="00433CDF" w:rsidRPr="00DD6FF3" w:rsidRDefault="00433CDF">
      <w:pPr>
        <w:overflowPunct/>
        <w:autoSpaceDE/>
        <w:autoSpaceDN/>
        <w:adjustRightInd/>
        <w:spacing w:line="240" w:lineRule="auto"/>
        <w:jc w:val="left"/>
        <w:textAlignment w:val="auto"/>
        <w:rPr>
          <w:i/>
          <w:u w:val="single"/>
        </w:rPr>
      </w:pPr>
      <w:r w:rsidRPr="00DD6FF3">
        <w:rPr>
          <w:i/>
          <w:u w:val="single"/>
        </w:rPr>
        <w:br w:type="page"/>
      </w:r>
    </w:p>
    <w:p w:rsidR="007C1435" w:rsidRPr="00DD6FF3" w:rsidRDefault="007C1435" w:rsidP="00C25B4D">
      <w:pPr>
        <w:overflowPunct/>
        <w:adjustRightInd/>
        <w:textAlignment w:val="auto"/>
        <w:rPr>
          <w:i/>
          <w:u w:val="single"/>
        </w:rPr>
      </w:pPr>
    </w:p>
    <w:p w:rsidR="007C1435" w:rsidRPr="00DD6FF3" w:rsidRDefault="007C1435" w:rsidP="00B752AB">
      <w:pPr>
        <w:widowControl w:val="0"/>
        <w:numPr>
          <w:ilvl w:val="0"/>
          <w:numId w:val="103"/>
        </w:numPr>
        <w:ind w:left="720" w:hanging="720"/>
        <w:rPr>
          <w:b/>
          <w:i/>
          <w:sz w:val="28"/>
        </w:rPr>
      </w:pPr>
      <w:r w:rsidRPr="00DD6FF3">
        <w:rPr>
          <w:b/>
          <w:i/>
          <w:sz w:val="28"/>
        </w:rPr>
        <w:t>Limitele emisiilor și omologarea de tip/ echipamentele mobile fără destinație rutieră (NRMM)</w:t>
      </w:r>
    </w:p>
    <w:p w:rsidR="007C1435" w:rsidRPr="00DD6FF3" w:rsidRDefault="007C1435" w:rsidP="00C25B4D">
      <w:pPr>
        <w:tabs>
          <w:tab w:val="center" w:pos="284"/>
        </w:tabs>
        <w:overflowPunct/>
        <w:adjustRightInd/>
        <w:ind w:left="266" w:hanging="266"/>
        <w:textAlignment w:val="auto"/>
        <w:rPr>
          <w:b/>
        </w:rPr>
      </w:pPr>
    </w:p>
    <w:p w:rsidR="007C1435" w:rsidRPr="00DD6FF3" w:rsidRDefault="007C1435" w:rsidP="00C25B4D">
      <w:pPr>
        <w:tabs>
          <w:tab w:val="center" w:pos="284"/>
        </w:tabs>
        <w:overflowPunct/>
        <w:adjustRightInd/>
        <w:ind w:left="266" w:hanging="266"/>
        <w:textAlignment w:val="auto"/>
      </w:pPr>
      <w:r w:rsidRPr="00DD6FF3">
        <w:rPr>
          <w:b/>
        </w:rPr>
        <w:t>Raportor:</w:t>
      </w:r>
      <w:r w:rsidRPr="00DD6FF3">
        <w:tab/>
        <w:t>Brendan BURNS (Angajatori - UK)</w:t>
      </w:r>
    </w:p>
    <w:p w:rsidR="007C1435" w:rsidRPr="00DD6FF3" w:rsidRDefault="007C1435" w:rsidP="00C25B4D">
      <w:pPr>
        <w:tabs>
          <w:tab w:val="center" w:pos="284"/>
        </w:tabs>
        <w:overflowPunct/>
        <w:adjustRightInd/>
        <w:ind w:left="266" w:hanging="266"/>
        <w:textAlignment w:val="auto"/>
        <w:rPr>
          <w:b/>
        </w:rPr>
      </w:pPr>
    </w:p>
    <w:p w:rsidR="00097F95" w:rsidRPr="00DD6FF3" w:rsidRDefault="007C1435" w:rsidP="00C25B4D">
      <w:pPr>
        <w:tabs>
          <w:tab w:val="center" w:pos="284"/>
        </w:tabs>
        <w:overflowPunct/>
        <w:adjustRightInd/>
        <w:ind w:left="266" w:hanging="266"/>
        <w:textAlignment w:val="auto"/>
      </w:pPr>
      <w:r w:rsidRPr="00DD6FF3">
        <w:rPr>
          <w:b/>
        </w:rPr>
        <w:t>R</w:t>
      </w:r>
      <w:r w:rsidR="00BE08D1" w:rsidRPr="00DD6FF3">
        <w:rPr>
          <w:b/>
        </w:rPr>
        <w:t>e</w:t>
      </w:r>
      <w:r w:rsidR="008725CD" w:rsidRPr="00DD6FF3">
        <w:rPr>
          <w:b/>
        </w:rPr>
        <w:t>ferințe</w:t>
      </w:r>
      <w:r w:rsidRPr="00DD6FF3">
        <w:rPr>
          <w:b/>
        </w:rPr>
        <w:t>:</w:t>
      </w:r>
      <w:r w:rsidRPr="00DD6FF3">
        <w:tab/>
        <w:t>COM(2014) 581 final – 2014/0268 (COD)</w:t>
      </w:r>
    </w:p>
    <w:p w:rsidR="007C1435" w:rsidRPr="00DD6FF3" w:rsidRDefault="00061D37" w:rsidP="00842AAD">
      <w:pPr>
        <w:overflowPunct/>
        <w:adjustRightInd/>
        <w:ind w:firstLine="1418"/>
        <w:textAlignment w:val="auto"/>
      </w:pPr>
      <w:r w:rsidRPr="00DD6FF3">
        <w:t>EESC-2014-06067-00-00-AC-TRA</w:t>
      </w:r>
    </w:p>
    <w:p w:rsidR="00061D37" w:rsidRPr="00DD6FF3" w:rsidRDefault="00061D37" w:rsidP="00C25B4D">
      <w:pPr>
        <w:overflowPunct/>
        <w:adjustRightInd/>
        <w:textAlignment w:val="auto"/>
      </w:pPr>
    </w:p>
    <w:p w:rsidR="007C1435" w:rsidRPr="00DD6FF3" w:rsidRDefault="007C1435" w:rsidP="00BE08D1">
      <w:pPr>
        <w:rPr>
          <w:b/>
        </w:rPr>
      </w:pPr>
      <w:r w:rsidRPr="00DD6FF3">
        <w:rPr>
          <w:b/>
        </w:rPr>
        <w:t>Punctele principale:</w:t>
      </w:r>
    </w:p>
    <w:p w:rsidR="00727BB9" w:rsidRPr="00DD6FF3" w:rsidRDefault="00727BB9" w:rsidP="00C25B4D">
      <w:pPr>
        <w:overflowPunct/>
        <w:adjustRightInd/>
        <w:textAlignment w:val="auto"/>
      </w:pPr>
    </w:p>
    <w:p w:rsidR="007C1435" w:rsidRPr="00DD6FF3" w:rsidRDefault="007C1435" w:rsidP="00C25B4D">
      <w:pPr>
        <w:overflowPunct/>
        <w:adjustRightInd/>
        <w:textAlignment w:val="auto"/>
      </w:pPr>
      <w:r w:rsidRPr="00DD6FF3">
        <w:t>CESE nutrește convingerea că reducerea emisiilor nocive de monoxid de carbon, oxizi de azot, hidrocarburi și particule ale motoarelor destinate tractoarelor agricole și forestiere este indispensabilă pentru atingerea nivelurilor de calitate a aerului prevăzute de UE.</w:t>
      </w:r>
    </w:p>
    <w:p w:rsidR="007C1435" w:rsidRPr="00DD6FF3" w:rsidRDefault="007C1435" w:rsidP="00C25B4D">
      <w:pPr>
        <w:overflowPunct/>
        <w:adjustRightInd/>
        <w:textAlignment w:val="auto"/>
      </w:pPr>
    </w:p>
    <w:p w:rsidR="007C1435" w:rsidRPr="00DD6FF3" w:rsidRDefault="007C1435" w:rsidP="00C25B4D">
      <w:pPr>
        <w:overflowPunct/>
        <w:adjustRightInd/>
        <w:textAlignment w:val="auto"/>
      </w:pPr>
      <w:r w:rsidRPr="00DD6FF3">
        <w:t>CESE recomandă următoarele:</w:t>
      </w:r>
    </w:p>
    <w:p w:rsidR="007C1435" w:rsidRPr="00DD6FF3" w:rsidRDefault="007C1435" w:rsidP="00C25B4D">
      <w:pPr>
        <w:overflowPunct/>
        <w:adjustRightInd/>
        <w:textAlignment w:val="auto"/>
      </w:pPr>
    </w:p>
    <w:p w:rsidR="007C1435" w:rsidRPr="00DD6FF3" w:rsidRDefault="007C1435" w:rsidP="00C25B4D">
      <w:pPr>
        <w:numPr>
          <w:ilvl w:val="0"/>
          <w:numId w:val="126"/>
        </w:numPr>
        <w:overflowPunct/>
        <w:adjustRightInd/>
        <w:textAlignment w:val="auto"/>
      </w:pPr>
      <w:r w:rsidRPr="00DD6FF3">
        <w:t>programele pilot să fie efectuate pentru toate tipurile de motoare și utilaje pentru a verifica dacă este posibilă instalarea instrumentelor necesare;</w:t>
      </w:r>
    </w:p>
    <w:p w:rsidR="00963F6D" w:rsidRPr="00DD6FF3" w:rsidRDefault="00963F6D" w:rsidP="00C25B4D">
      <w:pPr>
        <w:overflowPunct/>
        <w:adjustRightInd/>
        <w:textAlignment w:val="auto"/>
      </w:pPr>
    </w:p>
    <w:p w:rsidR="007C1435" w:rsidRPr="00DD6FF3" w:rsidRDefault="007C1435" w:rsidP="00C25B4D">
      <w:pPr>
        <w:numPr>
          <w:ilvl w:val="0"/>
          <w:numId w:val="126"/>
        </w:numPr>
        <w:overflowPunct/>
        <w:adjustRightInd/>
        <w:textAlignment w:val="auto"/>
      </w:pPr>
      <w:r w:rsidRPr="00DD6FF3">
        <w:t xml:space="preserve">noul regulament să fie adoptat rapid, având în vedere preocupările masive legate de sănătatea publică în legătură cu </w:t>
      </w:r>
      <w:proofErr w:type="spellStart"/>
      <w:r w:rsidRPr="00DD6FF3">
        <w:t>nanoparticulele</w:t>
      </w:r>
      <w:proofErr w:type="spellEnd"/>
      <w:r w:rsidRPr="00DD6FF3">
        <w:t xml:space="preserve"> rezultate din procesele de ardere și nivelul ridicat de protecție care poate fi realizat prin punerea în aplicare a celei de-a cincea etape pentru motoarele NRMM.</w:t>
      </w:r>
    </w:p>
    <w:p w:rsidR="007C1435" w:rsidRPr="00DD6FF3" w:rsidRDefault="007C1435" w:rsidP="00BE08D1"/>
    <w:p w:rsidR="007C1435" w:rsidRPr="00DD6FF3" w:rsidRDefault="007C1435" w:rsidP="00C25B4D">
      <w:pPr>
        <w:overflowPunct/>
        <w:adjustRightInd/>
        <w:textAlignment w:val="auto"/>
        <w:rPr>
          <w:i/>
        </w:rPr>
      </w:pPr>
      <w:r w:rsidRPr="00DD6FF3">
        <w:rPr>
          <w:b/>
          <w:i/>
        </w:rPr>
        <w:t>Persoană de contact:</w:t>
      </w:r>
      <w:r w:rsidRPr="00DD6FF3">
        <w:tab/>
      </w:r>
      <w:r w:rsidRPr="00DD6FF3">
        <w:rPr>
          <w:i/>
        </w:rPr>
        <w:t>Alice Tétu</w:t>
      </w:r>
    </w:p>
    <w:p w:rsidR="007C1435" w:rsidRPr="00DD6FF3" w:rsidRDefault="007C1435" w:rsidP="00C25B4D">
      <w:pPr>
        <w:overflowPunct/>
        <w:adjustRightInd/>
        <w:textAlignment w:val="auto"/>
        <w:rPr>
          <w:i/>
        </w:rPr>
      </w:pPr>
      <w:r w:rsidRPr="00DD6FF3">
        <w:rPr>
          <w:i/>
        </w:rPr>
        <w:t xml:space="preserve">(Tel.: 00 32 2 546 82 86 – e-mail: </w:t>
      </w:r>
      <w:hyperlink r:id="rId37">
        <w:r w:rsidRPr="00DD6FF3">
          <w:rPr>
            <w:rStyle w:val="Hyperlink"/>
            <w:i/>
          </w:rPr>
          <w:t>alice.tetu@eesc.europa.eu</w:t>
        </w:r>
      </w:hyperlink>
      <w:r w:rsidRPr="00DD6FF3">
        <w:rPr>
          <w:i/>
        </w:rPr>
        <w:t>)</w:t>
      </w:r>
    </w:p>
    <w:p w:rsidR="007C1435" w:rsidRPr="00DD6FF3" w:rsidRDefault="007C1435" w:rsidP="00C25B4D">
      <w:pPr>
        <w:overflowPunct/>
        <w:adjustRightInd/>
        <w:textAlignment w:val="auto"/>
      </w:pPr>
    </w:p>
    <w:p w:rsidR="00D3628B" w:rsidRPr="00DD6FF3" w:rsidRDefault="00D3628B" w:rsidP="00BE08D1">
      <w:pPr>
        <w:pStyle w:val="Heading1"/>
        <w:rPr>
          <w:b/>
          <w:sz w:val="28"/>
          <w:szCs w:val="28"/>
        </w:rPr>
      </w:pPr>
      <w:bookmarkStart w:id="1" w:name="_Toc413417154"/>
      <w:r w:rsidRPr="00DD6FF3">
        <w:rPr>
          <w:b/>
          <w:sz w:val="28"/>
          <w:szCs w:val="28"/>
        </w:rPr>
        <w:t>STRATEGIA EUROPA 2020 / CREȘTERE ECONOMICĂ</w:t>
      </w:r>
      <w:bookmarkEnd w:id="1"/>
    </w:p>
    <w:p w:rsidR="007C1435" w:rsidRPr="00DD6FF3" w:rsidRDefault="007C1435" w:rsidP="00C25B4D">
      <w:pPr>
        <w:overflowPunct/>
        <w:adjustRightInd/>
        <w:textAlignment w:val="auto"/>
        <w:rPr>
          <w:b/>
          <w:highlight w:val="yellow"/>
          <w:u w:val="single"/>
        </w:rPr>
      </w:pPr>
    </w:p>
    <w:p w:rsidR="007C1435" w:rsidRPr="00DD6FF3" w:rsidRDefault="007C1435" w:rsidP="00B752AB">
      <w:pPr>
        <w:widowControl w:val="0"/>
        <w:numPr>
          <w:ilvl w:val="0"/>
          <w:numId w:val="103"/>
        </w:numPr>
        <w:ind w:left="720" w:hanging="720"/>
        <w:rPr>
          <w:b/>
          <w:i/>
          <w:sz w:val="28"/>
        </w:rPr>
      </w:pPr>
      <w:r w:rsidRPr="00DD6FF3">
        <w:rPr>
          <w:b/>
          <w:i/>
          <w:sz w:val="28"/>
        </w:rPr>
        <w:t>Progresele înregistrate la punerea în aplicare a Strategiei Europa 2020 și modul în care vor fi atinse obiectivele acesteia până în 2020 (aviz exploratoriu la solicitarea Președinției letone)</w:t>
      </w:r>
    </w:p>
    <w:p w:rsidR="007C1435" w:rsidRPr="00DD6FF3" w:rsidRDefault="007C1435" w:rsidP="00C25B4D">
      <w:pPr>
        <w:overflowPunct/>
        <w:adjustRightInd/>
        <w:ind w:firstLine="17"/>
        <w:textAlignment w:val="auto"/>
        <w:rPr>
          <w:highlight w:val="yellow"/>
        </w:rPr>
      </w:pPr>
    </w:p>
    <w:p w:rsidR="007C1435" w:rsidRPr="00DD6FF3" w:rsidRDefault="007C1435" w:rsidP="00C25B4D">
      <w:pPr>
        <w:overflowPunct/>
        <w:adjustRightInd/>
        <w:textAlignment w:val="auto"/>
      </w:pPr>
      <w:r w:rsidRPr="00DD6FF3">
        <w:rPr>
          <w:b/>
        </w:rPr>
        <w:t>Raportor general:</w:t>
      </w:r>
      <w:r w:rsidRPr="00DD6FF3">
        <w:t xml:space="preserve"> </w:t>
      </w:r>
      <w:r w:rsidRPr="00DD6FF3">
        <w:tab/>
      </w:r>
      <w:proofErr w:type="spellStart"/>
      <w:r w:rsidRPr="00DD6FF3">
        <w:t>Etele</w:t>
      </w:r>
      <w:proofErr w:type="spellEnd"/>
      <w:r w:rsidRPr="00DD6FF3">
        <w:t xml:space="preserve"> BARÁTH (Activităţi diverse – HU)</w:t>
      </w:r>
    </w:p>
    <w:p w:rsidR="007C1435" w:rsidRPr="00DD6FF3" w:rsidRDefault="007C1435" w:rsidP="00C25B4D">
      <w:pPr>
        <w:overflowPunct/>
        <w:adjustRightInd/>
        <w:textAlignment w:val="auto"/>
      </w:pPr>
    </w:p>
    <w:p w:rsidR="007C1435" w:rsidRPr="00DD6FF3" w:rsidRDefault="007C1435" w:rsidP="00C25B4D">
      <w:pPr>
        <w:overflowPunct/>
        <w:adjustRightInd/>
        <w:textAlignment w:val="auto"/>
      </w:pPr>
      <w:r w:rsidRPr="00DD6FF3">
        <w:rPr>
          <w:b/>
        </w:rPr>
        <w:t>Referință:</w:t>
      </w:r>
      <w:r w:rsidRPr="00DD6FF3">
        <w:tab/>
      </w:r>
      <w:r w:rsidR="008725CD" w:rsidRPr="00DD6FF3">
        <w:tab/>
      </w:r>
      <w:r w:rsidRPr="00DD6FF3">
        <w:t>EESC-2015-00034-00-00-PAC-TRA</w:t>
      </w:r>
    </w:p>
    <w:p w:rsidR="00433CDF" w:rsidRPr="00DD6FF3" w:rsidRDefault="00433CDF">
      <w:pPr>
        <w:overflowPunct/>
        <w:autoSpaceDE/>
        <w:autoSpaceDN/>
        <w:adjustRightInd/>
        <w:spacing w:line="240" w:lineRule="auto"/>
        <w:jc w:val="left"/>
        <w:textAlignment w:val="auto"/>
        <w:rPr>
          <w:b/>
        </w:rPr>
      </w:pPr>
      <w:r w:rsidRPr="00DD6FF3">
        <w:rPr>
          <w:b/>
        </w:rPr>
        <w:br w:type="page"/>
      </w:r>
    </w:p>
    <w:p w:rsidR="007C1435" w:rsidRPr="00DD6FF3" w:rsidRDefault="007C1435" w:rsidP="00C25B4D">
      <w:pPr>
        <w:overflowPunct/>
        <w:adjustRightInd/>
        <w:textAlignment w:val="auto"/>
        <w:rPr>
          <w:b/>
        </w:rPr>
      </w:pPr>
    </w:p>
    <w:p w:rsidR="007C1435" w:rsidRPr="00DD6FF3" w:rsidRDefault="007C1435" w:rsidP="00C25B4D">
      <w:pPr>
        <w:overflowPunct/>
        <w:adjustRightInd/>
        <w:textAlignment w:val="auto"/>
        <w:rPr>
          <w:b/>
        </w:rPr>
      </w:pPr>
      <w:r w:rsidRPr="00DD6FF3">
        <w:rPr>
          <w:b/>
        </w:rPr>
        <w:t>Punctele principale:</w:t>
      </w:r>
    </w:p>
    <w:p w:rsidR="007C1435" w:rsidRPr="00DD6FF3" w:rsidRDefault="007C1435" w:rsidP="00C25B4D">
      <w:pPr>
        <w:overflowPunct/>
        <w:adjustRightInd/>
        <w:textAlignment w:val="auto"/>
      </w:pPr>
    </w:p>
    <w:p w:rsidR="007C1435" w:rsidRPr="00DD6FF3" w:rsidRDefault="007C1435" w:rsidP="00C25B4D">
      <w:pPr>
        <w:numPr>
          <w:ilvl w:val="0"/>
          <w:numId w:val="74"/>
        </w:numPr>
      </w:pPr>
      <w:r w:rsidRPr="00DD6FF3">
        <w:t>CESE este de acord cu Președinția letonă, recunoscând importanța fundamentală a revizuirii Strategiei UE 2020 pentru stimularea competitivității europene. CESE sprijină legătura directă între creșterea competitivității europene și inițiativa emblematică „O agenda digitală pentru Europa”.</w:t>
      </w:r>
    </w:p>
    <w:p w:rsidR="007C1435" w:rsidRPr="00DD6FF3" w:rsidRDefault="007C1435" w:rsidP="00BE08D1"/>
    <w:p w:rsidR="007C1435" w:rsidRPr="00DD6FF3" w:rsidRDefault="007C1435" w:rsidP="00C25B4D">
      <w:pPr>
        <w:numPr>
          <w:ilvl w:val="0"/>
          <w:numId w:val="74"/>
        </w:numPr>
      </w:pPr>
      <w:r w:rsidRPr="00DD6FF3">
        <w:t>CESE este în favoarea îmbunătățirii Pachetului privind piața unică digitală și consideră că garantarea viitorului digital al Uniunii Europene este unul dintre pilonii principali de sprijin pentru competitivitatea economiei europene și dezvoltarea sustenabilă a unei societăți care respectă mediul înconjurător.</w:t>
      </w:r>
    </w:p>
    <w:p w:rsidR="007C1435" w:rsidRPr="00DD6FF3" w:rsidRDefault="007C1435" w:rsidP="00BE08D1"/>
    <w:p w:rsidR="007C1435" w:rsidRPr="00DD6FF3" w:rsidRDefault="007C1435" w:rsidP="00C25B4D">
      <w:pPr>
        <w:numPr>
          <w:ilvl w:val="0"/>
          <w:numId w:val="74"/>
        </w:numPr>
      </w:pPr>
      <w:r w:rsidRPr="00DD6FF3">
        <w:t>Ar trebui să existe o legătură mult mai strânsă între</w:t>
      </w:r>
      <w:r w:rsidR="008725CD" w:rsidRPr="00DD6FF3">
        <w:t xml:space="preserve"> </w:t>
      </w:r>
      <w:r w:rsidRPr="00DD6FF3">
        <w:t>planul de investiții și strategia pentru ocuparea forței de muncă și creștere economică, în sensul că planul de investiții ar putea remedia principalele neajunsuri ale Strategiei Europa 2020, în vreme ce noile instrumente financiare ar spori șansele de punere în aplicare a obiectivelor strategiei.</w:t>
      </w:r>
    </w:p>
    <w:p w:rsidR="007C1435" w:rsidRPr="00DD6FF3" w:rsidRDefault="007C1435" w:rsidP="00BE08D1"/>
    <w:p w:rsidR="007C1435" w:rsidRPr="00DD6FF3" w:rsidRDefault="007C1435" w:rsidP="00C25B4D">
      <w:pPr>
        <w:numPr>
          <w:ilvl w:val="0"/>
          <w:numId w:val="74"/>
        </w:numPr>
      </w:pPr>
      <w:r w:rsidRPr="00DD6FF3">
        <w:t xml:space="preserve">Din cauza modificării priorităților și pentru a asigura punerea în </w:t>
      </w:r>
      <w:r w:rsidR="008725CD" w:rsidRPr="00DD6FF3">
        <w:t>aplicare cu succes a Strategiei </w:t>
      </w:r>
      <w:r w:rsidRPr="00DD6FF3">
        <w:t>UE 2020, ar putea fi utilă înființarea unui „ghișeu unic”, în măsură să asigure o coordonare eficientă și o raționalizare a sarcinilor și a procedurilor, acest lucru fiind valabil și pentru agențiile UE.</w:t>
      </w:r>
    </w:p>
    <w:p w:rsidR="007C1435" w:rsidRPr="00DD6FF3" w:rsidRDefault="007C1435" w:rsidP="00BE08D1"/>
    <w:p w:rsidR="007C1435" w:rsidRPr="00DD6FF3" w:rsidRDefault="007C1435" w:rsidP="00C25B4D">
      <w:pPr>
        <w:numPr>
          <w:ilvl w:val="0"/>
          <w:numId w:val="74"/>
        </w:numPr>
      </w:pPr>
      <w:r w:rsidRPr="00DD6FF3">
        <w:t>Strategia Europa 2020 (și apoi Europa 2030) ar trebui să reprezinte conceptul central care să stea la baza strategiilor economice, sociale și teritoriale ale UE pe termen lung, ținând seama de diversitatea situațiilor din diferitele state membre.</w:t>
      </w:r>
    </w:p>
    <w:p w:rsidR="007C1435" w:rsidRPr="00DD6FF3" w:rsidRDefault="007C1435" w:rsidP="00C25B4D">
      <w:pPr>
        <w:tabs>
          <w:tab w:val="left" w:pos="770"/>
        </w:tabs>
        <w:overflowPunct/>
        <w:adjustRightInd/>
        <w:textAlignment w:val="auto"/>
        <w:rPr>
          <w:b/>
          <w:i/>
        </w:rPr>
      </w:pPr>
    </w:p>
    <w:p w:rsidR="007C1435" w:rsidRPr="00DD6FF3" w:rsidRDefault="007C1435" w:rsidP="00C25B4D">
      <w:pPr>
        <w:tabs>
          <w:tab w:val="left" w:pos="770"/>
        </w:tabs>
        <w:overflowPunct/>
        <w:adjustRightInd/>
        <w:textAlignment w:val="auto"/>
        <w:rPr>
          <w:i/>
        </w:rPr>
      </w:pPr>
      <w:r w:rsidRPr="00DD6FF3">
        <w:rPr>
          <w:b/>
          <w:i/>
        </w:rPr>
        <w:t>Persoană de contact:</w:t>
      </w:r>
      <w:proofErr w:type="spellStart"/>
      <w:r w:rsidRPr="00DD6FF3">
        <w:rPr>
          <w:i/>
        </w:rPr>
        <w:t>Jüri</w:t>
      </w:r>
      <w:proofErr w:type="spellEnd"/>
      <w:r w:rsidRPr="00DD6FF3">
        <w:rPr>
          <w:i/>
        </w:rPr>
        <w:t xml:space="preserve"> Soosaar</w:t>
      </w:r>
    </w:p>
    <w:p w:rsidR="007C1435" w:rsidRPr="00DD6FF3" w:rsidRDefault="007C1435" w:rsidP="00C25B4D">
      <w:pPr>
        <w:overflowPunct/>
        <w:adjustRightInd/>
        <w:textAlignment w:val="auto"/>
        <w:rPr>
          <w:b/>
          <w:highlight w:val="yellow"/>
          <w:u w:val="single"/>
        </w:rPr>
      </w:pPr>
      <w:r w:rsidRPr="00DD6FF3">
        <w:rPr>
          <w:i/>
        </w:rPr>
        <w:t xml:space="preserve">(Tel.: 00 32 2 546 96 28 – email: </w:t>
      </w:r>
      <w:hyperlink r:id="rId38">
        <w:r w:rsidRPr="00DD6FF3">
          <w:rPr>
            <w:rStyle w:val="Hyperlink"/>
            <w:i/>
          </w:rPr>
          <w:t>juri.soosaar@eesc.europa.eu</w:t>
        </w:r>
      </w:hyperlink>
      <w:r w:rsidRPr="00DD6FF3">
        <w:rPr>
          <w:i/>
        </w:rPr>
        <w:t>)</w:t>
      </w:r>
    </w:p>
    <w:p w:rsidR="007C1435" w:rsidRPr="00DD6FF3" w:rsidRDefault="007C1435" w:rsidP="00C25B4D">
      <w:pPr>
        <w:overflowPunct/>
        <w:adjustRightInd/>
        <w:textAlignment w:val="auto"/>
        <w:rPr>
          <w:b/>
          <w:highlight w:val="yellow"/>
          <w:u w:val="single"/>
        </w:rPr>
      </w:pPr>
    </w:p>
    <w:p w:rsidR="007C1435" w:rsidRPr="00DD6FF3" w:rsidRDefault="005C0147" w:rsidP="00B752AB">
      <w:pPr>
        <w:widowControl w:val="0"/>
        <w:numPr>
          <w:ilvl w:val="0"/>
          <w:numId w:val="103"/>
        </w:numPr>
        <w:ind w:left="720" w:hanging="720"/>
        <w:rPr>
          <w:b/>
          <w:i/>
          <w:sz w:val="28"/>
        </w:rPr>
      </w:pPr>
      <w:r w:rsidRPr="00DD6FF3">
        <w:rPr>
          <w:b/>
          <w:i/>
          <w:sz w:val="28"/>
        </w:rPr>
        <w:t>Analiza anuală a creșterii pentru 2015 (comunicare)</w:t>
      </w:r>
    </w:p>
    <w:p w:rsidR="007C1435" w:rsidRPr="00DD6FF3" w:rsidRDefault="007C1435" w:rsidP="00C25B4D">
      <w:pPr>
        <w:overflowPunct/>
        <w:adjustRightInd/>
        <w:ind w:firstLine="17"/>
        <w:textAlignment w:val="auto"/>
        <w:rPr>
          <w:highlight w:val="yellow"/>
        </w:rPr>
      </w:pPr>
    </w:p>
    <w:p w:rsidR="007C1435" w:rsidRPr="00DD6FF3" w:rsidRDefault="00433CDF" w:rsidP="00C25B4D">
      <w:pPr>
        <w:overflowPunct/>
        <w:adjustRightInd/>
        <w:textAlignment w:val="auto"/>
      </w:pPr>
      <w:r w:rsidRPr="00DD6FF3">
        <w:rPr>
          <w:b/>
        </w:rPr>
        <w:t>Raportor general:</w:t>
      </w:r>
      <w:r w:rsidRPr="00DD6FF3">
        <w:rPr>
          <w:b/>
        </w:rPr>
        <w:tab/>
      </w:r>
      <w:r w:rsidR="007C1435" w:rsidRPr="00DD6FF3">
        <w:t>Gonçalo LOBO XAVIER (Angajatori – PT)</w:t>
      </w:r>
    </w:p>
    <w:p w:rsidR="007C1435" w:rsidRPr="00DD6FF3" w:rsidRDefault="007C1435" w:rsidP="00BE08D1"/>
    <w:p w:rsidR="005C0147" w:rsidRPr="00DD6FF3" w:rsidRDefault="007C1435" w:rsidP="00C25B4D">
      <w:pPr>
        <w:overflowPunct/>
        <w:adjustRightInd/>
        <w:textAlignment w:val="auto"/>
        <w:rPr>
          <w:b/>
        </w:rPr>
      </w:pPr>
      <w:r w:rsidRPr="00DD6FF3">
        <w:rPr>
          <w:b/>
        </w:rPr>
        <w:t>Referință:</w:t>
      </w:r>
      <w:r w:rsidRPr="00DD6FF3">
        <w:tab/>
      </w:r>
      <w:r w:rsidR="00433CDF" w:rsidRPr="00DD6FF3">
        <w:tab/>
      </w:r>
      <w:r w:rsidRPr="00DD6FF3">
        <w:t>COM(2014) 902 final</w:t>
      </w:r>
    </w:p>
    <w:p w:rsidR="007C1435" w:rsidRPr="00DD6FF3" w:rsidRDefault="007C1435" w:rsidP="00842AAD">
      <w:pPr>
        <w:overflowPunct/>
        <w:adjustRightInd/>
        <w:ind w:firstLine="1418"/>
        <w:textAlignment w:val="auto"/>
      </w:pPr>
      <w:r w:rsidRPr="00DD6FF3">
        <w:t>EESC-2015-00071-00-00-PAC-TRA</w:t>
      </w:r>
    </w:p>
    <w:p w:rsidR="007C1435" w:rsidRPr="00DD6FF3" w:rsidRDefault="007C1435" w:rsidP="00C25B4D">
      <w:pPr>
        <w:overflowPunct/>
        <w:adjustRightInd/>
        <w:textAlignment w:val="auto"/>
        <w:rPr>
          <w:b/>
        </w:rPr>
      </w:pPr>
    </w:p>
    <w:p w:rsidR="007C1435" w:rsidRPr="00DD6FF3" w:rsidRDefault="007C1435" w:rsidP="00C25B4D">
      <w:pPr>
        <w:overflowPunct/>
        <w:adjustRightInd/>
        <w:textAlignment w:val="auto"/>
        <w:rPr>
          <w:b/>
        </w:rPr>
      </w:pPr>
      <w:r w:rsidRPr="00DD6FF3">
        <w:rPr>
          <w:b/>
        </w:rPr>
        <w:t>Punctele principale:</w:t>
      </w:r>
    </w:p>
    <w:p w:rsidR="007C1435" w:rsidRPr="00DD6FF3" w:rsidRDefault="007C1435" w:rsidP="00C25B4D">
      <w:pPr>
        <w:overflowPunct/>
        <w:adjustRightInd/>
        <w:textAlignment w:val="auto"/>
      </w:pPr>
    </w:p>
    <w:p w:rsidR="007C1435" w:rsidRPr="00DD6FF3" w:rsidRDefault="007C1435" w:rsidP="00C25B4D">
      <w:pPr>
        <w:numPr>
          <w:ilvl w:val="0"/>
          <w:numId w:val="74"/>
        </w:numPr>
      </w:pPr>
      <w:r w:rsidRPr="00DD6FF3">
        <w:t xml:space="preserve">CESE salută analiza anuală a creșterii (AAC) pentru anul 2015, elaborată de Comisie cu scopul conceptual de promovare a unor niveluri de creștere adecvate pentru sprijinirea redresării economice a Europei. Abordarea bazată pe trei piloni — stimularea investițiilor, reforme structurale și consolidarea fiscală și bugetară cu o mai mare capacitate de reacție — pare a fi o </w:t>
      </w:r>
      <w:r w:rsidRPr="00DD6FF3">
        <w:lastRenderedPageBreak/>
        <w:t>soluție adecvată de satisfacere a nevoilor Europei. Cu toate acestea, procesul prezintă în continuare unele deficiențe, având în vedere că AAC nu abordează suficient aspectele sociale și de mediu.</w:t>
      </w:r>
    </w:p>
    <w:p w:rsidR="007C1435" w:rsidRPr="00DD6FF3" w:rsidRDefault="007C1435" w:rsidP="00BE08D1"/>
    <w:p w:rsidR="007C1435" w:rsidRPr="00DD6FF3" w:rsidRDefault="007C1435" w:rsidP="00C25B4D">
      <w:pPr>
        <w:numPr>
          <w:ilvl w:val="0"/>
          <w:numId w:val="74"/>
        </w:numPr>
      </w:pPr>
      <w:r w:rsidRPr="00DD6FF3">
        <w:t>În vederea Planului de investiții pentru Europa, este esențial să se asigure condiții adecvate pentru investiții bazate pe parteneriat, cu participarea sectorului privat și public deopotrivă. În acest sens, investițiile sociale pot juca un rol esențial în promovarea bunăstării și eradicarea sărăciei și excluziunii.</w:t>
      </w:r>
    </w:p>
    <w:p w:rsidR="007C1435" w:rsidRPr="00DD6FF3" w:rsidRDefault="007C1435" w:rsidP="00BE08D1"/>
    <w:p w:rsidR="007C1435" w:rsidRPr="00DD6FF3" w:rsidRDefault="007C1435" w:rsidP="00C25B4D">
      <w:pPr>
        <w:numPr>
          <w:ilvl w:val="0"/>
          <w:numId w:val="74"/>
        </w:numPr>
      </w:pPr>
      <w:r w:rsidRPr="00DD6FF3">
        <w:t>CESE consideră că este nevoie de responsabilitate fiscală din partea tuturor statelor membre; aceasta ar trebui să fie direct corelată cu promovarea ocupării forței de muncă și responsabilitatea socială. Comitetul sprijină consolidarea fiscală favorabilă creșterii și solicită — acolo unde este posibil — ca statele membre să reducă sarcina fiscală impusă de politicile de austeritate, pentru a da un nou stimul investițiilor private, fără a neglija investițiile publice inteligente.</w:t>
      </w:r>
    </w:p>
    <w:p w:rsidR="007C1435" w:rsidRPr="00DD6FF3" w:rsidRDefault="007C1435" w:rsidP="00BE08D1"/>
    <w:p w:rsidR="007C1435" w:rsidRPr="00DD6FF3" w:rsidRDefault="007C1435" w:rsidP="00C25B4D">
      <w:pPr>
        <w:numPr>
          <w:ilvl w:val="0"/>
          <w:numId w:val="74"/>
        </w:numPr>
      </w:pPr>
      <w:r w:rsidRPr="00DD6FF3">
        <w:t>CESE salută raționalizarea semestrului european, dar atrage atenția asupra faptului că trebuie pus în aplicare un nou „calendar al societăţii civile”. Comitetul subliniază că evaluarea la jumătatea perioadei a Strategiei Europa 2020 ar trebui publicată în timp util, pentru a oferi părților interesate suficient timp pentru elaborarea pozițiilor lor.</w:t>
      </w:r>
    </w:p>
    <w:p w:rsidR="007C1435" w:rsidRPr="00DD6FF3" w:rsidRDefault="007C1435" w:rsidP="00C25B4D">
      <w:pPr>
        <w:tabs>
          <w:tab w:val="left" w:pos="770"/>
        </w:tabs>
        <w:overflowPunct/>
        <w:adjustRightInd/>
        <w:textAlignment w:val="auto"/>
        <w:rPr>
          <w:b/>
          <w:i/>
        </w:rPr>
      </w:pPr>
    </w:p>
    <w:p w:rsidR="007C1435" w:rsidRPr="00DD6FF3" w:rsidRDefault="007C1435" w:rsidP="00C25B4D">
      <w:pPr>
        <w:tabs>
          <w:tab w:val="left" w:pos="770"/>
        </w:tabs>
        <w:overflowPunct/>
        <w:adjustRightInd/>
        <w:textAlignment w:val="auto"/>
        <w:rPr>
          <w:i/>
        </w:rPr>
      </w:pPr>
      <w:r w:rsidRPr="00DD6FF3">
        <w:rPr>
          <w:b/>
          <w:i/>
        </w:rPr>
        <w:t>Persoană de contact:</w:t>
      </w:r>
      <w:proofErr w:type="spellStart"/>
      <w:r w:rsidRPr="00DD6FF3">
        <w:rPr>
          <w:i/>
        </w:rPr>
        <w:t>Jüri</w:t>
      </w:r>
      <w:proofErr w:type="spellEnd"/>
      <w:r w:rsidRPr="00DD6FF3">
        <w:rPr>
          <w:i/>
        </w:rPr>
        <w:t xml:space="preserve"> Soosaar</w:t>
      </w:r>
    </w:p>
    <w:p w:rsidR="007C1435" w:rsidRPr="00DD6FF3" w:rsidRDefault="007C1435" w:rsidP="00C25B4D">
      <w:pPr>
        <w:overflowPunct/>
        <w:adjustRightInd/>
        <w:textAlignment w:val="auto"/>
        <w:rPr>
          <w:b/>
          <w:highlight w:val="yellow"/>
          <w:u w:val="single"/>
        </w:rPr>
      </w:pPr>
      <w:r w:rsidRPr="00DD6FF3">
        <w:rPr>
          <w:i/>
        </w:rPr>
        <w:t xml:space="preserve">(Tel.: 00 32 2 546 96 28 – email: </w:t>
      </w:r>
      <w:hyperlink r:id="rId39">
        <w:r w:rsidRPr="00DD6FF3">
          <w:rPr>
            <w:rStyle w:val="Hyperlink"/>
            <w:i/>
          </w:rPr>
          <w:t>juri.soosaar@eesc.europa.eu</w:t>
        </w:r>
      </w:hyperlink>
      <w:r w:rsidRPr="00DD6FF3">
        <w:rPr>
          <w:i/>
        </w:rPr>
        <w:t>)</w:t>
      </w:r>
    </w:p>
    <w:p w:rsidR="007C1435" w:rsidRPr="00DD6FF3" w:rsidRDefault="007C1435" w:rsidP="00C25B4D">
      <w:pPr>
        <w:overflowPunct/>
        <w:adjustRightInd/>
        <w:textAlignment w:val="auto"/>
        <w:rPr>
          <w:b/>
        </w:rPr>
      </w:pPr>
    </w:p>
    <w:p w:rsidR="00D3628B" w:rsidRPr="00DD6FF3" w:rsidRDefault="007C1435" w:rsidP="00BE08D1">
      <w:pPr>
        <w:pStyle w:val="Heading1"/>
        <w:rPr>
          <w:b/>
          <w:sz w:val="28"/>
          <w:szCs w:val="28"/>
        </w:rPr>
      </w:pPr>
      <w:bookmarkStart w:id="2" w:name="_Toc413417155"/>
      <w:r w:rsidRPr="00DD6FF3">
        <w:rPr>
          <w:b/>
          <w:sz w:val="28"/>
          <w:szCs w:val="28"/>
        </w:rPr>
        <w:t>SĂNĂTATE ȘI SIGURANȚĂ</w:t>
      </w:r>
      <w:bookmarkEnd w:id="2"/>
    </w:p>
    <w:p w:rsidR="006C131B" w:rsidRPr="00DD6FF3" w:rsidRDefault="006C131B" w:rsidP="00C25B4D">
      <w:pPr>
        <w:overflowPunct/>
        <w:adjustRightInd/>
        <w:textAlignment w:val="auto"/>
        <w:rPr>
          <w:b/>
        </w:rPr>
      </w:pPr>
    </w:p>
    <w:p w:rsidR="0064036F" w:rsidRPr="00DD6FF3" w:rsidRDefault="0064036F" w:rsidP="00B752AB">
      <w:pPr>
        <w:widowControl w:val="0"/>
        <w:numPr>
          <w:ilvl w:val="0"/>
          <w:numId w:val="23"/>
        </w:numPr>
        <w:ind w:left="720" w:hanging="720"/>
        <w:rPr>
          <w:b/>
          <w:i/>
          <w:sz w:val="28"/>
        </w:rPr>
      </w:pPr>
      <w:r w:rsidRPr="00DD6FF3">
        <w:rPr>
          <w:b/>
          <w:i/>
          <w:sz w:val="28"/>
        </w:rPr>
        <w:t>Eliminarea azbestului din UE (aviz din proprie inițiativă)</w:t>
      </w:r>
    </w:p>
    <w:p w:rsidR="0064036F" w:rsidRPr="00DD6FF3" w:rsidRDefault="0064036F" w:rsidP="00C25B4D">
      <w:pPr>
        <w:overflowPunct/>
        <w:adjustRightInd/>
        <w:ind w:left="-39"/>
        <w:textAlignment w:val="auto"/>
        <w:rPr>
          <w:b/>
          <w:i/>
          <w:sz w:val="28"/>
        </w:rPr>
      </w:pPr>
    </w:p>
    <w:p w:rsidR="0064036F" w:rsidRPr="00DD6FF3" w:rsidRDefault="0064036F" w:rsidP="00C25B4D">
      <w:pPr>
        <w:overflowPunct/>
        <w:adjustRightInd/>
        <w:ind w:left="-39"/>
        <w:textAlignment w:val="auto"/>
      </w:pPr>
      <w:r w:rsidRPr="00DD6FF3">
        <w:rPr>
          <w:b/>
        </w:rPr>
        <w:t>Raportor:</w:t>
      </w:r>
      <w:r w:rsidRPr="00DD6FF3">
        <w:tab/>
        <w:t>Aurel Laurenţiu PLOSCEANU (Angajatori - RO)</w:t>
      </w:r>
    </w:p>
    <w:p w:rsidR="00BB5E6B" w:rsidRPr="00DD6FF3" w:rsidRDefault="00BB5E6B" w:rsidP="00C25B4D">
      <w:pPr>
        <w:overflowPunct/>
        <w:adjustRightInd/>
        <w:ind w:left="-39"/>
        <w:textAlignment w:val="auto"/>
      </w:pPr>
    </w:p>
    <w:p w:rsidR="0064036F" w:rsidRPr="00DD6FF3" w:rsidRDefault="0064036F" w:rsidP="00C25B4D">
      <w:pPr>
        <w:overflowPunct/>
        <w:adjustRightInd/>
        <w:ind w:left="-39"/>
        <w:textAlignment w:val="auto"/>
      </w:pPr>
      <w:r w:rsidRPr="00DD6FF3">
        <w:rPr>
          <w:b/>
        </w:rPr>
        <w:t>Coraportor:</w:t>
      </w:r>
      <w:r w:rsidR="00433CDF" w:rsidRPr="00DD6FF3">
        <w:tab/>
      </w:r>
      <w:r w:rsidRPr="00DD6FF3">
        <w:t>Enrico GIBELLIERI (Lucrători - IT)</w:t>
      </w:r>
    </w:p>
    <w:p w:rsidR="00BB5E6B" w:rsidRPr="00DD6FF3" w:rsidRDefault="00BB5E6B" w:rsidP="00C25B4D">
      <w:pPr>
        <w:overflowPunct/>
        <w:adjustRightInd/>
        <w:ind w:left="-39"/>
        <w:textAlignment w:val="auto"/>
        <w:rPr>
          <w:b/>
        </w:rPr>
      </w:pPr>
    </w:p>
    <w:p w:rsidR="0064036F" w:rsidRPr="00DD6FF3" w:rsidRDefault="0064036F" w:rsidP="00C25B4D">
      <w:pPr>
        <w:overflowPunct/>
        <w:adjustRightInd/>
        <w:ind w:left="-39"/>
        <w:textAlignment w:val="auto"/>
      </w:pPr>
      <w:r w:rsidRPr="00DD6FF3">
        <w:rPr>
          <w:b/>
        </w:rPr>
        <w:t>Referință:</w:t>
      </w:r>
      <w:r w:rsidRPr="00DD6FF3">
        <w:tab/>
        <w:t>EESC-2014-05005-00-00-AS</w:t>
      </w:r>
    </w:p>
    <w:p w:rsidR="00BB5E6B" w:rsidRPr="00DD6FF3" w:rsidRDefault="00BB5E6B" w:rsidP="00C25B4D">
      <w:pPr>
        <w:overflowPunct/>
        <w:adjustRightInd/>
        <w:ind w:left="-39"/>
        <w:textAlignment w:val="auto"/>
        <w:rPr>
          <w:b/>
        </w:rPr>
      </w:pPr>
    </w:p>
    <w:p w:rsidR="0064036F" w:rsidRPr="00DD6FF3" w:rsidRDefault="0064036F" w:rsidP="00C25B4D">
      <w:pPr>
        <w:overflowPunct/>
        <w:adjustRightInd/>
        <w:ind w:left="-39"/>
        <w:textAlignment w:val="auto"/>
        <w:rPr>
          <w:b/>
        </w:rPr>
      </w:pPr>
      <w:r w:rsidRPr="00DD6FF3">
        <w:rPr>
          <w:b/>
        </w:rPr>
        <w:t>Punctele principale:</w:t>
      </w:r>
    </w:p>
    <w:p w:rsidR="00BB5E6B" w:rsidRPr="00DD6FF3" w:rsidRDefault="00BB5E6B" w:rsidP="00C25B4D">
      <w:pPr>
        <w:overflowPunct/>
        <w:adjustRightInd/>
        <w:ind w:left="-39"/>
        <w:textAlignment w:val="auto"/>
      </w:pPr>
    </w:p>
    <w:p w:rsidR="00B54D9B" w:rsidRPr="00DD6FF3" w:rsidRDefault="0064036F" w:rsidP="00C0580A">
      <w:pPr>
        <w:overflowPunct/>
        <w:adjustRightInd/>
        <w:textAlignment w:val="auto"/>
      </w:pPr>
      <w:r w:rsidRPr="00DD6FF3">
        <w:t>Eliminarea completă a întregii cantități de azbest utilizat și a tuturor produselor care conțin azbest trebuie să fie un obiectiv prioritar al Uniunii Europene. CESE încurajează UE să colaboreze cu partenerii sociali și cu alte părți interesate în scopul elaborării și partajării unor planuri de acțiune pentru eliminarea și gestionarea azbestului. Mai multe state membre au instituit registre de inventariere a clădirilor care conțin azbest. Celelalte state membre ar trebui să fie încurajate să introducă astfel de registre.</w:t>
      </w:r>
    </w:p>
    <w:p w:rsidR="00B54D9B" w:rsidRPr="00DD6FF3" w:rsidRDefault="00B54D9B" w:rsidP="00C0580A">
      <w:pPr>
        <w:overflowPunct/>
        <w:adjustRightInd/>
        <w:textAlignment w:val="auto"/>
      </w:pPr>
    </w:p>
    <w:p w:rsidR="00B54D9B" w:rsidRPr="00DD6FF3" w:rsidRDefault="0064036F" w:rsidP="00C0580A">
      <w:pPr>
        <w:numPr>
          <w:ilvl w:val="0"/>
          <w:numId w:val="128"/>
        </w:numPr>
        <w:overflowPunct/>
        <w:adjustRightInd/>
        <w:textAlignment w:val="auto"/>
      </w:pPr>
      <w:r w:rsidRPr="00DD6FF3">
        <w:lastRenderedPageBreak/>
        <w:t>Uniunea Europeană ar trebui să încurajeze statele membre să lanseze planuri de acțiune și foi de parcurs specifice destinate îndepărtării tuturor surselor de azbest existente încă, urmând exemplul Poloniei.</w:t>
      </w:r>
    </w:p>
    <w:p w:rsidR="00B54D9B" w:rsidRPr="00DD6FF3" w:rsidRDefault="00B54D9B" w:rsidP="00C0580A">
      <w:pPr>
        <w:overflowPunct/>
        <w:adjustRightInd/>
        <w:textAlignment w:val="auto"/>
      </w:pPr>
    </w:p>
    <w:p w:rsidR="00B54D9B" w:rsidRPr="00DD6FF3" w:rsidRDefault="0064036F" w:rsidP="00C0580A">
      <w:pPr>
        <w:numPr>
          <w:ilvl w:val="0"/>
          <w:numId w:val="128"/>
        </w:numPr>
        <w:overflowPunct/>
        <w:adjustRightInd/>
        <w:textAlignment w:val="auto"/>
      </w:pPr>
      <w:r w:rsidRPr="00DD6FF3">
        <w:t xml:space="preserve">Comisia Europeană ar trebui să aibă în vedere să deschidă în mod explicit accesul la fondurile sale structurale pentru planurile de eliminare a azbestului. </w:t>
      </w:r>
    </w:p>
    <w:p w:rsidR="00B54D9B" w:rsidRPr="00DD6FF3" w:rsidRDefault="00B54D9B" w:rsidP="00BE08D1"/>
    <w:p w:rsidR="00B54D9B" w:rsidRPr="00DD6FF3" w:rsidRDefault="00FC1EA1" w:rsidP="00C0580A">
      <w:pPr>
        <w:numPr>
          <w:ilvl w:val="0"/>
          <w:numId w:val="128"/>
        </w:numPr>
        <w:overflowPunct/>
        <w:adjustRightInd/>
        <w:textAlignment w:val="auto"/>
      </w:pPr>
      <w:r w:rsidRPr="00DD6FF3">
        <w:t>Comisia Europeană este îndemnată să inițieze un studiu privind abordările și sistemele existente la nivel național în privința înregistrării azbestului,</w:t>
      </w:r>
      <w:r w:rsidR="008725CD" w:rsidRPr="00DD6FF3">
        <w:t xml:space="preserve"> precum și finanțarea lor. CESE </w:t>
      </w:r>
      <w:r w:rsidRPr="00DD6FF3">
        <w:t xml:space="preserve">invită Comisia să promoveze sisteme pentru distrugerea produselor care conțin azbest (sisteme precum generatoarele de plasmă, </w:t>
      </w:r>
      <w:proofErr w:type="spellStart"/>
      <w:r w:rsidRPr="00DD6FF3">
        <w:t>pirogazificare</w:t>
      </w:r>
      <w:proofErr w:type="spellEnd"/>
      <w:r w:rsidRPr="00DD6FF3">
        <w:t xml:space="preserve"> etc.), cu referire la cele mai bune tehnici disponibile. Ar trebui promovate cercetarea și inovarea, pentru a pune în aplicare tehnologii sustenabile pentru tratarea și </w:t>
      </w:r>
      <w:proofErr w:type="spellStart"/>
      <w:r w:rsidRPr="00DD6FF3">
        <w:t>inertizarea</w:t>
      </w:r>
      <w:proofErr w:type="spellEnd"/>
      <w:r w:rsidRPr="00DD6FF3">
        <w:t xml:space="preserve"> deșeurilor care conțin azbest, în vederea reciclării și reutilizării în siguranță și a reducerii depozitării lor la gropile de gunoi.</w:t>
      </w:r>
    </w:p>
    <w:p w:rsidR="00B54D9B" w:rsidRPr="00DD6FF3" w:rsidRDefault="00B54D9B" w:rsidP="00BE08D1"/>
    <w:p w:rsidR="00B54D9B" w:rsidRPr="00DD6FF3" w:rsidRDefault="0064036F" w:rsidP="00C0580A">
      <w:pPr>
        <w:numPr>
          <w:ilvl w:val="0"/>
          <w:numId w:val="128"/>
        </w:numPr>
        <w:overflowPunct/>
        <w:adjustRightInd/>
        <w:textAlignment w:val="auto"/>
      </w:pPr>
      <w:r w:rsidRPr="00DD6FF3">
        <w:t>Comisia ar trebui să prevadă măsuri eficiente pentru a se evita practica periculoasă ce constă în depozitarea deșeurilor de azbest în depozitele de deșeuri destinate eliminării deșeurilor generale provenite din clădiri. Finanțările UE și stimulentele oferite de statele membre, destinate îmbunătățirii eficienței energetice a clădirilor, ar trebui corelate cu îndepărtarea azbestului în condiții de siguranță din acele clădiri.</w:t>
      </w:r>
    </w:p>
    <w:p w:rsidR="00B54D9B" w:rsidRPr="00DD6FF3" w:rsidRDefault="00B54D9B" w:rsidP="00BE08D1"/>
    <w:p w:rsidR="00B54D9B" w:rsidRPr="00DD6FF3" w:rsidRDefault="0064036F" w:rsidP="00C0580A">
      <w:pPr>
        <w:numPr>
          <w:ilvl w:val="0"/>
          <w:numId w:val="128"/>
        </w:numPr>
        <w:overflowPunct/>
        <w:adjustRightInd/>
        <w:textAlignment w:val="auto"/>
      </w:pPr>
      <w:r w:rsidRPr="00DD6FF3">
        <w:t>CESE solicită Comisiei să ofere, în colaborare cu autoritățile naționale, sprijinul necesar pentru acțiuni și inițiative destinate să asigure protecția într</w:t>
      </w:r>
      <w:r w:rsidR="008725CD" w:rsidRPr="00DD6FF3">
        <w:t>egii forțe de muncă din Uniunea </w:t>
      </w:r>
      <w:r w:rsidRPr="00DD6FF3">
        <w:t>Europeană, având în vedere faptul că, în ceea ce privește punerea în aplicare a legislației în materie de sănătate și securitate a muncii, sunt expuse în special întreprinderile mici și mijlocii, care angajează cea mai mare parte din forța de muncă europeană.</w:t>
      </w:r>
    </w:p>
    <w:p w:rsidR="00B54D9B" w:rsidRPr="00DD6FF3" w:rsidRDefault="00B54D9B" w:rsidP="00BE08D1"/>
    <w:p w:rsidR="00B54D9B" w:rsidRPr="00DD6FF3" w:rsidRDefault="0064036F" w:rsidP="00C0580A">
      <w:pPr>
        <w:numPr>
          <w:ilvl w:val="0"/>
          <w:numId w:val="128"/>
        </w:numPr>
        <w:overflowPunct/>
        <w:adjustRightInd/>
        <w:textAlignment w:val="auto"/>
      </w:pPr>
      <w:r w:rsidRPr="00DD6FF3">
        <w:t>CESE solicită Comisiei să elaboreze programe și activități de sensibilizare cu privire riscurile legate de azbest și la necesitatea unei formări adecvate a tuturor lucrătorilor care ar putea fi afectați de materialele care conțin azbest.</w:t>
      </w:r>
    </w:p>
    <w:p w:rsidR="00B54D9B" w:rsidRPr="00DD6FF3" w:rsidRDefault="00B54D9B" w:rsidP="00BE08D1"/>
    <w:p w:rsidR="00B54D9B" w:rsidRPr="00DD6FF3" w:rsidRDefault="0064036F" w:rsidP="00C0580A">
      <w:pPr>
        <w:numPr>
          <w:ilvl w:val="0"/>
          <w:numId w:val="128"/>
        </w:numPr>
        <w:overflowPunct/>
        <w:adjustRightInd/>
        <w:textAlignment w:val="auto"/>
      </w:pPr>
      <w:r w:rsidRPr="00DD6FF3">
        <w:t>CESE îndeamnă Comisia să modifice Recomandarea 2003/670/CE pentru a reflecta progresele cercetării medicale și a include cancerul ovarian și cel laringian ca fiind asociate azbestului. Instituțiile UE ar trebui să disemineze cele mai bune practici pentru recunoașterea bolilor asociate cu azbestul. Asociațiile victimelor intoxicării cu azbest trebuie să se organizeze.</w:t>
      </w:r>
    </w:p>
    <w:p w:rsidR="00B54D9B" w:rsidRPr="00DD6FF3" w:rsidRDefault="00B54D9B" w:rsidP="00C25B4D">
      <w:pPr>
        <w:overflowPunct/>
        <w:adjustRightInd/>
        <w:ind w:left="-39"/>
        <w:textAlignment w:val="auto"/>
      </w:pPr>
    </w:p>
    <w:p w:rsidR="00B54D9B" w:rsidRPr="00DD6FF3" w:rsidRDefault="0064036F" w:rsidP="00C25B4D">
      <w:pPr>
        <w:overflowPunct/>
        <w:adjustRightInd/>
        <w:ind w:left="-39"/>
        <w:textAlignment w:val="auto"/>
      </w:pPr>
      <w:r w:rsidRPr="00DD6FF3">
        <w:t>Prin urmare, CESE:</w:t>
      </w:r>
    </w:p>
    <w:p w:rsidR="00B54D9B" w:rsidRPr="00DD6FF3" w:rsidRDefault="00B54D9B" w:rsidP="00C25B4D">
      <w:pPr>
        <w:overflowPunct/>
        <w:adjustRightInd/>
        <w:ind w:left="-39"/>
        <w:textAlignment w:val="auto"/>
      </w:pPr>
    </w:p>
    <w:p w:rsidR="00B54D9B" w:rsidRPr="00DD6FF3" w:rsidRDefault="0064036F" w:rsidP="00C0580A">
      <w:pPr>
        <w:numPr>
          <w:ilvl w:val="0"/>
          <w:numId w:val="127"/>
        </w:numPr>
        <w:overflowPunct/>
        <w:adjustRightInd/>
        <w:textAlignment w:val="auto"/>
      </w:pPr>
      <w:r w:rsidRPr="00DD6FF3">
        <w:t>face apel la organismele de asigurări și despăgubiri să adopte o abordare comună în ceea ce privește recunoașterea bolilor profesionale asociate cu azbestul și despăgubirile acordate pentru acestea;</w:t>
      </w:r>
    </w:p>
    <w:p w:rsidR="00B54D9B" w:rsidRPr="00DD6FF3" w:rsidRDefault="00B54D9B" w:rsidP="00BE08D1"/>
    <w:p w:rsidR="00B54D9B" w:rsidRPr="00DD6FF3" w:rsidRDefault="0064036F" w:rsidP="00C0580A">
      <w:pPr>
        <w:numPr>
          <w:ilvl w:val="0"/>
          <w:numId w:val="127"/>
        </w:numPr>
        <w:overflowPunct/>
        <w:adjustRightInd/>
        <w:textAlignment w:val="auto"/>
      </w:pPr>
      <w:r w:rsidRPr="00DD6FF3">
        <w:lastRenderedPageBreak/>
        <w:t>solicită ca procedurile de recunoaștere să fie simplificate și facilitate;</w:t>
      </w:r>
    </w:p>
    <w:p w:rsidR="00B54D9B" w:rsidRPr="00DD6FF3" w:rsidRDefault="00B54D9B" w:rsidP="00BE08D1"/>
    <w:p w:rsidR="00B54D9B" w:rsidRPr="00DD6FF3" w:rsidRDefault="0064036F" w:rsidP="00C0580A">
      <w:pPr>
        <w:numPr>
          <w:ilvl w:val="0"/>
          <w:numId w:val="127"/>
        </w:numPr>
        <w:overflowPunct/>
        <w:adjustRightInd/>
        <w:textAlignment w:val="auto"/>
      </w:pPr>
      <w:r w:rsidRPr="00DD6FF3">
        <w:t>recunoaște faptul că, din cauza perioadelor de latență foarte îndelungate, victimele azbestului se află adeseori în imposibilitatea de a demonstra legătura cauzală dintre boală și expunerea profesională la azbest;</w:t>
      </w:r>
    </w:p>
    <w:p w:rsidR="00B54D9B" w:rsidRPr="00DD6FF3" w:rsidRDefault="00B54D9B" w:rsidP="00BE08D1"/>
    <w:p w:rsidR="0064036F" w:rsidRPr="00DD6FF3" w:rsidRDefault="0064036F" w:rsidP="00C0580A">
      <w:pPr>
        <w:numPr>
          <w:ilvl w:val="0"/>
          <w:numId w:val="127"/>
        </w:numPr>
        <w:overflowPunct/>
        <w:adjustRightInd/>
        <w:textAlignment w:val="auto"/>
      </w:pPr>
      <w:r w:rsidRPr="00DD6FF3">
        <w:t>solicită Comisiei să sprijine conferințele care oferă consiliere profesională grupurilor de victime ale azbestului și acordă ajutor membrilor acestora;</w:t>
      </w:r>
    </w:p>
    <w:p w:rsidR="00727BB9" w:rsidRPr="00DD6FF3" w:rsidRDefault="00727BB9" w:rsidP="00BE08D1">
      <w:pPr>
        <w:rPr>
          <w:i/>
        </w:rPr>
      </w:pPr>
    </w:p>
    <w:p w:rsidR="0064036F" w:rsidRPr="00DD6FF3" w:rsidRDefault="0064036F" w:rsidP="00390A4A">
      <w:pPr>
        <w:tabs>
          <w:tab w:val="left" w:pos="770"/>
        </w:tabs>
        <w:overflowPunct/>
        <w:adjustRightInd/>
        <w:textAlignment w:val="auto"/>
        <w:rPr>
          <w:b/>
          <w:i/>
        </w:rPr>
      </w:pPr>
      <w:r w:rsidRPr="00DD6FF3">
        <w:rPr>
          <w:b/>
          <w:i/>
        </w:rPr>
        <w:t xml:space="preserve">Persoană de contact: </w:t>
      </w:r>
    </w:p>
    <w:p w:rsidR="0064036F" w:rsidRPr="00DD6FF3" w:rsidRDefault="0064036F" w:rsidP="00390A4A">
      <w:pPr>
        <w:overflowPunct/>
        <w:adjustRightInd/>
        <w:textAlignment w:val="auto"/>
        <w:rPr>
          <w:i/>
        </w:rPr>
      </w:pPr>
      <w:r w:rsidRPr="00DD6FF3">
        <w:rPr>
          <w:i/>
        </w:rPr>
        <w:t xml:space="preserve">(Tel.: 00 32 2 546 86 28 - e-mail: </w:t>
      </w:r>
      <w:r w:rsidR="00785BB7">
        <w:fldChar w:fldCharType="begin"/>
      </w:r>
      <w:r w:rsidR="00785BB7">
        <w:instrText xml:space="preserve"> HYPERLINK "mailto:adam.plezer@eesc.europa.eu" \h </w:instrText>
      </w:r>
      <w:bookmarkStart w:id="3" w:name="_GoBack"/>
      <w:bookmarkEnd w:id="3"/>
      <w:r w:rsidR="00785BB7">
        <w:fldChar w:fldCharType="separate"/>
      </w:r>
      <w:r w:rsidR="00390A4A" w:rsidRPr="00390A4A">
        <w:t xml:space="preserve"> </w:t>
      </w:r>
      <w:r w:rsidR="00390A4A">
        <w:t>ccmi2</w:t>
      </w:r>
      <w:r w:rsidR="00390A4A" w:rsidRPr="00DD6FF3">
        <w:rPr>
          <w:rStyle w:val="Hyperlink"/>
          <w:i/>
        </w:rPr>
        <w:t xml:space="preserve"> </w:t>
      </w:r>
      <w:r w:rsidRPr="00DD6FF3">
        <w:rPr>
          <w:rStyle w:val="Hyperlink"/>
          <w:i/>
        </w:rPr>
        <w:t>@</w:t>
      </w:r>
      <w:proofErr w:type="spellStart"/>
      <w:r w:rsidRPr="00DD6FF3">
        <w:rPr>
          <w:rStyle w:val="Hyperlink"/>
          <w:i/>
        </w:rPr>
        <w:t>eesc.europa.eu</w:t>
      </w:r>
      <w:proofErr w:type="spellEnd"/>
      <w:r w:rsidR="00785BB7">
        <w:rPr>
          <w:rStyle w:val="Hyperlink"/>
          <w:i/>
        </w:rPr>
        <w:fldChar w:fldCharType="end"/>
      </w:r>
      <w:r w:rsidRPr="00DD6FF3">
        <w:rPr>
          <w:i/>
        </w:rPr>
        <w:t>)</w:t>
      </w:r>
    </w:p>
    <w:p w:rsidR="002A4257" w:rsidRPr="00DD6FF3" w:rsidRDefault="002A4257" w:rsidP="00C25B4D">
      <w:pPr>
        <w:overflowPunct/>
        <w:adjustRightInd/>
        <w:textAlignment w:val="auto"/>
      </w:pPr>
    </w:p>
    <w:p w:rsidR="00B019D8" w:rsidRPr="00DD6FF3" w:rsidRDefault="00B019D8" w:rsidP="00C25B4D">
      <w:pPr>
        <w:overflowPunct/>
        <w:adjustRightInd/>
        <w:jc w:val="center"/>
        <w:textAlignment w:val="auto"/>
      </w:pPr>
      <w:r w:rsidRPr="00DD6FF3">
        <w:t>_____________</w:t>
      </w:r>
    </w:p>
    <w:sectPr w:rsidR="00B019D8" w:rsidRPr="00DD6FF3" w:rsidSect="008725CD">
      <w:headerReference w:type="even" r:id="rId40"/>
      <w:headerReference w:type="default" r:id="rId41"/>
      <w:footerReference w:type="even" r:id="rId42"/>
      <w:footerReference w:type="default" r:id="rId43"/>
      <w:headerReference w:type="first" r:id="rId44"/>
      <w:footerReference w:type="first" r:id="rId45"/>
      <w:pgSz w:w="11907" w:h="1683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B7" w:rsidRDefault="00785BB7">
      <w:r>
        <w:separator/>
      </w:r>
    </w:p>
    <w:p w:rsidR="00785BB7" w:rsidRDefault="00785BB7"/>
  </w:endnote>
  <w:endnote w:type="continuationSeparator" w:id="0">
    <w:p w:rsidR="00785BB7" w:rsidRDefault="00785BB7">
      <w:r>
        <w:continuationSeparator/>
      </w:r>
    </w:p>
    <w:p w:rsidR="00785BB7" w:rsidRDefault="00785BB7"/>
  </w:endnote>
  <w:endnote w:type="continuationNotice" w:id="1">
    <w:p w:rsidR="00785BB7" w:rsidRDefault="00785BB7">
      <w:pPr>
        <w:spacing w:line="240" w:lineRule="auto"/>
      </w:pPr>
    </w:p>
    <w:p w:rsidR="00785BB7" w:rsidRDefault="00785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B9" w:rsidRPr="008725CD" w:rsidRDefault="00727BB9" w:rsidP="00872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DB" w:rsidRPr="008725CD" w:rsidRDefault="008725CD" w:rsidP="008725CD">
    <w:pPr>
      <w:pStyle w:val="Footer"/>
    </w:pPr>
    <w:r>
      <w:t xml:space="preserve">EESC-2015-00317-00-01-TCD-TRA (FR/EN) </w:t>
    </w:r>
    <w:r>
      <w:fldChar w:fldCharType="begin"/>
    </w:r>
    <w:r>
      <w:instrText xml:space="preserve"> PAGE  \* Arabic  \* MERGEFORMAT </w:instrText>
    </w:r>
    <w:r>
      <w:fldChar w:fldCharType="separate"/>
    </w:r>
    <w:r w:rsidR="008E638D">
      <w:rPr>
        <w:noProof/>
      </w:rPr>
      <w:t>1</w:t>
    </w:r>
    <w:r>
      <w:fldChar w:fldCharType="end"/>
    </w:r>
    <w:r>
      <w:t>/</w:t>
    </w:r>
    <w:r>
      <w:fldChar w:fldCharType="begin"/>
    </w:r>
    <w:r>
      <w:instrText xml:space="preserve"> = </w:instrText>
    </w:r>
    <w:r w:rsidR="00785BB7">
      <w:fldChar w:fldCharType="begin"/>
    </w:r>
    <w:r w:rsidR="00785BB7">
      <w:instrText xml:space="preserve"> NUMPAGES </w:instrText>
    </w:r>
    <w:r w:rsidR="00785BB7">
      <w:fldChar w:fldCharType="separate"/>
    </w:r>
    <w:r w:rsidR="008E638D">
      <w:rPr>
        <w:noProof/>
      </w:rPr>
      <w:instrText>3</w:instrText>
    </w:r>
    <w:r w:rsidR="00785BB7">
      <w:rPr>
        <w:noProof/>
      </w:rPr>
      <w:fldChar w:fldCharType="end"/>
    </w:r>
    <w:r>
      <w:instrText xml:space="preserve"> -0 </w:instrText>
    </w:r>
    <w:r>
      <w:fldChar w:fldCharType="separate"/>
    </w:r>
    <w:r w:rsidR="008E638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B9" w:rsidRPr="008725CD" w:rsidRDefault="00727BB9" w:rsidP="008725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725CD" w:rsidRDefault="00A41B5B" w:rsidP="008725C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8725CD" w:rsidRDefault="008725CD" w:rsidP="008725CD">
    <w:pPr>
      <w:pStyle w:val="Footer"/>
    </w:pPr>
    <w:r>
      <w:t xml:space="preserve">EESC-2015-00317-00-01-TCD-TRA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785BB7">
      <w:fldChar w:fldCharType="begin"/>
    </w:r>
    <w:r w:rsidR="00785BB7">
      <w:instrText xml:space="preserve"> NUMPAGES </w:instrText>
    </w:r>
    <w:r w:rsidR="00785BB7">
      <w:fldChar w:fldCharType="separate"/>
    </w:r>
    <w:r>
      <w:rPr>
        <w:noProof/>
      </w:rPr>
      <w:instrText>12</w:instrText>
    </w:r>
    <w:r w:rsidR="00785BB7">
      <w:rPr>
        <w:noProof/>
      </w:rPr>
      <w:fldChar w:fldCharType="end"/>
    </w:r>
    <w:r>
      <w:instrText xml:space="preserve"> -0 </w:instrText>
    </w:r>
    <w:r>
      <w:fldChar w:fldCharType="separate"/>
    </w:r>
    <w:r>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725CD" w:rsidRDefault="00A41B5B" w:rsidP="008725C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8725CD" w:rsidRDefault="00762271" w:rsidP="008725C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8725CD" w:rsidRDefault="008725CD" w:rsidP="008725CD">
    <w:pPr>
      <w:pStyle w:val="Footer"/>
    </w:pPr>
    <w:r>
      <w:t xml:space="preserve">EESC-2015-00317-00-01-TCD-TRA (FR/EN) </w:t>
    </w:r>
    <w:r>
      <w:fldChar w:fldCharType="begin"/>
    </w:r>
    <w:r>
      <w:instrText xml:space="preserve"> PAGE  \* Arabic  \* MERGEFORMAT </w:instrText>
    </w:r>
    <w:r>
      <w:fldChar w:fldCharType="separate"/>
    </w:r>
    <w:r w:rsidR="008E638D">
      <w:rPr>
        <w:noProof/>
      </w:rPr>
      <w:t>12</w:t>
    </w:r>
    <w:r>
      <w:fldChar w:fldCharType="end"/>
    </w:r>
    <w:r>
      <w:t>/</w:t>
    </w:r>
    <w:r>
      <w:fldChar w:fldCharType="begin"/>
    </w:r>
    <w:r>
      <w:instrText xml:space="preserve"> = </w:instrText>
    </w:r>
    <w:r w:rsidR="00785BB7">
      <w:fldChar w:fldCharType="begin"/>
    </w:r>
    <w:r w:rsidR="00785BB7">
      <w:instrText xml:space="preserve"> NUMPAGES </w:instrText>
    </w:r>
    <w:r w:rsidR="00785BB7">
      <w:fldChar w:fldCharType="separate"/>
    </w:r>
    <w:r w:rsidR="008E638D">
      <w:rPr>
        <w:noProof/>
      </w:rPr>
      <w:instrText>12</w:instrText>
    </w:r>
    <w:r w:rsidR="00785BB7">
      <w:rPr>
        <w:noProof/>
      </w:rPr>
      <w:fldChar w:fldCharType="end"/>
    </w:r>
    <w:r>
      <w:instrText xml:space="preserve"> -0 </w:instrText>
    </w:r>
    <w:r>
      <w:fldChar w:fldCharType="separate"/>
    </w:r>
    <w:r w:rsidR="008E638D">
      <w:rPr>
        <w:noProof/>
      </w:rPr>
      <w:t>12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725CD" w:rsidRDefault="00A41B5B" w:rsidP="00872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B7" w:rsidRDefault="00785BB7">
      <w:r>
        <w:separator/>
      </w:r>
    </w:p>
  </w:footnote>
  <w:footnote w:type="continuationSeparator" w:id="0">
    <w:p w:rsidR="00785BB7" w:rsidRDefault="00785BB7">
      <w:r>
        <w:continuationSeparator/>
      </w:r>
    </w:p>
    <w:p w:rsidR="00785BB7" w:rsidRDefault="00785BB7"/>
  </w:footnote>
  <w:footnote w:type="continuationNotice" w:id="1">
    <w:p w:rsidR="00785BB7" w:rsidRDefault="00785BB7">
      <w:pPr>
        <w:spacing w:line="240" w:lineRule="auto"/>
      </w:pPr>
    </w:p>
    <w:p w:rsidR="00785BB7" w:rsidRDefault="00785B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B9" w:rsidRPr="008725CD" w:rsidRDefault="00727BB9" w:rsidP="00872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B9" w:rsidRPr="008725CD" w:rsidRDefault="00727BB9" w:rsidP="00872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B9" w:rsidRPr="008725CD" w:rsidRDefault="00727BB9" w:rsidP="008725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725CD" w:rsidRDefault="00A41B5B" w:rsidP="008725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725CD" w:rsidRDefault="00A41B5B" w:rsidP="008725C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725CD" w:rsidRDefault="00A41B5B" w:rsidP="008725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8725CD" w:rsidRDefault="00762271" w:rsidP="008725C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8725CD" w:rsidRDefault="00762271" w:rsidP="008725C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725CD" w:rsidRDefault="00A41B5B" w:rsidP="00872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09C4CBA"/>
    <w:lvl w:ilvl="0">
      <w:start w:val="1"/>
      <w:numFmt w:val="decimal"/>
      <w:pStyle w:val="Heading1"/>
      <w:lvlText w:val="%1."/>
      <w:legacy w:legacy="1" w:legacySpace="0" w:legacyIndent="0"/>
      <w:lvlJc w:val="left"/>
      <w:rPr>
        <w:sz w:val="28"/>
        <w:szCs w:val="28"/>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0000003"/>
    <w:multiLevelType w:val="singleLevel"/>
    <w:tmpl w:val="00000003"/>
    <w:lvl w:ilvl="0">
      <w:numFmt w:val="bullet"/>
      <w:lvlText w:val=""/>
      <w:lvlJc w:val="left"/>
      <w:pPr>
        <w:tabs>
          <w:tab w:val="num" w:pos="283"/>
        </w:tabs>
        <w:ind w:left="503" w:hanging="283"/>
      </w:pPr>
      <w:rPr>
        <w:rFonts w:ascii="Symbol" w:hAnsi="Symbol" w:cs="Symbol"/>
        <w:spacing w:val="-2"/>
        <w:sz w:val="28"/>
        <w:szCs w:val="28"/>
        <w:lang w:val="fr-BE"/>
      </w:rPr>
    </w:lvl>
  </w:abstractNum>
  <w:abstractNum w:abstractNumId="3">
    <w:nsid w:val="003471B8"/>
    <w:multiLevelType w:val="hybridMultilevel"/>
    <w:tmpl w:val="D99241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055617F"/>
    <w:multiLevelType w:val="hybridMultilevel"/>
    <w:tmpl w:val="A190AFC2"/>
    <w:lvl w:ilvl="0" w:tplc="2A427E0A">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009D30CA"/>
    <w:multiLevelType w:val="hybridMultilevel"/>
    <w:tmpl w:val="D4B6D0C8"/>
    <w:lvl w:ilvl="0" w:tplc="F66E860A">
      <w:start w:val="1"/>
      <w:numFmt w:val="lowerRoman"/>
      <w:lvlText w:val="%1."/>
      <w:lvlJc w:val="left"/>
      <w:pPr>
        <w:ind w:left="1247" w:hanging="34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1F00868"/>
    <w:multiLevelType w:val="hybridMultilevel"/>
    <w:tmpl w:val="696275D6"/>
    <w:lvl w:ilvl="0" w:tplc="99D63350">
      <w:start w:val="1"/>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
    <w:nsid w:val="02CF736E"/>
    <w:multiLevelType w:val="hybridMultilevel"/>
    <w:tmpl w:val="37983704"/>
    <w:lvl w:ilvl="0" w:tplc="7CA8C91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D834B8"/>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9">
    <w:nsid w:val="040F5E47"/>
    <w:multiLevelType w:val="hybridMultilevel"/>
    <w:tmpl w:val="112E916A"/>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4560EB0"/>
    <w:multiLevelType w:val="hybridMultilevel"/>
    <w:tmpl w:val="3C889D76"/>
    <w:lvl w:ilvl="0" w:tplc="90E88D5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801AAF"/>
    <w:multiLevelType w:val="hybridMultilevel"/>
    <w:tmpl w:val="C04A625A"/>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nsid w:val="08695380"/>
    <w:multiLevelType w:val="hybridMultilevel"/>
    <w:tmpl w:val="390A9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0ABC03BC"/>
    <w:multiLevelType w:val="hybridMultilevel"/>
    <w:tmpl w:val="C6B6B058"/>
    <w:lvl w:ilvl="0" w:tplc="EA1859B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0E7548E1"/>
    <w:multiLevelType w:val="hybridMultilevel"/>
    <w:tmpl w:val="5BD4558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3584EA2"/>
    <w:multiLevelType w:val="hybridMultilevel"/>
    <w:tmpl w:val="6F463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0">
    <w:nsid w:val="144F4BAC"/>
    <w:multiLevelType w:val="hybridMultilevel"/>
    <w:tmpl w:val="B2E228FA"/>
    <w:lvl w:ilvl="0" w:tplc="7D3CCFE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B12296F"/>
    <w:multiLevelType w:val="hybridMultilevel"/>
    <w:tmpl w:val="945E667E"/>
    <w:lvl w:ilvl="0" w:tplc="92845FB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C2907F8"/>
    <w:multiLevelType w:val="hybridMultilevel"/>
    <w:tmpl w:val="A7D2B1D6"/>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D1D29C9"/>
    <w:multiLevelType w:val="singleLevel"/>
    <w:tmpl w:val="080C0001"/>
    <w:lvl w:ilvl="0">
      <w:start w:val="1"/>
      <w:numFmt w:val="bullet"/>
      <w:lvlText w:val=""/>
      <w:lvlJc w:val="left"/>
      <w:pPr>
        <w:ind w:left="360" w:hanging="360"/>
      </w:pPr>
      <w:rPr>
        <w:rFonts w:ascii="Symbol" w:hAnsi="Symbol" w:hint="default"/>
      </w:rPr>
    </w:lvl>
  </w:abstractNum>
  <w:abstractNum w:abstractNumId="24">
    <w:nsid w:val="1EE15AD1"/>
    <w:multiLevelType w:val="hybridMultilevel"/>
    <w:tmpl w:val="B672E6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20453C82"/>
    <w:multiLevelType w:val="hybridMultilevel"/>
    <w:tmpl w:val="93DE4D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F66E860A">
      <w:start w:val="1"/>
      <w:numFmt w:val="lowerRoman"/>
      <w:lvlText w:val="%3."/>
      <w:lvlJc w:val="left"/>
      <w:pPr>
        <w:ind w:left="1247" w:hanging="340"/>
      </w:pPr>
      <w:rPr>
        <w:rFonts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22681C62"/>
    <w:multiLevelType w:val="hybridMultilevel"/>
    <w:tmpl w:val="03343C4C"/>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28">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6183213"/>
    <w:multiLevelType w:val="hybridMultilevel"/>
    <w:tmpl w:val="754AFA14"/>
    <w:lvl w:ilvl="0" w:tplc="080C0001">
      <w:start w:val="1"/>
      <w:numFmt w:val="bullet"/>
      <w:lvlText w:val=""/>
      <w:lvlJc w:val="left"/>
      <w:pPr>
        <w:ind w:left="720" w:hanging="360"/>
      </w:pPr>
      <w:rPr>
        <w:rFonts w:ascii="Symbol" w:hAnsi="Symbol" w:hint="default"/>
      </w:rPr>
    </w:lvl>
    <w:lvl w:ilvl="1" w:tplc="5B0A21CA">
      <w:numFmt w:val="bullet"/>
      <w:lvlText w:val="•"/>
      <w:lvlJc w:val="left"/>
      <w:pPr>
        <w:ind w:left="1785" w:hanging="705"/>
      </w:pPr>
      <w:rPr>
        <w:rFonts w:ascii="Calibri" w:eastAsia="Calibri" w:hAnsi="Calibri"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26327623"/>
    <w:multiLevelType w:val="hybridMultilevel"/>
    <w:tmpl w:val="E9F639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27BB769C"/>
    <w:multiLevelType w:val="hybridMultilevel"/>
    <w:tmpl w:val="1EC242BE"/>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86B42AE"/>
    <w:multiLevelType w:val="hybridMultilevel"/>
    <w:tmpl w:val="C10C7A32"/>
    <w:lvl w:ilvl="0" w:tplc="4DC85228">
      <w:start w:val="1"/>
      <w:numFmt w:val="bullet"/>
      <w:lvlRestart w:val="0"/>
      <w:lvlText w:val="-"/>
      <w:lvlJc w:val="left"/>
      <w:pPr>
        <w:tabs>
          <w:tab w:val="num" w:pos="110"/>
        </w:tabs>
        <w:ind w:left="479" w:hanging="369"/>
      </w:pPr>
      <w:rPr>
        <w:rFonts w:ascii="Symbol" w:hAnsi="Symbol" w:hint="default"/>
        <w:b w:val="0"/>
        <w:i w:val="0"/>
        <w:sz w:val="22"/>
      </w:rPr>
    </w:lvl>
    <w:lvl w:ilvl="1" w:tplc="5A0CFA3E">
      <w:start w:val="1"/>
      <w:numFmt w:val="bullet"/>
      <w:lvlRestart w:val="0"/>
      <w:lvlText w:val="-"/>
      <w:lvlJc w:val="left"/>
      <w:pPr>
        <w:tabs>
          <w:tab w:val="num" w:pos="1190"/>
        </w:tabs>
        <w:ind w:left="1559" w:hanging="369"/>
      </w:pPr>
      <w:rPr>
        <w:rFonts w:ascii="Symbol" w:hAnsi="Symbol" w:hint="default"/>
        <w:b w:val="0"/>
        <w:i w:val="0"/>
        <w:sz w:val="22"/>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3">
    <w:nsid w:val="2C3402CA"/>
    <w:multiLevelType w:val="hybridMultilevel"/>
    <w:tmpl w:val="76F0437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nsid w:val="30376A85"/>
    <w:multiLevelType w:val="hybridMultilevel"/>
    <w:tmpl w:val="6958D1C4"/>
    <w:lvl w:ilvl="0" w:tplc="9E34B7C6">
      <w:start w:val="1"/>
      <w:numFmt w:val="bullet"/>
      <w:lvlText w:val="-"/>
      <w:lvlJc w:val="left"/>
      <w:pPr>
        <w:ind w:left="1428" w:hanging="360"/>
      </w:pPr>
      <w:rPr>
        <w:rFonts w:ascii="Symbol" w:hAnsi="Symbol" w:hint="default"/>
        <w:b w:val="0"/>
        <w:i w:val="0"/>
        <w:sz w:val="22"/>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5">
    <w:nsid w:val="313753C0"/>
    <w:multiLevelType w:val="hybridMultilevel"/>
    <w:tmpl w:val="6F50B8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31832486"/>
    <w:multiLevelType w:val="hybridMultilevel"/>
    <w:tmpl w:val="E47023F4"/>
    <w:lvl w:ilvl="0" w:tplc="4134DF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321225D6"/>
    <w:multiLevelType w:val="hybridMultilevel"/>
    <w:tmpl w:val="8CCE6242"/>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2256434"/>
    <w:multiLevelType w:val="hybridMultilevel"/>
    <w:tmpl w:val="4EC08C12"/>
    <w:lvl w:ilvl="0" w:tplc="62D043AE">
      <w:start w:val="1"/>
      <w:numFmt w:val="bullet"/>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32762848"/>
    <w:multiLevelType w:val="hybridMultilevel"/>
    <w:tmpl w:val="0170A046"/>
    <w:lvl w:ilvl="0" w:tplc="3F6C8E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34253E16"/>
    <w:multiLevelType w:val="hybridMultilevel"/>
    <w:tmpl w:val="2EC6BF4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4624A15"/>
    <w:multiLevelType w:val="hybridMultilevel"/>
    <w:tmpl w:val="A686E490"/>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34BF3321"/>
    <w:multiLevelType w:val="hybridMultilevel"/>
    <w:tmpl w:val="84508C1A"/>
    <w:lvl w:ilvl="0" w:tplc="99D63350">
      <w:start w:val="1"/>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3">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44">
    <w:nsid w:val="3D2C09FF"/>
    <w:multiLevelType w:val="hybridMultilevel"/>
    <w:tmpl w:val="86AAA030"/>
    <w:lvl w:ilvl="0" w:tplc="51FEDF2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D482187"/>
    <w:multiLevelType w:val="hybridMultilevel"/>
    <w:tmpl w:val="F7C6EA1A"/>
    <w:lvl w:ilvl="0" w:tplc="D23A7A8A">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41801C85"/>
    <w:multiLevelType w:val="hybridMultilevel"/>
    <w:tmpl w:val="99C22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48010F80"/>
    <w:multiLevelType w:val="hybridMultilevel"/>
    <w:tmpl w:val="9280AED2"/>
    <w:lvl w:ilvl="0" w:tplc="87A40DE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F87BF3"/>
    <w:multiLevelType w:val="hybridMultilevel"/>
    <w:tmpl w:val="A1220A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513F15E1"/>
    <w:multiLevelType w:val="singleLevel"/>
    <w:tmpl w:val="ACD4CDB0"/>
    <w:lvl w:ilvl="0">
      <w:numFmt w:val="decimal"/>
      <w:lvlText w:val="*"/>
      <w:lvlJc w:val="left"/>
      <w:pPr>
        <w:ind w:left="0" w:firstLine="0"/>
      </w:pPr>
    </w:lvl>
  </w:abstractNum>
  <w:abstractNum w:abstractNumId="52">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51B67743"/>
    <w:multiLevelType w:val="hybridMultilevel"/>
    <w:tmpl w:val="483CA64E"/>
    <w:lvl w:ilvl="0" w:tplc="EC40E63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51E5779B"/>
    <w:multiLevelType w:val="hybridMultilevel"/>
    <w:tmpl w:val="685E665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5">
    <w:nsid w:val="54093517"/>
    <w:multiLevelType w:val="hybridMultilevel"/>
    <w:tmpl w:val="D19A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7">
    <w:nsid w:val="57477A6E"/>
    <w:multiLevelType w:val="singleLevel"/>
    <w:tmpl w:val="ACD4CDB0"/>
    <w:lvl w:ilvl="0">
      <w:numFmt w:val="decimal"/>
      <w:lvlText w:val="*"/>
      <w:lvlJc w:val="left"/>
      <w:pPr>
        <w:ind w:left="0" w:firstLine="0"/>
      </w:pPr>
    </w:lvl>
  </w:abstractNum>
  <w:abstractNum w:abstractNumId="58">
    <w:nsid w:val="57675C46"/>
    <w:multiLevelType w:val="hybridMultilevel"/>
    <w:tmpl w:val="B4CEC98C"/>
    <w:lvl w:ilvl="0" w:tplc="CEB2FE74">
      <w:start w:val="1"/>
      <w:numFmt w:val="upperRoman"/>
      <w:lvlText w:val="%1."/>
      <w:lvlJc w:val="left"/>
      <w:pPr>
        <w:ind w:left="360" w:hanging="360"/>
      </w:pPr>
      <w:rPr>
        <w:rFonts w:hint="default"/>
        <w:b/>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9">
    <w:nsid w:val="58767C99"/>
    <w:multiLevelType w:val="hybridMultilevel"/>
    <w:tmpl w:val="8FF64200"/>
    <w:lvl w:ilvl="0" w:tplc="62D043AE">
      <w:start w:val="1"/>
      <w:numFmt w:val="bullet"/>
      <w:lvlText w:val=""/>
      <w:lvlJc w:val="left"/>
      <w:pPr>
        <w:ind w:left="1211"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58F16D71"/>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61">
    <w:nsid w:val="5A3023E7"/>
    <w:multiLevelType w:val="hybridMultilevel"/>
    <w:tmpl w:val="B53066F0"/>
    <w:lvl w:ilvl="0" w:tplc="71681B7C">
      <w:start w:val="1"/>
      <w:numFmt w:val="bullet"/>
      <w:lvlRestart w:val="0"/>
      <w:lvlText w:val=""/>
      <w:lvlJc w:val="left"/>
      <w:pPr>
        <w:tabs>
          <w:tab w:val="num" w:pos="0"/>
        </w:tabs>
        <w:ind w:left="369" w:hanging="369"/>
      </w:pPr>
      <w:rPr>
        <w:rFonts w:ascii="Symbol" w:hAnsi="Symbol" w:hint="default"/>
        <w:b w:val="0"/>
        <w:i w:val="0"/>
        <w:sz w:val="22"/>
      </w:rPr>
    </w:lvl>
    <w:lvl w:ilvl="1" w:tplc="604E1D2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5BD82FEE"/>
    <w:multiLevelType w:val="hybridMultilevel"/>
    <w:tmpl w:val="1766E336"/>
    <w:lvl w:ilvl="0" w:tplc="F50A2158">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BE77E08"/>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65">
    <w:nsid w:val="5CB26006"/>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66">
    <w:nsid w:val="5E011F07"/>
    <w:multiLevelType w:val="hybridMultilevel"/>
    <w:tmpl w:val="971227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5F190D29"/>
    <w:multiLevelType w:val="hybridMultilevel"/>
    <w:tmpl w:val="231A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69">
    <w:nsid w:val="61025C72"/>
    <w:multiLevelType w:val="multilevel"/>
    <w:tmpl w:val="08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0">
    <w:nsid w:val="61140AF6"/>
    <w:multiLevelType w:val="singleLevel"/>
    <w:tmpl w:val="A8C2A524"/>
    <w:lvl w:ilvl="0">
      <w:numFmt w:val="decimal"/>
      <w:lvlText w:val="*"/>
      <w:lvlJc w:val="left"/>
      <w:pPr>
        <w:ind w:left="0" w:firstLine="0"/>
      </w:pPr>
    </w:lvl>
  </w:abstractNum>
  <w:abstractNum w:abstractNumId="71">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61F65D04"/>
    <w:multiLevelType w:val="hybridMultilevel"/>
    <w:tmpl w:val="3850A0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628020FF"/>
    <w:multiLevelType w:val="hybridMultilevel"/>
    <w:tmpl w:val="1B226680"/>
    <w:lvl w:ilvl="0" w:tplc="ADD2C84C">
      <w:start w:val="1"/>
      <w:numFmt w:val="bullet"/>
      <w:lvlText w:val="–"/>
      <w:lvlJc w:val="left"/>
      <w:pPr>
        <w:ind w:left="0" w:hanging="360"/>
      </w:pPr>
      <w:rPr>
        <w:rFonts w:ascii="Times New Roman" w:eastAsia="Times New Roman" w:hAnsi="Times New Roman" w:hint="default"/>
      </w:rPr>
    </w:lvl>
    <w:lvl w:ilvl="1" w:tplc="A8C2A524">
      <w:start w:val="1"/>
      <w:numFmt w:val="bullet"/>
      <w:lvlText w:val=""/>
      <w:lvlJc w:val="left"/>
      <w:pPr>
        <w:ind w:left="720" w:hanging="360"/>
      </w:pPr>
      <w:rPr>
        <w:rFonts w:ascii="Symbol" w:hAnsi="Symbol" w:hint="default"/>
      </w:rPr>
    </w:lvl>
    <w:lvl w:ilvl="2" w:tplc="080C0005">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74">
    <w:nsid w:val="650A7C59"/>
    <w:multiLevelType w:val="hybridMultilevel"/>
    <w:tmpl w:val="668A51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652C1E48"/>
    <w:multiLevelType w:val="hybridMultilevel"/>
    <w:tmpl w:val="CBB2E2D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655C5500"/>
    <w:multiLevelType w:val="hybridMultilevel"/>
    <w:tmpl w:val="BF084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nsid w:val="67B25350"/>
    <w:multiLevelType w:val="singleLevel"/>
    <w:tmpl w:val="4154AB76"/>
    <w:lvl w:ilvl="0">
      <w:numFmt w:val="decimal"/>
      <w:lvlText w:val="*"/>
      <w:lvlJc w:val="left"/>
      <w:pPr>
        <w:ind w:left="0" w:firstLine="0"/>
      </w:pPr>
    </w:lvl>
  </w:abstractNum>
  <w:abstractNum w:abstractNumId="78">
    <w:nsid w:val="6899764B"/>
    <w:multiLevelType w:val="hybridMultilevel"/>
    <w:tmpl w:val="B54C96A8"/>
    <w:lvl w:ilvl="0" w:tplc="C2782F6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8EC05EF"/>
    <w:multiLevelType w:val="singleLevel"/>
    <w:tmpl w:val="ACD4CDB0"/>
    <w:lvl w:ilvl="0">
      <w:numFmt w:val="decimal"/>
      <w:lvlText w:val="*"/>
      <w:lvlJc w:val="left"/>
      <w:pPr>
        <w:ind w:left="0" w:firstLine="0"/>
      </w:pPr>
    </w:lvl>
  </w:abstractNum>
  <w:abstractNum w:abstractNumId="80">
    <w:nsid w:val="69070471"/>
    <w:multiLevelType w:val="hybridMultilevel"/>
    <w:tmpl w:val="D8DE5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6946675A"/>
    <w:multiLevelType w:val="singleLevel"/>
    <w:tmpl w:val="ACD4CDB0"/>
    <w:lvl w:ilvl="0">
      <w:numFmt w:val="decimal"/>
      <w:lvlText w:val="*"/>
      <w:lvlJc w:val="left"/>
      <w:pPr>
        <w:ind w:left="0" w:firstLine="0"/>
      </w:pPr>
    </w:lvl>
  </w:abstractNum>
  <w:abstractNum w:abstractNumId="82">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83">
    <w:nsid w:val="6A17506D"/>
    <w:multiLevelType w:val="singleLevel"/>
    <w:tmpl w:val="080C0001"/>
    <w:lvl w:ilvl="0">
      <w:start w:val="1"/>
      <w:numFmt w:val="bullet"/>
      <w:lvlText w:val=""/>
      <w:lvlJc w:val="left"/>
      <w:pPr>
        <w:ind w:left="360" w:hanging="360"/>
      </w:pPr>
      <w:rPr>
        <w:rFonts w:ascii="Symbol" w:hAnsi="Symbol" w:hint="default"/>
      </w:rPr>
    </w:lvl>
  </w:abstractNum>
  <w:abstractNum w:abstractNumId="84">
    <w:nsid w:val="6A6579DB"/>
    <w:multiLevelType w:val="hybridMultilevel"/>
    <w:tmpl w:val="43B856C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nsid w:val="6C53043D"/>
    <w:multiLevelType w:val="hybridMultilevel"/>
    <w:tmpl w:val="80BE5CB6"/>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6E2F4649"/>
    <w:multiLevelType w:val="hybridMultilevel"/>
    <w:tmpl w:val="63449176"/>
    <w:lvl w:ilvl="0" w:tplc="3F6C8E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6EC671CC"/>
    <w:multiLevelType w:val="hybridMultilevel"/>
    <w:tmpl w:val="86C806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6F2C45B0"/>
    <w:multiLevelType w:val="hybridMultilevel"/>
    <w:tmpl w:val="E4C2AB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710C3855"/>
    <w:multiLevelType w:val="hybridMultilevel"/>
    <w:tmpl w:val="8B7C7C00"/>
    <w:lvl w:ilvl="0" w:tplc="597A1FF8">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3001AF1"/>
    <w:multiLevelType w:val="hybridMultilevel"/>
    <w:tmpl w:val="7C7ADD90"/>
    <w:lvl w:ilvl="0" w:tplc="ADD2C84C">
      <w:start w:val="1"/>
      <w:numFmt w:val="bullet"/>
      <w:lvlText w:val="–"/>
      <w:lvlJc w:val="left"/>
      <w:pPr>
        <w:ind w:left="0" w:hanging="360"/>
      </w:pPr>
      <w:rPr>
        <w:rFonts w:ascii="Times New Roman" w:eastAsia="Times New Roman" w:hAnsi="Times New Roman" w:hint="default"/>
      </w:rPr>
    </w:lvl>
    <w:lvl w:ilvl="1" w:tplc="ADD2C84C">
      <w:start w:val="1"/>
      <w:numFmt w:val="bullet"/>
      <w:lvlText w:val="–"/>
      <w:lvlJc w:val="left"/>
      <w:pPr>
        <w:ind w:left="720" w:hanging="360"/>
      </w:pPr>
      <w:rPr>
        <w:rFonts w:ascii="Times New Roman" w:eastAsia="Times New Roman" w:hAnsi="Times New Roman" w:hint="default"/>
      </w:rPr>
    </w:lvl>
    <w:lvl w:ilvl="2" w:tplc="080C0005">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92">
    <w:nsid w:val="73E869B6"/>
    <w:multiLevelType w:val="hybridMultilevel"/>
    <w:tmpl w:val="8286E588"/>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747B68D2"/>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94">
    <w:nsid w:val="74E30BF5"/>
    <w:multiLevelType w:val="hybridMultilevel"/>
    <w:tmpl w:val="C37AADF4"/>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75796520"/>
    <w:multiLevelType w:val="hybridMultilevel"/>
    <w:tmpl w:val="910C1310"/>
    <w:lvl w:ilvl="0" w:tplc="3C120CC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nsid w:val="764B5D61"/>
    <w:multiLevelType w:val="hybridMultilevel"/>
    <w:tmpl w:val="4DBCA37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77524C52"/>
    <w:multiLevelType w:val="hybridMultilevel"/>
    <w:tmpl w:val="4A4A645C"/>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nsid w:val="788019F1"/>
    <w:multiLevelType w:val="hybridMultilevel"/>
    <w:tmpl w:val="D436C3CA"/>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78D96692"/>
    <w:multiLevelType w:val="hybridMultilevel"/>
    <w:tmpl w:val="8244D74E"/>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00">
    <w:nsid w:val="79C30734"/>
    <w:multiLevelType w:val="hybridMultilevel"/>
    <w:tmpl w:val="039CC3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1">
    <w:nsid w:val="7AC93F74"/>
    <w:multiLevelType w:val="singleLevel"/>
    <w:tmpl w:val="A8C2A524"/>
    <w:lvl w:ilvl="0">
      <w:numFmt w:val="decimal"/>
      <w:lvlText w:val="*"/>
      <w:lvlJc w:val="left"/>
      <w:pPr>
        <w:ind w:left="0" w:firstLine="0"/>
      </w:pPr>
    </w:lvl>
  </w:abstractNum>
  <w:abstractNum w:abstractNumId="102">
    <w:nsid w:val="7E640514"/>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103">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6"/>
  </w:num>
  <w:num w:numId="2">
    <w:abstractNumId w:val="27"/>
  </w:num>
  <w:num w:numId="3">
    <w:abstractNumId w:val="91"/>
  </w:num>
  <w:num w:numId="4">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5">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6">
    <w:abstractNumId w:val="2"/>
  </w:num>
  <w:num w:numId="7">
    <w:abstractNumId w:val="61"/>
  </w:num>
  <w:num w:numId="8">
    <w:abstractNumId w:val="75"/>
  </w:num>
  <w:num w:numId="9">
    <w:abstractNumId w:val="63"/>
  </w:num>
  <w:num w:numId="10">
    <w:abstractNumId w:val="10"/>
  </w:num>
  <w:num w:numId="11">
    <w:abstractNumId w:val="45"/>
  </w:num>
  <w:num w:numId="12">
    <w:abstractNumId w:val="15"/>
  </w:num>
  <w:num w:numId="13">
    <w:abstractNumId w:val="7"/>
  </w:num>
  <w:num w:numId="14">
    <w:abstractNumId w:val="49"/>
  </w:num>
  <w:num w:numId="15">
    <w:abstractNumId w:val="90"/>
  </w:num>
  <w:num w:numId="16">
    <w:abstractNumId w:val="20"/>
  </w:num>
  <w:num w:numId="17">
    <w:abstractNumId w:val="78"/>
  </w:num>
  <w:num w:numId="18">
    <w:abstractNumId w:val="88"/>
  </w:num>
  <w:num w:numId="19">
    <w:abstractNumId w:val="58"/>
  </w:num>
  <w:num w:numId="20">
    <w:abstractNumId w:val="27"/>
  </w:num>
  <w:num w:numId="21">
    <w:abstractNumId w:val="27"/>
  </w:num>
  <w:num w:numId="22">
    <w:abstractNumId w:val="48"/>
  </w:num>
  <w:num w:numId="23">
    <w:abstractNumId w:val="11"/>
  </w:num>
  <w:num w:numId="24">
    <w:abstractNumId w:val="72"/>
  </w:num>
  <w:num w:numId="25">
    <w:abstractNumId w:val="79"/>
  </w:num>
  <w:num w:numId="26">
    <w:abstractNumId w:val="77"/>
  </w:num>
  <w:num w:numId="27">
    <w:abstractNumId w:val="4"/>
  </w:num>
  <w:num w:numId="28">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29">
    <w:abstractNumId w:val="69"/>
  </w:num>
  <w:num w:numId="30">
    <w:abstractNumId w:val="25"/>
  </w:num>
  <w:num w:numId="31">
    <w:abstractNumId w:val="35"/>
  </w:num>
  <w:num w:numId="32">
    <w:abstractNumId w:val="36"/>
  </w:num>
  <w:num w:numId="33">
    <w:abstractNumId w:val="29"/>
  </w:num>
  <w:num w:numId="34">
    <w:abstractNumId w:val="23"/>
  </w:num>
  <w:num w:numId="35">
    <w:abstractNumId w:val="70"/>
  </w:num>
  <w:num w:numId="36">
    <w:abstractNumId w:val="73"/>
  </w:num>
  <w:num w:numId="37">
    <w:abstractNumId w:val="9"/>
  </w:num>
  <w:num w:numId="38">
    <w:abstractNumId w:val="17"/>
  </w:num>
  <w:num w:numId="39">
    <w:abstractNumId w:val="12"/>
  </w:num>
  <w:num w:numId="40">
    <w:abstractNumId w:val="97"/>
  </w:num>
  <w:num w:numId="41">
    <w:abstractNumId w:val="96"/>
  </w:num>
  <w:num w:numId="42">
    <w:abstractNumId w:val="31"/>
  </w:num>
  <w:num w:numId="43">
    <w:abstractNumId w:val="84"/>
  </w:num>
  <w:num w:numId="44">
    <w:abstractNumId w:val="3"/>
  </w:num>
  <w:num w:numId="45">
    <w:abstractNumId w:val="5"/>
  </w:num>
  <w:num w:numId="46">
    <w:abstractNumId w:val="0"/>
  </w:num>
  <w:num w:numId="47">
    <w:abstractNumId w:val="37"/>
  </w:num>
  <w:num w:numId="48">
    <w:abstractNumId w:val="22"/>
  </w:num>
  <w:num w:numId="49">
    <w:abstractNumId w:val="59"/>
  </w:num>
  <w:num w:numId="50">
    <w:abstractNumId w:val="38"/>
  </w:num>
  <w:num w:numId="51">
    <w:abstractNumId w:val="67"/>
  </w:num>
  <w:num w:numId="52">
    <w:abstractNumId w:val="95"/>
  </w:num>
  <w:num w:numId="53">
    <w:abstractNumId w:val="0"/>
  </w:num>
  <w:num w:numId="54">
    <w:abstractNumId w:val="41"/>
  </w:num>
  <w:num w:numId="55">
    <w:abstractNumId w:val="33"/>
  </w:num>
  <w:num w:numId="56">
    <w:abstractNumId w:val="85"/>
  </w:num>
  <w:num w:numId="57">
    <w:abstractNumId w:val="8"/>
  </w:num>
  <w:num w:numId="58">
    <w:abstractNumId w:val="93"/>
  </w:num>
  <w:num w:numId="59">
    <w:abstractNumId w:val="65"/>
  </w:num>
  <w:num w:numId="60">
    <w:abstractNumId w:val="64"/>
  </w:num>
  <w:num w:numId="61">
    <w:abstractNumId w:val="60"/>
  </w:num>
  <w:num w:numId="62">
    <w:abstractNumId w:val="102"/>
  </w:num>
  <w:num w:numId="63">
    <w:abstractNumId w:val="51"/>
  </w:num>
  <w:num w:numId="64">
    <w:abstractNumId w:val="76"/>
  </w:num>
  <w:num w:numId="65">
    <w:abstractNumId w:val="50"/>
  </w:num>
  <w:num w:numId="66">
    <w:abstractNumId w:val="100"/>
  </w:num>
  <w:num w:numId="67">
    <w:abstractNumId w:val="24"/>
  </w:num>
  <w:num w:numId="68">
    <w:abstractNumId w:val="30"/>
  </w:num>
  <w:num w:numId="69">
    <w:abstractNumId w:val="83"/>
  </w:num>
  <w:num w:numId="70">
    <w:abstractNumId w:val="34"/>
  </w:num>
  <w:num w:numId="71">
    <w:abstractNumId w:val="44"/>
  </w:num>
  <w:num w:numId="72">
    <w:abstractNumId w:val="26"/>
  </w:num>
  <w:num w:numId="73">
    <w:abstractNumId w:val="92"/>
  </w:num>
  <w:num w:numId="74">
    <w:abstractNumId w:val="28"/>
  </w:num>
  <w:num w:numId="75">
    <w:abstractNumId w:val="54"/>
  </w:num>
  <w:num w:numId="76">
    <w:abstractNumId w:val="21"/>
  </w:num>
  <w:num w:numId="77">
    <w:abstractNumId w:val="81"/>
  </w:num>
  <w:num w:numId="78">
    <w:abstractNumId w:val="98"/>
  </w:num>
  <w:num w:numId="79">
    <w:abstractNumId w:val="68"/>
  </w:num>
  <w:num w:numId="80">
    <w:abstractNumId w:val="6"/>
  </w:num>
  <w:num w:numId="81">
    <w:abstractNumId w:val="42"/>
  </w:num>
  <w:num w:numId="82">
    <w:abstractNumId w:val="39"/>
  </w:num>
  <w:num w:numId="83">
    <w:abstractNumId w:val="32"/>
  </w:num>
  <w:num w:numId="84">
    <w:abstractNumId w:val="80"/>
  </w:num>
  <w:num w:numId="85">
    <w:abstractNumId w:val="18"/>
  </w:num>
  <w:num w:numId="86">
    <w:abstractNumId w:val="87"/>
  </w:num>
  <w:num w:numId="87">
    <w:abstractNumId w:val="74"/>
  </w:num>
  <w:num w:numId="88">
    <w:abstractNumId w:val="99"/>
  </w:num>
  <w:num w:numId="89">
    <w:abstractNumId w:val="43"/>
  </w:num>
  <w:num w:numId="90">
    <w:abstractNumId w:val="101"/>
  </w:num>
  <w:num w:numId="91">
    <w:abstractNumId w:val="55"/>
  </w:num>
  <w:num w:numId="92">
    <w:abstractNumId w:val="94"/>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53"/>
  </w:num>
  <w:num w:numId="101">
    <w:abstractNumId w:val="40"/>
  </w:num>
  <w:num w:numId="102">
    <w:abstractNumId w:val="89"/>
  </w:num>
  <w:num w:numId="10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04">
    <w:abstractNumId w:val="13"/>
  </w:num>
  <w:num w:numId="105">
    <w:abstractNumId w:val="47"/>
  </w:num>
  <w:num w:numId="106">
    <w:abstractNumId w:val="71"/>
  </w:num>
  <w:num w:numId="107">
    <w:abstractNumId w:val="86"/>
  </w:num>
  <w:num w:numId="108">
    <w:abstractNumId w:val="66"/>
  </w:num>
  <w:num w:numId="109">
    <w:abstractNumId w:val="57"/>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14"/>
  </w:num>
  <w:num w:numId="120">
    <w:abstractNumId w:val="0"/>
  </w:num>
  <w:num w:numId="121">
    <w:abstractNumId w:val="0"/>
  </w:num>
  <w:num w:numId="122">
    <w:abstractNumId w:val="103"/>
  </w:num>
  <w:num w:numId="123">
    <w:abstractNumId w:val="46"/>
  </w:num>
  <w:num w:numId="124">
    <w:abstractNumId w:val="62"/>
  </w:num>
  <w:num w:numId="125">
    <w:abstractNumId w:val="16"/>
  </w:num>
  <w:num w:numId="126">
    <w:abstractNumId w:val="52"/>
  </w:num>
  <w:num w:numId="127">
    <w:abstractNumId w:val="19"/>
  </w:num>
  <w:num w:numId="128">
    <w:abstractNumId w:val="8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1C"/>
    <w:rsid w:val="00000554"/>
    <w:rsid w:val="000008B2"/>
    <w:rsid w:val="00000E5C"/>
    <w:rsid w:val="0000144F"/>
    <w:rsid w:val="00003156"/>
    <w:rsid w:val="00003F91"/>
    <w:rsid w:val="00005D3F"/>
    <w:rsid w:val="00005FA6"/>
    <w:rsid w:val="0000616B"/>
    <w:rsid w:val="000067D5"/>
    <w:rsid w:val="00006A33"/>
    <w:rsid w:val="00011394"/>
    <w:rsid w:val="000129EF"/>
    <w:rsid w:val="000158F5"/>
    <w:rsid w:val="00020A4A"/>
    <w:rsid w:val="00022CCF"/>
    <w:rsid w:val="00023E38"/>
    <w:rsid w:val="000248E4"/>
    <w:rsid w:val="00027740"/>
    <w:rsid w:val="00027F26"/>
    <w:rsid w:val="000309C4"/>
    <w:rsid w:val="0003104C"/>
    <w:rsid w:val="0003443D"/>
    <w:rsid w:val="000350D2"/>
    <w:rsid w:val="00035293"/>
    <w:rsid w:val="00037B24"/>
    <w:rsid w:val="00041273"/>
    <w:rsid w:val="0004216F"/>
    <w:rsid w:val="00042642"/>
    <w:rsid w:val="00044F01"/>
    <w:rsid w:val="00045952"/>
    <w:rsid w:val="000522DF"/>
    <w:rsid w:val="000525AB"/>
    <w:rsid w:val="000533A5"/>
    <w:rsid w:val="00054DD4"/>
    <w:rsid w:val="00060F63"/>
    <w:rsid w:val="00061D37"/>
    <w:rsid w:val="00062A75"/>
    <w:rsid w:val="0006346E"/>
    <w:rsid w:val="000653AB"/>
    <w:rsid w:val="0006540F"/>
    <w:rsid w:val="00065701"/>
    <w:rsid w:val="0006639E"/>
    <w:rsid w:val="00066548"/>
    <w:rsid w:val="00066C69"/>
    <w:rsid w:val="00066E2F"/>
    <w:rsid w:val="00067330"/>
    <w:rsid w:val="00067ADA"/>
    <w:rsid w:val="00070753"/>
    <w:rsid w:val="00070A4F"/>
    <w:rsid w:val="00072F9E"/>
    <w:rsid w:val="0007380D"/>
    <w:rsid w:val="000742D5"/>
    <w:rsid w:val="00075CD4"/>
    <w:rsid w:val="00076855"/>
    <w:rsid w:val="00082E73"/>
    <w:rsid w:val="00083826"/>
    <w:rsid w:val="00083DE3"/>
    <w:rsid w:val="00087994"/>
    <w:rsid w:val="00087A92"/>
    <w:rsid w:val="00087EA5"/>
    <w:rsid w:val="000921DB"/>
    <w:rsid w:val="00094B3D"/>
    <w:rsid w:val="000966A6"/>
    <w:rsid w:val="00096F0B"/>
    <w:rsid w:val="000979B7"/>
    <w:rsid w:val="00097F95"/>
    <w:rsid w:val="000A1015"/>
    <w:rsid w:val="000A4705"/>
    <w:rsid w:val="000A535C"/>
    <w:rsid w:val="000B24DE"/>
    <w:rsid w:val="000B2C45"/>
    <w:rsid w:val="000B30C8"/>
    <w:rsid w:val="000B5647"/>
    <w:rsid w:val="000B58A2"/>
    <w:rsid w:val="000B5C4D"/>
    <w:rsid w:val="000C0137"/>
    <w:rsid w:val="000C2BB5"/>
    <w:rsid w:val="000C46F7"/>
    <w:rsid w:val="000C56BE"/>
    <w:rsid w:val="000C7D19"/>
    <w:rsid w:val="000D164E"/>
    <w:rsid w:val="000D1FA2"/>
    <w:rsid w:val="000D3E90"/>
    <w:rsid w:val="000D4A5E"/>
    <w:rsid w:val="000D597D"/>
    <w:rsid w:val="000D6247"/>
    <w:rsid w:val="000D666E"/>
    <w:rsid w:val="000D6E11"/>
    <w:rsid w:val="000D72D8"/>
    <w:rsid w:val="000D7BDE"/>
    <w:rsid w:val="000E0385"/>
    <w:rsid w:val="000E3149"/>
    <w:rsid w:val="000E3579"/>
    <w:rsid w:val="000E3F1B"/>
    <w:rsid w:val="000E6D0A"/>
    <w:rsid w:val="000F10E1"/>
    <w:rsid w:val="000F38FD"/>
    <w:rsid w:val="000F39AA"/>
    <w:rsid w:val="00100702"/>
    <w:rsid w:val="00100DCA"/>
    <w:rsid w:val="00100EA7"/>
    <w:rsid w:val="00104753"/>
    <w:rsid w:val="00111FCA"/>
    <w:rsid w:val="00112027"/>
    <w:rsid w:val="001138CE"/>
    <w:rsid w:val="00114EEC"/>
    <w:rsid w:val="00114FD3"/>
    <w:rsid w:val="00115242"/>
    <w:rsid w:val="001165F3"/>
    <w:rsid w:val="001171FF"/>
    <w:rsid w:val="00121CE4"/>
    <w:rsid w:val="001244A6"/>
    <w:rsid w:val="0012487E"/>
    <w:rsid w:val="00126A1F"/>
    <w:rsid w:val="00126DAA"/>
    <w:rsid w:val="00126E46"/>
    <w:rsid w:val="0012714A"/>
    <w:rsid w:val="00133666"/>
    <w:rsid w:val="001338ED"/>
    <w:rsid w:val="00140CB7"/>
    <w:rsid w:val="0014117B"/>
    <w:rsid w:val="00145FF4"/>
    <w:rsid w:val="00146E6B"/>
    <w:rsid w:val="00146F28"/>
    <w:rsid w:val="001477CC"/>
    <w:rsid w:val="00147EBD"/>
    <w:rsid w:val="00151BCC"/>
    <w:rsid w:val="00151DBC"/>
    <w:rsid w:val="00152DCB"/>
    <w:rsid w:val="001533B6"/>
    <w:rsid w:val="0015358E"/>
    <w:rsid w:val="0015382F"/>
    <w:rsid w:val="00156599"/>
    <w:rsid w:val="00156727"/>
    <w:rsid w:val="0015673B"/>
    <w:rsid w:val="00157826"/>
    <w:rsid w:val="00160553"/>
    <w:rsid w:val="00160C5B"/>
    <w:rsid w:val="00161748"/>
    <w:rsid w:val="001631AB"/>
    <w:rsid w:val="00164F1D"/>
    <w:rsid w:val="00165A8D"/>
    <w:rsid w:val="00166339"/>
    <w:rsid w:val="00167DFE"/>
    <w:rsid w:val="001713C2"/>
    <w:rsid w:val="00171BF2"/>
    <w:rsid w:val="00172A5B"/>
    <w:rsid w:val="00174109"/>
    <w:rsid w:val="00174FF0"/>
    <w:rsid w:val="00177ACF"/>
    <w:rsid w:val="0018181A"/>
    <w:rsid w:val="00181A8E"/>
    <w:rsid w:val="00182E00"/>
    <w:rsid w:val="00185DE3"/>
    <w:rsid w:val="00187604"/>
    <w:rsid w:val="00187C0B"/>
    <w:rsid w:val="001918F9"/>
    <w:rsid w:val="0019299B"/>
    <w:rsid w:val="00192E48"/>
    <w:rsid w:val="00192FD5"/>
    <w:rsid w:val="001932AE"/>
    <w:rsid w:val="0019359F"/>
    <w:rsid w:val="00194575"/>
    <w:rsid w:val="00195E28"/>
    <w:rsid w:val="00196A03"/>
    <w:rsid w:val="00197C3E"/>
    <w:rsid w:val="001A1639"/>
    <w:rsid w:val="001A1D55"/>
    <w:rsid w:val="001A233C"/>
    <w:rsid w:val="001A2D2E"/>
    <w:rsid w:val="001A36F3"/>
    <w:rsid w:val="001A3C60"/>
    <w:rsid w:val="001A42AB"/>
    <w:rsid w:val="001A4677"/>
    <w:rsid w:val="001A4D55"/>
    <w:rsid w:val="001A55CC"/>
    <w:rsid w:val="001A5C45"/>
    <w:rsid w:val="001A7937"/>
    <w:rsid w:val="001A79E1"/>
    <w:rsid w:val="001B2069"/>
    <w:rsid w:val="001B25CE"/>
    <w:rsid w:val="001B4D86"/>
    <w:rsid w:val="001B6D96"/>
    <w:rsid w:val="001B7CD5"/>
    <w:rsid w:val="001B7E5E"/>
    <w:rsid w:val="001C0498"/>
    <w:rsid w:val="001C05E7"/>
    <w:rsid w:val="001C1869"/>
    <w:rsid w:val="001C2DF3"/>
    <w:rsid w:val="001C3307"/>
    <w:rsid w:val="001C38DC"/>
    <w:rsid w:val="001C391B"/>
    <w:rsid w:val="001C3B22"/>
    <w:rsid w:val="001C47E4"/>
    <w:rsid w:val="001C5127"/>
    <w:rsid w:val="001C7E40"/>
    <w:rsid w:val="001D0AA6"/>
    <w:rsid w:val="001D0AF8"/>
    <w:rsid w:val="001D126F"/>
    <w:rsid w:val="001D1BC8"/>
    <w:rsid w:val="001D1C61"/>
    <w:rsid w:val="001D26A0"/>
    <w:rsid w:val="001D3070"/>
    <w:rsid w:val="001D385F"/>
    <w:rsid w:val="001D479D"/>
    <w:rsid w:val="001D4B1D"/>
    <w:rsid w:val="001D4C4A"/>
    <w:rsid w:val="001D5F8C"/>
    <w:rsid w:val="001D650B"/>
    <w:rsid w:val="001D6F96"/>
    <w:rsid w:val="001D75EC"/>
    <w:rsid w:val="001D78E7"/>
    <w:rsid w:val="001D7A2E"/>
    <w:rsid w:val="001D7ADB"/>
    <w:rsid w:val="001E0E0A"/>
    <w:rsid w:val="001E1C7C"/>
    <w:rsid w:val="001E236D"/>
    <w:rsid w:val="001E6499"/>
    <w:rsid w:val="001E6DC0"/>
    <w:rsid w:val="001E74A2"/>
    <w:rsid w:val="001E76AB"/>
    <w:rsid w:val="001E795D"/>
    <w:rsid w:val="001E7E09"/>
    <w:rsid w:val="001E7E47"/>
    <w:rsid w:val="001F1FD5"/>
    <w:rsid w:val="001F2A68"/>
    <w:rsid w:val="001F3D6D"/>
    <w:rsid w:val="001F4855"/>
    <w:rsid w:val="001F5B80"/>
    <w:rsid w:val="001F5D34"/>
    <w:rsid w:val="001F6C61"/>
    <w:rsid w:val="001F722C"/>
    <w:rsid w:val="002011C7"/>
    <w:rsid w:val="00202DD0"/>
    <w:rsid w:val="00204E72"/>
    <w:rsid w:val="002050C1"/>
    <w:rsid w:val="00205D34"/>
    <w:rsid w:val="002112E0"/>
    <w:rsid w:val="00220DDC"/>
    <w:rsid w:val="00221E67"/>
    <w:rsid w:val="002224D3"/>
    <w:rsid w:val="0022279E"/>
    <w:rsid w:val="0022406F"/>
    <w:rsid w:val="00224CB9"/>
    <w:rsid w:val="002350F6"/>
    <w:rsid w:val="00240652"/>
    <w:rsid w:val="002436E1"/>
    <w:rsid w:val="00245F13"/>
    <w:rsid w:val="00246C52"/>
    <w:rsid w:val="00247221"/>
    <w:rsid w:val="002520FC"/>
    <w:rsid w:val="00254490"/>
    <w:rsid w:val="00256CB5"/>
    <w:rsid w:val="0025702C"/>
    <w:rsid w:val="00257178"/>
    <w:rsid w:val="002602E6"/>
    <w:rsid w:val="00264A14"/>
    <w:rsid w:val="00265E40"/>
    <w:rsid w:val="002665B4"/>
    <w:rsid w:val="00267783"/>
    <w:rsid w:val="002738D7"/>
    <w:rsid w:val="00274347"/>
    <w:rsid w:val="00274BA9"/>
    <w:rsid w:val="00275195"/>
    <w:rsid w:val="00275C64"/>
    <w:rsid w:val="00281BFD"/>
    <w:rsid w:val="0028618D"/>
    <w:rsid w:val="00286223"/>
    <w:rsid w:val="00286518"/>
    <w:rsid w:val="00286D50"/>
    <w:rsid w:val="00286EDA"/>
    <w:rsid w:val="00287C74"/>
    <w:rsid w:val="00291866"/>
    <w:rsid w:val="002918F5"/>
    <w:rsid w:val="002923F0"/>
    <w:rsid w:val="0029308E"/>
    <w:rsid w:val="00295754"/>
    <w:rsid w:val="00295A78"/>
    <w:rsid w:val="00295F08"/>
    <w:rsid w:val="00296568"/>
    <w:rsid w:val="00296758"/>
    <w:rsid w:val="002A09F3"/>
    <w:rsid w:val="002A3E95"/>
    <w:rsid w:val="002A4257"/>
    <w:rsid w:val="002A4D4A"/>
    <w:rsid w:val="002A56C9"/>
    <w:rsid w:val="002A639C"/>
    <w:rsid w:val="002A7E77"/>
    <w:rsid w:val="002B0992"/>
    <w:rsid w:val="002B3B04"/>
    <w:rsid w:val="002B7E69"/>
    <w:rsid w:val="002C04C0"/>
    <w:rsid w:val="002C053A"/>
    <w:rsid w:val="002C06ED"/>
    <w:rsid w:val="002C0820"/>
    <w:rsid w:val="002C1D1A"/>
    <w:rsid w:val="002C1E8C"/>
    <w:rsid w:val="002C2B13"/>
    <w:rsid w:val="002C5276"/>
    <w:rsid w:val="002C6659"/>
    <w:rsid w:val="002C7448"/>
    <w:rsid w:val="002D1EC0"/>
    <w:rsid w:val="002D1F45"/>
    <w:rsid w:val="002E00B3"/>
    <w:rsid w:val="002E1353"/>
    <w:rsid w:val="002E259D"/>
    <w:rsid w:val="002E3431"/>
    <w:rsid w:val="002E36F3"/>
    <w:rsid w:val="002E4647"/>
    <w:rsid w:val="002E551E"/>
    <w:rsid w:val="002E6F04"/>
    <w:rsid w:val="002E6FD3"/>
    <w:rsid w:val="002F0990"/>
    <w:rsid w:val="002F1494"/>
    <w:rsid w:val="002F2820"/>
    <w:rsid w:val="002F58A3"/>
    <w:rsid w:val="002F58A6"/>
    <w:rsid w:val="002F5F6E"/>
    <w:rsid w:val="002F6615"/>
    <w:rsid w:val="002F6A04"/>
    <w:rsid w:val="002F6A1D"/>
    <w:rsid w:val="002F73F5"/>
    <w:rsid w:val="003005FC"/>
    <w:rsid w:val="0030179C"/>
    <w:rsid w:val="003025AB"/>
    <w:rsid w:val="00303C27"/>
    <w:rsid w:val="00305C00"/>
    <w:rsid w:val="0030709D"/>
    <w:rsid w:val="00307379"/>
    <w:rsid w:val="00307A71"/>
    <w:rsid w:val="00310277"/>
    <w:rsid w:val="00310D0A"/>
    <w:rsid w:val="00312F34"/>
    <w:rsid w:val="003164D0"/>
    <w:rsid w:val="00316580"/>
    <w:rsid w:val="0031721A"/>
    <w:rsid w:val="00317F9D"/>
    <w:rsid w:val="00327C10"/>
    <w:rsid w:val="003302D4"/>
    <w:rsid w:val="00330D9D"/>
    <w:rsid w:val="00331DAC"/>
    <w:rsid w:val="00332A94"/>
    <w:rsid w:val="003351A5"/>
    <w:rsid w:val="003355A9"/>
    <w:rsid w:val="00340172"/>
    <w:rsid w:val="00343FB9"/>
    <w:rsid w:val="003448F3"/>
    <w:rsid w:val="00347606"/>
    <w:rsid w:val="00347892"/>
    <w:rsid w:val="003502DF"/>
    <w:rsid w:val="003528A5"/>
    <w:rsid w:val="00355E45"/>
    <w:rsid w:val="00357AC1"/>
    <w:rsid w:val="00357C2A"/>
    <w:rsid w:val="00361C84"/>
    <w:rsid w:val="003625AD"/>
    <w:rsid w:val="0036271C"/>
    <w:rsid w:val="00363ADB"/>
    <w:rsid w:val="00363BE2"/>
    <w:rsid w:val="00365A13"/>
    <w:rsid w:val="00365ECB"/>
    <w:rsid w:val="00366432"/>
    <w:rsid w:val="0036782B"/>
    <w:rsid w:val="00370647"/>
    <w:rsid w:val="00371978"/>
    <w:rsid w:val="00374006"/>
    <w:rsid w:val="00375628"/>
    <w:rsid w:val="00375AA8"/>
    <w:rsid w:val="00375B9D"/>
    <w:rsid w:val="00383FCD"/>
    <w:rsid w:val="00386B03"/>
    <w:rsid w:val="003909D4"/>
    <w:rsid w:val="00390A4A"/>
    <w:rsid w:val="00393D37"/>
    <w:rsid w:val="003942F8"/>
    <w:rsid w:val="003944FB"/>
    <w:rsid w:val="003955E1"/>
    <w:rsid w:val="0039586E"/>
    <w:rsid w:val="00396B69"/>
    <w:rsid w:val="00397B7F"/>
    <w:rsid w:val="003A0C7A"/>
    <w:rsid w:val="003A3332"/>
    <w:rsid w:val="003A3A4F"/>
    <w:rsid w:val="003A3AD1"/>
    <w:rsid w:val="003A43EE"/>
    <w:rsid w:val="003A4F7B"/>
    <w:rsid w:val="003A50BF"/>
    <w:rsid w:val="003A622C"/>
    <w:rsid w:val="003A6263"/>
    <w:rsid w:val="003A70D2"/>
    <w:rsid w:val="003B4124"/>
    <w:rsid w:val="003B4BA5"/>
    <w:rsid w:val="003C2DF6"/>
    <w:rsid w:val="003C3109"/>
    <w:rsid w:val="003C3A2D"/>
    <w:rsid w:val="003C6C4F"/>
    <w:rsid w:val="003C7006"/>
    <w:rsid w:val="003D21E0"/>
    <w:rsid w:val="003D21E4"/>
    <w:rsid w:val="003D4D8B"/>
    <w:rsid w:val="003D5C3A"/>
    <w:rsid w:val="003D7252"/>
    <w:rsid w:val="003E024A"/>
    <w:rsid w:val="003E2355"/>
    <w:rsid w:val="003E2706"/>
    <w:rsid w:val="003E2C75"/>
    <w:rsid w:val="003E338D"/>
    <w:rsid w:val="003E3A8F"/>
    <w:rsid w:val="003F0457"/>
    <w:rsid w:val="003F04BA"/>
    <w:rsid w:val="003F10CD"/>
    <w:rsid w:val="003F13A6"/>
    <w:rsid w:val="003F2265"/>
    <w:rsid w:val="003F34E7"/>
    <w:rsid w:val="003F614B"/>
    <w:rsid w:val="003F69A7"/>
    <w:rsid w:val="003F7185"/>
    <w:rsid w:val="004002AC"/>
    <w:rsid w:val="00402226"/>
    <w:rsid w:val="004024B3"/>
    <w:rsid w:val="00403453"/>
    <w:rsid w:val="004054E0"/>
    <w:rsid w:val="00406B96"/>
    <w:rsid w:val="00407926"/>
    <w:rsid w:val="00410E93"/>
    <w:rsid w:val="00411775"/>
    <w:rsid w:val="00412EC7"/>
    <w:rsid w:val="00413131"/>
    <w:rsid w:val="004143B7"/>
    <w:rsid w:val="0041578F"/>
    <w:rsid w:val="00415A9F"/>
    <w:rsid w:val="00417333"/>
    <w:rsid w:val="00421A3A"/>
    <w:rsid w:val="00423BE4"/>
    <w:rsid w:val="00423CE8"/>
    <w:rsid w:val="0042559D"/>
    <w:rsid w:val="00425CFE"/>
    <w:rsid w:val="004267A8"/>
    <w:rsid w:val="00426EBF"/>
    <w:rsid w:val="00427341"/>
    <w:rsid w:val="00427D92"/>
    <w:rsid w:val="00431982"/>
    <w:rsid w:val="00433202"/>
    <w:rsid w:val="00433CDF"/>
    <w:rsid w:val="004347BB"/>
    <w:rsid w:val="00434F73"/>
    <w:rsid w:val="004366BA"/>
    <w:rsid w:val="0043692F"/>
    <w:rsid w:val="00440620"/>
    <w:rsid w:val="00441AF5"/>
    <w:rsid w:val="00441C63"/>
    <w:rsid w:val="0044202D"/>
    <w:rsid w:val="004424EA"/>
    <w:rsid w:val="00444E06"/>
    <w:rsid w:val="0044555E"/>
    <w:rsid w:val="004460DA"/>
    <w:rsid w:val="00446688"/>
    <w:rsid w:val="00446AB4"/>
    <w:rsid w:val="004470F9"/>
    <w:rsid w:val="00450045"/>
    <w:rsid w:val="00450B83"/>
    <w:rsid w:val="00451C5C"/>
    <w:rsid w:val="004528AB"/>
    <w:rsid w:val="00452C5F"/>
    <w:rsid w:val="004544CB"/>
    <w:rsid w:val="00454CE1"/>
    <w:rsid w:val="0045525C"/>
    <w:rsid w:val="00456172"/>
    <w:rsid w:val="00456B12"/>
    <w:rsid w:val="00457709"/>
    <w:rsid w:val="00460000"/>
    <w:rsid w:val="00460B2D"/>
    <w:rsid w:val="00464CB3"/>
    <w:rsid w:val="0046638D"/>
    <w:rsid w:val="004674C2"/>
    <w:rsid w:val="0046751E"/>
    <w:rsid w:val="004679C7"/>
    <w:rsid w:val="004715A6"/>
    <w:rsid w:val="00472F76"/>
    <w:rsid w:val="00473AE2"/>
    <w:rsid w:val="004767E2"/>
    <w:rsid w:val="00476E9E"/>
    <w:rsid w:val="00476EEE"/>
    <w:rsid w:val="0048009F"/>
    <w:rsid w:val="00482B30"/>
    <w:rsid w:val="0048458F"/>
    <w:rsid w:val="00485920"/>
    <w:rsid w:val="00495FDF"/>
    <w:rsid w:val="004969EF"/>
    <w:rsid w:val="00496EAD"/>
    <w:rsid w:val="0049752D"/>
    <w:rsid w:val="004A0288"/>
    <w:rsid w:val="004A34A6"/>
    <w:rsid w:val="004A4363"/>
    <w:rsid w:val="004A608F"/>
    <w:rsid w:val="004A66C0"/>
    <w:rsid w:val="004B05E8"/>
    <w:rsid w:val="004B0E49"/>
    <w:rsid w:val="004B2BB4"/>
    <w:rsid w:val="004B2F2F"/>
    <w:rsid w:val="004B74DF"/>
    <w:rsid w:val="004B7997"/>
    <w:rsid w:val="004B7B92"/>
    <w:rsid w:val="004C0714"/>
    <w:rsid w:val="004C3C45"/>
    <w:rsid w:val="004C46E0"/>
    <w:rsid w:val="004C519B"/>
    <w:rsid w:val="004C632D"/>
    <w:rsid w:val="004C706F"/>
    <w:rsid w:val="004C7328"/>
    <w:rsid w:val="004D06A0"/>
    <w:rsid w:val="004D076C"/>
    <w:rsid w:val="004D0C64"/>
    <w:rsid w:val="004D0F9E"/>
    <w:rsid w:val="004D1C6A"/>
    <w:rsid w:val="004D323D"/>
    <w:rsid w:val="004D6C90"/>
    <w:rsid w:val="004D75BD"/>
    <w:rsid w:val="004E035B"/>
    <w:rsid w:val="004E14FC"/>
    <w:rsid w:val="004E23F0"/>
    <w:rsid w:val="004E6850"/>
    <w:rsid w:val="004E772B"/>
    <w:rsid w:val="004E79C6"/>
    <w:rsid w:val="004F1972"/>
    <w:rsid w:val="004F3064"/>
    <w:rsid w:val="004F4536"/>
    <w:rsid w:val="00500D41"/>
    <w:rsid w:val="005010FC"/>
    <w:rsid w:val="00504144"/>
    <w:rsid w:val="00504A4D"/>
    <w:rsid w:val="00512F8C"/>
    <w:rsid w:val="00515664"/>
    <w:rsid w:val="00517710"/>
    <w:rsid w:val="00520015"/>
    <w:rsid w:val="00521457"/>
    <w:rsid w:val="00521EA6"/>
    <w:rsid w:val="00522816"/>
    <w:rsid w:val="00522CD7"/>
    <w:rsid w:val="00526379"/>
    <w:rsid w:val="0053011F"/>
    <w:rsid w:val="00531B8A"/>
    <w:rsid w:val="00531E67"/>
    <w:rsid w:val="00532CB0"/>
    <w:rsid w:val="005334BA"/>
    <w:rsid w:val="00534153"/>
    <w:rsid w:val="00534D08"/>
    <w:rsid w:val="00535111"/>
    <w:rsid w:val="00536533"/>
    <w:rsid w:val="00536D63"/>
    <w:rsid w:val="0053744E"/>
    <w:rsid w:val="00541433"/>
    <w:rsid w:val="005414EC"/>
    <w:rsid w:val="005421D3"/>
    <w:rsid w:val="00545D56"/>
    <w:rsid w:val="005471CA"/>
    <w:rsid w:val="0054791E"/>
    <w:rsid w:val="005509CE"/>
    <w:rsid w:val="00550A4B"/>
    <w:rsid w:val="00551443"/>
    <w:rsid w:val="00551A2E"/>
    <w:rsid w:val="00552EAD"/>
    <w:rsid w:val="00553BD4"/>
    <w:rsid w:val="00554545"/>
    <w:rsid w:val="00554A9E"/>
    <w:rsid w:val="005560F6"/>
    <w:rsid w:val="00556675"/>
    <w:rsid w:val="0055697C"/>
    <w:rsid w:val="0055763A"/>
    <w:rsid w:val="0056009A"/>
    <w:rsid w:val="005608E9"/>
    <w:rsid w:val="00560FE5"/>
    <w:rsid w:val="00561672"/>
    <w:rsid w:val="0056382A"/>
    <w:rsid w:val="00564343"/>
    <w:rsid w:val="00564906"/>
    <w:rsid w:val="00565328"/>
    <w:rsid w:val="00565F7C"/>
    <w:rsid w:val="00566D95"/>
    <w:rsid w:val="005707F0"/>
    <w:rsid w:val="00571796"/>
    <w:rsid w:val="00572389"/>
    <w:rsid w:val="00572AE8"/>
    <w:rsid w:val="0057472B"/>
    <w:rsid w:val="0057536B"/>
    <w:rsid w:val="00575E29"/>
    <w:rsid w:val="00576A97"/>
    <w:rsid w:val="00576C8E"/>
    <w:rsid w:val="00576D00"/>
    <w:rsid w:val="00576EF2"/>
    <w:rsid w:val="0058074B"/>
    <w:rsid w:val="00580E1C"/>
    <w:rsid w:val="00581043"/>
    <w:rsid w:val="005829F8"/>
    <w:rsid w:val="00582AA6"/>
    <w:rsid w:val="00582C56"/>
    <w:rsid w:val="00583698"/>
    <w:rsid w:val="00583708"/>
    <w:rsid w:val="0058534B"/>
    <w:rsid w:val="00585D08"/>
    <w:rsid w:val="0058626A"/>
    <w:rsid w:val="00586CFE"/>
    <w:rsid w:val="00595116"/>
    <w:rsid w:val="00595659"/>
    <w:rsid w:val="00595663"/>
    <w:rsid w:val="005966F8"/>
    <w:rsid w:val="005A2D3B"/>
    <w:rsid w:val="005A4724"/>
    <w:rsid w:val="005A49B2"/>
    <w:rsid w:val="005A4D00"/>
    <w:rsid w:val="005A702D"/>
    <w:rsid w:val="005B52DE"/>
    <w:rsid w:val="005B54EC"/>
    <w:rsid w:val="005B7B68"/>
    <w:rsid w:val="005B7CB5"/>
    <w:rsid w:val="005C0147"/>
    <w:rsid w:val="005C1C2B"/>
    <w:rsid w:val="005C74AB"/>
    <w:rsid w:val="005C7B59"/>
    <w:rsid w:val="005D06D6"/>
    <w:rsid w:val="005D388C"/>
    <w:rsid w:val="005D3BA3"/>
    <w:rsid w:val="005D7C45"/>
    <w:rsid w:val="005E07D0"/>
    <w:rsid w:val="005E3DE2"/>
    <w:rsid w:val="005E4FDA"/>
    <w:rsid w:val="005E51B8"/>
    <w:rsid w:val="005E5276"/>
    <w:rsid w:val="005E6186"/>
    <w:rsid w:val="005E6799"/>
    <w:rsid w:val="005F012D"/>
    <w:rsid w:val="005F1287"/>
    <w:rsid w:val="005F1FCB"/>
    <w:rsid w:val="005F2903"/>
    <w:rsid w:val="005F3269"/>
    <w:rsid w:val="005F3460"/>
    <w:rsid w:val="005F3704"/>
    <w:rsid w:val="005F4E1C"/>
    <w:rsid w:val="005F7242"/>
    <w:rsid w:val="006027ED"/>
    <w:rsid w:val="0060336C"/>
    <w:rsid w:val="00603E50"/>
    <w:rsid w:val="00604137"/>
    <w:rsid w:val="00604DAA"/>
    <w:rsid w:val="006059CA"/>
    <w:rsid w:val="00606A69"/>
    <w:rsid w:val="00606CC7"/>
    <w:rsid w:val="00607785"/>
    <w:rsid w:val="00607D63"/>
    <w:rsid w:val="00610589"/>
    <w:rsid w:val="006119DA"/>
    <w:rsid w:val="006131C6"/>
    <w:rsid w:val="00616791"/>
    <w:rsid w:val="00617125"/>
    <w:rsid w:val="00620DDB"/>
    <w:rsid w:val="00621701"/>
    <w:rsid w:val="00621E54"/>
    <w:rsid w:val="0062267A"/>
    <w:rsid w:val="00622731"/>
    <w:rsid w:val="00622C2B"/>
    <w:rsid w:val="00623E6D"/>
    <w:rsid w:val="00624237"/>
    <w:rsid w:val="00625ED9"/>
    <w:rsid w:val="00630449"/>
    <w:rsid w:val="0063490C"/>
    <w:rsid w:val="00634DEF"/>
    <w:rsid w:val="0064036F"/>
    <w:rsid w:val="00640779"/>
    <w:rsid w:val="00640781"/>
    <w:rsid w:val="00640BC4"/>
    <w:rsid w:val="006431EC"/>
    <w:rsid w:val="00643BFA"/>
    <w:rsid w:val="006448AE"/>
    <w:rsid w:val="00647909"/>
    <w:rsid w:val="006509B7"/>
    <w:rsid w:val="006529B4"/>
    <w:rsid w:val="00652E73"/>
    <w:rsid w:val="00653AE0"/>
    <w:rsid w:val="006548D9"/>
    <w:rsid w:val="00655960"/>
    <w:rsid w:val="00655B08"/>
    <w:rsid w:val="00657049"/>
    <w:rsid w:val="0065751F"/>
    <w:rsid w:val="00657676"/>
    <w:rsid w:val="006612C7"/>
    <w:rsid w:val="006615FA"/>
    <w:rsid w:val="006620DA"/>
    <w:rsid w:val="0066247F"/>
    <w:rsid w:val="0066294E"/>
    <w:rsid w:val="006652C3"/>
    <w:rsid w:val="00670464"/>
    <w:rsid w:val="006704B0"/>
    <w:rsid w:val="0067197E"/>
    <w:rsid w:val="00671C7F"/>
    <w:rsid w:val="006733D9"/>
    <w:rsid w:val="00673B00"/>
    <w:rsid w:val="00675115"/>
    <w:rsid w:val="0068013D"/>
    <w:rsid w:val="00682F15"/>
    <w:rsid w:val="00683A28"/>
    <w:rsid w:val="00683C5F"/>
    <w:rsid w:val="006848D8"/>
    <w:rsid w:val="00685664"/>
    <w:rsid w:val="00685D92"/>
    <w:rsid w:val="00686A70"/>
    <w:rsid w:val="00691DEE"/>
    <w:rsid w:val="00692E11"/>
    <w:rsid w:val="006933F1"/>
    <w:rsid w:val="006960D4"/>
    <w:rsid w:val="00696E37"/>
    <w:rsid w:val="006A01BB"/>
    <w:rsid w:val="006A23A3"/>
    <w:rsid w:val="006A2577"/>
    <w:rsid w:val="006A3050"/>
    <w:rsid w:val="006A4C02"/>
    <w:rsid w:val="006A4C2F"/>
    <w:rsid w:val="006A4DA5"/>
    <w:rsid w:val="006A5A9A"/>
    <w:rsid w:val="006B0D43"/>
    <w:rsid w:val="006B1018"/>
    <w:rsid w:val="006B15D1"/>
    <w:rsid w:val="006B2253"/>
    <w:rsid w:val="006B3ABD"/>
    <w:rsid w:val="006B4428"/>
    <w:rsid w:val="006B4B07"/>
    <w:rsid w:val="006B5E4E"/>
    <w:rsid w:val="006B6E45"/>
    <w:rsid w:val="006C131B"/>
    <w:rsid w:val="006C1FD9"/>
    <w:rsid w:val="006C3FB8"/>
    <w:rsid w:val="006C6FCB"/>
    <w:rsid w:val="006C778A"/>
    <w:rsid w:val="006D15D0"/>
    <w:rsid w:val="006D21E1"/>
    <w:rsid w:val="006D3758"/>
    <w:rsid w:val="006D4CD6"/>
    <w:rsid w:val="006D5001"/>
    <w:rsid w:val="006D5D05"/>
    <w:rsid w:val="006E03DC"/>
    <w:rsid w:val="006E0E73"/>
    <w:rsid w:val="006E1D24"/>
    <w:rsid w:val="006E1E5E"/>
    <w:rsid w:val="006E205B"/>
    <w:rsid w:val="006E5DA6"/>
    <w:rsid w:val="006E7F2D"/>
    <w:rsid w:val="006F2EB8"/>
    <w:rsid w:val="006F3B21"/>
    <w:rsid w:val="006F3FCC"/>
    <w:rsid w:val="006F4AFE"/>
    <w:rsid w:val="006F617A"/>
    <w:rsid w:val="006F70E0"/>
    <w:rsid w:val="006F7367"/>
    <w:rsid w:val="006F7AA9"/>
    <w:rsid w:val="00700411"/>
    <w:rsid w:val="00702BC1"/>
    <w:rsid w:val="00703103"/>
    <w:rsid w:val="00703217"/>
    <w:rsid w:val="00703222"/>
    <w:rsid w:val="00706328"/>
    <w:rsid w:val="007116D2"/>
    <w:rsid w:val="00713697"/>
    <w:rsid w:val="007145EE"/>
    <w:rsid w:val="0071647A"/>
    <w:rsid w:val="00721A22"/>
    <w:rsid w:val="00722D1D"/>
    <w:rsid w:val="00723CF4"/>
    <w:rsid w:val="0072403B"/>
    <w:rsid w:val="00726539"/>
    <w:rsid w:val="00727BB9"/>
    <w:rsid w:val="00727DCB"/>
    <w:rsid w:val="00730762"/>
    <w:rsid w:val="00732D8D"/>
    <w:rsid w:val="00732DFC"/>
    <w:rsid w:val="00733F86"/>
    <w:rsid w:val="007357CC"/>
    <w:rsid w:val="00735C34"/>
    <w:rsid w:val="00736F83"/>
    <w:rsid w:val="0073780E"/>
    <w:rsid w:val="00741989"/>
    <w:rsid w:val="00744009"/>
    <w:rsid w:val="00744E1F"/>
    <w:rsid w:val="007450B0"/>
    <w:rsid w:val="0074777F"/>
    <w:rsid w:val="007528CA"/>
    <w:rsid w:val="007536C5"/>
    <w:rsid w:val="0075686F"/>
    <w:rsid w:val="00756B66"/>
    <w:rsid w:val="00762271"/>
    <w:rsid w:val="00762275"/>
    <w:rsid w:val="007629B8"/>
    <w:rsid w:val="00762BC3"/>
    <w:rsid w:val="007630F2"/>
    <w:rsid w:val="0076415A"/>
    <w:rsid w:val="00764ABE"/>
    <w:rsid w:val="00764BBC"/>
    <w:rsid w:val="00764D07"/>
    <w:rsid w:val="0076623D"/>
    <w:rsid w:val="00766C15"/>
    <w:rsid w:val="0077004E"/>
    <w:rsid w:val="00771A55"/>
    <w:rsid w:val="007722EC"/>
    <w:rsid w:val="0077472C"/>
    <w:rsid w:val="0077507A"/>
    <w:rsid w:val="0077584F"/>
    <w:rsid w:val="00780597"/>
    <w:rsid w:val="00785BB7"/>
    <w:rsid w:val="007876B6"/>
    <w:rsid w:val="0079350D"/>
    <w:rsid w:val="00794A16"/>
    <w:rsid w:val="0079659B"/>
    <w:rsid w:val="007A2A8E"/>
    <w:rsid w:val="007A59CC"/>
    <w:rsid w:val="007A6740"/>
    <w:rsid w:val="007B27E0"/>
    <w:rsid w:val="007B29AE"/>
    <w:rsid w:val="007B3EA9"/>
    <w:rsid w:val="007B652C"/>
    <w:rsid w:val="007B6F0A"/>
    <w:rsid w:val="007B6F8C"/>
    <w:rsid w:val="007B75E0"/>
    <w:rsid w:val="007C036B"/>
    <w:rsid w:val="007C1435"/>
    <w:rsid w:val="007C1647"/>
    <w:rsid w:val="007C1959"/>
    <w:rsid w:val="007C328A"/>
    <w:rsid w:val="007C4E36"/>
    <w:rsid w:val="007C7A9D"/>
    <w:rsid w:val="007D1E48"/>
    <w:rsid w:val="007D3169"/>
    <w:rsid w:val="007D38A3"/>
    <w:rsid w:val="007D5A1D"/>
    <w:rsid w:val="007D635D"/>
    <w:rsid w:val="007D6FA6"/>
    <w:rsid w:val="007D7997"/>
    <w:rsid w:val="007E0510"/>
    <w:rsid w:val="007E590B"/>
    <w:rsid w:val="007E5EDB"/>
    <w:rsid w:val="007F0061"/>
    <w:rsid w:val="007F65AB"/>
    <w:rsid w:val="007F77A1"/>
    <w:rsid w:val="00800CD2"/>
    <w:rsid w:val="00800DAD"/>
    <w:rsid w:val="00801912"/>
    <w:rsid w:val="008034D3"/>
    <w:rsid w:val="00803F89"/>
    <w:rsid w:val="008053F1"/>
    <w:rsid w:val="0080617B"/>
    <w:rsid w:val="00806633"/>
    <w:rsid w:val="00806704"/>
    <w:rsid w:val="00810E85"/>
    <w:rsid w:val="00811067"/>
    <w:rsid w:val="008115FD"/>
    <w:rsid w:val="00812B73"/>
    <w:rsid w:val="00813DFA"/>
    <w:rsid w:val="008163A5"/>
    <w:rsid w:val="00816742"/>
    <w:rsid w:val="00816D79"/>
    <w:rsid w:val="00817EFF"/>
    <w:rsid w:val="0082086F"/>
    <w:rsid w:val="00820CF1"/>
    <w:rsid w:val="00822A33"/>
    <w:rsid w:val="00823774"/>
    <w:rsid w:val="00824C7B"/>
    <w:rsid w:val="00824E05"/>
    <w:rsid w:val="008250C5"/>
    <w:rsid w:val="00826075"/>
    <w:rsid w:val="00827765"/>
    <w:rsid w:val="008322C2"/>
    <w:rsid w:val="008324C6"/>
    <w:rsid w:val="008329AB"/>
    <w:rsid w:val="00832C46"/>
    <w:rsid w:val="0083375F"/>
    <w:rsid w:val="00834D52"/>
    <w:rsid w:val="00834E48"/>
    <w:rsid w:val="0083649A"/>
    <w:rsid w:val="0083796A"/>
    <w:rsid w:val="008409FB"/>
    <w:rsid w:val="00840BB3"/>
    <w:rsid w:val="008423C1"/>
    <w:rsid w:val="00842AAD"/>
    <w:rsid w:val="00842C7E"/>
    <w:rsid w:val="00843A76"/>
    <w:rsid w:val="00844AA7"/>
    <w:rsid w:val="008462B9"/>
    <w:rsid w:val="008509D8"/>
    <w:rsid w:val="00851AAD"/>
    <w:rsid w:val="00852842"/>
    <w:rsid w:val="00854729"/>
    <w:rsid w:val="00856A8B"/>
    <w:rsid w:val="008604F9"/>
    <w:rsid w:val="00862054"/>
    <w:rsid w:val="00862399"/>
    <w:rsid w:val="00863C2B"/>
    <w:rsid w:val="00863EC5"/>
    <w:rsid w:val="00866025"/>
    <w:rsid w:val="00866875"/>
    <w:rsid w:val="00867B83"/>
    <w:rsid w:val="00870FF4"/>
    <w:rsid w:val="008725CD"/>
    <w:rsid w:val="00873278"/>
    <w:rsid w:val="00874418"/>
    <w:rsid w:val="00874560"/>
    <w:rsid w:val="0087513A"/>
    <w:rsid w:val="00875599"/>
    <w:rsid w:val="00876454"/>
    <w:rsid w:val="00876B39"/>
    <w:rsid w:val="00877579"/>
    <w:rsid w:val="00880EC7"/>
    <w:rsid w:val="00881A4A"/>
    <w:rsid w:val="00882626"/>
    <w:rsid w:val="008835F3"/>
    <w:rsid w:val="00885839"/>
    <w:rsid w:val="00886B32"/>
    <w:rsid w:val="00886EA9"/>
    <w:rsid w:val="008901CF"/>
    <w:rsid w:val="008902B2"/>
    <w:rsid w:val="00891822"/>
    <w:rsid w:val="00892BE6"/>
    <w:rsid w:val="00893EF7"/>
    <w:rsid w:val="00894116"/>
    <w:rsid w:val="00894FC0"/>
    <w:rsid w:val="00895773"/>
    <w:rsid w:val="00897623"/>
    <w:rsid w:val="008A0832"/>
    <w:rsid w:val="008A1036"/>
    <w:rsid w:val="008A1358"/>
    <w:rsid w:val="008A2161"/>
    <w:rsid w:val="008A3975"/>
    <w:rsid w:val="008A4C5C"/>
    <w:rsid w:val="008A6BE8"/>
    <w:rsid w:val="008A7D3A"/>
    <w:rsid w:val="008A7D6E"/>
    <w:rsid w:val="008B003F"/>
    <w:rsid w:val="008B08C8"/>
    <w:rsid w:val="008B11C2"/>
    <w:rsid w:val="008B1D0B"/>
    <w:rsid w:val="008B2B50"/>
    <w:rsid w:val="008B397C"/>
    <w:rsid w:val="008B4D38"/>
    <w:rsid w:val="008B4F86"/>
    <w:rsid w:val="008B60A6"/>
    <w:rsid w:val="008B6E5A"/>
    <w:rsid w:val="008B7C25"/>
    <w:rsid w:val="008B7E1F"/>
    <w:rsid w:val="008C0636"/>
    <w:rsid w:val="008C157C"/>
    <w:rsid w:val="008C1E25"/>
    <w:rsid w:val="008C2D95"/>
    <w:rsid w:val="008C349C"/>
    <w:rsid w:val="008C50E8"/>
    <w:rsid w:val="008C5428"/>
    <w:rsid w:val="008C7A73"/>
    <w:rsid w:val="008D1A4F"/>
    <w:rsid w:val="008D255F"/>
    <w:rsid w:val="008D517B"/>
    <w:rsid w:val="008D51B0"/>
    <w:rsid w:val="008D7AAE"/>
    <w:rsid w:val="008E18DD"/>
    <w:rsid w:val="008E1E01"/>
    <w:rsid w:val="008E29E6"/>
    <w:rsid w:val="008E4F1C"/>
    <w:rsid w:val="008E638D"/>
    <w:rsid w:val="008E6654"/>
    <w:rsid w:val="008F01BE"/>
    <w:rsid w:val="008F3165"/>
    <w:rsid w:val="008F332A"/>
    <w:rsid w:val="008F5137"/>
    <w:rsid w:val="008F54F0"/>
    <w:rsid w:val="008F7EFC"/>
    <w:rsid w:val="00900303"/>
    <w:rsid w:val="00902C6C"/>
    <w:rsid w:val="009038B2"/>
    <w:rsid w:val="009048EA"/>
    <w:rsid w:val="00911CA1"/>
    <w:rsid w:val="00912398"/>
    <w:rsid w:val="0091471A"/>
    <w:rsid w:val="0091564B"/>
    <w:rsid w:val="00915A8E"/>
    <w:rsid w:val="0091627D"/>
    <w:rsid w:val="0091766B"/>
    <w:rsid w:val="009200A1"/>
    <w:rsid w:val="0092046F"/>
    <w:rsid w:val="009227F6"/>
    <w:rsid w:val="00923E47"/>
    <w:rsid w:val="00924126"/>
    <w:rsid w:val="00925124"/>
    <w:rsid w:val="00925BE2"/>
    <w:rsid w:val="009264CA"/>
    <w:rsid w:val="00927BB2"/>
    <w:rsid w:val="00930707"/>
    <w:rsid w:val="0093280D"/>
    <w:rsid w:val="00933284"/>
    <w:rsid w:val="0093385B"/>
    <w:rsid w:val="009342E1"/>
    <w:rsid w:val="009345E1"/>
    <w:rsid w:val="00935181"/>
    <w:rsid w:val="00940EF9"/>
    <w:rsid w:val="009419E3"/>
    <w:rsid w:val="00942226"/>
    <w:rsid w:val="00942DBF"/>
    <w:rsid w:val="00942DFD"/>
    <w:rsid w:val="00943EED"/>
    <w:rsid w:val="00947BE8"/>
    <w:rsid w:val="009506BB"/>
    <w:rsid w:val="00950BE0"/>
    <w:rsid w:val="00952D74"/>
    <w:rsid w:val="009537B9"/>
    <w:rsid w:val="00955287"/>
    <w:rsid w:val="009560CA"/>
    <w:rsid w:val="00957F32"/>
    <w:rsid w:val="0096205C"/>
    <w:rsid w:val="00962523"/>
    <w:rsid w:val="009628B8"/>
    <w:rsid w:val="00962F19"/>
    <w:rsid w:val="00963814"/>
    <w:rsid w:val="009639CE"/>
    <w:rsid w:val="00963CDF"/>
    <w:rsid w:val="00963F6D"/>
    <w:rsid w:val="009651F5"/>
    <w:rsid w:val="0096596C"/>
    <w:rsid w:val="009665C7"/>
    <w:rsid w:val="0096678C"/>
    <w:rsid w:val="00966985"/>
    <w:rsid w:val="00966EA1"/>
    <w:rsid w:val="009702BD"/>
    <w:rsid w:val="0097205F"/>
    <w:rsid w:val="009737D3"/>
    <w:rsid w:val="009742B4"/>
    <w:rsid w:val="00974F89"/>
    <w:rsid w:val="009752CC"/>
    <w:rsid w:val="00976C53"/>
    <w:rsid w:val="00977005"/>
    <w:rsid w:val="00977659"/>
    <w:rsid w:val="009801C1"/>
    <w:rsid w:val="00980E2D"/>
    <w:rsid w:val="009826C6"/>
    <w:rsid w:val="00987CD8"/>
    <w:rsid w:val="00993B08"/>
    <w:rsid w:val="00994334"/>
    <w:rsid w:val="00995661"/>
    <w:rsid w:val="009966DF"/>
    <w:rsid w:val="009A1459"/>
    <w:rsid w:val="009A31EF"/>
    <w:rsid w:val="009A3ABE"/>
    <w:rsid w:val="009A4CD8"/>
    <w:rsid w:val="009A4E89"/>
    <w:rsid w:val="009A5158"/>
    <w:rsid w:val="009A5612"/>
    <w:rsid w:val="009A5C24"/>
    <w:rsid w:val="009A5D43"/>
    <w:rsid w:val="009B0297"/>
    <w:rsid w:val="009B099D"/>
    <w:rsid w:val="009B1376"/>
    <w:rsid w:val="009B189A"/>
    <w:rsid w:val="009B2424"/>
    <w:rsid w:val="009B269B"/>
    <w:rsid w:val="009B55E0"/>
    <w:rsid w:val="009B5CE0"/>
    <w:rsid w:val="009B5F96"/>
    <w:rsid w:val="009B61D8"/>
    <w:rsid w:val="009C0027"/>
    <w:rsid w:val="009C1A2D"/>
    <w:rsid w:val="009C4DB0"/>
    <w:rsid w:val="009C6B24"/>
    <w:rsid w:val="009D0759"/>
    <w:rsid w:val="009D244E"/>
    <w:rsid w:val="009D416F"/>
    <w:rsid w:val="009D618B"/>
    <w:rsid w:val="009D6AC3"/>
    <w:rsid w:val="009D777D"/>
    <w:rsid w:val="009D7885"/>
    <w:rsid w:val="009E37BE"/>
    <w:rsid w:val="009E3AB0"/>
    <w:rsid w:val="009E796F"/>
    <w:rsid w:val="009E7AA8"/>
    <w:rsid w:val="009F16BF"/>
    <w:rsid w:val="009F1C9C"/>
    <w:rsid w:val="009F218E"/>
    <w:rsid w:val="009F3125"/>
    <w:rsid w:val="009F3874"/>
    <w:rsid w:val="00A00B25"/>
    <w:rsid w:val="00A0476E"/>
    <w:rsid w:val="00A05062"/>
    <w:rsid w:val="00A06D45"/>
    <w:rsid w:val="00A114D5"/>
    <w:rsid w:val="00A11ACB"/>
    <w:rsid w:val="00A1282F"/>
    <w:rsid w:val="00A146BE"/>
    <w:rsid w:val="00A15CCF"/>
    <w:rsid w:val="00A16C9F"/>
    <w:rsid w:val="00A20BC3"/>
    <w:rsid w:val="00A21A78"/>
    <w:rsid w:val="00A22EEE"/>
    <w:rsid w:val="00A230C8"/>
    <w:rsid w:val="00A23FAE"/>
    <w:rsid w:val="00A24276"/>
    <w:rsid w:val="00A249A8"/>
    <w:rsid w:val="00A24AEE"/>
    <w:rsid w:val="00A27BEE"/>
    <w:rsid w:val="00A31B1E"/>
    <w:rsid w:val="00A32F89"/>
    <w:rsid w:val="00A33007"/>
    <w:rsid w:val="00A35610"/>
    <w:rsid w:val="00A37DAE"/>
    <w:rsid w:val="00A40786"/>
    <w:rsid w:val="00A40976"/>
    <w:rsid w:val="00A4121A"/>
    <w:rsid w:val="00A41A11"/>
    <w:rsid w:val="00A41B5B"/>
    <w:rsid w:val="00A43193"/>
    <w:rsid w:val="00A4361B"/>
    <w:rsid w:val="00A43B99"/>
    <w:rsid w:val="00A44BD7"/>
    <w:rsid w:val="00A45074"/>
    <w:rsid w:val="00A45BE6"/>
    <w:rsid w:val="00A47E89"/>
    <w:rsid w:val="00A51513"/>
    <w:rsid w:val="00A526E5"/>
    <w:rsid w:val="00A5290D"/>
    <w:rsid w:val="00A53F81"/>
    <w:rsid w:val="00A54CBE"/>
    <w:rsid w:val="00A553FE"/>
    <w:rsid w:val="00A555F4"/>
    <w:rsid w:val="00A560E0"/>
    <w:rsid w:val="00A563C4"/>
    <w:rsid w:val="00A56A0A"/>
    <w:rsid w:val="00A60048"/>
    <w:rsid w:val="00A6052E"/>
    <w:rsid w:val="00A61108"/>
    <w:rsid w:val="00A65210"/>
    <w:rsid w:val="00A66083"/>
    <w:rsid w:val="00A66A26"/>
    <w:rsid w:val="00A67BE3"/>
    <w:rsid w:val="00A70E88"/>
    <w:rsid w:val="00A71DBE"/>
    <w:rsid w:val="00A72715"/>
    <w:rsid w:val="00A74212"/>
    <w:rsid w:val="00A75889"/>
    <w:rsid w:val="00A7745B"/>
    <w:rsid w:val="00A81C66"/>
    <w:rsid w:val="00A83992"/>
    <w:rsid w:val="00A83E74"/>
    <w:rsid w:val="00A86CF5"/>
    <w:rsid w:val="00A90BBE"/>
    <w:rsid w:val="00A91254"/>
    <w:rsid w:val="00A912F4"/>
    <w:rsid w:val="00A9157A"/>
    <w:rsid w:val="00A92381"/>
    <w:rsid w:val="00A92EA8"/>
    <w:rsid w:val="00A952E1"/>
    <w:rsid w:val="00A9647C"/>
    <w:rsid w:val="00A97A3D"/>
    <w:rsid w:val="00AA0164"/>
    <w:rsid w:val="00AA045D"/>
    <w:rsid w:val="00AA11C3"/>
    <w:rsid w:val="00AA480F"/>
    <w:rsid w:val="00AA5B49"/>
    <w:rsid w:val="00AA6CEC"/>
    <w:rsid w:val="00AA7333"/>
    <w:rsid w:val="00AB0328"/>
    <w:rsid w:val="00AB1159"/>
    <w:rsid w:val="00AB2158"/>
    <w:rsid w:val="00AB2EE4"/>
    <w:rsid w:val="00AB3535"/>
    <w:rsid w:val="00AB7944"/>
    <w:rsid w:val="00AB7B7C"/>
    <w:rsid w:val="00AC02FD"/>
    <w:rsid w:val="00AC08FD"/>
    <w:rsid w:val="00AC1CD7"/>
    <w:rsid w:val="00AC1F0A"/>
    <w:rsid w:val="00AC4D9F"/>
    <w:rsid w:val="00AC7220"/>
    <w:rsid w:val="00AD2FAB"/>
    <w:rsid w:val="00AD3346"/>
    <w:rsid w:val="00AE1B0E"/>
    <w:rsid w:val="00AE33FE"/>
    <w:rsid w:val="00AE3C1D"/>
    <w:rsid w:val="00AE4F80"/>
    <w:rsid w:val="00AF04C7"/>
    <w:rsid w:val="00AF0509"/>
    <w:rsid w:val="00AF0A9B"/>
    <w:rsid w:val="00AF1126"/>
    <w:rsid w:val="00AF1218"/>
    <w:rsid w:val="00AF37D3"/>
    <w:rsid w:val="00AF4098"/>
    <w:rsid w:val="00AF74B6"/>
    <w:rsid w:val="00AF7B45"/>
    <w:rsid w:val="00B0007F"/>
    <w:rsid w:val="00B002F3"/>
    <w:rsid w:val="00B019D8"/>
    <w:rsid w:val="00B037DC"/>
    <w:rsid w:val="00B04ACE"/>
    <w:rsid w:val="00B0509C"/>
    <w:rsid w:val="00B05B62"/>
    <w:rsid w:val="00B05CA1"/>
    <w:rsid w:val="00B05E45"/>
    <w:rsid w:val="00B066F3"/>
    <w:rsid w:val="00B06957"/>
    <w:rsid w:val="00B10ACA"/>
    <w:rsid w:val="00B110E2"/>
    <w:rsid w:val="00B116DE"/>
    <w:rsid w:val="00B11BC2"/>
    <w:rsid w:val="00B145C4"/>
    <w:rsid w:val="00B15432"/>
    <w:rsid w:val="00B15947"/>
    <w:rsid w:val="00B15C6D"/>
    <w:rsid w:val="00B2132A"/>
    <w:rsid w:val="00B23E32"/>
    <w:rsid w:val="00B2538E"/>
    <w:rsid w:val="00B25638"/>
    <w:rsid w:val="00B25D58"/>
    <w:rsid w:val="00B26C7A"/>
    <w:rsid w:val="00B320FC"/>
    <w:rsid w:val="00B3404C"/>
    <w:rsid w:val="00B34319"/>
    <w:rsid w:val="00B35F0D"/>
    <w:rsid w:val="00B36EC9"/>
    <w:rsid w:val="00B37433"/>
    <w:rsid w:val="00B425D5"/>
    <w:rsid w:val="00B42846"/>
    <w:rsid w:val="00B4345B"/>
    <w:rsid w:val="00B434DB"/>
    <w:rsid w:val="00B445A7"/>
    <w:rsid w:val="00B46DAA"/>
    <w:rsid w:val="00B50985"/>
    <w:rsid w:val="00B5194C"/>
    <w:rsid w:val="00B53096"/>
    <w:rsid w:val="00B5338D"/>
    <w:rsid w:val="00B53CDE"/>
    <w:rsid w:val="00B54D9B"/>
    <w:rsid w:val="00B5771C"/>
    <w:rsid w:val="00B627CA"/>
    <w:rsid w:val="00B63ACC"/>
    <w:rsid w:val="00B6486B"/>
    <w:rsid w:val="00B662B3"/>
    <w:rsid w:val="00B70E02"/>
    <w:rsid w:val="00B711C0"/>
    <w:rsid w:val="00B71519"/>
    <w:rsid w:val="00B71AB6"/>
    <w:rsid w:val="00B72F75"/>
    <w:rsid w:val="00B7398C"/>
    <w:rsid w:val="00B740D7"/>
    <w:rsid w:val="00B75213"/>
    <w:rsid w:val="00B752AB"/>
    <w:rsid w:val="00B80BB7"/>
    <w:rsid w:val="00B84576"/>
    <w:rsid w:val="00B848CC"/>
    <w:rsid w:val="00B85F32"/>
    <w:rsid w:val="00B86467"/>
    <w:rsid w:val="00B86FB2"/>
    <w:rsid w:val="00B91273"/>
    <w:rsid w:val="00B92C91"/>
    <w:rsid w:val="00B94E39"/>
    <w:rsid w:val="00B95E84"/>
    <w:rsid w:val="00B970BB"/>
    <w:rsid w:val="00B97DB3"/>
    <w:rsid w:val="00BA1D34"/>
    <w:rsid w:val="00BA24BD"/>
    <w:rsid w:val="00BA5F64"/>
    <w:rsid w:val="00BA6FAB"/>
    <w:rsid w:val="00BB1A37"/>
    <w:rsid w:val="00BB1B6D"/>
    <w:rsid w:val="00BB3991"/>
    <w:rsid w:val="00BB3AEA"/>
    <w:rsid w:val="00BB5E6B"/>
    <w:rsid w:val="00BB61B4"/>
    <w:rsid w:val="00BB6C73"/>
    <w:rsid w:val="00BB7800"/>
    <w:rsid w:val="00BC039F"/>
    <w:rsid w:val="00BC0843"/>
    <w:rsid w:val="00BC11D8"/>
    <w:rsid w:val="00BC1C98"/>
    <w:rsid w:val="00BC4693"/>
    <w:rsid w:val="00BC5280"/>
    <w:rsid w:val="00BC5EBC"/>
    <w:rsid w:val="00BC610B"/>
    <w:rsid w:val="00BC6A4F"/>
    <w:rsid w:val="00BD0569"/>
    <w:rsid w:val="00BD3580"/>
    <w:rsid w:val="00BD73FF"/>
    <w:rsid w:val="00BD7628"/>
    <w:rsid w:val="00BE05AD"/>
    <w:rsid w:val="00BE08D1"/>
    <w:rsid w:val="00BF0600"/>
    <w:rsid w:val="00BF08A5"/>
    <w:rsid w:val="00BF5353"/>
    <w:rsid w:val="00BF5BAD"/>
    <w:rsid w:val="00C004B5"/>
    <w:rsid w:val="00C006E9"/>
    <w:rsid w:val="00C02515"/>
    <w:rsid w:val="00C02560"/>
    <w:rsid w:val="00C02917"/>
    <w:rsid w:val="00C0580A"/>
    <w:rsid w:val="00C0622E"/>
    <w:rsid w:val="00C0677D"/>
    <w:rsid w:val="00C06837"/>
    <w:rsid w:val="00C06BA9"/>
    <w:rsid w:val="00C07223"/>
    <w:rsid w:val="00C10216"/>
    <w:rsid w:val="00C10DD5"/>
    <w:rsid w:val="00C11282"/>
    <w:rsid w:val="00C11F1F"/>
    <w:rsid w:val="00C13E14"/>
    <w:rsid w:val="00C143AA"/>
    <w:rsid w:val="00C20208"/>
    <w:rsid w:val="00C23940"/>
    <w:rsid w:val="00C245C1"/>
    <w:rsid w:val="00C24605"/>
    <w:rsid w:val="00C24CDB"/>
    <w:rsid w:val="00C2522B"/>
    <w:rsid w:val="00C25B4D"/>
    <w:rsid w:val="00C2715E"/>
    <w:rsid w:val="00C277AF"/>
    <w:rsid w:val="00C31F92"/>
    <w:rsid w:val="00C328A8"/>
    <w:rsid w:val="00C33F22"/>
    <w:rsid w:val="00C346D3"/>
    <w:rsid w:val="00C351B7"/>
    <w:rsid w:val="00C35260"/>
    <w:rsid w:val="00C369AC"/>
    <w:rsid w:val="00C36A1F"/>
    <w:rsid w:val="00C40194"/>
    <w:rsid w:val="00C40AD4"/>
    <w:rsid w:val="00C41C04"/>
    <w:rsid w:val="00C456B7"/>
    <w:rsid w:val="00C4594F"/>
    <w:rsid w:val="00C45AA4"/>
    <w:rsid w:val="00C4785D"/>
    <w:rsid w:val="00C51BE4"/>
    <w:rsid w:val="00C53753"/>
    <w:rsid w:val="00C5436F"/>
    <w:rsid w:val="00C5798C"/>
    <w:rsid w:val="00C615B8"/>
    <w:rsid w:val="00C62949"/>
    <w:rsid w:val="00C639FF"/>
    <w:rsid w:val="00C65131"/>
    <w:rsid w:val="00C65BF7"/>
    <w:rsid w:val="00C67107"/>
    <w:rsid w:val="00C67653"/>
    <w:rsid w:val="00C67D47"/>
    <w:rsid w:val="00C713DB"/>
    <w:rsid w:val="00C7221E"/>
    <w:rsid w:val="00C7623E"/>
    <w:rsid w:val="00C7675B"/>
    <w:rsid w:val="00C772A5"/>
    <w:rsid w:val="00C80429"/>
    <w:rsid w:val="00C84242"/>
    <w:rsid w:val="00C85150"/>
    <w:rsid w:val="00C86DB6"/>
    <w:rsid w:val="00C87621"/>
    <w:rsid w:val="00C9052A"/>
    <w:rsid w:val="00C9132A"/>
    <w:rsid w:val="00C91A37"/>
    <w:rsid w:val="00C91E23"/>
    <w:rsid w:val="00C931E0"/>
    <w:rsid w:val="00C936F0"/>
    <w:rsid w:val="00C96DE2"/>
    <w:rsid w:val="00C97C33"/>
    <w:rsid w:val="00CA049A"/>
    <w:rsid w:val="00CA2D2F"/>
    <w:rsid w:val="00CA2EF4"/>
    <w:rsid w:val="00CA3C23"/>
    <w:rsid w:val="00CA3D93"/>
    <w:rsid w:val="00CA4B4D"/>
    <w:rsid w:val="00CA693E"/>
    <w:rsid w:val="00CB06EE"/>
    <w:rsid w:val="00CB0B9E"/>
    <w:rsid w:val="00CB18C4"/>
    <w:rsid w:val="00CB1D1F"/>
    <w:rsid w:val="00CB212A"/>
    <w:rsid w:val="00CB2363"/>
    <w:rsid w:val="00CB5207"/>
    <w:rsid w:val="00CC03CA"/>
    <w:rsid w:val="00CC127A"/>
    <w:rsid w:val="00CC1560"/>
    <w:rsid w:val="00CC2A62"/>
    <w:rsid w:val="00CC2E3C"/>
    <w:rsid w:val="00CC3D30"/>
    <w:rsid w:val="00CC497C"/>
    <w:rsid w:val="00CC4BFE"/>
    <w:rsid w:val="00CC4F61"/>
    <w:rsid w:val="00CC6AC0"/>
    <w:rsid w:val="00CC6F89"/>
    <w:rsid w:val="00CC72EC"/>
    <w:rsid w:val="00CD0065"/>
    <w:rsid w:val="00CD03B1"/>
    <w:rsid w:val="00CD0B84"/>
    <w:rsid w:val="00CD1E03"/>
    <w:rsid w:val="00CD1F32"/>
    <w:rsid w:val="00CD2F48"/>
    <w:rsid w:val="00CD48EC"/>
    <w:rsid w:val="00CD6774"/>
    <w:rsid w:val="00CD6B92"/>
    <w:rsid w:val="00CD6F28"/>
    <w:rsid w:val="00CE1528"/>
    <w:rsid w:val="00CE1B04"/>
    <w:rsid w:val="00CE5190"/>
    <w:rsid w:val="00CE5F35"/>
    <w:rsid w:val="00CE696D"/>
    <w:rsid w:val="00CE721B"/>
    <w:rsid w:val="00CE722A"/>
    <w:rsid w:val="00CE7652"/>
    <w:rsid w:val="00CF1773"/>
    <w:rsid w:val="00CF1D9E"/>
    <w:rsid w:val="00CF1F91"/>
    <w:rsid w:val="00CF2FED"/>
    <w:rsid w:val="00CF37E0"/>
    <w:rsid w:val="00CF52E0"/>
    <w:rsid w:val="00CF6082"/>
    <w:rsid w:val="00D00079"/>
    <w:rsid w:val="00D02026"/>
    <w:rsid w:val="00D02384"/>
    <w:rsid w:val="00D0577B"/>
    <w:rsid w:val="00D065D2"/>
    <w:rsid w:val="00D07C15"/>
    <w:rsid w:val="00D11086"/>
    <w:rsid w:val="00D161B6"/>
    <w:rsid w:val="00D22C9E"/>
    <w:rsid w:val="00D2327B"/>
    <w:rsid w:val="00D321C6"/>
    <w:rsid w:val="00D336C2"/>
    <w:rsid w:val="00D3628B"/>
    <w:rsid w:val="00D367BE"/>
    <w:rsid w:val="00D409FE"/>
    <w:rsid w:val="00D422A5"/>
    <w:rsid w:val="00D43337"/>
    <w:rsid w:val="00D43519"/>
    <w:rsid w:val="00D442F5"/>
    <w:rsid w:val="00D44E74"/>
    <w:rsid w:val="00D45D08"/>
    <w:rsid w:val="00D46EAB"/>
    <w:rsid w:val="00D46FBA"/>
    <w:rsid w:val="00D473B2"/>
    <w:rsid w:val="00D520D9"/>
    <w:rsid w:val="00D53A45"/>
    <w:rsid w:val="00D53C43"/>
    <w:rsid w:val="00D56053"/>
    <w:rsid w:val="00D560D5"/>
    <w:rsid w:val="00D5616E"/>
    <w:rsid w:val="00D60168"/>
    <w:rsid w:val="00D614A1"/>
    <w:rsid w:val="00D622A9"/>
    <w:rsid w:val="00D62988"/>
    <w:rsid w:val="00D62B97"/>
    <w:rsid w:val="00D66BF8"/>
    <w:rsid w:val="00D67705"/>
    <w:rsid w:val="00D70AA0"/>
    <w:rsid w:val="00D7103E"/>
    <w:rsid w:val="00D71E4A"/>
    <w:rsid w:val="00D728AB"/>
    <w:rsid w:val="00D743F1"/>
    <w:rsid w:val="00D75A94"/>
    <w:rsid w:val="00D77348"/>
    <w:rsid w:val="00D8034F"/>
    <w:rsid w:val="00D81068"/>
    <w:rsid w:val="00D82F2A"/>
    <w:rsid w:val="00D85891"/>
    <w:rsid w:val="00D8691C"/>
    <w:rsid w:val="00D9004A"/>
    <w:rsid w:val="00D908A1"/>
    <w:rsid w:val="00D91626"/>
    <w:rsid w:val="00D9165D"/>
    <w:rsid w:val="00D94DAF"/>
    <w:rsid w:val="00D95026"/>
    <w:rsid w:val="00D958D5"/>
    <w:rsid w:val="00D964A2"/>
    <w:rsid w:val="00DA013E"/>
    <w:rsid w:val="00DA1C19"/>
    <w:rsid w:val="00DA24D7"/>
    <w:rsid w:val="00DA2768"/>
    <w:rsid w:val="00DA2CC8"/>
    <w:rsid w:val="00DA30EB"/>
    <w:rsid w:val="00DA346B"/>
    <w:rsid w:val="00DA5ADB"/>
    <w:rsid w:val="00DA5F70"/>
    <w:rsid w:val="00DA6A17"/>
    <w:rsid w:val="00DB0012"/>
    <w:rsid w:val="00DB2C62"/>
    <w:rsid w:val="00DB5643"/>
    <w:rsid w:val="00DB5EDC"/>
    <w:rsid w:val="00DB6373"/>
    <w:rsid w:val="00DB6735"/>
    <w:rsid w:val="00DB6E60"/>
    <w:rsid w:val="00DB7B1F"/>
    <w:rsid w:val="00DC1442"/>
    <w:rsid w:val="00DC2994"/>
    <w:rsid w:val="00DC2FC1"/>
    <w:rsid w:val="00DC3E8D"/>
    <w:rsid w:val="00DC59CC"/>
    <w:rsid w:val="00DD05C1"/>
    <w:rsid w:val="00DD0E60"/>
    <w:rsid w:val="00DD1773"/>
    <w:rsid w:val="00DD191E"/>
    <w:rsid w:val="00DD4E5D"/>
    <w:rsid w:val="00DD50F6"/>
    <w:rsid w:val="00DD6FF3"/>
    <w:rsid w:val="00DD7E6C"/>
    <w:rsid w:val="00DE0578"/>
    <w:rsid w:val="00DE070B"/>
    <w:rsid w:val="00DE0961"/>
    <w:rsid w:val="00DE0CCF"/>
    <w:rsid w:val="00DE116E"/>
    <w:rsid w:val="00DE1836"/>
    <w:rsid w:val="00DE2F04"/>
    <w:rsid w:val="00DE3250"/>
    <w:rsid w:val="00DE51DB"/>
    <w:rsid w:val="00DE56B9"/>
    <w:rsid w:val="00DE5796"/>
    <w:rsid w:val="00DE6792"/>
    <w:rsid w:val="00DE6B4E"/>
    <w:rsid w:val="00DF10A3"/>
    <w:rsid w:val="00DF36D9"/>
    <w:rsid w:val="00DF605B"/>
    <w:rsid w:val="00DF7549"/>
    <w:rsid w:val="00E00E6A"/>
    <w:rsid w:val="00E00F4C"/>
    <w:rsid w:val="00E01436"/>
    <w:rsid w:val="00E026A6"/>
    <w:rsid w:val="00E03931"/>
    <w:rsid w:val="00E05B53"/>
    <w:rsid w:val="00E0733B"/>
    <w:rsid w:val="00E07766"/>
    <w:rsid w:val="00E0781B"/>
    <w:rsid w:val="00E07C4C"/>
    <w:rsid w:val="00E11233"/>
    <w:rsid w:val="00E11BA2"/>
    <w:rsid w:val="00E11F88"/>
    <w:rsid w:val="00E16302"/>
    <w:rsid w:val="00E23290"/>
    <w:rsid w:val="00E232FE"/>
    <w:rsid w:val="00E23FA3"/>
    <w:rsid w:val="00E24791"/>
    <w:rsid w:val="00E24934"/>
    <w:rsid w:val="00E263D7"/>
    <w:rsid w:val="00E264AB"/>
    <w:rsid w:val="00E31BED"/>
    <w:rsid w:val="00E328F7"/>
    <w:rsid w:val="00E33568"/>
    <w:rsid w:val="00E33BBB"/>
    <w:rsid w:val="00E33E06"/>
    <w:rsid w:val="00E34048"/>
    <w:rsid w:val="00E3721C"/>
    <w:rsid w:val="00E37A35"/>
    <w:rsid w:val="00E4079F"/>
    <w:rsid w:val="00E41FFC"/>
    <w:rsid w:val="00E425F8"/>
    <w:rsid w:val="00E43B53"/>
    <w:rsid w:val="00E43DBA"/>
    <w:rsid w:val="00E442B0"/>
    <w:rsid w:val="00E44866"/>
    <w:rsid w:val="00E459F2"/>
    <w:rsid w:val="00E50066"/>
    <w:rsid w:val="00E52FCD"/>
    <w:rsid w:val="00E53587"/>
    <w:rsid w:val="00E57B6F"/>
    <w:rsid w:val="00E57B92"/>
    <w:rsid w:val="00E60195"/>
    <w:rsid w:val="00E60ECB"/>
    <w:rsid w:val="00E61101"/>
    <w:rsid w:val="00E63CFE"/>
    <w:rsid w:val="00E6482B"/>
    <w:rsid w:val="00E66B7A"/>
    <w:rsid w:val="00E66F45"/>
    <w:rsid w:val="00E70E55"/>
    <w:rsid w:val="00E72554"/>
    <w:rsid w:val="00E72EF2"/>
    <w:rsid w:val="00E7733C"/>
    <w:rsid w:val="00E80B2E"/>
    <w:rsid w:val="00E80D87"/>
    <w:rsid w:val="00E80E8F"/>
    <w:rsid w:val="00E818AF"/>
    <w:rsid w:val="00E81D5F"/>
    <w:rsid w:val="00E84004"/>
    <w:rsid w:val="00E84D78"/>
    <w:rsid w:val="00E856B2"/>
    <w:rsid w:val="00E90AD6"/>
    <w:rsid w:val="00E94EED"/>
    <w:rsid w:val="00E95E2F"/>
    <w:rsid w:val="00EA392A"/>
    <w:rsid w:val="00EA4F8E"/>
    <w:rsid w:val="00EA5E37"/>
    <w:rsid w:val="00EA64DA"/>
    <w:rsid w:val="00EB0B5A"/>
    <w:rsid w:val="00EB2C44"/>
    <w:rsid w:val="00EB351F"/>
    <w:rsid w:val="00EB3F89"/>
    <w:rsid w:val="00EB465D"/>
    <w:rsid w:val="00EB5AF1"/>
    <w:rsid w:val="00EB5B0E"/>
    <w:rsid w:val="00EB6C51"/>
    <w:rsid w:val="00EB6CE4"/>
    <w:rsid w:val="00EB7970"/>
    <w:rsid w:val="00EC113A"/>
    <w:rsid w:val="00EC35D4"/>
    <w:rsid w:val="00EC3AD1"/>
    <w:rsid w:val="00EC57EB"/>
    <w:rsid w:val="00EC60AD"/>
    <w:rsid w:val="00EC6563"/>
    <w:rsid w:val="00EC7221"/>
    <w:rsid w:val="00EC7E2A"/>
    <w:rsid w:val="00ED2437"/>
    <w:rsid w:val="00ED2AC1"/>
    <w:rsid w:val="00ED3FC0"/>
    <w:rsid w:val="00ED53B6"/>
    <w:rsid w:val="00ED58A2"/>
    <w:rsid w:val="00ED5D07"/>
    <w:rsid w:val="00EE0081"/>
    <w:rsid w:val="00EE2AA0"/>
    <w:rsid w:val="00EE4B4D"/>
    <w:rsid w:val="00EE5FB3"/>
    <w:rsid w:val="00EE6E10"/>
    <w:rsid w:val="00EE7B77"/>
    <w:rsid w:val="00EF063F"/>
    <w:rsid w:val="00EF0D53"/>
    <w:rsid w:val="00EF1CCB"/>
    <w:rsid w:val="00EF2995"/>
    <w:rsid w:val="00EF3113"/>
    <w:rsid w:val="00EF3272"/>
    <w:rsid w:val="00EF3FAB"/>
    <w:rsid w:val="00EF46B2"/>
    <w:rsid w:val="00F00B68"/>
    <w:rsid w:val="00F00F89"/>
    <w:rsid w:val="00F01470"/>
    <w:rsid w:val="00F04703"/>
    <w:rsid w:val="00F04B43"/>
    <w:rsid w:val="00F04BE9"/>
    <w:rsid w:val="00F04F9E"/>
    <w:rsid w:val="00F05840"/>
    <w:rsid w:val="00F05CD2"/>
    <w:rsid w:val="00F07724"/>
    <w:rsid w:val="00F07F76"/>
    <w:rsid w:val="00F10966"/>
    <w:rsid w:val="00F11931"/>
    <w:rsid w:val="00F13355"/>
    <w:rsid w:val="00F14BCD"/>
    <w:rsid w:val="00F14FCD"/>
    <w:rsid w:val="00F1702E"/>
    <w:rsid w:val="00F17AE1"/>
    <w:rsid w:val="00F21D3A"/>
    <w:rsid w:val="00F22942"/>
    <w:rsid w:val="00F24075"/>
    <w:rsid w:val="00F27444"/>
    <w:rsid w:val="00F306D0"/>
    <w:rsid w:val="00F310D7"/>
    <w:rsid w:val="00F310E3"/>
    <w:rsid w:val="00F31304"/>
    <w:rsid w:val="00F329B9"/>
    <w:rsid w:val="00F33918"/>
    <w:rsid w:val="00F345C2"/>
    <w:rsid w:val="00F34C65"/>
    <w:rsid w:val="00F359BA"/>
    <w:rsid w:val="00F41A3A"/>
    <w:rsid w:val="00F42FD4"/>
    <w:rsid w:val="00F4376D"/>
    <w:rsid w:val="00F44DFF"/>
    <w:rsid w:val="00F44E44"/>
    <w:rsid w:val="00F461C5"/>
    <w:rsid w:val="00F467A5"/>
    <w:rsid w:val="00F473D1"/>
    <w:rsid w:val="00F47561"/>
    <w:rsid w:val="00F475BB"/>
    <w:rsid w:val="00F530BF"/>
    <w:rsid w:val="00F53404"/>
    <w:rsid w:val="00F53541"/>
    <w:rsid w:val="00F5568E"/>
    <w:rsid w:val="00F56A61"/>
    <w:rsid w:val="00F60243"/>
    <w:rsid w:val="00F60331"/>
    <w:rsid w:val="00F60659"/>
    <w:rsid w:val="00F61272"/>
    <w:rsid w:val="00F61866"/>
    <w:rsid w:val="00F63F63"/>
    <w:rsid w:val="00F64F61"/>
    <w:rsid w:val="00F662FA"/>
    <w:rsid w:val="00F71C20"/>
    <w:rsid w:val="00F73FAE"/>
    <w:rsid w:val="00F771E9"/>
    <w:rsid w:val="00F90134"/>
    <w:rsid w:val="00F90573"/>
    <w:rsid w:val="00F90681"/>
    <w:rsid w:val="00F97297"/>
    <w:rsid w:val="00F9748A"/>
    <w:rsid w:val="00F978E3"/>
    <w:rsid w:val="00FA12AA"/>
    <w:rsid w:val="00FA12D8"/>
    <w:rsid w:val="00FA2093"/>
    <w:rsid w:val="00FA2113"/>
    <w:rsid w:val="00FA25A0"/>
    <w:rsid w:val="00FA2C3C"/>
    <w:rsid w:val="00FA2F64"/>
    <w:rsid w:val="00FA3F50"/>
    <w:rsid w:val="00FA63F5"/>
    <w:rsid w:val="00FA7ABA"/>
    <w:rsid w:val="00FB47C6"/>
    <w:rsid w:val="00FB6308"/>
    <w:rsid w:val="00FB6CD8"/>
    <w:rsid w:val="00FB748A"/>
    <w:rsid w:val="00FC1EA1"/>
    <w:rsid w:val="00FC2A92"/>
    <w:rsid w:val="00FC4329"/>
    <w:rsid w:val="00FC4ACC"/>
    <w:rsid w:val="00FC51CE"/>
    <w:rsid w:val="00FC5A41"/>
    <w:rsid w:val="00FC63A4"/>
    <w:rsid w:val="00FD4153"/>
    <w:rsid w:val="00FD46DA"/>
    <w:rsid w:val="00FD4ECF"/>
    <w:rsid w:val="00FD58CB"/>
    <w:rsid w:val="00FD6784"/>
    <w:rsid w:val="00FE05B3"/>
    <w:rsid w:val="00FE16AB"/>
    <w:rsid w:val="00FE1F7C"/>
    <w:rsid w:val="00FE3F51"/>
    <w:rsid w:val="00FE5594"/>
    <w:rsid w:val="00FF0F05"/>
    <w:rsid w:val="00FF3B45"/>
    <w:rsid w:val="00FF5E3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o-RO" w:eastAsia="ro-RO" w:bidi="ro-RO"/>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275"/>
    <w:pPr>
      <w:overflowPunct w:val="0"/>
      <w:autoSpaceDE w:val="0"/>
      <w:autoSpaceDN w:val="0"/>
      <w:adjustRightInd w:val="0"/>
      <w:spacing w:line="288" w:lineRule="auto"/>
      <w:jc w:val="both"/>
      <w:textAlignment w:val="baseline"/>
    </w:pPr>
    <w:rPr>
      <w:rFonts w:eastAsia="Times New Roman"/>
      <w:sz w:val="22"/>
    </w:rPr>
  </w:style>
  <w:style w:type="paragraph" w:styleId="Heading1">
    <w:name w:val="heading 1"/>
    <w:basedOn w:val="Normal"/>
    <w:next w:val="Normal"/>
    <w:link w:val="Heading1Char"/>
    <w:qFormat/>
    <w:rsid w:val="00762275"/>
    <w:pPr>
      <w:numPr>
        <w:numId w:val="46"/>
      </w:numPr>
      <w:ind w:left="720" w:hanging="720"/>
      <w:outlineLvl w:val="0"/>
    </w:pPr>
    <w:rPr>
      <w:kern w:val="28"/>
    </w:rPr>
  </w:style>
  <w:style w:type="paragraph" w:styleId="Heading2">
    <w:name w:val="heading 2"/>
    <w:basedOn w:val="Normal"/>
    <w:next w:val="Normal"/>
    <w:link w:val="Heading2Char"/>
    <w:qFormat/>
    <w:rsid w:val="00762275"/>
    <w:pPr>
      <w:numPr>
        <w:ilvl w:val="1"/>
        <w:numId w:val="46"/>
      </w:numPr>
      <w:ind w:left="720" w:hanging="720"/>
      <w:outlineLvl w:val="1"/>
    </w:pPr>
  </w:style>
  <w:style w:type="paragraph" w:styleId="Heading3">
    <w:name w:val="heading 3"/>
    <w:basedOn w:val="Normal"/>
    <w:next w:val="Normal"/>
    <w:qFormat/>
    <w:rsid w:val="00762275"/>
    <w:pPr>
      <w:numPr>
        <w:ilvl w:val="2"/>
        <w:numId w:val="46"/>
      </w:numPr>
      <w:ind w:left="720" w:hanging="720"/>
      <w:outlineLvl w:val="2"/>
    </w:pPr>
  </w:style>
  <w:style w:type="paragraph" w:styleId="Heading4">
    <w:name w:val="heading 4"/>
    <w:basedOn w:val="Normal"/>
    <w:next w:val="Normal"/>
    <w:qFormat/>
    <w:rsid w:val="00762275"/>
    <w:pPr>
      <w:numPr>
        <w:ilvl w:val="3"/>
        <w:numId w:val="46"/>
      </w:numPr>
      <w:ind w:left="720" w:hanging="720"/>
      <w:outlineLvl w:val="3"/>
    </w:pPr>
  </w:style>
  <w:style w:type="paragraph" w:styleId="Heading5">
    <w:name w:val="heading 5"/>
    <w:basedOn w:val="Normal"/>
    <w:next w:val="Normal"/>
    <w:qFormat/>
    <w:rsid w:val="00762275"/>
    <w:pPr>
      <w:numPr>
        <w:ilvl w:val="4"/>
        <w:numId w:val="46"/>
      </w:numPr>
      <w:ind w:left="720" w:hanging="720"/>
      <w:outlineLvl w:val="4"/>
    </w:pPr>
  </w:style>
  <w:style w:type="paragraph" w:styleId="Heading6">
    <w:name w:val="heading 6"/>
    <w:basedOn w:val="Normal"/>
    <w:next w:val="Normal"/>
    <w:qFormat/>
    <w:rsid w:val="00762275"/>
    <w:pPr>
      <w:numPr>
        <w:ilvl w:val="5"/>
        <w:numId w:val="46"/>
      </w:numPr>
      <w:ind w:left="720" w:hanging="720"/>
      <w:outlineLvl w:val="5"/>
    </w:pPr>
  </w:style>
  <w:style w:type="paragraph" w:styleId="Heading7">
    <w:name w:val="heading 7"/>
    <w:basedOn w:val="Normal"/>
    <w:next w:val="Normal"/>
    <w:qFormat/>
    <w:rsid w:val="00762275"/>
    <w:pPr>
      <w:numPr>
        <w:ilvl w:val="6"/>
        <w:numId w:val="46"/>
      </w:numPr>
      <w:ind w:left="720" w:hanging="720"/>
      <w:outlineLvl w:val="6"/>
    </w:pPr>
  </w:style>
  <w:style w:type="paragraph" w:styleId="Heading8">
    <w:name w:val="heading 8"/>
    <w:basedOn w:val="Normal"/>
    <w:next w:val="Normal"/>
    <w:qFormat/>
    <w:rsid w:val="00762275"/>
    <w:pPr>
      <w:numPr>
        <w:ilvl w:val="7"/>
        <w:numId w:val="46"/>
      </w:numPr>
      <w:ind w:left="720" w:hanging="720"/>
      <w:outlineLvl w:val="7"/>
    </w:pPr>
  </w:style>
  <w:style w:type="paragraph" w:styleId="Heading9">
    <w:name w:val="heading 9"/>
    <w:basedOn w:val="Normal"/>
    <w:next w:val="Normal"/>
    <w:qFormat/>
    <w:rsid w:val="00762275"/>
    <w:pPr>
      <w:numPr>
        <w:ilvl w:val="8"/>
        <w:numId w:val="4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DCB"/>
    <w:rPr>
      <w:rFonts w:eastAsia="Times New Roman"/>
      <w:kern w:val="28"/>
      <w:sz w:val="22"/>
      <w:lang w:val="ro-RO" w:eastAsia="ro-RO"/>
    </w:rPr>
  </w:style>
  <w:style w:type="character" w:customStyle="1" w:styleId="Heading2Char">
    <w:name w:val="Heading 2 Char"/>
    <w:link w:val="Heading2"/>
    <w:rsid w:val="00C277AF"/>
    <w:rPr>
      <w:rFonts w:eastAsia="Times New Roman"/>
      <w:sz w:val="22"/>
      <w:lang w:val="ro-RO" w:eastAsia="ro-RO"/>
    </w:rPr>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rsid w:val="00762275"/>
    <w:pPr>
      <w:keepLines/>
      <w:spacing w:after="60" w:line="240" w:lineRule="auto"/>
      <w:ind w:left="720" w:hanging="720"/>
    </w:pPr>
    <w:rPr>
      <w:sz w:val="16"/>
    </w:rPr>
  </w:style>
  <w:style w:type="character" w:customStyle="1" w:styleId="FootnoteTextChar">
    <w:name w:val="Footnote Text Char"/>
    <w:link w:val="FootnoteText"/>
    <w:locked/>
    <w:rsid w:val="008B4D38"/>
    <w:rPr>
      <w:rFonts w:eastAsia="Times New Roman"/>
      <w:sz w:val="16"/>
      <w:lang w:val="ro-RO" w:eastAsia="ro-RO"/>
    </w:rPr>
  </w:style>
  <w:style w:type="paragraph" w:styleId="Header">
    <w:name w:val="header"/>
    <w:basedOn w:val="Normal"/>
    <w:rsid w:val="00762275"/>
  </w:style>
  <w:style w:type="paragraph" w:styleId="Footer">
    <w:name w:val="footer"/>
    <w:basedOn w:val="Normal"/>
    <w:link w:val="FooterChar"/>
    <w:rsid w:val="00762275"/>
  </w:style>
  <w:style w:type="character" w:customStyle="1" w:styleId="FooterChar">
    <w:name w:val="Footer Char"/>
    <w:link w:val="Footer"/>
    <w:rsid w:val="0014117B"/>
    <w:rPr>
      <w:rFonts w:eastAsia="Times New Roman"/>
      <w:sz w:val="22"/>
      <w:lang w:val="ro-RO" w:eastAsia="ro-RO"/>
    </w:rPr>
  </w:style>
  <w:style w:type="character" w:styleId="FootnoteReference">
    <w:name w:val="footnote reference"/>
    <w:rsid w:val="00762275"/>
    <w:rPr>
      <w:sz w:val="24"/>
      <w:vertAlign w:val="superscript"/>
    </w:rPr>
  </w:style>
  <w:style w:type="paragraph" w:styleId="Revision">
    <w:name w:val="Revision"/>
    <w:hidden/>
    <w:uiPriority w:val="99"/>
    <w:semiHidden/>
    <w:rsid w:val="002B3B04"/>
    <w:rPr>
      <w:rFonts w:eastAsia="Times New Roman"/>
      <w:sz w:val="22"/>
    </w:rPr>
  </w:style>
  <w:style w:type="paragraph" w:styleId="TOC1">
    <w:name w:val="toc 1"/>
    <w:basedOn w:val="Normal"/>
    <w:next w:val="Normal"/>
    <w:autoRedefine/>
    <w:uiPriority w:val="39"/>
    <w:rsid w:val="00BE08D1"/>
    <w:pPr>
      <w:spacing w:after="100"/>
    </w:pPr>
  </w:style>
  <w:style w:type="paragraph" w:styleId="BalloonText">
    <w:name w:val="Balloon Text"/>
    <w:basedOn w:val="Normal"/>
    <w:link w:val="BalloonTextChar"/>
    <w:rsid w:val="00390A4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90A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o-RO" w:eastAsia="ro-RO" w:bidi="ro-RO"/>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275"/>
    <w:pPr>
      <w:overflowPunct w:val="0"/>
      <w:autoSpaceDE w:val="0"/>
      <w:autoSpaceDN w:val="0"/>
      <w:adjustRightInd w:val="0"/>
      <w:spacing w:line="288" w:lineRule="auto"/>
      <w:jc w:val="both"/>
      <w:textAlignment w:val="baseline"/>
    </w:pPr>
    <w:rPr>
      <w:rFonts w:eastAsia="Times New Roman"/>
      <w:sz w:val="22"/>
    </w:rPr>
  </w:style>
  <w:style w:type="paragraph" w:styleId="Heading1">
    <w:name w:val="heading 1"/>
    <w:basedOn w:val="Normal"/>
    <w:next w:val="Normal"/>
    <w:link w:val="Heading1Char"/>
    <w:qFormat/>
    <w:rsid w:val="00762275"/>
    <w:pPr>
      <w:numPr>
        <w:numId w:val="46"/>
      </w:numPr>
      <w:ind w:left="720" w:hanging="720"/>
      <w:outlineLvl w:val="0"/>
    </w:pPr>
    <w:rPr>
      <w:kern w:val="28"/>
    </w:rPr>
  </w:style>
  <w:style w:type="paragraph" w:styleId="Heading2">
    <w:name w:val="heading 2"/>
    <w:basedOn w:val="Normal"/>
    <w:next w:val="Normal"/>
    <w:link w:val="Heading2Char"/>
    <w:qFormat/>
    <w:rsid w:val="00762275"/>
    <w:pPr>
      <w:numPr>
        <w:ilvl w:val="1"/>
        <w:numId w:val="46"/>
      </w:numPr>
      <w:ind w:left="720" w:hanging="720"/>
      <w:outlineLvl w:val="1"/>
    </w:pPr>
  </w:style>
  <w:style w:type="paragraph" w:styleId="Heading3">
    <w:name w:val="heading 3"/>
    <w:basedOn w:val="Normal"/>
    <w:next w:val="Normal"/>
    <w:qFormat/>
    <w:rsid w:val="00762275"/>
    <w:pPr>
      <w:numPr>
        <w:ilvl w:val="2"/>
        <w:numId w:val="46"/>
      </w:numPr>
      <w:ind w:left="720" w:hanging="720"/>
      <w:outlineLvl w:val="2"/>
    </w:pPr>
  </w:style>
  <w:style w:type="paragraph" w:styleId="Heading4">
    <w:name w:val="heading 4"/>
    <w:basedOn w:val="Normal"/>
    <w:next w:val="Normal"/>
    <w:qFormat/>
    <w:rsid w:val="00762275"/>
    <w:pPr>
      <w:numPr>
        <w:ilvl w:val="3"/>
        <w:numId w:val="46"/>
      </w:numPr>
      <w:ind w:left="720" w:hanging="720"/>
      <w:outlineLvl w:val="3"/>
    </w:pPr>
  </w:style>
  <w:style w:type="paragraph" w:styleId="Heading5">
    <w:name w:val="heading 5"/>
    <w:basedOn w:val="Normal"/>
    <w:next w:val="Normal"/>
    <w:qFormat/>
    <w:rsid w:val="00762275"/>
    <w:pPr>
      <w:numPr>
        <w:ilvl w:val="4"/>
        <w:numId w:val="46"/>
      </w:numPr>
      <w:ind w:left="720" w:hanging="720"/>
      <w:outlineLvl w:val="4"/>
    </w:pPr>
  </w:style>
  <w:style w:type="paragraph" w:styleId="Heading6">
    <w:name w:val="heading 6"/>
    <w:basedOn w:val="Normal"/>
    <w:next w:val="Normal"/>
    <w:qFormat/>
    <w:rsid w:val="00762275"/>
    <w:pPr>
      <w:numPr>
        <w:ilvl w:val="5"/>
        <w:numId w:val="46"/>
      </w:numPr>
      <w:ind w:left="720" w:hanging="720"/>
      <w:outlineLvl w:val="5"/>
    </w:pPr>
  </w:style>
  <w:style w:type="paragraph" w:styleId="Heading7">
    <w:name w:val="heading 7"/>
    <w:basedOn w:val="Normal"/>
    <w:next w:val="Normal"/>
    <w:qFormat/>
    <w:rsid w:val="00762275"/>
    <w:pPr>
      <w:numPr>
        <w:ilvl w:val="6"/>
        <w:numId w:val="46"/>
      </w:numPr>
      <w:ind w:left="720" w:hanging="720"/>
      <w:outlineLvl w:val="6"/>
    </w:pPr>
  </w:style>
  <w:style w:type="paragraph" w:styleId="Heading8">
    <w:name w:val="heading 8"/>
    <w:basedOn w:val="Normal"/>
    <w:next w:val="Normal"/>
    <w:qFormat/>
    <w:rsid w:val="00762275"/>
    <w:pPr>
      <w:numPr>
        <w:ilvl w:val="7"/>
        <w:numId w:val="46"/>
      </w:numPr>
      <w:ind w:left="720" w:hanging="720"/>
      <w:outlineLvl w:val="7"/>
    </w:pPr>
  </w:style>
  <w:style w:type="paragraph" w:styleId="Heading9">
    <w:name w:val="heading 9"/>
    <w:basedOn w:val="Normal"/>
    <w:next w:val="Normal"/>
    <w:qFormat/>
    <w:rsid w:val="00762275"/>
    <w:pPr>
      <w:numPr>
        <w:ilvl w:val="8"/>
        <w:numId w:val="4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DCB"/>
    <w:rPr>
      <w:rFonts w:eastAsia="Times New Roman"/>
      <w:kern w:val="28"/>
      <w:sz w:val="22"/>
      <w:lang w:val="ro-RO" w:eastAsia="ro-RO"/>
    </w:rPr>
  </w:style>
  <w:style w:type="character" w:customStyle="1" w:styleId="Heading2Char">
    <w:name w:val="Heading 2 Char"/>
    <w:link w:val="Heading2"/>
    <w:rsid w:val="00C277AF"/>
    <w:rPr>
      <w:rFonts w:eastAsia="Times New Roman"/>
      <w:sz w:val="22"/>
      <w:lang w:val="ro-RO" w:eastAsia="ro-RO"/>
    </w:rPr>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rsid w:val="00762275"/>
    <w:pPr>
      <w:keepLines/>
      <w:spacing w:after="60" w:line="240" w:lineRule="auto"/>
      <w:ind w:left="720" w:hanging="720"/>
    </w:pPr>
    <w:rPr>
      <w:sz w:val="16"/>
    </w:rPr>
  </w:style>
  <w:style w:type="character" w:customStyle="1" w:styleId="FootnoteTextChar">
    <w:name w:val="Footnote Text Char"/>
    <w:link w:val="FootnoteText"/>
    <w:locked/>
    <w:rsid w:val="008B4D38"/>
    <w:rPr>
      <w:rFonts w:eastAsia="Times New Roman"/>
      <w:sz w:val="16"/>
      <w:lang w:val="ro-RO" w:eastAsia="ro-RO"/>
    </w:rPr>
  </w:style>
  <w:style w:type="paragraph" w:styleId="Header">
    <w:name w:val="header"/>
    <w:basedOn w:val="Normal"/>
    <w:rsid w:val="00762275"/>
  </w:style>
  <w:style w:type="paragraph" w:styleId="Footer">
    <w:name w:val="footer"/>
    <w:basedOn w:val="Normal"/>
    <w:link w:val="FooterChar"/>
    <w:rsid w:val="00762275"/>
  </w:style>
  <w:style w:type="character" w:customStyle="1" w:styleId="FooterChar">
    <w:name w:val="Footer Char"/>
    <w:link w:val="Footer"/>
    <w:rsid w:val="0014117B"/>
    <w:rPr>
      <w:rFonts w:eastAsia="Times New Roman"/>
      <w:sz w:val="22"/>
      <w:lang w:val="ro-RO" w:eastAsia="ro-RO"/>
    </w:rPr>
  </w:style>
  <w:style w:type="character" w:styleId="FootnoteReference">
    <w:name w:val="footnote reference"/>
    <w:rsid w:val="00762275"/>
    <w:rPr>
      <w:sz w:val="24"/>
      <w:vertAlign w:val="superscript"/>
    </w:rPr>
  </w:style>
  <w:style w:type="paragraph" w:styleId="Revision">
    <w:name w:val="Revision"/>
    <w:hidden/>
    <w:uiPriority w:val="99"/>
    <w:semiHidden/>
    <w:rsid w:val="002B3B04"/>
    <w:rPr>
      <w:rFonts w:eastAsia="Times New Roman"/>
      <w:sz w:val="22"/>
    </w:rPr>
  </w:style>
  <w:style w:type="paragraph" w:styleId="TOC1">
    <w:name w:val="toc 1"/>
    <w:basedOn w:val="Normal"/>
    <w:next w:val="Normal"/>
    <w:autoRedefine/>
    <w:uiPriority w:val="39"/>
    <w:rsid w:val="00BE08D1"/>
    <w:pPr>
      <w:spacing w:after="100"/>
    </w:pPr>
  </w:style>
  <w:style w:type="paragraph" w:styleId="BalloonText">
    <w:name w:val="Balloon Text"/>
    <w:basedOn w:val="Normal"/>
    <w:link w:val="BalloonTextChar"/>
    <w:rsid w:val="00390A4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90A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3899">
      <w:bodyDiv w:val="1"/>
      <w:marLeft w:val="0"/>
      <w:marRight w:val="0"/>
      <w:marTop w:val="0"/>
      <w:marBottom w:val="0"/>
      <w:divBdr>
        <w:top w:val="none" w:sz="0" w:space="0" w:color="auto"/>
        <w:left w:val="none" w:sz="0" w:space="0" w:color="auto"/>
        <w:bottom w:val="none" w:sz="0" w:space="0" w:color="auto"/>
        <w:right w:val="none" w:sz="0" w:space="0" w:color="auto"/>
      </w:divBdr>
      <w:divsChild>
        <w:div w:id="335230319">
          <w:marLeft w:val="10"/>
          <w:marRight w:val="0"/>
          <w:marTop w:val="0"/>
          <w:marBottom w:val="0"/>
          <w:divBdr>
            <w:top w:val="none" w:sz="0" w:space="0" w:color="auto"/>
            <w:left w:val="none" w:sz="0" w:space="0" w:color="auto"/>
            <w:bottom w:val="none" w:sz="0" w:space="0" w:color="auto"/>
            <w:right w:val="none" w:sz="0" w:space="0" w:color="auto"/>
          </w:divBdr>
        </w:div>
      </w:divsChild>
    </w:div>
    <w:div w:id="37946643">
      <w:bodyDiv w:val="1"/>
      <w:marLeft w:val="0"/>
      <w:marRight w:val="0"/>
      <w:marTop w:val="0"/>
      <w:marBottom w:val="0"/>
      <w:divBdr>
        <w:top w:val="none" w:sz="0" w:space="0" w:color="auto"/>
        <w:left w:val="none" w:sz="0" w:space="0" w:color="auto"/>
        <w:bottom w:val="none" w:sz="0" w:space="0" w:color="auto"/>
        <w:right w:val="none" w:sz="0" w:space="0" w:color="auto"/>
      </w:divBdr>
    </w:div>
    <w:div w:id="322323649">
      <w:bodyDiv w:val="1"/>
      <w:marLeft w:val="0"/>
      <w:marRight w:val="0"/>
      <w:marTop w:val="0"/>
      <w:marBottom w:val="0"/>
      <w:divBdr>
        <w:top w:val="none" w:sz="0" w:space="0" w:color="auto"/>
        <w:left w:val="none" w:sz="0" w:space="0" w:color="auto"/>
        <w:bottom w:val="none" w:sz="0" w:space="0" w:color="auto"/>
        <w:right w:val="none" w:sz="0" w:space="0" w:color="auto"/>
      </w:divBdr>
    </w:div>
    <w:div w:id="406343905">
      <w:bodyDiv w:val="1"/>
      <w:marLeft w:val="0"/>
      <w:marRight w:val="0"/>
      <w:marTop w:val="0"/>
      <w:marBottom w:val="0"/>
      <w:divBdr>
        <w:top w:val="none" w:sz="0" w:space="0" w:color="auto"/>
        <w:left w:val="none" w:sz="0" w:space="0" w:color="auto"/>
        <w:bottom w:val="none" w:sz="0" w:space="0" w:color="auto"/>
        <w:right w:val="none" w:sz="0" w:space="0" w:color="auto"/>
      </w:divBdr>
    </w:div>
    <w:div w:id="1138496013">
      <w:bodyDiv w:val="1"/>
      <w:marLeft w:val="0"/>
      <w:marRight w:val="0"/>
      <w:marTop w:val="0"/>
      <w:marBottom w:val="0"/>
      <w:divBdr>
        <w:top w:val="none" w:sz="0" w:space="0" w:color="auto"/>
        <w:left w:val="none" w:sz="0" w:space="0" w:color="auto"/>
        <w:bottom w:val="none" w:sz="0" w:space="0" w:color="auto"/>
        <w:right w:val="none" w:sz="0" w:space="0" w:color="auto"/>
      </w:divBdr>
    </w:div>
    <w:div w:id="1463496317">
      <w:bodyDiv w:val="1"/>
      <w:marLeft w:val="0"/>
      <w:marRight w:val="0"/>
      <w:marTop w:val="0"/>
      <w:marBottom w:val="0"/>
      <w:divBdr>
        <w:top w:val="none" w:sz="0" w:space="0" w:color="auto"/>
        <w:left w:val="none" w:sz="0" w:space="0" w:color="auto"/>
        <w:bottom w:val="none" w:sz="0" w:space="0" w:color="auto"/>
        <w:right w:val="none" w:sz="0" w:space="0" w:color="auto"/>
      </w:divBdr>
    </w:div>
    <w:div w:id="1851679277">
      <w:marLeft w:val="0"/>
      <w:marRight w:val="0"/>
      <w:marTop w:val="0"/>
      <w:marBottom w:val="0"/>
      <w:divBdr>
        <w:top w:val="none" w:sz="0" w:space="0" w:color="auto"/>
        <w:left w:val="none" w:sz="0" w:space="0" w:color="auto"/>
        <w:bottom w:val="none" w:sz="0" w:space="0" w:color="auto"/>
        <w:right w:val="none" w:sz="0" w:space="0" w:color="auto"/>
      </w:divBdr>
    </w:div>
    <w:div w:id="1973898582">
      <w:bodyDiv w:val="1"/>
      <w:marLeft w:val="0"/>
      <w:marRight w:val="0"/>
      <w:marTop w:val="0"/>
      <w:marBottom w:val="0"/>
      <w:divBdr>
        <w:top w:val="none" w:sz="0" w:space="0" w:color="auto"/>
        <w:left w:val="none" w:sz="0" w:space="0" w:color="auto"/>
        <w:bottom w:val="none" w:sz="0" w:space="0" w:color="auto"/>
        <w:right w:val="none" w:sz="0" w:space="0" w:color="auto"/>
      </w:divBdr>
    </w:div>
    <w:div w:id="2021465693">
      <w:bodyDiv w:val="1"/>
      <w:marLeft w:val="0"/>
      <w:marRight w:val="0"/>
      <w:marTop w:val="0"/>
      <w:marBottom w:val="0"/>
      <w:divBdr>
        <w:top w:val="none" w:sz="0" w:space="0" w:color="auto"/>
        <w:left w:val="none" w:sz="0" w:space="0" w:color="auto"/>
        <w:bottom w:val="none" w:sz="0" w:space="0" w:color="auto"/>
        <w:right w:val="none" w:sz="0" w:space="0" w:color="auto"/>
      </w:divBdr>
    </w:div>
    <w:div w:id="21266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hyperlink" Target="mailto:juri.soosaar@eesc.europa.eu"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gerald.klec@eesc.europa.eu" TargetMode="Externa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esc.europa.eu/" TargetMode="External"/><Relationship Id="rId17" Type="http://schemas.openxmlformats.org/officeDocument/2006/relationships/hyperlink" Target="http://www.eesc.europa.eu/" TargetMode="External"/><Relationship Id="rId25" Type="http://schemas.openxmlformats.org/officeDocument/2006/relationships/hyperlink" Target="http://www.eesc.europa.eu/?i=portal.en.opinions-search" TargetMode="External"/><Relationship Id="rId33" Type="http://schemas.openxmlformats.org/officeDocument/2006/relationships/hyperlink" Target="mailto:gerald.klec@eesc.europa.eu" TargetMode="External"/><Relationship Id="rId38" Type="http://schemas.openxmlformats.org/officeDocument/2006/relationships/hyperlink" Target="mailto:juri.soosaar@eesc.europa.eu" TargetMode="External"/><Relationship Id="rId46"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footer" Target="footer1.xml"/><Relationship Id="rId29" Type="http://schemas.openxmlformats.org/officeDocument/2006/relationships/footer" Target="footer5.xml"/><Relationship Id="rId41" Type="http://schemas.openxmlformats.org/officeDocument/2006/relationships/header" Target="header8.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eesc.europa.eu/?i=portal.en.documents" TargetMode="External"/><Relationship Id="rId32" Type="http://schemas.openxmlformats.org/officeDocument/2006/relationships/hyperlink" Target="mailto:helena.polomik@eesc.europa.eu" TargetMode="External"/><Relationship Id="rId37" Type="http://schemas.openxmlformats.org/officeDocument/2006/relationships/hyperlink" Target="mailto:alice.tetu@eesc.europa.eu" TargetMode="External"/><Relationship Id="rId40" Type="http://schemas.openxmlformats.org/officeDocument/2006/relationships/header" Target="header7.xml"/><Relationship Id="rId45" Type="http://schemas.openxmlformats.org/officeDocument/2006/relationships/footer" Target="footer9.xml"/><Relationship Id="rId5" Type="http://schemas.openxmlformats.org/officeDocument/2006/relationships/styles" Target="styles.xml"/><Relationship Id="rId23" Type="http://schemas.openxmlformats.org/officeDocument/2006/relationships/footer" Target="footer3.xml"/><Relationship Id="rId28" Type="http://schemas.openxmlformats.org/officeDocument/2006/relationships/footer" Target="footer4.xml"/><Relationship Id="rId36" Type="http://schemas.openxmlformats.org/officeDocument/2006/relationships/hyperlink" Target="mailto:luis.lobo@eesc.europa.eu"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6.xml"/><Relationship Id="rId44" Type="http://schemas.openxmlformats.org/officeDocument/2006/relationships/header" Target="header9.xml"/><Relationship Id="rId4" Type="http://schemas.openxmlformats.org/officeDocument/2006/relationships/numbering" Target="numbering.xml"/><Relationship Id="rId9" Type="http://schemas.openxmlformats.org/officeDocument/2006/relationships/footnotes" Target="footnotes.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yperlink" Target="mailto:dorota.zapatka@eesc.europa.eu" TargetMode="Externa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LongProp xmlns="" name="AvailableTranslations"><![CDATA[6;#EN|f2175f21-25d7-44a3-96da-d6a61b075e1b;#10;#PT|50ccc04a-eadd-42ae-a0cb-acaf45f812ba;#30;#BG|1a1b3951-7821-4e6a-85f5-5673fc08bd2c;#35;#SL|98a412ae-eb01-49e9-ae3d-585a81724cfc;#24;#SK|46d9fce0-ef79-4f71-b89b-cd6aa82426b8;#29;#DA|5d49c027-8956-412b-aa16-e85a0f96ad0e;#27;#SV|c2ed69e7-a339-43d7-8f22-d93680a92aa0;#4;#FR|d2afafd3-4c81-4f60-8f52-ee33f2f54ff3;#9;#ES|e7a6b05b-ae16-40c8-add9-68b64b03aeba;#19;#IT|0774613c-01ed-4e5d-a25d-11d2388de825;#33;#LT|a7ff5ce7-6123-4f68-865a-a57c31810414;#18;#PL|1e03da61-4678-4e07-b136-b5024ca9197b;#32;#HR|2f555653-ed1a-4fe6-8362-9082d95989e5;#25;#FI|87606a43-d45f-42d6-b8c9-e1a3457db5b7;#23;#CS|72f9705b-0217-4fd3-bea2-cbc7ed80e26e;#34;#ET|ff6c3f4c-b02c-4c3c-ab07-2c37995a7a0a;#12;#DE|f6b31e5a-26fa-4935-b661-318e46daf27e;#38;#RO|feb747a2-64cd-4299-af12-4833ddc30497;#22;#NL|55c6556c-b4f4-441d-9acf-c498d4f838bd;#31;#HU|6b229040-c589-4408-b4c1-4285663d20a8;#28;#LV|46f7e311-5d9f-4663-b433-18aeccb7ace7;#21;#EL|6d4f4d51-af9b-4650-94b4-4276bee85c91]]></LongProp>
  <LongProp xmlns="" name="TaxCatchAll"><![CDATA[38;#RO|feb747a2-64cd-4299-af12-4833ddc30497;#35;#SL|98a412ae-eb01-49e9-ae3d-585a81724cfc;#34;#ET|ff6c3f4c-b02c-4c3c-ab07-2c37995a7a0a;#33;#LT|a7ff5ce7-6123-4f68-865a-a57c31810414;#32;#HR|2f555653-ed1a-4fe6-8362-9082d95989e5;#31;#HU|6b229040-c589-4408-b4c1-4285663d20a8;#30;#BG|1a1b3951-7821-4e6a-85f5-5673fc08bd2c;#29;#DA|5d49c027-8956-412b-aa16-e85a0f96ad0e;#28;#LV|46f7e311-5d9f-4663-b433-18aeccb7ace7;#27;#SV|c2ed69e7-a339-43d7-8f22-d93680a92aa0;#25;#FI|87606a43-d45f-42d6-b8c9-e1a3457db5b7;#24;#SK|46d9fce0-ef79-4f71-b89b-cd6aa82426b8;#23;#CS|72f9705b-0217-4fd3-bea2-cbc7ed80e26e;#22;#NL|55c6556c-b4f4-441d-9acf-c498d4f838bd;#21;#EL|6d4f4d51-af9b-4650-94b4-4276bee85c91;#19;#IT|0774613c-01ed-4e5d-a25d-11d2388de825;#18;#PL|1e03da61-4678-4e07-b136-b5024ca9197b;#12;#DE|f6b31e5a-26fa-4935-b661-318e46daf27e;#10;#PT|50ccc04a-eadd-42ae-a0cb-acaf45f812ba;#9;#ES|e7a6b05b-ae16-40c8-add9-68b64b03aeba;#6;#EN|f2175f21-25d7-44a3-96da-d6a61b075e1b;#5;#Unrestricted|826e22d7-d029-4ec0-a450-0c28ff673572;#4;#FR|d2afafd3-4c81-4f60-8f52-ee33f2f54ff3;#3;#TCD|cd9d6eb6-3f4f-424a-b2d1-57c9d450eaaf;#2;#TRA|150d2a88-1431-44e6-a8ca-0bb753ab8672;#1;#EESC|422833ec-8d7e-4e65-8e4e-8bed07ffb729]]></LongProp>
  <LongProp xmlns="" name="ee5c7c011a654138aa6480e01e34d799"><![CDATA[EN|f2175f21-25d7-44a3-96da-d6a61b075e1b;PT|50ccc04a-eadd-42ae-a0cb-acaf45f812ba;BG|1a1b3951-7821-4e6a-85f5-5673fc08bd2c;SL|98a412ae-eb01-49e9-ae3d-585a81724cfc;SK|46d9fce0-ef79-4f71-b89b-cd6aa82426b8;DA|5d49c027-8956-412b-aa16-e85a0f96ad0e;SV|c2ed69e7-a339-43d7-8f22-d93680a92aa0;FR|d2afafd3-4c81-4f60-8f52-ee33f2f54ff3;ES|e7a6b05b-ae16-40c8-add9-68b64b03aeba;IT|0774613c-01ed-4e5d-a25d-11d2388de825;LT|a7ff5ce7-6123-4f68-865a-a57c31810414;PL|1e03da61-4678-4e07-b136-b5024ca9197b;HR|2f555653-ed1a-4fe6-8362-9082d95989e5;FI|87606a43-d45f-42d6-b8c9-e1a3457db5b7;CS|72f9705b-0217-4fd3-bea2-cbc7ed80e26e;ET|ff6c3f4c-b02c-4c3c-ab07-2c37995a7a0a;DE|f6b31e5a-26fa-4935-b661-318e46daf27e;RO|feb747a2-64cd-4299-af12-4833ddc30497;NL|55c6556c-b4f4-441d-9acf-c498d4f838bd;HU|6b229040-c589-4408-b4c1-4285663d20a8;LV|46f7e311-5d9f-4663-b433-18aeccb7ace7;EL|6d4f4d51-af9b-4650-94b4-4276bee85c91]]></LongProp>
</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F66A-C547-4786-961E-81791F3EF53D}">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EEF33476-B60C-4381-B30D-5CFDCA43185F}">
  <ds:schemaRefs>
    <ds:schemaRef ds:uri="http://schemas.openxmlformats.org/officeDocument/2006/bibliography"/>
  </ds:schemaRefs>
</ds:datastoreItem>
</file>

<file path=customXml/itemProps3.xml><?xml version="1.0" encoding="utf-8"?>
<ds:datastoreItem xmlns:ds="http://schemas.openxmlformats.org/officeDocument/2006/customXml" ds:itemID="{2ECC23F1-65AB-4E89-854D-E169147C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Links>
    <vt:vector size="84" baseType="variant">
      <vt:variant>
        <vt:i4>917564</vt:i4>
      </vt:variant>
      <vt:variant>
        <vt:i4>66</vt:i4>
      </vt:variant>
      <vt:variant>
        <vt:i4>0</vt:i4>
      </vt:variant>
      <vt:variant>
        <vt:i4>5</vt:i4>
      </vt:variant>
      <vt:variant>
        <vt:lpwstr>mailto:adam.plezer@eesc.europa.eu</vt:lpwstr>
      </vt:variant>
      <vt:variant>
        <vt:lpwstr/>
      </vt:variant>
      <vt:variant>
        <vt:i4>5439615</vt:i4>
      </vt:variant>
      <vt:variant>
        <vt:i4>63</vt:i4>
      </vt:variant>
      <vt:variant>
        <vt:i4>0</vt:i4>
      </vt:variant>
      <vt:variant>
        <vt:i4>5</vt:i4>
      </vt:variant>
      <vt:variant>
        <vt:lpwstr>mailto:juri.soosaar@eesc.europa.eu</vt:lpwstr>
      </vt:variant>
      <vt:variant>
        <vt:lpwstr/>
      </vt:variant>
      <vt:variant>
        <vt:i4>5439615</vt:i4>
      </vt:variant>
      <vt:variant>
        <vt:i4>60</vt:i4>
      </vt:variant>
      <vt:variant>
        <vt:i4>0</vt:i4>
      </vt:variant>
      <vt:variant>
        <vt:i4>5</vt:i4>
      </vt:variant>
      <vt:variant>
        <vt:lpwstr>mailto:juri.soosaar@eesc.europa.eu</vt:lpwstr>
      </vt:variant>
      <vt:variant>
        <vt:lpwstr/>
      </vt:variant>
      <vt:variant>
        <vt:i4>7667805</vt:i4>
      </vt:variant>
      <vt:variant>
        <vt:i4>57</vt:i4>
      </vt:variant>
      <vt:variant>
        <vt:i4>0</vt:i4>
      </vt:variant>
      <vt:variant>
        <vt:i4>5</vt:i4>
      </vt:variant>
      <vt:variant>
        <vt:lpwstr>mailto:alice.tetu@eesc.europa.eu</vt:lpwstr>
      </vt:variant>
      <vt:variant>
        <vt:lpwstr/>
      </vt:variant>
      <vt:variant>
        <vt:i4>7274573</vt:i4>
      </vt:variant>
      <vt:variant>
        <vt:i4>51</vt:i4>
      </vt:variant>
      <vt:variant>
        <vt:i4>0</vt:i4>
      </vt:variant>
      <vt:variant>
        <vt:i4>5</vt:i4>
      </vt:variant>
      <vt:variant>
        <vt:lpwstr>mailto:luis.lobo@eesc.europa.eu</vt:lpwstr>
      </vt:variant>
      <vt:variant>
        <vt:lpwstr/>
      </vt:variant>
      <vt:variant>
        <vt:i4>4128786</vt:i4>
      </vt:variant>
      <vt:variant>
        <vt:i4>45</vt:i4>
      </vt:variant>
      <vt:variant>
        <vt:i4>0</vt:i4>
      </vt:variant>
      <vt:variant>
        <vt:i4>5</vt:i4>
      </vt:variant>
      <vt:variant>
        <vt:lpwstr>mailto:dorota.zapatka@eesc.europa.eu</vt:lpwstr>
      </vt:variant>
      <vt:variant>
        <vt:lpwstr/>
      </vt:variant>
      <vt:variant>
        <vt:i4>1835051</vt:i4>
      </vt:variant>
      <vt:variant>
        <vt:i4>39</vt:i4>
      </vt:variant>
      <vt:variant>
        <vt:i4>0</vt:i4>
      </vt:variant>
      <vt:variant>
        <vt:i4>5</vt:i4>
      </vt:variant>
      <vt:variant>
        <vt:lpwstr>mailto:gerald.klec@eesc.europa.eu</vt:lpwstr>
      </vt:variant>
      <vt:variant>
        <vt:lpwstr/>
      </vt:variant>
      <vt:variant>
        <vt:i4>1835051</vt:i4>
      </vt:variant>
      <vt:variant>
        <vt:i4>33</vt:i4>
      </vt:variant>
      <vt:variant>
        <vt:i4>0</vt:i4>
      </vt:variant>
      <vt:variant>
        <vt:i4>5</vt:i4>
      </vt:variant>
      <vt:variant>
        <vt:lpwstr>mailto:gerald.klec@eesc.europa.eu</vt:lpwstr>
      </vt:variant>
      <vt:variant>
        <vt:lpwstr/>
      </vt:variant>
      <vt:variant>
        <vt:i4>3473431</vt:i4>
      </vt:variant>
      <vt:variant>
        <vt:i4>27</vt:i4>
      </vt:variant>
      <vt:variant>
        <vt:i4>0</vt:i4>
      </vt:variant>
      <vt:variant>
        <vt:i4>5</vt:i4>
      </vt:variant>
      <vt:variant>
        <vt:lpwstr>mailto:helena.polomik@eesc.europa.eu</vt:lpwstr>
      </vt:variant>
      <vt:variant>
        <vt:lpwstr/>
      </vt:variant>
      <vt:variant>
        <vt:i4>1441844</vt:i4>
      </vt:variant>
      <vt:variant>
        <vt:i4>17</vt:i4>
      </vt:variant>
      <vt:variant>
        <vt:i4>0</vt:i4>
      </vt:variant>
      <vt:variant>
        <vt:i4>5</vt:i4>
      </vt:variant>
      <vt:variant>
        <vt:lpwstr/>
      </vt:variant>
      <vt:variant>
        <vt:lpwstr>_Toc411607117</vt:lpwstr>
      </vt:variant>
      <vt:variant>
        <vt:i4>1441844</vt:i4>
      </vt:variant>
      <vt:variant>
        <vt:i4>11</vt:i4>
      </vt:variant>
      <vt:variant>
        <vt:i4>0</vt:i4>
      </vt:variant>
      <vt:variant>
        <vt:i4>5</vt:i4>
      </vt:variant>
      <vt:variant>
        <vt:lpwstr/>
      </vt:variant>
      <vt:variant>
        <vt:lpwstr>_Toc411607116</vt:lpwstr>
      </vt:variant>
      <vt:variant>
        <vt:i4>1441844</vt:i4>
      </vt:variant>
      <vt:variant>
        <vt:i4>5</vt:i4>
      </vt:variant>
      <vt:variant>
        <vt:i4>0</vt:i4>
      </vt:variant>
      <vt:variant>
        <vt:i4>5</vt:i4>
      </vt:variant>
      <vt:variant>
        <vt:lpwstr/>
      </vt:variant>
      <vt:variant>
        <vt:lpwstr>_Toc411607115</vt:lpwstr>
      </vt:variant>
      <vt:variant>
        <vt:i4>3866663</vt:i4>
      </vt:variant>
      <vt:variant>
        <vt:i4>0</vt:i4>
      </vt:variant>
      <vt:variant>
        <vt:i4>0</vt:i4>
      </vt:variant>
      <vt:variant>
        <vt:i4>5</vt:i4>
      </vt:variant>
      <vt:variant>
        <vt:lpwstr>http://www.eesc.europa.eu/?i=portal.en.opinions-search</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2015-03-19T08:35:00Z</dcterms:created>
  <dcterms:modified xsi:type="dcterms:W3CDTF">2015-03-19T08:35:00Z</dcterms:modified>
  <cp:category/>
</cp:coreProperties>
</file>