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363797" w:rsidRDefault="001A3C60" w:rsidP="00C25B4D">
      <w:pPr>
        <w:overflowPunct/>
        <w:adjustRightInd/>
        <w:snapToGrid w:val="0"/>
        <w:jc w:val="center"/>
        <w:textAlignment w:val="auto"/>
      </w:pPr>
      <w:r w:rsidRPr="00363797">
        <w:rPr>
          <w:noProof/>
          <w:lang w:val="en-US" w:eastAsia="en-US" w:bidi="ar-SA"/>
        </w:rPr>
        <w:drawing>
          <wp:inline distT="0" distB="0" distL="0" distR="0" wp14:anchorId="1FCDC4D9" wp14:editId="340569B0">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63797">
        <w:rPr>
          <w:noProof/>
          <w:lang w:val="en-US" w:eastAsia="en-US" w:bidi="ar-SA"/>
        </w:rPr>
        <mc:AlternateContent>
          <mc:Choice Requires="wps">
            <w:drawing>
              <wp:anchor distT="0" distB="0" distL="114300" distR="114300" simplePos="0" relativeHeight="251657216" behindDoc="1" locked="0" layoutInCell="0" allowOverlap="1" wp14:anchorId="4EB448E6" wp14:editId="755D6FB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CS</w:t>
                      </w:r>
                    </w:p>
                  </w:txbxContent>
                </v:textbox>
                <w10:wrap xmlns:w10="urn:schemas-microsoft-com:office:word" anchorx="page" anchory="page"/>
              </v:shape>
            </w:pict>
          </mc:Fallback>
        </mc:AlternateContent>
      </w:r>
      <w:r w:rsidRPr="00363797">
        <w:rPr>
          <w:noProof/>
          <w:lang w:val="en-US" w:eastAsia="en-US" w:bidi="ar-SA"/>
        </w:rPr>
        <mc:AlternateContent>
          <mc:Choice Requires="wps">
            <w:drawing>
              <wp:anchor distT="0" distB="0" distL="114300" distR="114300" simplePos="0" relativeHeight="251658240" behindDoc="1" locked="0" layoutInCell="0" allowOverlap="1" wp14:anchorId="1C941A0C" wp14:editId="78B8125A">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2">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7">
                        <w:r>
                          <w:rPr>
                            <w:rStyle w:val="Hyperlink"/>
                            <w:b/>
                            <w:noProof/>
                            <w:sz w:val="16"/>
                          </w:rPr>
                          <w:t>http://www.eesc.europa.eu</w:t>
                        </w:r>
                      </w:hyperlink>
                    </w:p>
                  </w:txbxContent>
                </v:textbox>
                <w10:wrap xmlns:w10="urn:schemas-microsoft-com:office:word" anchorx="page" anchory="page"/>
              </v:shape>
            </w:pict>
          </mc:Fallback>
        </mc:AlternateContent>
      </w:r>
    </w:p>
    <w:p w:rsidR="0036271C" w:rsidRPr="00363797" w:rsidRDefault="0036271C" w:rsidP="00C25B4D">
      <w:pPr>
        <w:overflowPunct/>
        <w:adjustRightInd/>
        <w:snapToGrid w:val="0"/>
        <w:jc w:val="center"/>
        <w:textAlignment w:val="auto"/>
        <w:rPr>
          <w:rFonts w:ascii="Arial" w:hAnsi="Arial" w:cs="Arial"/>
          <w:b/>
          <w:i/>
          <w:sz w:val="20"/>
        </w:rPr>
      </w:pPr>
      <w:r w:rsidRPr="00363797">
        <w:rPr>
          <w:rFonts w:ascii="Arial" w:hAnsi="Arial"/>
          <w:b/>
          <w:i/>
          <w:sz w:val="20"/>
        </w:rPr>
        <w:t>Evropský hospodářský</w:t>
      </w:r>
      <w:r w:rsidR="00FC42A5" w:rsidRPr="00363797">
        <w:rPr>
          <w:rFonts w:ascii="Arial" w:hAnsi="Arial"/>
          <w:b/>
          <w:i/>
          <w:sz w:val="20"/>
        </w:rPr>
        <w:t xml:space="preserve"> a </w:t>
      </w:r>
      <w:r w:rsidRPr="00363797">
        <w:rPr>
          <w:rFonts w:ascii="Arial" w:hAnsi="Arial"/>
          <w:b/>
          <w:i/>
          <w:sz w:val="20"/>
        </w:rPr>
        <w:t>sociální výbor</w:t>
      </w:r>
    </w:p>
    <w:p w:rsidR="0036271C" w:rsidRPr="00363797" w:rsidRDefault="0036271C" w:rsidP="00C25B4D">
      <w:pPr>
        <w:overflowPunct/>
        <w:adjustRightInd/>
        <w:jc w:val="left"/>
        <w:textAlignment w:val="auto"/>
        <w:rPr>
          <w:rFonts w:ascii="Arial" w:eastAsia="SimSun" w:hAnsi="Arial" w:cs="Arial"/>
          <w:b/>
          <w:i/>
          <w:sz w:val="20"/>
        </w:rPr>
        <w:sectPr w:rsidR="0036271C" w:rsidRPr="00363797" w:rsidSect="00727BB9">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701" w:left="1440" w:header="283" w:footer="1134" w:gutter="0"/>
          <w:pgNumType w:start="1"/>
          <w:cols w:space="708"/>
          <w:docGrid w:linePitch="360"/>
        </w:sectPr>
      </w:pPr>
    </w:p>
    <w:p w:rsidR="0036271C" w:rsidRPr="00363797" w:rsidRDefault="0036271C" w:rsidP="00C25B4D">
      <w:pPr>
        <w:overflowPunct/>
        <w:adjustRightInd/>
        <w:snapToGrid w:val="0"/>
        <w:jc w:val="center"/>
        <w:textAlignment w:val="auto"/>
      </w:pPr>
    </w:p>
    <w:p w:rsidR="00145FF4" w:rsidRPr="00363797" w:rsidRDefault="00145FF4" w:rsidP="00C25B4D">
      <w:pPr>
        <w:overflowPunct/>
        <w:adjustRightInd/>
        <w:snapToGrid w:val="0"/>
        <w:textAlignment w:val="auto"/>
      </w:pPr>
    </w:p>
    <w:p w:rsidR="00145FF4" w:rsidRPr="00363797" w:rsidRDefault="00145FF4" w:rsidP="00C25B4D">
      <w:pPr>
        <w:overflowPunct/>
        <w:adjustRightInd/>
        <w:snapToGrid w:val="0"/>
        <w:textAlignment w:val="auto"/>
      </w:pPr>
    </w:p>
    <w:p w:rsidR="0036271C" w:rsidRPr="00363797" w:rsidRDefault="00126DAA" w:rsidP="00C25B4D">
      <w:pPr>
        <w:overflowPunct/>
        <w:adjustRightInd/>
        <w:snapToGrid w:val="0"/>
        <w:jc w:val="right"/>
        <w:textAlignment w:val="auto"/>
      </w:pPr>
      <w:r w:rsidRPr="00363797">
        <w:t xml:space="preserve">V Bruselu dne </w:t>
      </w:r>
      <w:r w:rsidR="00FC42A5" w:rsidRPr="00363797">
        <w:t>9. </w:t>
      </w:r>
      <w:r w:rsidRPr="00363797">
        <w:t>března 2015</w:t>
      </w:r>
    </w:p>
    <w:p w:rsidR="0036271C" w:rsidRPr="00363797" w:rsidRDefault="0036271C" w:rsidP="00C25B4D">
      <w:pPr>
        <w:overflowPunct/>
        <w:adjustRightInd/>
        <w:snapToGrid w:val="0"/>
        <w:textAlignment w:val="auto"/>
      </w:pPr>
    </w:p>
    <w:p w:rsidR="0036271C" w:rsidRPr="00363797" w:rsidRDefault="0036271C" w:rsidP="00C25B4D">
      <w:pPr>
        <w:overflowPunct/>
        <w:adjustRightInd/>
        <w:snapToGrid w:val="0"/>
        <w:textAlignment w:val="auto"/>
      </w:pPr>
    </w:p>
    <w:p w:rsidR="0036271C" w:rsidRPr="00363797" w:rsidRDefault="0036271C" w:rsidP="00C25B4D">
      <w:pPr>
        <w:overflowPunct/>
        <w:adjustRightInd/>
        <w:snapToGrid w:val="0"/>
        <w:textAlignment w:val="auto"/>
      </w:pPr>
    </w:p>
    <w:p w:rsidR="0036271C" w:rsidRPr="00363797" w:rsidRDefault="0036271C" w:rsidP="00C25B4D">
      <w:pPr>
        <w:overflowPunct/>
        <w:adjustRightInd/>
        <w:snapToGrid w:val="0"/>
        <w:textAlignment w:val="auto"/>
      </w:pPr>
    </w:p>
    <w:p w:rsidR="0036271C" w:rsidRPr="00363797" w:rsidRDefault="0036271C" w:rsidP="00C25B4D">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6271C" w:rsidRPr="00363797">
        <w:tc>
          <w:tcPr>
            <w:tcW w:w="9243" w:type="dxa"/>
            <w:tcBorders>
              <w:top w:val="nil"/>
              <w:left w:val="nil"/>
              <w:bottom w:val="double" w:sz="4" w:space="0" w:color="auto"/>
              <w:right w:val="nil"/>
            </w:tcBorders>
          </w:tcPr>
          <w:p w:rsidR="0036271C" w:rsidRPr="00363797" w:rsidRDefault="00B46DAA" w:rsidP="00C25B4D">
            <w:pPr>
              <w:overflowPunct/>
              <w:adjustRightInd/>
              <w:snapToGrid w:val="0"/>
              <w:jc w:val="center"/>
              <w:textAlignment w:val="auto"/>
              <w:rPr>
                <w:b/>
                <w:sz w:val="32"/>
              </w:rPr>
            </w:pPr>
            <w:r w:rsidRPr="00363797">
              <w:rPr>
                <w:b/>
                <w:sz w:val="32"/>
              </w:rPr>
              <w:t xml:space="preserve">PLENÁRNÍ ZASEDÁNÍ </w:t>
            </w:r>
            <w:r w:rsidRPr="00363797">
              <w:rPr>
                <w:b/>
                <w:sz w:val="32"/>
              </w:rPr>
              <w:br/>
              <w:t xml:space="preserve"> </w:t>
            </w:r>
            <w:r w:rsidRPr="00363797">
              <w:rPr>
                <w:b/>
                <w:sz w:val="32"/>
              </w:rPr>
              <w:br/>
              <w:t>VE DNECH 1</w:t>
            </w:r>
            <w:r w:rsidR="00FC42A5" w:rsidRPr="00363797">
              <w:rPr>
                <w:b/>
                <w:sz w:val="32"/>
              </w:rPr>
              <w:t>8. A </w:t>
            </w:r>
            <w:r w:rsidRPr="00363797">
              <w:rPr>
                <w:b/>
                <w:sz w:val="32"/>
              </w:rPr>
              <w:t>1</w:t>
            </w:r>
            <w:r w:rsidR="00FC42A5" w:rsidRPr="00363797">
              <w:rPr>
                <w:b/>
                <w:sz w:val="32"/>
              </w:rPr>
              <w:t>9. </w:t>
            </w:r>
            <w:r w:rsidRPr="00363797">
              <w:rPr>
                <w:b/>
                <w:sz w:val="32"/>
              </w:rPr>
              <w:t xml:space="preserve">ÚNORA 2015 </w:t>
            </w:r>
            <w:r w:rsidRPr="00363797">
              <w:rPr>
                <w:b/>
                <w:sz w:val="32"/>
              </w:rPr>
              <w:br/>
              <w:t xml:space="preserve"> </w:t>
            </w:r>
            <w:r w:rsidRPr="00363797">
              <w:rPr>
                <w:b/>
                <w:sz w:val="32"/>
              </w:rPr>
              <w:br/>
              <w:t>SOUHRN PŘIJATÝCH STANOVISEK</w:t>
            </w:r>
          </w:p>
          <w:p w:rsidR="0036271C" w:rsidRPr="00363797" w:rsidRDefault="0036271C" w:rsidP="00C25B4D">
            <w:pPr>
              <w:overflowPunct/>
              <w:adjustRightInd/>
              <w:snapToGrid w:val="0"/>
              <w:jc w:val="center"/>
              <w:textAlignment w:val="auto"/>
              <w:rPr>
                <w:b/>
                <w:sz w:val="32"/>
              </w:rPr>
            </w:pPr>
          </w:p>
          <w:p w:rsidR="0036271C" w:rsidRPr="00363797" w:rsidRDefault="0036271C" w:rsidP="00C25B4D">
            <w:pPr>
              <w:overflowPunct/>
              <w:adjustRightInd/>
              <w:snapToGrid w:val="0"/>
              <w:jc w:val="center"/>
              <w:textAlignment w:val="auto"/>
              <w:rPr>
                <w:b/>
                <w:bCs/>
                <w:szCs w:val="22"/>
              </w:rPr>
            </w:pPr>
          </w:p>
        </w:tc>
      </w:tr>
      <w:tr w:rsidR="0036271C" w:rsidRPr="00363797">
        <w:tc>
          <w:tcPr>
            <w:tcW w:w="9243" w:type="dxa"/>
            <w:tcBorders>
              <w:top w:val="double" w:sz="4" w:space="0" w:color="auto"/>
              <w:left w:val="double" w:sz="4" w:space="0" w:color="auto"/>
              <w:bottom w:val="double" w:sz="4" w:space="0" w:color="auto"/>
              <w:right w:val="double" w:sz="4" w:space="0" w:color="auto"/>
            </w:tcBorders>
          </w:tcPr>
          <w:p w:rsidR="0036271C" w:rsidRPr="00363797" w:rsidRDefault="0036271C" w:rsidP="00C25B4D">
            <w:pPr>
              <w:overflowPunct/>
              <w:adjustRightInd/>
              <w:snapToGrid w:val="0"/>
              <w:jc w:val="center"/>
              <w:textAlignment w:val="auto"/>
              <w:rPr>
                <w:b/>
              </w:rPr>
            </w:pPr>
            <w:r w:rsidRPr="00363797">
              <w:rPr>
                <w:b/>
              </w:rPr>
              <w:t>Tento dokument je</w:t>
            </w:r>
            <w:r w:rsidR="00FC42A5" w:rsidRPr="00363797">
              <w:rPr>
                <w:b/>
              </w:rPr>
              <w:t xml:space="preserve"> k </w:t>
            </w:r>
            <w:r w:rsidRPr="00363797">
              <w:rPr>
                <w:b/>
              </w:rPr>
              <w:t>dispozici</w:t>
            </w:r>
            <w:r w:rsidR="00FC42A5" w:rsidRPr="00363797">
              <w:rPr>
                <w:b/>
              </w:rPr>
              <w:t xml:space="preserve"> v </w:t>
            </w:r>
            <w:r w:rsidRPr="00363797">
              <w:rPr>
                <w:b/>
              </w:rPr>
              <w:t>úředních jazycích na internetových stránkách Výboru na adrese:</w:t>
            </w:r>
          </w:p>
          <w:p w:rsidR="0036271C" w:rsidRPr="00363797" w:rsidRDefault="0036271C" w:rsidP="00C25B4D">
            <w:pPr>
              <w:overflowPunct/>
              <w:adjustRightInd/>
              <w:snapToGrid w:val="0"/>
              <w:jc w:val="center"/>
              <w:textAlignment w:val="auto"/>
              <w:rPr>
                <w:b/>
              </w:rPr>
            </w:pPr>
          </w:p>
          <w:p w:rsidR="009506BB" w:rsidRPr="00363797" w:rsidRDefault="00715C6C" w:rsidP="00C25B4D">
            <w:pPr>
              <w:overflowPunct/>
              <w:adjustRightInd/>
              <w:jc w:val="center"/>
              <w:textAlignment w:val="auto"/>
              <w:rPr>
                <w:color w:val="0000FF"/>
                <w:u w:val="single"/>
              </w:rPr>
            </w:pPr>
            <w:hyperlink r:id="rId24" w:anchor="/boxTab1-2" w:history="1">
              <w:r w:rsidR="009506BB" w:rsidRPr="00363797">
                <w:rPr>
                  <w:rStyle w:val="Hyperlink"/>
                  <w:b/>
                </w:rPr>
                <w:t>http://www.eesc.europa.eu/?i=portal.en.documents#/boxTab1-2</w:t>
              </w:r>
            </w:hyperlink>
          </w:p>
          <w:p w:rsidR="0036271C" w:rsidRPr="00363797" w:rsidRDefault="0036271C" w:rsidP="00C25B4D">
            <w:pPr>
              <w:overflowPunct/>
              <w:adjustRightInd/>
              <w:snapToGrid w:val="0"/>
              <w:jc w:val="center"/>
              <w:textAlignment w:val="auto"/>
            </w:pPr>
          </w:p>
          <w:p w:rsidR="0036271C" w:rsidRPr="00363797" w:rsidRDefault="0036271C" w:rsidP="00C25B4D">
            <w:pPr>
              <w:overflowPunct/>
              <w:adjustRightInd/>
              <w:snapToGrid w:val="0"/>
              <w:jc w:val="center"/>
              <w:textAlignment w:val="auto"/>
              <w:rPr>
                <w:rFonts w:eastAsia="SimSun"/>
                <w:b/>
              </w:rPr>
            </w:pPr>
          </w:p>
          <w:p w:rsidR="0079350D" w:rsidRPr="00363797" w:rsidRDefault="0036271C" w:rsidP="00C25B4D">
            <w:pPr>
              <w:overflowPunct/>
              <w:adjustRightInd/>
              <w:snapToGrid w:val="0"/>
              <w:jc w:val="center"/>
              <w:textAlignment w:val="auto"/>
              <w:rPr>
                <w:b/>
              </w:rPr>
            </w:pPr>
            <w:r w:rsidRPr="00363797">
              <w:rPr>
                <w:b/>
              </w:rPr>
              <w:t>Uvedená stanoviska jsou</w:t>
            </w:r>
            <w:r w:rsidR="00FC42A5" w:rsidRPr="00363797">
              <w:rPr>
                <w:b/>
              </w:rPr>
              <w:t xml:space="preserve"> k </w:t>
            </w:r>
            <w:r w:rsidRPr="00363797">
              <w:rPr>
                <w:b/>
              </w:rPr>
              <w:t>dispozici on-line prostřednictvím vyhledávače Výboru:</w:t>
            </w:r>
          </w:p>
          <w:p w:rsidR="0079350D" w:rsidRPr="00363797" w:rsidRDefault="0079350D" w:rsidP="00C25B4D">
            <w:pPr>
              <w:overflowPunct/>
              <w:adjustRightInd/>
              <w:snapToGrid w:val="0"/>
              <w:jc w:val="center"/>
              <w:textAlignment w:val="auto"/>
              <w:rPr>
                <w:b/>
              </w:rPr>
            </w:pPr>
          </w:p>
          <w:p w:rsidR="0036271C" w:rsidRPr="00363797" w:rsidRDefault="00715C6C" w:rsidP="00C25B4D">
            <w:pPr>
              <w:overflowPunct/>
              <w:adjustRightInd/>
              <w:snapToGrid w:val="0"/>
              <w:jc w:val="center"/>
              <w:textAlignment w:val="auto"/>
              <w:rPr>
                <w:b/>
              </w:rPr>
            </w:pPr>
            <w:hyperlink r:id="rId25">
              <w:r w:rsidR="001F4855" w:rsidRPr="00363797">
                <w:rPr>
                  <w:rStyle w:val="Hyperlink"/>
                  <w:b/>
                </w:rPr>
                <w:t>http://www.eesc.europa.eu/?i=portal.en.opinions-search</w:t>
              </w:r>
            </w:hyperlink>
          </w:p>
          <w:p w:rsidR="0036271C" w:rsidRPr="00363797" w:rsidRDefault="0036271C" w:rsidP="00C25B4D">
            <w:pPr>
              <w:overflowPunct/>
              <w:adjustRightInd/>
              <w:snapToGrid w:val="0"/>
              <w:jc w:val="center"/>
              <w:textAlignment w:val="auto"/>
              <w:rPr>
                <w:b/>
                <w:bCs/>
                <w:szCs w:val="22"/>
              </w:rPr>
            </w:pPr>
          </w:p>
        </w:tc>
      </w:tr>
    </w:tbl>
    <w:p w:rsidR="0036271C" w:rsidRPr="00363797" w:rsidRDefault="0036271C" w:rsidP="00C25B4D">
      <w:pPr>
        <w:overflowPunct/>
        <w:adjustRightInd/>
        <w:textAlignment w:val="auto"/>
      </w:pPr>
    </w:p>
    <w:p w:rsidR="0036271C" w:rsidRPr="00363797" w:rsidRDefault="0036271C" w:rsidP="00C25B4D">
      <w:pPr>
        <w:overflowPunct/>
        <w:adjustRightInd/>
        <w:snapToGrid w:val="0"/>
        <w:textAlignment w:val="auto"/>
      </w:pPr>
    </w:p>
    <w:p w:rsidR="0036271C" w:rsidRPr="00363797" w:rsidRDefault="0036271C" w:rsidP="00C25B4D">
      <w:pPr>
        <w:overflowPunct/>
        <w:adjustRightInd/>
        <w:jc w:val="left"/>
        <w:textAlignment w:val="auto"/>
        <w:rPr>
          <w:rFonts w:eastAsia="SimSun"/>
          <w:b/>
          <w:sz w:val="28"/>
          <w:u w:val="single"/>
        </w:rPr>
        <w:sectPr w:rsidR="0036271C" w:rsidRPr="00363797" w:rsidSect="00727BB9">
          <w:headerReference w:type="even" r:id="rId26"/>
          <w:headerReference w:type="default" r:id="rId27"/>
          <w:footerReference w:type="even" r:id="rId28"/>
          <w:footerReference w:type="default" r:id="rId29"/>
          <w:headerReference w:type="first" r:id="rId30"/>
          <w:footerReference w:type="first" r:id="rId31"/>
          <w:type w:val="continuous"/>
          <w:pgSz w:w="11907" w:h="16839"/>
          <w:pgMar w:top="567" w:right="1440" w:bottom="1701" w:left="1440" w:header="283" w:footer="1134" w:gutter="0"/>
          <w:cols w:space="720"/>
          <w:docGrid w:linePitch="299"/>
        </w:sectPr>
      </w:pPr>
    </w:p>
    <w:p w:rsidR="0036271C" w:rsidRPr="00363797" w:rsidRDefault="0036271C" w:rsidP="00C25B4D">
      <w:pPr>
        <w:overflowPunct/>
        <w:adjustRightInd/>
        <w:snapToGrid w:val="0"/>
        <w:textAlignment w:val="auto"/>
        <w:rPr>
          <w:b/>
          <w:sz w:val="28"/>
          <w:u w:val="single"/>
        </w:rPr>
      </w:pPr>
    </w:p>
    <w:p w:rsidR="0036271C" w:rsidRPr="00363797" w:rsidRDefault="0036271C" w:rsidP="00C25B4D">
      <w:pPr>
        <w:overflowPunct/>
        <w:adjustRightInd/>
        <w:snapToGrid w:val="0"/>
        <w:textAlignment w:val="auto"/>
        <w:rPr>
          <w:b/>
          <w:sz w:val="28"/>
          <w:u w:val="single"/>
        </w:rPr>
      </w:pPr>
      <w:r w:rsidRPr="00363797">
        <w:rPr>
          <w:b/>
        </w:rPr>
        <w:t>Obsah:</w:t>
      </w:r>
    </w:p>
    <w:p w:rsidR="007D3169" w:rsidRPr="00363797" w:rsidRDefault="007D3169" w:rsidP="00C25B4D">
      <w:pPr>
        <w:overflowPunct/>
        <w:adjustRightInd/>
        <w:snapToGrid w:val="0"/>
        <w:textAlignment w:val="auto"/>
        <w:rPr>
          <w:b/>
          <w:sz w:val="28"/>
        </w:rPr>
      </w:pPr>
    </w:p>
    <w:p w:rsidR="00963F6D" w:rsidRPr="00363797" w:rsidRDefault="007D3169" w:rsidP="00C25B4D">
      <w:pPr>
        <w:tabs>
          <w:tab w:val="left" w:pos="440"/>
          <w:tab w:val="right" w:leader="dot" w:pos="9017"/>
        </w:tabs>
        <w:overflowPunct/>
        <w:adjustRightInd/>
        <w:spacing w:line="360" w:lineRule="auto"/>
        <w:textAlignment w:val="auto"/>
        <w:rPr>
          <w:rFonts w:ascii="Calibri" w:hAnsi="Calibri"/>
        </w:rPr>
      </w:pPr>
      <w:r w:rsidRPr="00363797">
        <w:rPr>
          <w:highlight w:val="yellow"/>
        </w:rPr>
        <w:fldChar w:fldCharType="begin"/>
      </w:r>
      <w:r w:rsidRPr="00363797">
        <w:rPr>
          <w:highlight w:val="yellow"/>
        </w:rPr>
        <w:instrText xml:space="preserve"> TOC \o "1-3" \h \z \u </w:instrText>
      </w:r>
      <w:r w:rsidRPr="00363797">
        <w:rPr>
          <w:highlight w:val="yellow"/>
        </w:rPr>
        <w:fldChar w:fldCharType="separate"/>
      </w:r>
      <w:r w:rsidRPr="00363797">
        <w:rPr>
          <w:rFonts w:ascii="Calibri" w:hAnsi="Calibri"/>
        </w:rPr>
        <w:t>TOC</w:t>
      </w:r>
      <w:r w:rsidRPr="00363797">
        <w:rPr>
          <w:highlight w:val="yellow"/>
        </w:rPr>
        <w:fldChar w:fldCharType="end"/>
      </w:r>
    </w:p>
    <w:p w:rsidR="008835F3" w:rsidRPr="00363797" w:rsidRDefault="008835F3" w:rsidP="00C25B4D">
      <w:pPr>
        <w:overflowPunct/>
        <w:adjustRightInd/>
        <w:textAlignment w:val="auto"/>
      </w:pPr>
    </w:p>
    <w:p w:rsidR="00DB5EDC" w:rsidRPr="00363797" w:rsidRDefault="00727DCB" w:rsidP="00C25B4D">
      <w:pPr>
        <w:overflowPunct/>
        <w:adjustRightInd/>
        <w:textAlignment w:val="auto"/>
      </w:pPr>
      <w:r w:rsidRPr="00363797">
        <w:br w:type="page"/>
      </w:r>
      <w:r w:rsidRPr="00363797">
        <w:lastRenderedPageBreak/>
        <w:t>Plenárního zasedání ve dnech 1</w:t>
      </w:r>
      <w:r w:rsidR="00FC42A5" w:rsidRPr="00363797">
        <w:t>8. a </w:t>
      </w:r>
      <w:r w:rsidRPr="00363797">
        <w:t>1</w:t>
      </w:r>
      <w:r w:rsidR="00FC42A5" w:rsidRPr="00363797">
        <w:t>9. </w:t>
      </w:r>
      <w:r w:rsidRPr="00363797">
        <w:t xml:space="preserve">února se zúčastnil </w:t>
      </w:r>
      <w:r w:rsidRPr="00363797">
        <w:rPr>
          <w:b/>
        </w:rPr>
        <w:t>pan Jean-Claude JUNCKER</w:t>
      </w:r>
      <w:r w:rsidRPr="00363797">
        <w:t>, předseda Evropské komise,</w:t>
      </w:r>
      <w:r w:rsidR="00FC42A5" w:rsidRPr="00363797">
        <w:t xml:space="preserve"> a </w:t>
      </w:r>
      <w:r w:rsidRPr="00363797">
        <w:rPr>
          <w:b/>
        </w:rPr>
        <w:t>pan </w:t>
      </w:r>
      <w:proofErr w:type="spellStart"/>
      <w:r w:rsidRPr="00363797">
        <w:rPr>
          <w:b/>
        </w:rPr>
        <w:t>Guntram</w:t>
      </w:r>
      <w:proofErr w:type="spellEnd"/>
      <w:r w:rsidRPr="00363797">
        <w:rPr>
          <w:b/>
        </w:rPr>
        <w:t> WOLFF</w:t>
      </w:r>
      <w:r w:rsidRPr="00363797">
        <w:t xml:space="preserve">, ředitel evropské expertní skupiny </w:t>
      </w:r>
      <w:r w:rsidRPr="00363797">
        <w:rPr>
          <w:i/>
        </w:rPr>
        <w:t>Bruegel</w:t>
      </w:r>
      <w:r w:rsidRPr="00363797">
        <w:t>.</w:t>
      </w:r>
    </w:p>
    <w:p w:rsidR="0062267A" w:rsidRPr="00363797" w:rsidRDefault="0062267A" w:rsidP="00C25B4D">
      <w:pPr>
        <w:overflowPunct/>
        <w:adjustRightInd/>
        <w:textAlignment w:val="auto"/>
      </w:pPr>
    </w:p>
    <w:p w:rsidR="00411775" w:rsidRPr="00363797" w:rsidRDefault="0036271C" w:rsidP="00C25B4D">
      <w:pPr>
        <w:overflowPunct/>
        <w:adjustRightInd/>
        <w:textAlignment w:val="auto"/>
      </w:pPr>
      <w:r w:rsidRPr="00363797">
        <w:t>Na plenárním zasedání byla přijata následující stanoviska:</w:t>
      </w:r>
    </w:p>
    <w:p w:rsidR="005E3DE2" w:rsidRPr="00363797" w:rsidRDefault="005E3DE2" w:rsidP="00C25B4D">
      <w:pPr>
        <w:tabs>
          <w:tab w:val="left" w:pos="550"/>
        </w:tabs>
        <w:overflowPunct/>
        <w:adjustRightInd/>
        <w:textAlignment w:val="auto"/>
      </w:pPr>
    </w:p>
    <w:p w:rsidR="0058626A" w:rsidRPr="00363797" w:rsidRDefault="00D3628B" w:rsidP="00C25B4D">
      <w:pPr>
        <w:keepNext/>
        <w:keepLines/>
        <w:numPr>
          <w:ilvl w:val="0"/>
          <w:numId w:val="2"/>
        </w:numPr>
        <w:overflowPunct/>
        <w:adjustRightInd/>
        <w:ind w:left="709" w:hanging="709"/>
        <w:textAlignment w:val="auto"/>
        <w:outlineLvl w:val="0"/>
        <w:rPr>
          <w:b/>
          <w:sz w:val="28"/>
        </w:rPr>
      </w:pPr>
      <w:r w:rsidRPr="00363797">
        <w:rPr>
          <w:b/>
          <w:sz w:val="28"/>
        </w:rPr>
        <w:t>VNITŘNÍ TRH / FINANČNÍ NÁSTROJE</w:t>
      </w:r>
    </w:p>
    <w:p w:rsidR="00D3628B" w:rsidRPr="00363797" w:rsidRDefault="00D3628B" w:rsidP="00C25B4D">
      <w:pPr>
        <w:tabs>
          <w:tab w:val="left" w:pos="550"/>
        </w:tabs>
        <w:overflowPunct/>
        <w:adjustRightInd/>
        <w:textAlignment w:val="auto"/>
      </w:pPr>
    </w:p>
    <w:p w:rsidR="007C1435" w:rsidRPr="00363797" w:rsidRDefault="007C1435" w:rsidP="00CA2D2F">
      <w:pPr>
        <w:widowControl w:val="0"/>
        <w:overflowPunct/>
        <w:adjustRightInd/>
        <w:textAlignment w:val="auto"/>
        <w:rPr>
          <w:b/>
          <w:sz w:val="24"/>
        </w:rPr>
      </w:pPr>
      <w:r w:rsidRPr="00363797">
        <w:rPr>
          <w:b/>
          <w:sz w:val="24"/>
        </w:rPr>
        <w:t>ECO/362</w:t>
      </w:r>
    </w:p>
    <w:p w:rsidR="007C1435" w:rsidRPr="00363797" w:rsidRDefault="007C1435" w:rsidP="00C25B4D">
      <w:pPr>
        <w:tabs>
          <w:tab w:val="left" w:pos="550"/>
        </w:tabs>
        <w:overflowPunct/>
        <w:adjustRightInd/>
        <w:textAlignment w:val="auto"/>
      </w:pPr>
    </w:p>
    <w:p w:rsidR="007C1435" w:rsidRPr="00363797" w:rsidRDefault="007C1435" w:rsidP="00C25B4D">
      <w:pPr>
        <w:widowControl w:val="0"/>
        <w:numPr>
          <w:ilvl w:val="0"/>
          <w:numId w:val="103"/>
        </w:numPr>
        <w:ind w:hanging="567"/>
        <w:rPr>
          <w:b/>
          <w:i/>
          <w:sz w:val="28"/>
        </w:rPr>
      </w:pPr>
      <w:proofErr w:type="spellStart"/>
      <w:r w:rsidRPr="00363797">
        <w:rPr>
          <w:b/>
          <w:i/>
          <w:sz w:val="28"/>
        </w:rPr>
        <w:t>Makroregionální</w:t>
      </w:r>
      <w:proofErr w:type="spellEnd"/>
      <w:r w:rsidRPr="00363797">
        <w:rPr>
          <w:b/>
          <w:i/>
          <w:sz w:val="28"/>
        </w:rPr>
        <w:t xml:space="preserve"> strategie</w:t>
      </w:r>
      <w:r w:rsidR="00FC42A5" w:rsidRPr="00363797">
        <w:rPr>
          <w:b/>
          <w:i/>
          <w:sz w:val="28"/>
        </w:rPr>
        <w:t xml:space="preserve"> v </w:t>
      </w:r>
      <w:r w:rsidRPr="00363797">
        <w:rPr>
          <w:b/>
          <w:i/>
          <w:sz w:val="28"/>
        </w:rPr>
        <w:t>Evropě (stanovisko</w:t>
      </w:r>
      <w:r w:rsidR="00FC42A5" w:rsidRPr="00363797">
        <w:rPr>
          <w:b/>
          <w:i/>
          <w:sz w:val="28"/>
        </w:rPr>
        <w:t xml:space="preserve"> z </w:t>
      </w:r>
      <w:r w:rsidRPr="00363797">
        <w:rPr>
          <w:b/>
          <w:i/>
          <w:sz w:val="28"/>
        </w:rPr>
        <w:t>vlastní iniciativy)</w:t>
      </w:r>
    </w:p>
    <w:p w:rsidR="007C1435" w:rsidRPr="00363797" w:rsidRDefault="007C1435" w:rsidP="00C25B4D">
      <w:pPr>
        <w:tabs>
          <w:tab w:val="left" w:pos="550"/>
        </w:tabs>
        <w:overflowPunct/>
        <w:adjustRightInd/>
        <w:textAlignment w:val="auto"/>
      </w:pPr>
    </w:p>
    <w:p w:rsidR="007C1435" w:rsidRPr="00363797" w:rsidRDefault="007C1435" w:rsidP="00C25B4D">
      <w:pPr>
        <w:tabs>
          <w:tab w:val="center" w:pos="284"/>
        </w:tabs>
        <w:overflowPunct/>
        <w:adjustRightInd/>
        <w:ind w:left="266" w:hanging="266"/>
        <w:textAlignment w:val="auto"/>
      </w:pPr>
      <w:r w:rsidRPr="00363797">
        <w:rPr>
          <w:b/>
        </w:rPr>
        <w:t>Zpravodaj:</w:t>
      </w:r>
      <w:r w:rsidRPr="00363797">
        <w:t xml:space="preserve"> </w:t>
      </w:r>
      <w:proofErr w:type="spellStart"/>
      <w:r w:rsidRPr="00363797">
        <w:t>Etele</w:t>
      </w:r>
      <w:proofErr w:type="spellEnd"/>
      <w:r w:rsidRPr="00363797">
        <w:t xml:space="preserve"> BARÁTH (Různé zájmy – HU)</w:t>
      </w:r>
    </w:p>
    <w:p w:rsidR="007C1435" w:rsidRPr="00363797" w:rsidRDefault="007C1435" w:rsidP="00C25B4D">
      <w:pPr>
        <w:tabs>
          <w:tab w:val="left" w:pos="550"/>
        </w:tabs>
        <w:overflowPunct/>
        <w:adjustRightInd/>
        <w:textAlignment w:val="auto"/>
      </w:pPr>
    </w:p>
    <w:p w:rsidR="007C1435" w:rsidRPr="00363797" w:rsidRDefault="005C0147" w:rsidP="00C25B4D">
      <w:pPr>
        <w:tabs>
          <w:tab w:val="center" w:pos="284"/>
        </w:tabs>
        <w:overflowPunct/>
        <w:adjustRightInd/>
        <w:ind w:left="266" w:hanging="266"/>
        <w:textAlignment w:val="auto"/>
      </w:pPr>
      <w:r w:rsidRPr="00363797">
        <w:rPr>
          <w:b/>
        </w:rPr>
        <w:t>Odkaz:</w:t>
      </w:r>
      <w:r w:rsidRPr="00363797">
        <w:t xml:space="preserve"> EESC-2014-02544-00-00-AC-TRA</w:t>
      </w:r>
    </w:p>
    <w:p w:rsidR="007C1435" w:rsidRPr="00363797" w:rsidRDefault="007C1435" w:rsidP="00C25B4D">
      <w:pPr>
        <w:tabs>
          <w:tab w:val="left" w:pos="550"/>
        </w:tabs>
        <w:overflowPunct/>
        <w:adjustRightInd/>
        <w:textAlignment w:val="auto"/>
      </w:pPr>
    </w:p>
    <w:p w:rsidR="007C1435" w:rsidRPr="00363797" w:rsidRDefault="007C1435" w:rsidP="00C25B4D">
      <w:pPr>
        <w:tabs>
          <w:tab w:val="center" w:pos="284"/>
        </w:tabs>
        <w:overflowPunct/>
        <w:adjustRightInd/>
        <w:ind w:left="266" w:hanging="266"/>
        <w:textAlignment w:val="auto"/>
        <w:rPr>
          <w:b/>
        </w:rPr>
      </w:pPr>
      <w:r w:rsidRPr="00363797">
        <w:rPr>
          <w:b/>
        </w:rPr>
        <w:t xml:space="preserve">Hlavní body: </w:t>
      </w:r>
    </w:p>
    <w:p w:rsidR="007C1435" w:rsidRPr="00363797" w:rsidRDefault="007C1435" w:rsidP="00C25B4D">
      <w:pPr>
        <w:tabs>
          <w:tab w:val="left" w:pos="550"/>
        </w:tabs>
        <w:overflowPunct/>
        <w:adjustRightInd/>
        <w:textAlignment w:val="auto"/>
      </w:pPr>
    </w:p>
    <w:p w:rsidR="007C1435" w:rsidRPr="00363797" w:rsidRDefault="007C1435" w:rsidP="00C25B4D">
      <w:pPr>
        <w:overflowPunct/>
        <w:adjustRightInd/>
        <w:textAlignment w:val="auto"/>
      </w:pPr>
      <w:r w:rsidRPr="00363797">
        <w:t xml:space="preserve">EHSV soudí, že: </w:t>
      </w:r>
    </w:p>
    <w:p w:rsidR="007C1435" w:rsidRPr="00363797" w:rsidRDefault="007C1435" w:rsidP="00C25B4D">
      <w:pPr>
        <w:overflowPunct/>
        <w:adjustRightInd/>
        <w:textAlignment w:val="auto"/>
      </w:pPr>
    </w:p>
    <w:p w:rsidR="007C1435" w:rsidRPr="00363797" w:rsidRDefault="007C1435" w:rsidP="00842AAD">
      <w:pPr>
        <w:numPr>
          <w:ilvl w:val="0"/>
          <w:numId w:val="122"/>
        </w:numPr>
        <w:overflowPunct/>
        <w:adjustRightInd/>
        <w:textAlignment w:val="auto"/>
      </w:pPr>
      <w:proofErr w:type="spellStart"/>
      <w:r w:rsidRPr="00363797">
        <w:t>makroregionální</w:t>
      </w:r>
      <w:proofErr w:type="spellEnd"/>
      <w:r w:rsidRPr="00363797">
        <w:t xml:space="preserve"> strategie mohou přispět ke zlepšení ekonomické konkurenceschopnosti,</w:t>
      </w:r>
      <w:r w:rsidR="00FC42A5" w:rsidRPr="00363797">
        <w:t xml:space="preserve"> k </w:t>
      </w:r>
      <w:r w:rsidRPr="00363797">
        <w:t>tolik žádoucímu zvýšení HDP</w:t>
      </w:r>
      <w:r w:rsidR="00FC42A5" w:rsidRPr="00363797">
        <w:t xml:space="preserve"> a k </w:t>
      </w:r>
      <w:r w:rsidRPr="00363797">
        <w:t>posílení evropské přidané hodnoty;</w:t>
      </w:r>
    </w:p>
    <w:p w:rsidR="00F53404" w:rsidRPr="00363797" w:rsidRDefault="00F53404" w:rsidP="00C25B4D">
      <w:pPr>
        <w:overflowPunct/>
        <w:adjustRightInd/>
        <w:textAlignment w:val="auto"/>
      </w:pPr>
    </w:p>
    <w:p w:rsidR="007C1435" w:rsidRPr="00363797" w:rsidRDefault="007C1435" w:rsidP="00842AAD">
      <w:pPr>
        <w:numPr>
          <w:ilvl w:val="0"/>
          <w:numId w:val="122"/>
        </w:numPr>
        <w:overflowPunct/>
        <w:adjustRightInd/>
        <w:textAlignment w:val="auto"/>
      </w:pPr>
      <w:proofErr w:type="spellStart"/>
      <w:r w:rsidRPr="00363797">
        <w:t>makroregionální</w:t>
      </w:r>
      <w:proofErr w:type="spellEnd"/>
      <w:r w:rsidRPr="00363797">
        <w:t xml:space="preserve"> strategie jsou</w:t>
      </w:r>
      <w:r w:rsidR="00FC42A5" w:rsidRPr="00363797">
        <w:t xml:space="preserve"> z </w:t>
      </w:r>
      <w:r w:rsidRPr="00363797">
        <w:t xml:space="preserve">hlediska budoucnosti Unie čím dál důležitější; </w:t>
      </w:r>
    </w:p>
    <w:p w:rsidR="00D66BF8" w:rsidRPr="00363797" w:rsidRDefault="00D66BF8" w:rsidP="00C25B4D">
      <w:pPr>
        <w:overflowPunct/>
        <w:adjustRightInd/>
        <w:textAlignment w:val="auto"/>
      </w:pPr>
    </w:p>
    <w:p w:rsidR="007C1435" w:rsidRPr="00363797" w:rsidRDefault="007C1435" w:rsidP="00842AAD">
      <w:pPr>
        <w:numPr>
          <w:ilvl w:val="0"/>
          <w:numId w:val="122"/>
        </w:numPr>
        <w:overflowPunct/>
        <w:adjustRightInd/>
        <w:textAlignment w:val="auto"/>
      </w:pPr>
      <w:r w:rsidRPr="00363797">
        <w:t xml:space="preserve">je proto jednoznačně nutné rozvíjet </w:t>
      </w:r>
      <w:proofErr w:type="spellStart"/>
      <w:r w:rsidRPr="00363797">
        <w:t>makroregionální</w:t>
      </w:r>
      <w:proofErr w:type="spellEnd"/>
      <w:r w:rsidRPr="00363797">
        <w:t xml:space="preserve"> strategie na celoevropské úrovni. </w:t>
      </w:r>
    </w:p>
    <w:p w:rsidR="007C1435" w:rsidRPr="00363797" w:rsidRDefault="007C1435" w:rsidP="00842AAD">
      <w:pPr>
        <w:overflowPunct/>
        <w:adjustRightInd/>
        <w:textAlignment w:val="auto"/>
      </w:pPr>
    </w:p>
    <w:p w:rsidR="007C1435" w:rsidRPr="00363797" w:rsidRDefault="007C1435" w:rsidP="00842AAD">
      <w:pPr>
        <w:overflowPunct/>
        <w:adjustRightInd/>
        <w:textAlignment w:val="auto"/>
      </w:pPr>
      <w:r w:rsidRPr="00363797">
        <w:t xml:space="preserve">EHSV doporučuje: </w:t>
      </w:r>
    </w:p>
    <w:p w:rsidR="007C1435" w:rsidRPr="00363797" w:rsidRDefault="007C1435" w:rsidP="00C25B4D">
      <w:pPr>
        <w:overflowPunct/>
        <w:adjustRightInd/>
        <w:textAlignment w:val="auto"/>
      </w:pPr>
    </w:p>
    <w:p w:rsidR="007C1435" w:rsidRPr="00363797" w:rsidRDefault="007C1435" w:rsidP="00842AAD">
      <w:pPr>
        <w:numPr>
          <w:ilvl w:val="0"/>
          <w:numId w:val="123"/>
        </w:numPr>
        <w:overflowPunct/>
        <w:adjustRightInd/>
        <w:textAlignment w:val="auto"/>
      </w:pPr>
      <w:r w:rsidRPr="00363797">
        <w:t xml:space="preserve">Evropské radě, aby se vyslovila pro začlenění </w:t>
      </w:r>
      <w:proofErr w:type="spellStart"/>
      <w:r w:rsidRPr="00363797">
        <w:t>makroregionální</w:t>
      </w:r>
      <w:proofErr w:type="spellEnd"/>
      <w:r w:rsidRPr="00363797">
        <w:t xml:space="preserve"> politiky do řídící struktury Unie</w:t>
      </w:r>
      <w:r w:rsidR="00FC42A5" w:rsidRPr="00363797">
        <w:t xml:space="preserve"> a </w:t>
      </w:r>
      <w:r w:rsidRPr="00363797">
        <w:t>aby nechala vypracovat pokyny pro celé území EU, které by sloužily</w:t>
      </w:r>
      <w:r w:rsidR="00FC42A5" w:rsidRPr="00363797">
        <w:t xml:space="preserve"> k </w:t>
      </w:r>
      <w:r w:rsidRPr="00363797">
        <w:t xml:space="preserve">přípravě </w:t>
      </w:r>
      <w:proofErr w:type="spellStart"/>
      <w:r w:rsidRPr="00363797">
        <w:t>makroregionální</w:t>
      </w:r>
      <w:proofErr w:type="spellEnd"/>
      <w:r w:rsidRPr="00363797">
        <w:t xml:space="preserve"> rozvojové strategie</w:t>
      </w:r>
      <w:r w:rsidR="00FC42A5" w:rsidRPr="00363797">
        <w:t xml:space="preserve"> s </w:t>
      </w:r>
      <w:r w:rsidRPr="00363797">
        <w:t>cílem ekonomického</w:t>
      </w:r>
      <w:r w:rsidR="00FC42A5" w:rsidRPr="00363797">
        <w:t xml:space="preserve"> a </w:t>
      </w:r>
      <w:r w:rsidRPr="00363797">
        <w:t>sociálního rozvoje;</w:t>
      </w:r>
    </w:p>
    <w:p w:rsidR="007C1435" w:rsidRPr="00363797" w:rsidRDefault="007C1435" w:rsidP="00842AAD">
      <w:pPr>
        <w:overflowPunct/>
        <w:adjustRightInd/>
        <w:textAlignment w:val="auto"/>
      </w:pPr>
    </w:p>
    <w:p w:rsidR="007C1435" w:rsidRPr="00363797" w:rsidRDefault="007C1435" w:rsidP="00842AAD">
      <w:pPr>
        <w:numPr>
          <w:ilvl w:val="0"/>
          <w:numId w:val="123"/>
        </w:numPr>
        <w:overflowPunct/>
        <w:adjustRightInd/>
        <w:textAlignment w:val="auto"/>
      </w:pPr>
      <w:r w:rsidRPr="00363797">
        <w:t xml:space="preserve">aby se řídící struktura na celoevropské úrovni posílila tak, že se do všech fází rozhodovacího procesu vedle koordinační skupiny na vysoké úrovni, složené ze zástupců všech 28 zemí, jež odpovídá za </w:t>
      </w:r>
      <w:proofErr w:type="spellStart"/>
      <w:r w:rsidRPr="00363797">
        <w:t>makroregionální</w:t>
      </w:r>
      <w:proofErr w:type="spellEnd"/>
      <w:r w:rsidRPr="00363797">
        <w:t xml:space="preserve"> řízení, zapojí občanská společnost</w:t>
      </w:r>
      <w:r w:rsidR="00FC42A5" w:rsidRPr="00363797">
        <w:t xml:space="preserve"> a </w:t>
      </w:r>
      <w:r w:rsidRPr="00363797">
        <w:t>města</w:t>
      </w:r>
      <w:r w:rsidR="00FC42A5" w:rsidRPr="00363797">
        <w:t xml:space="preserve"> a </w:t>
      </w:r>
      <w:r w:rsidRPr="00363797">
        <w:t xml:space="preserve">územní celky. </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r w:rsidRPr="00363797">
        <w:rPr>
          <w:b/>
          <w:i/>
        </w:rPr>
        <w:t>Kontaktní osoba:</w:t>
      </w:r>
      <w:r w:rsidRPr="00363797">
        <w:tab/>
      </w:r>
      <w:r w:rsidRPr="00363797">
        <w:rPr>
          <w:i/>
        </w:rPr>
        <w:t>Helena Polomik</w:t>
      </w:r>
    </w:p>
    <w:p w:rsidR="007C1435" w:rsidRPr="00363797" w:rsidRDefault="007C1435" w:rsidP="00C25B4D">
      <w:pPr>
        <w:overflowPunct/>
        <w:adjustRightInd/>
        <w:ind w:left="266" w:hanging="266"/>
        <w:textAlignment w:val="auto"/>
      </w:pPr>
      <w:r w:rsidRPr="00363797">
        <w:rPr>
          <w:i/>
        </w:rPr>
        <w:t xml:space="preserve">(tel.: 00 32 2 546 9063 – e-mail: </w:t>
      </w:r>
      <w:hyperlink r:id="rId32">
        <w:r w:rsidRPr="00363797">
          <w:rPr>
            <w:rStyle w:val="Hyperlink"/>
            <w:i/>
          </w:rPr>
          <w:t>helena.polomik@eesc.europa.eu</w:t>
        </w:r>
      </w:hyperlink>
      <w:r w:rsidRPr="00363797">
        <w:rPr>
          <w:i/>
        </w:rPr>
        <w:t>)</w:t>
      </w:r>
    </w:p>
    <w:p w:rsidR="007C1435" w:rsidRPr="00363797" w:rsidRDefault="007C1435" w:rsidP="00C25B4D">
      <w:pPr>
        <w:overflowPunct/>
        <w:adjustRightInd/>
        <w:textAlignment w:val="auto"/>
      </w:pPr>
    </w:p>
    <w:p w:rsidR="007C1435" w:rsidRPr="00363797" w:rsidRDefault="007C1435" w:rsidP="00CA2D2F">
      <w:pPr>
        <w:widowControl w:val="0"/>
        <w:overflowPunct/>
        <w:adjustRightInd/>
        <w:textAlignment w:val="auto"/>
        <w:rPr>
          <w:b/>
        </w:rPr>
      </w:pPr>
      <w:r w:rsidRPr="00363797">
        <w:rPr>
          <w:b/>
        </w:rPr>
        <w:t>ECO/371</w:t>
      </w:r>
    </w:p>
    <w:p w:rsidR="007C1435" w:rsidRPr="00363797" w:rsidRDefault="007C1435" w:rsidP="00842AAD">
      <w:pPr>
        <w:overflowPunct/>
        <w:adjustRightInd/>
        <w:textAlignment w:val="auto"/>
      </w:pPr>
    </w:p>
    <w:p w:rsidR="007C1435" w:rsidRPr="00363797" w:rsidRDefault="007C1435" w:rsidP="00C25B4D">
      <w:pPr>
        <w:widowControl w:val="0"/>
        <w:numPr>
          <w:ilvl w:val="0"/>
          <w:numId w:val="103"/>
        </w:numPr>
        <w:ind w:hanging="567"/>
        <w:rPr>
          <w:i/>
          <w:sz w:val="28"/>
        </w:rPr>
      </w:pPr>
      <w:r w:rsidRPr="00363797">
        <w:rPr>
          <w:b/>
          <w:i/>
          <w:sz w:val="28"/>
        </w:rPr>
        <w:t>Úloha družstevních bank</w:t>
      </w:r>
      <w:r w:rsidR="00FC42A5" w:rsidRPr="00363797">
        <w:rPr>
          <w:b/>
          <w:i/>
          <w:sz w:val="28"/>
        </w:rPr>
        <w:t xml:space="preserve"> a </w:t>
      </w:r>
      <w:r w:rsidRPr="00363797">
        <w:rPr>
          <w:b/>
          <w:i/>
          <w:sz w:val="28"/>
        </w:rPr>
        <w:t>spořitelen</w:t>
      </w:r>
      <w:r w:rsidR="00FC42A5" w:rsidRPr="00363797">
        <w:rPr>
          <w:b/>
          <w:i/>
          <w:sz w:val="28"/>
        </w:rPr>
        <w:t xml:space="preserve"> v </w:t>
      </w:r>
      <w:r w:rsidRPr="00363797">
        <w:rPr>
          <w:b/>
          <w:i/>
          <w:sz w:val="28"/>
        </w:rPr>
        <w:t>územní soudržnosti (stanovisko</w:t>
      </w:r>
      <w:r w:rsidR="00FC42A5" w:rsidRPr="00363797">
        <w:rPr>
          <w:b/>
          <w:i/>
          <w:sz w:val="28"/>
        </w:rPr>
        <w:t xml:space="preserve"> </w:t>
      </w:r>
      <w:r w:rsidR="00FC42A5" w:rsidRPr="00363797">
        <w:rPr>
          <w:b/>
          <w:i/>
          <w:sz w:val="28"/>
        </w:rPr>
        <w:lastRenderedPageBreak/>
        <w:t>z </w:t>
      </w:r>
      <w:r w:rsidRPr="00363797">
        <w:rPr>
          <w:b/>
          <w:i/>
          <w:sz w:val="28"/>
        </w:rPr>
        <w:t>vlastní iniciativy)</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r w:rsidRPr="00363797">
        <w:rPr>
          <w:b/>
        </w:rPr>
        <w:t>Zpravodaj:</w:t>
      </w:r>
      <w:r w:rsidRPr="00363797">
        <w:t xml:space="preserve"> Carlos TRIAS PINTÓ (Různé </w:t>
      </w:r>
      <w:proofErr w:type="gramStart"/>
      <w:r w:rsidRPr="00363797">
        <w:t>zájmy</w:t>
      </w:r>
      <w:proofErr w:type="gramEnd"/>
      <w:r w:rsidRPr="00363797">
        <w:t xml:space="preserve">– </w:t>
      </w:r>
      <w:proofErr w:type="gramStart"/>
      <w:r w:rsidRPr="00363797">
        <w:t>ES</w:t>
      </w:r>
      <w:proofErr w:type="gramEnd"/>
      <w:r w:rsidRPr="00363797">
        <w:t>)</w:t>
      </w:r>
    </w:p>
    <w:p w:rsidR="007C1435" w:rsidRPr="00363797" w:rsidRDefault="007C1435" w:rsidP="00C25B4D">
      <w:pPr>
        <w:tabs>
          <w:tab w:val="center" w:pos="284"/>
        </w:tabs>
        <w:overflowPunct/>
        <w:adjustRightInd/>
        <w:ind w:left="266" w:hanging="266"/>
        <w:textAlignment w:val="auto"/>
        <w:rPr>
          <w:b/>
        </w:rPr>
      </w:pPr>
    </w:p>
    <w:p w:rsidR="007C1435" w:rsidRPr="00363797" w:rsidRDefault="005C0147" w:rsidP="00C25B4D">
      <w:pPr>
        <w:tabs>
          <w:tab w:val="center" w:pos="284"/>
        </w:tabs>
        <w:overflowPunct/>
        <w:adjustRightInd/>
        <w:ind w:left="266" w:hanging="266"/>
        <w:textAlignment w:val="auto"/>
      </w:pPr>
      <w:r w:rsidRPr="00363797">
        <w:rPr>
          <w:b/>
        </w:rPr>
        <w:t>Odkaz</w:t>
      </w:r>
      <w:r w:rsidRPr="00363797">
        <w:t>: EESC-2014-04516-00-00-AC-TRA</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rPr>
          <w:b/>
        </w:rPr>
      </w:pPr>
      <w:r w:rsidRPr="00363797">
        <w:rPr>
          <w:b/>
        </w:rPr>
        <w:t xml:space="preserve">Hlavní body: </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overflowPunct/>
        <w:adjustRightInd/>
        <w:spacing w:line="240" w:lineRule="auto"/>
        <w:textAlignment w:val="auto"/>
      </w:pPr>
      <w:r w:rsidRPr="00363797">
        <w:t xml:space="preserve">EHSV: </w:t>
      </w:r>
    </w:p>
    <w:p w:rsidR="007C1435" w:rsidRPr="00363797" w:rsidRDefault="007C1435" w:rsidP="00C25B4D">
      <w:pPr>
        <w:overflowPunct/>
        <w:adjustRightInd/>
        <w:spacing w:line="240" w:lineRule="auto"/>
        <w:textAlignment w:val="auto"/>
      </w:pPr>
    </w:p>
    <w:p w:rsidR="007C1435" w:rsidRPr="00363797" w:rsidRDefault="007C1435" w:rsidP="00842AAD">
      <w:pPr>
        <w:numPr>
          <w:ilvl w:val="0"/>
          <w:numId w:val="102"/>
        </w:numPr>
      </w:pPr>
      <w:r w:rsidRPr="00363797">
        <w:t xml:space="preserve">považuje za nezbytné, aby byla zachována „biologická rozmanitost“ finančního systému, aniž by to znamenalo svévolné uplatňování práva; </w:t>
      </w:r>
    </w:p>
    <w:p w:rsidR="007C1435" w:rsidRPr="00363797" w:rsidRDefault="007C1435" w:rsidP="00C25B4D">
      <w:pPr>
        <w:overflowPunct/>
        <w:adjustRightInd/>
        <w:ind w:left="720"/>
        <w:textAlignment w:val="auto"/>
      </w:pPr>
    </w:p>
    <w:p w:rsidR="007C1435" w:rsidRPr="00363797" w:rsidRDefault="007C1435" w:rsidP="00842AAD">
      <w:pPr>
        <w:numPr>
          <w:ilvl w:val="0"/>
          <w:numId w:val="102"/>
        </w:numPr>
        <w:ind w:left="714" w:hanging="357"/>
      </w:pPr>
      <w:r w:rsidRPr="00363797">
        <w:t>vítá, že Evropská komise zvažuje stanovení vyvážených rámců finanční regulace tak, aby se zvážila specifika družstevních záložen</w:t>
      </w:r>
      <w:r w:rsidR="00FC42A5" w:rsidRPr="00363797">
        <w:t xml:space="preserve"> a </w:t>
      </w:r>
      <w:r w:rsidRPr="00363797">
        <w:t>spořitelen, jimiž se zamezí nežádoucím důsledkům jednotného uplatňování obezřetnostních pravidel</w:t>
      </w:r>
      <w:r w:rsidR="00FC42A5" w:rsidRPr="00363797">
        <w:t xml:space="preserve"> a </w:t>
      </w:r>
      <w:r w:rsidRPr="00363797">
        <w:t>případné nadměrné administrativní zátěži;</w:t>
      </w:r>
    </w:p>
    <w:p w:rsidR="007C1435" w:rsidRPr="00363797" w:rsidRDefault="007C1435" w:rsidP="00C25B4D">
      <w:pPr>
        <w:overflowPunct/>
        <w:adjustRightInd/>
        <w:ind w:left="714"/>
        <w:textAlignment w:val="auto"/>
      </w:pPr>
    </w:p>
    <w:p w:rsidR="007C1435" w:rsidRPr="00363797" w:rsidRDefault="007C1435" w:rsidP="00842AAD">
      <w:pPr>
        <w:numPr>
          <w:ilvl w:val="0"/>
          <w:numId w:val="102"/>
        </w:numPr>
      </w:pPr>
      <w:r w:rsidRPr="00363797">
        <w:t>připomíná, že hlavním problémem je</w:t>
      </w:r>
      <w:r w:rsidR="00FC42A5" w:rsidRPr="00363797">
        <w:t xml:space="preserve"> i </w:t>
      </w:r>
      <w:r w:rsidRPr="00363797">
        <w:t>nadále adekvátní uplatňování zásady proporcionality</w:t>
      </w:r>
      <w:r w:rsidR="00FC42A5" w:rsidRPr="00363797">
        <w:t xml:space="preserve"> v </w:t>
      </w:r>
      <w:r w:rsidRPr="00363797">
        <w:t>rámci nové bankovní regulace (zejména co se týče směrnice</w:t>
      </w:r>
      <w:r w:rsidR="00FC42A5" w:rsidRPr="00363797">
        <w:t xml:space="preserve"> o </w:t>
      </w:r>
      <w:r w:rsidRPr="00363797">
        <w:t>kapitálových požadavcích – CRD IV</w:t>
      </w:r>
      <w:r w:rsidR="00FC42A5" w:rsidRPr="00363797">
        <w:t xml:space="preserve"> a </w:t>
      </w:r>
      <w:r w:rsidRPr="00363797">
        <w:t>nařízení</w:t>
      </w:r>
      <w:r w:rsidR="00FC42A5" w:rsidRPr="00363797">
        <w:t xml:space="preserve"> o </w:t>
      </w:r>
      <w:r w:rsidRPr="00363797">
        <w:t xml:space="preserve">kapitálových požadavcích – CRR); </w:t>
      </w:r>
    </w:p>
    <w:p w:rsidR="007C1435" w:rsidRPr="00363797" w:rsidRDefault="007C1435" w:rsidP="00C25B4D">
      <w:pPr>
        <w:overflowPunct/>
        <w:adjustRightInd/>
        <w:ind w:left="720"/>
        <w:textAlignment w:val="auto"/>
      </w:pPr>
    </w:p>
    <w:p w:rsidR="007C1435" w:rsidRPr="00363797" w:rsidRDefault="007C1435" w:rsidP="00842AAD">
      <w:pPr>
        <w:numPr>
          <w:ilvl w:val="0"/>
          <w:numId w:val="102"/>
        </w:numPr>
      </w:pPr>
      <w:r w:rsidRPr="00363797">
        <w:t>je toho názoru, že nejpřísnější požadavky by se měly uplatňovat na celosvětové banky, striktní požadavky na celoevropské banky (systémově</w:t>
      </w:r>
      <w:r w:rsidR="00FC42A5" w:rsidRPr="00363797">
        <w:t xml:space="preserve"> v </w:t>
      </w:r>
      <w:r w:rsidRPr="00363797">
        <w:t>Evropě)</w:t>
      </w:r>
      <w:r w:rsidR="00FC42A5" w:rsidRPr="00363797">
        <w:t xml:space="preserve"> a </w:t>
      </w:r>
      <w:r w:rsidRPr="00363797">
        <w:t>flexibilnější požadavky na národní</w:t>
      </w:r>
      <w:r w:rsidR="00FC42A5" w:rsidRPr="00363797">
        <w:t xml:space="preserve"> a </w:t>
      </w:r>
      <w:r w:rsidRPr="00363797">
        <w:t>místní banky;</w:t>
      </w:r>
    </w:p>
    <w:p w:rsidR="007C1435" w:rsidRPr="00363797" w:rsidRDefault="007C1435" w:rsidP="00C25B4D">
      <w:pPr>
        <w:overflowPunct/>
        <w:adjustRightInd/>
        <w:ind w:left="720"/>
        <w:textAlignment w:val="auto"/>
      </w:pPr>
    </w:p>
    <w:p w:rsidR="007C1435" w:rsidRPr="00363797" w:rsidRDefault="007C1435" w:rsidP="00842AAD">
      <w:pPr>
        <w:numPr>
          <w:ilvl w:val="0"/>
          <w:numId w:val="102"/>
        </w:numPr>
        <w:ind w:left="714" w:hanging="357"/>
      </w:pPr>
      <w:r w:rsidRPr="00363797">
        <w:t>vždy prosazoval rovné soutěžní podmínky,</w:t>
      </w:r>
      <w:r w:rsidR="00FC42A5" w:rsidRPr="00363797">
        <w:t xml:space="preserve"> a </w:t>
      </w:r>
      <w:r w:rsidRPr="00363797">
        <w:t>proto navrhuje, aby byly používány objektivní parametry, které by ospravedlnily specifický typ regulace pro každý obchodní model (ekonomické</w:t>
      </w:r>
      <w:r w:rsidR="00FC42A5" w:rsidRPr="00363797">
        <w:t xml:space="preserve"> a </w:t>
      </w:r>
      <w:r w:rsidRPr="00363797">
        <w:t>finanční výsledky, přínos pro reálnou ekonomiku, řízení rizik</w:t>
      </w:r>
      <w:r w:rsidR="00FC42A5" w:rsidRPr="00363797">
        <w:t xml:space="preserve"> a </w:t>
      </w:r>
      <w:r w:rsidRPr="00363797">
        <w:t xml:space="preserve">správa); </w:t>
      </w:r>
    </w:p>
    <w:p w:rsidR="007C1435" w:rsidRPr="00363797" w:rsidRDefault="007C1435" w:rsidP="00C25B4D">
      <w:pPr>
        <w:overflowPunct/>
        <w:adjustRightInd/>
        <w:ind w:left="714"/>
        <w:textAlignment w:val="auto"/>
      </w:pPr>
    </w:p>
    <w:p w:rsidR="007C1435" w:rsidRPr="00363797" w:rsidRDefault="007C1435" w:rsidP="00842AAD">
      <w:pPr>
        <w:numPr>
          <w:ilvl w:val="0"/>
          <w:numId w:val="102"/>
        </w:numPr>
      </w:pPr>
      <w:r w:rsidRPr="00363797">
        <w:t>navrhuje finančním orgánům, aby vytvářely pobídky pro subjekty, které nejlépe splňují tyto podmínky,</w:t>
      </w:r>
      <w:r w:rsidR="00FC42A5" w:rsidRPr="00363797">
        <w:t xml:space="preserve"> a </w:t>
      </w:r>
      <w:r w:rsidRPr="00363797">
        <w:t>zasazuje se</w:t>
      </w:r>
      <w:r w:rsidR="00FC42A5" w:rsidRPr="00363797">
        <w:t xml:space="preserve"> o </w:t>
      </w:r>
      <w:r w:rsidRPr="00363797">
        <w:t>posílení etických norem</w:t>
      </w:r>
      <w:r w:rsidR="00FC42A5" w:rsidRPr="00363797">
        <w:t xml:space="preserve"> a </w:t>
      </w:r>
      <w:r w:rsidRPr="00363797">
        <w:t>kodexů řádné správy pro všechny druhy bank coby základního předpokladu pro znovunabytí ztracené důvěry.</w:t>
      </w:r>
    </w:p>
    <w:p w:rsidR="007C1435" w:rsidRPr="00363797" w:rsidRDefault="007C1435" w:rsidP="00C25B4D">
      <w:pPr>
        <w:overflowPunct/>
        <w:adjustRightInd/>
        <w:textAlignment w:val="auto"/>
      </w:pPr>
    </w:p>
    <w:p w:rsidR="007C1435" w:rsidRPr="00363797" w:rsidRDefault="007C1435" w:rsidP="00C25B4D">
      <w:pPr>
        <w:keepNext/>
        <w:keepLines/>
        <w:overflowPunct/>
        <w:adjustRightInd/>
        <w:textAlignment w:val="auto"/>
      </w:pPr>
      <w:r w:rsidRPr="00363797">
        <w:rPr>
          <w:b/>
          <w:i/>
        </w:rPr>
        <w:t>Kontaktní osoba:</w:t>
      </w:r>
      <w:r w:rsidRPr="00363797">
        <w:tab/>
      </w:r>
      <w:r w:rsidRPr="00363797">
        <w:rPr>
          <w:i/>
        </w:rPr>
        <w:t>Gerald Klec</w:t>
      </w:r>
    </w:p>
    <w:p w:rsidR="007C1435" w:rsidRPr="00363797" w:rsidRDefault="007C1435" w:rsidP="00C25B4D">
      <w:pPr>
        <w:keepNext/>
        <w:keepLines/>
        <w:overflowPunct/>
        <w:adjustRightInd/>
        <w:ind w:left="266" w:hanging="266"/>
        <w:textAlignment w:val="auto"/>
      </w:pPr>
      <w:r w:rsidRPr="00363797">
        <w:rPr>
          <w:i/>
        </w:rPr>
        <w:t xml:space="preserve">(tel: 00 32 2 546 9909 - e-mail: </w:t>
      </w:r>
      <w:hyperlink r:id="rId33">
        <w:r w:rsidRPr="00363797">
          <w:rPr>
            <w:rStyle w:val="Hyperlink"/>
            <w:i/>
          </w:rPr>
          <w:t>gerald.klec@eesc.europa.eu</w:t>
        </w:r>
      </w:hyperlink>
      <w:r w:rsidRPr="00363797">
        <w:rPr>
          <w:i/>
        </w:rPr>
        <w:t>)</w:t>
      </w:r>
    </w:p>
    <w:p w:rsidR="007C1435" w:rsidRPr="00363797" w:rsidRDefault="007C1435" w:rsidP="00C25B4D">
      <w:pPr>
        <w:overflowPunct/>
        <w:adjustRightInd/>
        <w:textAlignment w:val="auto"/>
      </w:pPr>
    </w:p>
    <w:p w:rsidR="007C1435" w:rsidRPr="00363797" w:rsidRDefault="007C1435" w:rsidP="00CA2D2F">
      <w:pPr>
        <w:widowControl w:val="0"/>
        <w:overflowPunct/>
        <w:adjustRightInd/>
        <w:textAlignment w:val="auto"/>
        <w:rPr>
          <w:b/>
          <w:u w:val="single"/>
        </w:rPr>
      </w:pPr>
      <w:r w:rsidRPr="00363797">
        <w:rPr>
          <w:b/>
          <w:u w:val="single"/>
        </w:rPr>
        <w:t>ECO/373</w:t>
      </w:r>
    </w:p>
    <w:p w:rsidR="007C1435" w:rsidRPr="00363797" w:rsidRDefault="007C1435" w:rsidP="00C25B4D">
      <w:pPr>
        <w:widowControl w:val="0"/>
        <w:overflowPunct/>
        <w:adjustRightInd/>
        <w:textAlignment w:val="auto"/>
        <w:rPr>
          <w:b/>
          <w:i/>
          <w:sz w:val="28"/>
        </w:rPr>
      </w:pPr>
    </w:p>
    <w:p w:rsidR="007C1435" w:rsidRPr="00363797" w:rsidRDefault="007C1435" w:rsidP="00C25B4D">
      <w:pPr>
        <w:widowControl w:val="0"/>
        <w:numPr>
          <w:ilvl w:val="0"/>
          <w:numId w:val="103"/>
        </w:numPr>
        <w:ind w:hanging="567"/>
        <w:rPr>
          <w:i/>
          <w:sz w:val="28"/>
        </w:rPr>
      </w:pPr>
      <w:r w:rsidRPr="00363797">
        <w:rPr>
          <w:b/>
          <w:i/>
          <w:sz w:val="28"/>
        </w:rPr>
        <w:t>Revize Evropského systému dohledu nad finančním trhem</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r w:rsidRPr="00363797">
        <w:rPr>
          <w:b/>
        </w:rPr>
        <w:t>Zpravodaj:</w:t>
      </w:r>
      <w:r w:rsidRPr="00363797">
        <w:t xml:space="preserve"> </w:t>
      </w:r>
      <w:proofErr w:type="spellStart"/>
      <w:r w:rsidRPr="00363797">
        <w:t>Carmelo</w:t>
      </w:r>
      <w:proofErr w:type="spellEnd"/>
      <w:r w:rsidRPr="00363797">
        <w:t xml:space="preserve"> CEDRONE (Zaměstnanci – IT)</w:t>
      </w:r>
    </w:p>
    <w:p w:rsidR="007C1435" w:rsidRPr="00363797" w:rsidRDefault="007C1435" w:rsidP="00C25B4D">
      <w:pPr>
        <w:tabs>
          <w:tab w:val="center" w:pos="284"/>
        </w:tabs>
        <w:overflowPunct/>
        <w:adjustRightInd/>
        <w:ind w:left="266" w:hanging="266"/>
        <w:textAlignment w:val="auto"/>
        <w:rPr>
          <w:b/>
        </w:rPr>
      </w:pPr>
    </w:p>
    <w:p w:rsidR="005C0147" w:rsidRPr="00363797" w:rsidRDefault="007C1435" w:rsidP="00C25B4D">
      <w:pPr>
        <w:tabs>
          <w:tab w:val="center" w:pos="284"/>
        </w:tabs>
        <w:overflowPunct/>
        <w:adjustRightInd/>
        <w:ind w:left="266" w:hanging="266"/>
        <w:textAlignment w:val="auto"/>
      </w:pPr>
      <w:r w:rsidRPr="00363797">
        <w:rPr>
          <w:b/>
        </w:rPr>
        <w:lastRenderedPageBreak/>
        <w:t xml:space="preserve">Odkazy: </w:t>
      </w:r>
      <w:r w:rsidRPr="00363797">
        <w:tab/>
      </w:r>
      <w:proofErr w:type="gramStart"/>
      <w:r w:rsidRPr="00363797">
        <w:t>COM(2014</w:t>
      </w:r>
      <w:proofErr w:type="gramEnd"/>
      <w:r w:rsidRPr="00363797">
        <w:t xml:space="preserve">) 509 </w:t>
      </w:r>
      <w:proofErr w:type="spellStart"/>
      <w:r w:rsidRPr="00363797">
        <w:t>final</w:t>
      </w:r>
      <w:proofErr w:type="spellEnd"/>
      <w:r w:rsidR="00FC42A5" w:rsidRPr="00363797">
        <w:t xml:space="preserve"> a </w:t>
      </w:r>
      <w:r w:rsidRPr="00363797">
        <w:t xml:space="preserve">COM(2014) 508 </w:t>
      </w:r>
      <w:proofErr w:type="spellStart"/>
      <w:r w:rsidRPr="00363797">
        <w:t>final</w:t>
      </w:r>
      <w:proofErr w:type="spellEnd"/>
      <w:r w:rsidRPr="00363797">
        <w:t xml:space="preserve"> </w:t>
      </w:r>
    </w:p>
    <w:p w:rsidR="007C1435" w:rsidRPr="00363797" w:rsidRDefault="007C1435" w:rsidP="00842AAD">
      <w:pPr>
        <w:overflowPunct/>
        <w:adjustRightInd/>
        <w:ind w:left="1418"/>
        <w:textAlignment w:val="auto"/>
      </w:pPr>
      <w:r w:rsidRPr="00363797">
        <w:t>EESC-2014-05561-00-00-AC-TRA</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rPr>
          <w:b/>
        </w:rPr>
      </w:pPr>
      <w:r w:rsidRPr="00363797">
        <w:rPr>
          <w:b/>
        </w:rPr>
        <w:t xml:space="preserve">Hlavní body: </w:t>
      </w:r>
    </w:p>
    <w:p w:rsidR="0004216F" w:rsidRPr="00363797" w:rsidRDefault="0004216F" w:rsidP="00C25B4D">
      <w:pPr>
        <w:overflowPunct/>
        <w:adjustRightInd/>
        <w:ind w:left="-567"/>
        <w:textAlignment w:val="auto"/>
      </w:pPr>
    </w:p>
    <w:p w:rsidR="007C1435" w:rsidRPr="00363797" w:rsidRDefault="007C1435" w:rsidP="00C25B4D">
      <w:pPr>
        <w:overflowPunct/>
        <w:adjustRightInd/>
        <w:spacing w:line="240" w:lineRule="auto"/>
        <w:textAlignment w:val="auto"/>
      </w:pPr>
      <w:r w:rsidRPr="00363797">
        <w:t>EHSV:</w:t>
      </w:r>
    </w:p>
    <w:p w:rsidR="007C1435" w:rsidRPr="00363797" w:rsidRDefault="007C1435" w:rsidP="00C25B4D">
      <w:pPr>
        <w:keepLines/>
        <w:overflowPunct/>
        <w:adjustRightInd/>
        <w:spacing w:line="240" w:lineRule="auto"/>
        <w:textAlignment w:val="auto"/>
      </w:pPr>
    </w:p>
    <w:p w:rsidR="007C1435" w:rsidRPr="00363797" w:rsidRDefault="007C1435" w:rsidP="00842AAD">
      <w:pPr>
        <w:numPr>
          <w:ilvl w:val="0"/>
          <w:numId w:val="106"/>
        </w:numPr>
      </w:pPr>
      <w:r w:rsidRPr="00363797">
        <w:t xml:space="preserve">souhlasí, že je třeba přijmout nápravná opatření zaměřená na zlepšení fungování Evropského systému dohledu nad finančním trhem (ESFS); </w:t>
      </w:r>
    </w:p>
    <w:p w:rsidR="007C1435" w:rsidRPr="00363797" w:rsidRDefault="007C1435" w:rsidP="00C25B4D">
      <w:pPr>
        <w:overflowPunct/>
        <w:adjustRightInd/>
        <w:textAlignment w:val="auto"/>
      </w:pPr>
    </w:p>
    <w:p w:rsidR="007C1435" w:rsidRPr="00363797" w:rsidRDefault="007C1435" w:rsidP="00842AAD">
      <w:pPr>
        <w:numPr>
          <w:ilvl w:val="0"/>
          <w:numId w:val="105"/>
        </w:numPr>
      </w:pPr>
      <w:r w:rsidRPr="00363797">
        <w:t>žádá podporu opatření, která usnadní koordinaci Evropského systému dohledu nad finančním trhem (ESFS), nového uspořádání jednotného mechanismu dohledu (SSM)</w:t>
      </w:r>
      <w:r w:rsidR="00FC42A5" w:rsidRPr="00363797">
        <w:t xml:space="preserve"> a </w:t>
      </w:r>
      <w:r w:rsidRPr="00363797">
        <w:t>jednotného mechanismu řešení sporů;</w:t>
      </w:r>
    </w:p>
    <w:p w:rsidR="007C1435" w:rsidRPr="00363797" w:rsidRDefault="007C1435" w:rsidP="00C25B4D">
      <w:pPr>
        <w:overflowPunct/>
        <w:adjustRightInd/>
        <w:textAlignment w:val="auto"/>
      </w:pPr>
    </w:p>
    <w:p w:rsidR="007C1435" w:rsidRPr="00363797" w:rsidRDefault="007C1435" w:rsidP="00842AAD">
      <w:pPr>
        <w:numPr>
          <w:ilvl w:val="0"/>
          <w:numId w:val="105"/>
        </w:numPr>
      </w:pPr>
      <w:r w:rsidRPr="00363797">
        <w:t>požaduje racionalizaci regulační úlohy institucí ESFS</w:t>
      </w:r>
      <w:r w:rsidR="00FC42A5" w:rsidRPr="00363797">
        <w:t xml:space="preserve"> s </w:t>
      </w:r>
      <w:r w:rsidRPr="00363797">
        <w:t>cílem podpořit zjednodušení právního rámce</w:t>
      </w:r>
      <w:r w:rsidR="00FC42A5" w:rsidRPr="00363797">
        <w:t xml:space="preserve"> a </w:t>
      </w:r>
      <w:r w:rsidRPr="00363797">
        <w:t>větší transparentnost</w:t>
      </w:r>
      <w:r w:rsidR="00FC42A5" w:rsidRPr="00363797">
        <w:t xml:space="preserve"> a </w:t>
      </w:r>
      <w:r w:rsidRPr="00363797">
        <w:t>účinnost postupů;</w:t>
      </w:r>
    </w:p>
    <w:p w:rsidR="007C1435" w:rsidRPr="00363797" w:rsidRDefault="007C1435" w:rsidP="00C25B4D">
      <w:pPr>
        <w:overflowPunct/>
        <w:adjustRightInd/>
        <w:textAlignment w:val="auto"/>
      </w:pPr>
    </w:p>
    <w:p w:rsidR="007C1435" w:rsidRPr="00363797" w:rsidRDefault="007C1435" w:rsidP="00842AAD">
      <w:pPr>
        <w:numPr>
          <w:ilvl w:val="0"/>
          <w:numId w:val="105"/>
        </w:numPr>
      </w:pPr>
      <w:r w:rsidRPr="00363797">
        <w:t>žádá střednědobou strategii, jejímž cílem je provést organizační</w:t>
      </w:r>
      <w:r w:rsidR="00FC42A5" w:rsidRPr="00363797">
        <w:t xml:space="preserve"> a </w:t>
      </w:r>
      <w:r w:rsidRPr="00363797">
        <w:t>účelnou konsolidaci orgánů dohledu (zvážením možnosti zavedení jediného sídla</w:t>
      </w:r>
      <w:r w:rsidR="00FC42A5" w:rsidRPr="00363797">
        <w:t xml:space="preserve"> a </w:t>
      </w:r>
      <w:r w:rsidRPr="00363797">
        <w:t>zavedení dvojí úpravy (</w:t>
      </w:r>
      <w:proofErr w:type="spellStart"/>
      <w:r w:rsidRPr="00363797">
        <w:t>twin</w:t>
      </w:r>
      <w:proofErr w:type="spellEnd"/>
      <w:r w:rsidRPr="00363797">
        <w:t> </w:t>
      </w:r>
      <w:proofErr w:type="spellStart"/>
      <w:r w:rsidRPr="00363797">
        <w:t>peaks</w:t>
      </w:r>
      <w:proofErr w:type="spellEnd"/>
      <w:r w:rsidRPr="00363797">
        <w:t>));</w:t>
      </w:r>
    </w:p>
    <w:p w:rsidR="007C1435" w:rsidRPr="00363797" w:rsidRDefault="007C1435" w:rsidP="00C25B4D">
      <w:pPr>
        <w:overflowPunct/>
        <w:adjustRightInd/>
        <w:textAlignment w:val="auto"/>
      </w:pPr>
    </w:p>
    <w:p w:rsidR="007C1435" w:rsidRPr="00363797" w:rsidRDefault="007C1435" w:rsidP="00C25B4D">
      <w:pPr>
        <w:numPr>
          <w:ilvl w:val="0"/>
          <w:numId w:val="104"/>
        </w:numPr>
        <w:overflowPunct/>
        <w:adjustRightInd/>
        <w:ind w:left="720"/>
        <w:textAlignment w:val="auto"/>
      </w:pPr>
      <w:r w:rsidRPr="00363797">
        <w:t>žádá podporu mechanismů zaměřených na zhodnocení priorit zemí eurozóny, zejména pokud jde</w:t>
      </w:r>
      <w:r w:rsidR="00FC42A5" w:rsidRPr="00363797">
        <w:t xml:space="preserve"> o </w:t>
      </w:r>
      <w:r w:rsidRPr="00363797">
        <w:t>bankovní trh</w:t>
      </w:r>
      <w:r w:rsidR="00FC42A5" w:rsidRPr="00363797">
        <w:t xml:space="preserve"> a </w:t>
      </w:r>
      <w:r w:rsidRPr="00363797">
        <w:t>mechanismy jednotného dohledu, které stanoví specifické předpisy pro přistoupení zemí, jež nejsou součástí eurozóny;</w:t>
      </w:r>
    </w:p>
    <w:p w:rsidR="007C1435" w:rsidRPr="00363797" w:rsidRDefault="007C1435" w:rsidP="00C25B4D">
      <w:pPr>
        <w:overflowPunct/>
        <w:adjustRightInd/>
        <w:ind w:left="720"/>
        <w:textAlignment w:val="auto"/>
      </w:pPr>
    </w:p>
    <w:p w:rsidR="007C1435" w:rsidRPr="00363797" w:rsidRDefault="007C1435" w:rsidP="00C25B4D">
      <w:pPr>
        <w:numPr>
          <w:ilvl w:val="0"/>
          <w:numId w:val="104"/>
        </w:numPr>
        <w:overflowPunct/>
        <w:adjustRightInd/>
        <w:ind w:left="720"/>
        <w:textAlignment w:val="auto"/>
      </w:pPr>
      <w:r w:rsidRPr="00363797">
        <w:t>vyzývá vědecký výbor ESRB</w:t>
      </w:r>
      <w:r w:rsidR="00FC42A5" w:rsidRPr="00363797">
        <w:t xml:space="preserve"> a </w:t>
      </w:r>
      <w:r w:rsidRPr="00363797">
        <w:t>příslušné výbory nebo odborné skupiny evropských orgánů dohledu, aby – po konzultaci zainteresovaných stran – předložily konkrétní návrhy na zlepšení;</w:t>
      </w:r>
    </w:p>
    <w:p w:rsidR="007C1435" w:rsidRPr="00363797" w:rsidRDefault="007C1435" w:rsidP="00C25B4D">
      <w:pPr>
        <w:overflowPunct/>
        <w:adjustRightInd/>
        <w:ind w:left="720"/>
        <w:textAlignment w:val="auto"/>
      </w:pPr>
    </w:p>
    <w:p w:rsidR="007C1435" w:rsidRPr="00363797" w:rsidRDefault="007C1435" w:rsidP="00C25B4D">
      <w:pPr>
        <w:numPr>
          <w:ilvl w:val="0"/>
          <w:numId w:val="104"/>
        </w:numPr>
        <w:overflowPunct/>
        <w:adjustRightInd/>
        <w:ind w:left="720"/>
        <w:textAlignment w:val="auto"/>
      </w:pPr>
      <w:r w:rsidRPr="00363797">
        <w:t>vyzývá Evropskou komisi, aby posoudila proveditelnost strukturálnějších řešení organizace ESFS</w:t>
      </w:r>
      <w:r w:rsidR="00FC42A5" w:rsidRPr="00363797">
        <w:t xml:space="preserve"> a </w:t>
      </w:r>
      <w:r w:rsidRPr="00363797">
        <w:t>způsobů financování orgánů.</w:t>
      </w:r>
    </w:p>
    <w:p w:rsidR="007C1435" w:rsidRPr="00363797" w:rsidRDefault="007C1435" w:rsidP="00C25B4D">
      <w:pPr>
        <w:overflowPunct/>
        <w:adjustRightInd/>
        <w:textAlignment w:val="auto"/>
      </w:pPr>
    </w:p>
    <w:p w:rsidR="007C1435" w:rsidRPr="00363797" w:rsidRDefault="007C1435" w:rsidP="00CA2D2F">
      <w:pPr>
        <w:keepNext/>
        <w:keepLines/>
        <w:overflowPunct/>
        <w:adjustRightInd/>
        <w:textAlignment w:val="auto"/>
      </w:pPr>
      <w:r w:rsidRPr="00363797">
        <w:rPr>
          <w:b/>
          <w:i/>
        </w:rPr>
        <w:t>Kontaktní osoba:</w:t>
      </w:r>
      <w:r w:rsidRPr="00363797">
        <w:tab/>
      </w:r>
      <w:r w:rsidRPr="00363797">
        <w:rPr>
          <w:i/>
        </w:rPr>
        <w:t>Gerald Klec</w:t>
      </w:r>
    </w:p>
    <w:p w:rsidR="007C1435" w:rsidRPr="00363797" w:rsidRDefault="007C1435" w:rsidP="00CA2D2F">
      <w:pPr>
        <w:keepNext/>
        <w:keepLines/>
        <w:overflowPunct/>
        <w:adjustRightInd/>
        <w:ind w:left="266" w:hanging="266"/>
        <w:textAlignment w:val="auto"/>
      </w:pPr>
      <w:r w:rsidRPr="00363797">
        <w:rPr>
          <w:i/>
        </w:rPr>
        <w:t xml:space="preserve">(tel: 00 32 2 546 9909 - e-mail: </w:t>
      </w:r>
      <w:hyperlink r:id="rId34">
        <w:r w:rsidRPr="00363797">
          <w:rPr>
            <w:rStyle w:val="Hyperlink"/>
            <w:i/>
          </w:rPr>
          <w:t>gerald.klec@eesc.europa.eu</w:t>
        </w:r>
      </w:hyperlink>
      <w:r w:rsidRPr="00363797">
        <w:rPr>
          <w:i/>
        </w:rPr>
        <w:t>)</w:t>
      </w:r>
    </w:p>
    <w:p w:rsidR="007C1435" w:rsidRPr="00363797" w:rsidRDefault="007C1435" w:rsidP="00C25B4D">
      <w:pPr>
        <w:overflowPunct/>
        <w:adjustRightInd/>
        <w:textAlignment w:val="auto"/>
      </w:pPr>
    </w:p>
    <w:p w:rsidR="007C1435" w:rsidRPr="00363797" w:rsidRDefault="007C1435" w:rsidP="00CA2D2F">
      <w:pPr>
        <w:overflowPunct/>
        <w:adjustRightInd/>
        <w:ind w:left="284" w:hanging="284"/>
        <w:textAlignment w:val="auto"/>
        <w:rPr>
          <w:b/>
          <w:highlight w:val="yellow"/>
          <w:u w:val="single"/>
        </w:rPr>
      </w:pPr>
      <w:r w:rsidRPr="00363797">
        <w:rPr>
          <w:b/>
          <w:u w:val="single"/>
        </w:rPr>
        <w:t>INT/760</w:t>
      </w:r>
    </w:p>
    <w:p w:rsidR="007C1435" w:rsidRPr="00363797" w:rsidRDefault="007C1435" w:rsidP="00C25B4D">
      <w:pPr>
        <w:overflowPunct/>
        <w:adjustRightInd/>
        <w:textAlignment w:val="auto"/>
        <w:rPr>
          <w:i/>
          <w:u w:val="single"/>
        </w:rPr>
      </w:pPr>
    </w:p>
    <w:p w:rsidR="007C1435" w:rsidRPr="00363797" w:rsidRDefault="007C1435" w:rsidP="00C25B4D">
      <w:pPr>
        <w:widowControl w:val="0"/>
        <w:numPr>
          <w:ilvl w:val="0"/>
          <w:numId w:val="103"/>
        </w:numPr>
        <w:ind w:hanging="567"/>
        <w:rPr>
          <w:b/>
          <w:i/>
          <w:sz w:val="28"/>
        </w:rPr>
      </w:pPr>
      <w:r w:rsidRPr="00363797">
        <w:rPr>
          <w:b/>
          <w:i/>
          <w:sz w:val="28"/>
        </w:rPr>
        <w:t>Zeměpisná označení EU / nezemědělské produkty</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r w:rsidRPr="00363797">
        <w:rPr>
          <w:b/>
        </w:rPr>
        <w:t>Zpravodajka:</w:t>
      </w:r>
      <w:r w:rsidRPr="00363797">
        <w:tab/>
      </w:r>
      <w:proofErr w:type="spellStart"/>
      <w:r w:rsidRPr="00363797">
        <w:t>Kathleen</w:t>
      </w:r>
      <w:proofErr w:type="spellEnd"/>
      <w:r w:rsidRPr="00363797">
        <w:t xml:space="preserve"> WALKER SHAW (Zaměstnanci – UK)</w:t>
      </w:r>
    </w:p>
    <w:p w:rsidR="007C1435" w:rsidRPr="00363797" w:rsidRDefault="007C1435" w:rsidP="00C25B4D">
      <w:pPr>
        <w:tabs>
          <w:tab w:val="center" w:pos="284"/>
        </w:tabs>
        <w:overflowPunct/>
        <w:adjustRightInd/>
        <w:ind w:left="266" w:hanging="266"/>
        <w:textAlignment w:val="auto"/>
        <w:rPr>
          <w:b/>
        </w:rPr>
      </w:pPr>
    </w:p>
    <w:p w:rsidR="00305C00" w:rsidRPr="00363797" w:rsidRDefault="007C1435" w:rsidP="00C25B4D">
      <w:pPr>
        <w:tabs>
          <w:tab w:val="center" w:pos="284"/>
        </w:tabs>
        <w:overflowPunct/>
        <w:adjustRightInd/>
        <w:ind w:left="266" w:hanging="266"/>
        <w:textAlignment w:val="auto"/>
      </w:pPr>
      <w:r w:rsidRPr="00363797">
        <w:rPr>
          <w:b/>
        </w:rPr>
        <w:t>Odkazy:</w:t>
      </w:r>
      <w:r w:rsidRPr="00363797">
        <w:tab/>
      </w:r>
      <w:proofErr w:type="gramStart"/>
      <w:r w:rsidRPr="00363797">
        <w:t>COM(2014</w:t>
      </w:r>
      <w:proofErr w:type="gramEnd"/>
      <w:r w:rsidRPr="00363797">
        <w:t xml:space="preserve">) 469 </w:t>
      </w:r>
      <w:proofErr w:type="spellStart"/>
      <w:r w:rsidRPr="00363797">
        <w:t>final</w:t>
      </w:r>
      <w:proofErr w:type="spellEnd"/>
      <w:r w:rsidRPr="00363797">
        <w:t xml:space="preserve"> </w:t>
      </w:r>
    </w:p>
    <w:p w:rsidR="007C1435" w:rsidRPr="00363797" w:rsidRDefault="00061D37" w:rsidP="00842AAD">
      <w:pPr>
        <w:tabs>
          <w:tab w:val="center" w:pos="284"/>
        </w:tabs>
        <w:overflowPunct/>
        <w:adjustRightInd/>
        <w:ind w:left="266" w:firstLine="1152"/>
        <w:textAlignment w:val="auto"/>
      </w:pPr>
      <w:r w:rsidRPr="00363797">
        <w:t>EESC-2014-05991-00-00-AC-TRA</w:t>
      </w:r>
    </w:p>
    <w:p w:rsidR="007C1435" w:rsidRPr="00363797" w:rsidRDefault="007C1435" w:rsidP="00C25B4D">
      <w:pPr>
        <w:tabs>
          <w:tab w:val="center" w:pos="284"/>
        </w:tabs>
        <w:overflowPunct/>
        <w:adjustRightInd/>
        <w:ind w:left="266" w:hanging="266"/>
        <w:textAlignment w:val="auto"/>
      </w:pPr>
    </w:p>
    <w:p w:rsidR="007C1435" w:rsidRPr="00363797" w:rsidRDefault="007C1435" w:rsidP="00C25B4D">
      <w:pPr>
        <w:keepNext/>
        <w:keepLines/>
        <w:tabs>
          <w:tab w:val="center" w:pos="284"/>
        </w:tabs>
        <w:overflowPunct/>
        <w:adjustRightInd/>
        <w:ind w:left="266" w:hanging="266"/>
        <w:textAlignment w:val="auto"/>
        <w:rPr>
          <w:b/>
        </w:rPr>
      </w:pPr>
      <w:r w:rsidRPr="00363797">
        <w:rPr>
          <w:b/>
        </w:rPr>
        <w:lastRenderedPageBreak/>
        <w:t>Hlavní body:</w:t>
      </w:r>
    </w:p>
    <w:p w:rsidR="007C1435" w:rsidRPr="00363797" w:rsidRDefault="007C1435" w:rsidP="00C25B4D">
      <w:pPr>
        <w:overflowPunct/>
        <w:adjustRightInd/>
        <w:textAlignment w:val="auto"/>
        <w:rPr>
          <w:b/>
        </w:rPr>
      </w:pPr>
    </w:p>
    <w:p w:rsidR="007C1435" w:rsidRPr="00363797" w:rsidRDefault="007C1435" w:rsidP="00C25B4D">
      <w:pPr>
        <w:overflowPunct/>
        <w:adjustRightInd/>
        <w:textAlignment w:val="auto"/>
      </w:pPr>
      <w:r w:rsidRPr="00363797">
        <w:t>EHSV:</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r w:rsidRPr="00363797">
        <w:t>podporuje rozšíření systému zeměpisných označení na nezemědělské výrobky prostřednictvím jednotného nařízení EU. Domnívá se, že tento systém by měl pokud možno vycházet ze stávajícího rámce pro zemědělské</w:t>
      </w:r>
      <w:r w:rsidR="00FC42A5" w:rsidRPr="00363797">
        <w:t xml:space="preserve"> a </w:t>
      </w:r>
      <w:r w:rsidRPr="00363797">
        <w:t>potravinářské výrobky, aby systémy pro registraci, ochranu, sledování</w:t>
      </w:r>
      <w:r w:rsidR="00FC42A5" w:rsidRPr="00363797">
        <w:t xml:space="preserve"> a </w:t>
      </w:r>
      <w:r w:rsidRPr="00363797">
        <w:t>prosazování zůstaly jednotné</w:t>
      </w:r>
      <w:r w:rsidR="00FC42A5" w:rsidRPr="00363797">
        <w:t xml:space="preserve"> a </w:t>
      </w:r>
      <w:r w:rsidRPr="00363797">
        <w:t>aby se předešlo nejasnostem pro správy</w:t>
      </w:r>
      <w:r w:rsidR="00FC42A5" w:rsidRPr="00363797">
        <w:t xml:space="preserve"> a </w:t>
      </w:r>
      <w:r w:rsidRPr="00363797">
        <w:t>spotřebitele;</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r w:rsidRPr="00363797">
        <w:t>doporučuje, aby</w:t>
      </w:r>
      <w:r w:rsidR="00FC42A5" w:rsidRPr="00363797">
        <w:t xml:space="preserve"> v </w:t>
      </w:r>
      <w:r w:rsidRPr="00363797">
        <w:t>rámci balíčku</w:t>
      </w:r>
      <w:r w:rsidR="00FC42A5" w:rsidRPr="00363797">
        <w:t xml:space="preserve"> v </w:t>
      </w:r>
      <w:r w:rsidRPr="00363797">
        <w:t>oblasti bezpečnosti výrobků byly přijaty jak dobrovolný systém zeměpisných označení, tak</w:t>
      </w:r>
      <w:r w:rsidR="00FC42A5" w:rsidRPr="00363797">
        <w:t xml:space="preserve"> i </w:t>
      </w:r>
      <w:r w:rsidRPr="00363797">
        <w:t>povinné označování původu spotřebních výrobků, což by zajistilo lepší sledovatelnost, transparentnost</w:t>
      </w:r>
      <w:r w:rsidR="00FC42A5" w:rsidRPr="00363797">
        <w:t xml:space="preserve"> a </w:t>
      </w:r>
      <w:r w:rsidRPr="00363797">
        <w:t>informace pro spotřebitele</w:t>
      </w:r>
      <w:r w:rsidR="00FC42A5" w:rsidRPr="00363797">
        <w:t xml:space="preserve"> a </w:t>
      </w:r>
      <w:r w:rsidRPr="00363797">
        <w:t>zajistilo uznávání původu pro producenty</w:t>
      </w:r>
      <w:r w:rsidR="00FC42A5" w:rsidRPr="00363797">
        <w:t xml:space="preserve"> v </w:t>
      </w:r>
      <w:r w:rsidRPr="00363797">
        <w:t>celé EU;</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r w:rsidRPr="00363797">
        <w:t>je přesvědčen, že podniky, které intenzivně využívají zeměpisná označení</w:t>
      </w:r>
      <w:r w:rsidR="00FC42A5" w:rsidRPr="00363797">
        <w:t xml:space="preserve"> a </w:t>
      </w:r>
      <w:r w:rsidRPr="00363797">
        <w:t>jiná práva duševního vlastnictví, by měly být podporovány při ochraně jejich produktů</w:t>
      </w:r>
      <w:r w:rsidR="00FC42A5" w:rsidRPr="00363797">
        <w:t xml:space="preserve"> a </w:t>
      </w:r>
      <w:r w:rsidRPr="00363797">
        <w:t>know-how, což jim umožní nasměrovat investice do odborné přípravy</w:t>
      </w:r>
      <w:r w:rsidR="00FC42A5" w:rsidRPr="00363797">
        <w:t xml:space="preserve"> v </w:t>
      </w:r>
      <w:r w:rsidRPr="00363797">
        <w:t>oblasti pozitivních dovedností místo do obranných právních kroků;</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proofErr w:type="gramStart"/>
      <w:r w:rsidRPr="00363797">
        <w:t>se domnívá</w:t>
      </w:r>
      <w:proofErr w:type="gramEnd"/>
      <w:r w:rsidRPr="00363797">
        <w:t>, že je zapotřebí formální registrační postup</w:t>
      </w:r>
      <w:r w:rsidR="00FC42A5" w:rsidRPr="00363797">
        <w:t xml:space="preserve"> a </w:t>
      </w:r>
      <w:r w:rsidRPr="00363797">
        <w:t>že by měl být</w:t>
      </w:r>
      <w:r w:rsidR="00FC42A5" w:rsidRPr="00363797">
        <w:t xml:space="preserve"> v </w:t>
      </w:r>
      <w:r w:rsidRPr="00363797">
        <w:t>oprávněných případech</w:t>
      </w:r>
      <w:r w:rsidR="00FC42A5" w:rsidRPr="00363797">
        <w:t xml:space="preserve"> k </w:t>
      </w:r>
      <w:r w:rsidRPr="00363797">
        <w:t>dispozici také postup pro vyškrtnutí</w:t>
      </w:r>
      <w:r w:rsidR="00FC42A5" w:rsidRPr="00363797">
        <w:t xml:space="preserve"> z </w:t>
      </w:r>
      <w:r w:rsidRPr="00363797">
        <w:t>rejstříku;</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r w:rsidRPr="00363797">
        <w:t>je toho názoru, že kombinovaný přístup přijatý pro zemědělské produkty – chráněná označení původu (CHOP)</w:t>
      </w:r>
      <w:r w:rsidR="00FC42A5" w:rsidRPr="00363797">
        <w:t xml:space="preserve"> a </w:t>
      </w:r>
      <w:r w:rsidRPr="00363797">
        <w:t>flexibilnější chráněná zeměpisná označení (CHZO) – by zajistil komplexní pokrytí výrobků, které potřebují ochranu;</w:t>
      </w:r>
    </w:p>
    <w:p w:rsidR="00BB5E6B" w:rsidRPr="00363797" w:rsidRDefault="00BB5E6B" w:rsidP="00C25B4D">
      <w:pPr>
        <w:overflowPunct/>
        <w:adjustRightInd/>
        <w:textAlignment w:val="auto"/>
      </w:pPr>
    </w:p>
    <w:p w:rsidR="007C1435" w:rsidRPr="00363797" w:rsidRDefault="007C1435" w:rsidP="00C25B4D">
      <w:pPr>
        <w:numPr>
          <w:ilvl w:val="0"/>
          <w:numId w:val="124"/>
        </w:numPr>
        <w:overflowPunct/>
        <w:adjustRightInd/>
        <w:textAlignment w:val="auto"/>
      </w:pPr>
      <w:r w:rsidRPr="00363797">
        <w:t>soudí, že vztah mezi systémem zeměpisného označení nezemědělských produktů</w:t>
      </w:r>
      <w:r w:rsidR="00FC42A5" w:rsidRPr="00363797">
        <w:t xml:space="preserve"> a </w:t>
      </w:r>
      <w:r w:rsidRPr="00363797">
        <w:t>právem</w:t>
      </w:r>
      <w:r w:rsidR="00FC42A5" w:rsidRPr="00363797">
        <w:t xml:space="preserve"> o </w:t>
      </w:r>
      <w:r w:rsidRPr="00363797">
        <w:t>ochranných známkách by měl být definován podobně jako ten, který se</w:t>
      </w:r>
      <w:r w:rsidR="00FC42A5" w:rsidRPr="00363797">
        <w:t xml:space="preserve"> v </w:t>
      </w:r>
      <w:r w:rsidRPr="00363797">
        <w:t>současnosti používá pro zemědělské produkty, čímž by se zajistila kontinuita</w:t>
      </w:r>
      <w:r w:rsidR="00FC42A5" w:rsidRPr="00363797">
        <w:t xml:space="preserve"> u </w:t>
      </w:r>
      <w:r w:rsidRPr="00363797">
        <w:t>všech produktů</w:t>
      </w:r>
      <w:r w:rsidR="00FC42A5" w:rsidRPr="00363797">
        <w:t xml:space="preserve"> a </w:t>
      </w:r>
      <w:r w:rsidRPr="00363797">
        <w:t>zamezilo nejasnostem;</w:t>
      </w:r>
    </w:p>
    <w:p w:rsidR="00ED53B6" w:rsidRPr="00363797" w:rsidRDefault="00ED53B6" w:rsidP="00ED53B6">
      <w:pPr>
        <w:overflowPunct/>
        <w:adjustRightInd/>
        <w:textAlignment w:val="auto"/>
      </w:pPr>
    </w:p>
    <w:p w:rsidR="00ED53B6" w:rsidRPr="00363797" w:rsidRDefault="00ED53B6" w:rsidP="00ED53B6">
      <w:pPr>
        <w:numPr>
          <w:ilvl w:val="0"/>
          <w:numId w:val="124"/>
        </w:numPr>
        <w:overflowPunct/>
        <w:adjustRightInd/>
        <w:textAlignment w:val="auto"/>
      </w:pPr>
      <w:r w:rsidRPr="00363797">
        <w:t>zdůrazňuje, že se musí zajistit, aby byl tento systém přístupný pro všechny podniky,</w:t>
      </w:r>
      <w:r w:rsidR="00FC42A5" w:rsidRPr="00363797">
        <w:t xml:space="preserve"> a </w:t>
      </w:r>
      <w:r w:rsidRPr="00363797">
        <w:t>zabránit dodatečným nákladům pro malé</w:t>
      </w:r>
      <w:r w:rsidR="00FC42A5" w:rsidRPr="00363797">
        <w:t xml:space="preserve"> a </w:t>
      </w:r>
      <w:r w:rsidRPr="00363797">
        <w:t>střední podniky.</w:t>
      </w:r>
    </w:p>
    <w:p w:rsidR="00ED53B6" w:rsidRPr="00363797" w:rsidRDefault="00ED53B6" w:rsidP="00C0580A">
      <w:pPr>
        <w:overflowPunct/>
        <w:adjustRightInd/>
        <w:textAlignment w:val="auto"/>
      </w:pPr>
    </w:p>
    <w:p w:rsidR="007C1435" w:rsidRPr="00363797" w:rsidRDefault="007C1435" w:rsidP="00C25B4D">
      <w:pPr>
        <w:overflowPunct/>
        <w:adjustRightInd/>
        <w:textAlignment w:val="auto"/>
      </w:pPr>
    </w:p>
    <w:p w:rsidR="007C1435" w:rsidRPr="00363797" w:rsidRDefault="007C1435" w:rsidP="00C25B4D">
      <w:pPr>
        <w:overflowPunct/>
        <w:adjustRightInd/>
        <w:textAlignment w:val="auto"/>
        <w:rPr>
          <w:i/>
        </w:rPr>
      </w:pPr>
      <w:r w:rsidRPr="00363797">
        <w:rPr>
          <w:b/>
          <w:i/>
        </w:rPr>
        <w:t>Kontaktní osoba:</w:t>
      </w:r>
      <w:r w:rsidRPr="00363797">
        <w:tab/>
      </w:r>
      <w:r w:rsidRPr="00363797">
        <w:tab/>
      </w:r>
      <w:r w:rsidRPr="00363797">
        <w:rPr>
          <w:i/>
        </w:rPr>
        <w:t>Dorota Zapatka</w:t>
      </w:r>
    </w:p>
    <w:p w:rsidR="007C1435" w:rsidRPr="00363797" w:rsidRDefault="007C1435" w:rsidP="00C25B4D">
      <w:pPr>
        <w:overflowPunct/>
        <w:adjustRightInd/>
        <w:textAlignment w:val="auto"/>
        <w:rPr>
          <w:i/>
        </w:rPr>
      </w:pPr>
      <w:r w:rsidRPr="00363797">
        <w:rPr>
          <w:i/>
        </w:rPr>
        <w:t xml:space="preserve">(tel.: 00 32 2 546 90 67 – e-mail: </w:t>
      </w:r>
      <w:hyperlink r:id="rId35">
        <w:r w:rsidRPr="00363797">
          <w:rPr>
            <w:rStyle w:val="Hyperlink"/>
            <w:i/>
          </w:rPr>
          <w:t>dorota.zapatka@eesc.europa.eu</w:t>
        </w:r>
      </w:hyperlink>
    </w:p>
    <w:p w:rsidR="007C1435" w:rsidRPr="00363797" w:rsidRDefault="007C1435" w:rsidP="00C25B4D">
      <w:pPr>
        <w:overflowPunct/>
        <w:adjustRightInd/>
        <w:textAlignment w:val="auto"/>
      </w:pPr>
    </w:p>
    <w:p w:rsidR="007C1435" w:rsidRPr="00363797" w:rsidRDefault="007C1435" w:rsidP="00CA2D2F">
      <w:pPr>
        <w:overflowPunct/>
        <w:adjustRightInd/>
        <w:ind w:left="284" w:hanging="284"/>
        <w:textAlignment w:val="auto"/>
        <w:rPr>
          <w:b/>
          <w:szCs w:val="22"/>
          <w:highlight w:val="yellow"/>
          <w:u w:val="single"/>
        </w:rPr>
      </w:pPr>
      <w:r w:rsidRPr="00363797">
        <w:rPr>
          <w:b/>
          <w:u w:val="single"/>
        </w:rPr>
        <w:t>INT/761</w:t>
      </w:r>
    </w:p>
    <w:p w:rsidR="007C1435" w:rsidRPr="00363797" w:rsidRDefault="007C1435" w:rsidP="00C25B4D">
      <w:pPr>
        <w:overflowPunct/>
        <w:adjustRightInd/>
        <w:textAlignment w:val="auto"/>
        <w:rPr>
          <w:i/>
          <w:szCs w:val="22"/>
          <w:u w:val="single"/>
        </w:rPr>
      </w:pPr>
    </w:p>
    <w:p w:rsidR="007C1435" w:rsidRPr="00363797" w:rsidRDefault="007C1435" w:rsidP="00C25B4D">
      <w:pPr>
        <w:widowControl w:val="0"/>
        <w:numPr>
          <w:ilvl w:val="0"/>
          <w:numId w:val="103"/>
        </w:numPr>
        <w:ind w:hanging="567"/>
        <w:rPr>
          <w:b/>
          <w:i/>
          <w:sz w:val="28"/>
        </w:rPr>
      </w:pPr>
      <w:r w:rsidRPr="00363797">
        <w:rPr>
          <w:b/>
          <w:i/>
          <w:sz w:val="28"/>
        </w:rPr>
        <w:t>Řízení rizik</w:t>
      </w:r>
      <w:r w:rsidR="00FC42A5" w:rsidRPr="00363797">
        <w:rPr>
          <w:b/>
          <w:i/>
          <w:sz w:val="28"/>
        </w:rPr>
        <w:t xml:space="preserve"> v </w:t>
      </w:r>
      <w:r w:rsidRPr="00363797">
        <w:rPr>
          <w:b/>
          <w:i/>
          <w:sz w:val="28"/>
        </w:rPr>
        <w:t>oblasti cel</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r w:rsidRPr="00363797">
        <w:rPr>
          <w:b/>
        </w:rPr>
        <w:t>Zpravodaj:</w:t>
      </w:r>
      <w:r w:rsidRPr="00363797">
        <w:tab/>
      </w:r>
      <w:r w:rsidRPr="00363797">
        <w:tab/>
        <w:t>Bernardo HERNÁNDEZ BATALLER (Různé zájmy – ES)</w:t>
      </w:r>
    </w:p>
    <w:p w:rsidR="005C0147" w:rsidRPr="00363797" w:rsidRDefault="005C0147"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proofErr w:type="spellStart"/>
      <w:r w:rsidRPr="00363797">
        <w:rPr>
          <w:b/>
        </w:rPr>
        <w:t>Spoluzpravodaj</w:t>
      </w:r>
      <w:proofErr w:type="spellEnd"/>
      <w:r w:rsidRPr="00363797">
        <w:rPr>
          <w:b/>
        </w:rPr>
        <w:t>:</w:t>
      </w:r>
      <w:r w:rsidRPr="00363797">
        <w:tab/>
        <w:t>Jan SIMONS (Zaměstnavatelé – NL)</w:t>
      </w:r>
    </w:p>
    <w:p w:rsidR="007C1435" w:rsidRPr="00363797" w:rsidRDefault="007C1435" w:rsidP="00C25B4D">
      <w:pPr>
        <w:tabs>
          <w:tab w:val="center" w:pos="284"/>
        </w:tabs>
        <w:overflowPunct/>
        <w:adjustRightInd/>
        <w:ind w:left="266" w:hanging="266"/>
        <w:textAlignment w:val="auto"/>
        <w:rPr>
          <w:b/>
        </w:rPr>
      </w:pPr>
    </w:p>
    <w:p w:rsidR="00061D37" w:rsidRPr="00363797" w:rsidRDefault="007C1435" w:rsidP="00C25B4D">
      <w:pPr>
        <w:tabs>
          <w:tab w:val="center" w:pos="284"/>
        </w:tabs>
        <w:overflowPunct/>
        <w:adjustRightInd/>
        <w:ind w:left="266" w:hanging="266"/>
        <w:textAlignment w:val="auto"/>
      </w:pPr>
      <w:r w:rsidRPr="00363797">
        <w:rPr>
          <w:b/>
        </w:rPr>
        <w:t>Odkazy:</w:t>
      </w:r>
      <w:r w:rsidRPr="00363797">
        <w:tab/>
      </w:r>
      <w:proofErr w:type="gramStart"/>
      <w:r w:rsidRPr="00363797">
        <w:t>COM(2014</w:t>
      </w:r>
      <w:proofErr w:type="gramEnd"/>
      <w:r w:rsidRPr="00363797">
        <w:t xml:space="preserve">) 527 </w:t>
      </w:r>
      <w:proofErr w:type="spellStart"/>
      <w:r w:rsidRPr="00363797">
        <w:t>final</w:t>
      </w:r>
      <w:proofErr w:type="spellEnd"/>
      <w:r w:rsidRPr="00363797">
        <w:t xml:space="preserve"> </w:t>
      </w:r>
    </w:p>
    <w:p w:rsidR="007C1435" w:rsidRPr="00363797" w:rsidRDefault="00061D37" w:rsidP="00842AAD">
      <w:pPr>
        <w:tabs>
          <w:tab w:val="center" w:pos="284"/>
        </w:tabs>
        <w:overflowPunct/>
        <w:adjustRightInd/>
        <w:ind w:left="266" w:firstLine="1152"/>
        <w:textAlignment w:val="auto"/>
      </w:pPr>
      <w:r w:rsidRPr="00363797">
        <w:t>EESC-2014-06021-00-00-AC-TRA</w:t>
      </w:r>
    </w:p>
    <w:p w:rsidR="007C1435" w:rsidRPr="00363797" w:rsidRDefault="007C1435" w:rsidP="00C25B4D">
      <w:pPr>
        <w:tabs>
          <w:tab w:val="center" w:pos="284"/>
        </w:tabs>
        <w:overflowPunct/>
        <w:adjustRightInd/>
        <w:ind w:left="266" w:hanging="266"/>
        <w:textAlignment w:val="auto"/>
      </w:pPr>
    </w:p>
    <w:p w:rsidR="007C1435" w:rsidRPr="00363797" w:rsidRDefault="007C1435" w:rsidP="00C25B4D">
      <w:pPr>
        <w:keepNext/>
        <w:keepLines/>
        <w:tabs>
          <w:tab w:val="center" w:pos="284"/>
        </w:tabs>
        <w:overflowPunct/>
        <w:adjustRightInd/>
        <w:ind w:left="266" w:hanging="266"/>
        <w:textAlignment w:val="auto"/>
        <w:rPr>
          <w:b/>
        </w:rPr>
      </w:pPr>
      <w:r w:rsidRPr="00363797">
        <w:rPr>
          <w:b/>
        </w:rPr>
        <w:t>Hlavní body:</w:t>
      </w:r>
    </w:p>
    <w:p w:rsidR="007C1435" w:rsidRPr="00363797" w:rsidRDefault="007C1435" w:rsidP="00C25B4D">
      <w:pPr>
        <w:overflowPunct/>
        <w:adjustRightInd/>
        <w:textAlignment w:val="auto"/>
      </w:pPr>
    </w:p>
    <w:p w:rsidR="007C1435" w:rsidRPr="00363797" w:rsidRDefault="00963F6D" w:rsidP="00C25B4D">
      <w:pPr>
        <w:overflowPunct/>
        <w:adjustRightInd/>
        <w:textAlignment w:val="auto"/>
      </w:pPr>
      <w:r w:rsidRPr="00363797">
        <w:t>EHSV se domnívá, že:</w:t>
      </w:r>
    </w:p>
    <w:p w:rsidR="007C1435" w:rsidRPr="00363797" w:rsidRDefault="007C1435" w:rsidP="00C25B4D">
      <w:pPr>
        <w:numPr>
          <w:ilvl w:val="0"/>
          <w:numId w:val="125"/>
        </w:numPr>
        <w:overflowPunct/>
        <w:adjustRightInd/>
        <w:textAlignment w:val="auto"/>
      </w:pPr>
      <w:r w:rsidRPr="00363797">
        <w:t>celní orgány musí spolupracovat mezi sebou, ale také</w:t>
      </w:r>
      <w:r w:rsidR="00FC42A5" w:rsidRPr="00363797">
        <w:t xml:space="preserve"> s </w:t>
      </w:r>
      <w:r w:rsidRPr="00363797">
        <w:t>dalšími orgány státní správy</w:t>
      </w:r>
      <w:r w:rsidR="00FC42A5" w:rsidRPr="00363797">
        <w:t xml:space="preserve"> v </w:t>
      </w:r>
      <w:r w:rsidRPr="00363797">
        <w:t>rámci celních předpisů EU</w:t>
      </w:r>
      <w:r w:rsidR="00FC42A5" w:rsidRPr="00363797">
        <w:t xml:space="preserve"> a </w:t>
      </w:r>
      <w:r w:rsidRPr="00363797">
        <w:t>mechanismů spolupráce stanovených</w:t>
      </w:r>
      <w:r w:rsidR="00FC42A5" w:rsidRPr="00363797">
        <w:t xml:space="preserve"> v </w:t>
      </w:r>
      <w:r w:rsidRPr="00363797">
        <w:t xml:space="preserve">právních předpisech Unie; </w:t>
      </w:r>
    </w:p>
    <w:p w:rsidR="00963F6D" w:rsidRPr="00363797" w:rsidRDefault="00963F6D" w:rsidP="00C25B4D">
      <w:pPr>
        <w:overflowPunct/>
        <w:adjustRightInd/>
        <w:textAlignment w:val="auto"/>
      </w:pPr>
    </w:p>
    <w:p w:rsidR="007C1435" w:rsidRPr="00363797" w:rsidRDefault="007C1435" w:rsidP="00C25B4D">
      <w:pPr>
        <w:numPr>
          <w:ilvl w:val="0"/>
          <w:numId w:val="125"/>
        </w:numPr>
        <w:overflowPunct/>
        <w:adjustRightInd/>
        <w:textAlignment w:val="auto"/>
      </w:pPr>
      <w:r w:rsidRPr="00363797">
        <w:t>je třeba harmonizovat</w:t>
      </w:r>
      <w:r w:rsidR="00FC42A5" w:rsidRPr="00363797">
        <w:t xml:space="preserve"> a </w:t>
      </w:r>
      <w:r w:rsidRPr="00363797">
        <w:t>sladit provádění dalších politik, zajistit kompatibilitu</w:t>
      </w:r>
      <w:r w:rsidR="00FC42A5" w:rsidRPr="00363797">
        <w:t xml:space="preserve"> a </w:t>
      </w:r>
      <w:r w:rsidRPr="00363797">
        <w:t>vyměňovat si informace, především prostřednictvím interoperability oficiálních údajů;</w:t>
      </w:r>
    </w:p>
    <w:p w:rsidR="00963F6D" w:rsidRPr="00363797" w:rsidRDefault="00963F6D" w:rsidP="00C25B4D">
      <w:pPr>
        <w:overflowPunct/>
        <w:adjustRightInd/>
        <w:textAlignment w:val="auto"/>
      </w:pPr>
    </w:p>
    <w:p w:rsidR="007C1435" w:rsidRPr="00363797" w:rsidRDefault="007C1435" w:rsidP="00C25B4D">
      <w:pPr>
        <w:numPr>
          <w:ilvl w:val="0"/>
          <w:numId w:val="125"/>
        </w:numPr>
        <w:overflowPunct/>
        <w:adjustRightInd/>
        <w:textAlignment w:val="auto"/>
      </w:pPr>
      <w:r w:rsidRPr="00363797">
        <w:t>EU by měla vycházet</w:t>
      </w:r>
      <w:r w:rsidR="00FC42A5" w:rsidRPr="00363797">
        <w:t xml:space="preserve"> z </w:t>
      </w:r>
      <w:r w:rsidRPr="00363797">
        <w:t>pravidel uvedených</w:t>
      </w:r>
      <w:r w:rsidR="00FC42A5" w:rsidRPr="00363797">
        <w:t xml:space="preserve"> v </w:t>
      </w:r>
      <w:r w:rsidRPr="00363797">
        <w:t>Souboru řízení rizik</w:t>
      </w:r>
      <w:r w:rsidR="00FC42A5" w:rsidRPr="00363797">
        <w:t xml:space="preserve"> a </w:t>
      </w:r>
      <w:r w:rsidRPr="00363797">
        <w:t>dalších norem Světové celní organizace (WCO);</w:t>
      </w:r>
    </w:p>
    <w:p w:rsidR="00963F6D" w:rsidRPr="00363797" w:rsidRDefault="00963F6D" w:rsidP="00C25B4D">
      <w:pPr>
        <w:overflowPunct/>
        <w:adjustRightInd/>
        <w:textAlignment w:val="auto"/>
      </w:pPr>
    </w:p>
    <w:p w:rsidR="007C1435" w:rsidRPr="00363797" w:rsidRDefault="007C1435" w:rsidP="00C25B4D">
      <w:pPr>
        <w:numPr>
          <w:ilvl w:val="0"/>
          <w:numId w:val="125"/>
        </w:numPr>
        <w:overflowPunct/>
        <w:adjustRightInd/>
        <w:textAlignment w:val="auto"/>
      </w:pPr>
      <w:r w:rsidRPr="00363797">
        <w:t>je nutné jasně stanovit způsoby provádění kontrol</w:t>
      </w:r>
      <w:r w:rsidR="00FC42A5" w:rsidRPr="00363797">
        <w:t xml:space="preserve"> v </w:t>
      </w:r>
      <w:r w:rsidRPr="00363797">
        <w:t>budoucnu;</w:t>
      </w:r>
    </w:p>
    <w:p w:rsidR="00963F6D" w:rsidRPr="00363797" w:rsidRDefault="00963F6D" w:rsidP="00C25B4D">
      <w:pPr>
        <w:overflowPunct/>
        <w:adjustRightInd/>
        <w:textAlignment w:val="auto"/>
      </w:pPr>
    </w:p>
    <w:p w:rsidR="007C1435" w:rsidRPr="00363797" w:rsidRDefault="007C1435" w:rsidP="00C25B4D">
      <w:pPr>
        <w:numPr>
          <w:ilvl w:val="0"/>
          <w:numId w:val="125"/>
        </w:numPr>
        <w:overflowPunct/>
        <w:adjustRightInd/>
        <w:textAlignment w:val="auto"/>
      </w:pPr>
      <w:r w:rsidRPr="00363797">
        <w:t>EU musí vzít při vymezování této strategie</w:t>
      </w:r>
      <w:r w:rsidR="00FC42A5" w:rsidRPr="00363797">
        <w:t xml:space="preserve"> v </w:t>
      </w:r>
      <w:r w:rsidRPr="00363797">
        <w:t>úvahu specifické prvky celních postupů</w:t>
      </w:r>
      <w:r w:rsidR="00FC42A5" w:rsidRPr="00363797">
        <w:t xml:space="preserve"> v </w:t>
      </w:r>
      <w:r w:rsidRPr="00363797">
        <w:t>členských státech, jako je rozsah příslušných obchodních toků, objemy</w:t>
      </w:r>
      <w:r w:rsidR="00FC42A5" w:rsidRPr="00363797">
        <w:t xml:space="preserve"> a </w:t>
      </w:r>
      <w:r w:rsidRPr="00363797">
        <w:t xml:space="preserve">postupy. </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r w:rsidRPr="00363797">
        <w:t>EHSV závěrem zdůrazňuje význam</w:t>
      </w:r>
      <w:r w:rsidR="00FC42A5" w:rsidRPr="00363797">
        <w:t xml:space="preserve"> a </w:t>
      </w:r>
      <w:r w:rsidRPr="00363797">
        <w:t>úlohu, jaké mohou mít sociální subjekty podílející se na strategii,</w:t>
      </w:r>
      <w:r w:rsidR="00FC42A5" w:rsidRPr="00363797">
        <w:t xml:space="preserve"> a </w:t>
      </w:r>
      <w:r w:rsidRPr="00363797">
        <w:t>vyzývá</w:t>
      </w:r>
      <w:r w:rsidR="00FC42A5" w:rsidRPr="00363797">
        <w:t xml:space="preserve"> k </w:t>
      </w:r>
      <w:r w:rsidRPr="00363797">
        <w:t>většímu zviditelnění pilotních projektů</w:t>
      </w:r>
      <w:r w:rsidR="00FC42A5" w:rsidRPr="00363797">
        <w:t xml:space="preserve"> v </w:t>
      </w:r>
      <w:r w:rsidRPr="00363797">
        <w:t>praxi</w:t>
      </w:r>
      <w:r w:rsidR="00FC42A5" w:rsidRPr="00363797">
        <w:t xml:space="preserve"> a </w:t>
      </w:r>
      <w:r w:rsidRPr="00363797">
        <w:t>ke stimulaci inovací.</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rPr>
          <w:i/>
        </w:rPr>
      </w:pPr>
      <w:r w:rsidRPr="00363797">
        <w:rPr>
          <w:b/>
          <w:i/>
        </w:rPr>
        <w:t>Kontaktní osoba:</w:t>
      </w:r>
      <w:r w:rsidRPr="00363797">
        <w:tab/>
      </w:r>
      <w:r w:rsidRPr="00363797">
        <w:tab/>
      </w:r>
      <w:proofErr w:type="spellStart"/>
      <w:r w:rsidRPr="00363797">
        <w:rPr>
          <w:i/>
        </w:rPr>
        <w:t>Luís</w:t>
      </w:r>
      <w:proofErr w:type="spellEnd"/>
      <w:r w:rsidRPr="00363797">
        <w:rPr>
          <w:i/>
        </w:rPr>
        <w:t xml:space="preserve"> Lobo</w:t>
      </w:r>
    </w:p>
    <w:p w:rsidR="007C1435" w:rsidRPr="00363797" w:rsidRDefault="007C1435" w:rsidP="00C25B4D">
      <w:pPr>
        <w:overflowPunct/>
        <w:adjustRightInd/>
        <w:textAlignment w:val="auto"/>
        <w:rPr>
          <w:i/>
        </w:rPr>
      </w:pPr>
      <w:r w:rsidRPr="00363797">
        <w:rPr>
          <w:i/>
        </w:rPr>
        <w:t xml:space="preserve">(tel.: 00 32 2 546 97 17 – e-mail: </w:t>
      </w:r>
      <w:hyperlink r:id="rId36">
        <w:r w:rsidRPr="00363797">
          <w:rPr>
            <w:rStyle w:val="Hyperlink"/>
            <w:i/>
          </w:rPr>
          <w:t>luis.lobo@eesc.europa.eu</w:t>
        </w:r>
      </w:hyperlink>
      <w:r w:rsidRPr="00363797">
        <w:rPr>
          <w:i/>
        </w:rPr>
        <w:t>)</w:t>
      </w:r>
    </w:p>
    <w:p w:rsidR="007C1435" w:rsidRPr="00363797" w:rsidRDefault="007C1435" w:rsidP="00C25B4D">
      <w:pPr>
        <w:overflowPunct/>
        <w:adjustRightInd/>
        <w:textAlignment w:val="auto"/>
      </w:pPr>
    </w:p>
    <w:p w:rsidR="007C1435" w:rsidRPr="00363797" w:rsidRDefault="007C1435" w:rsidP="00CA2D2F">
      <w:pPr>
        <w:overflowPunct/>
        <w:adjustRightInd/>
        <w:ind w:left="284" w:hanging="284"/>
        <w:textAlignment w:val="auto"/>
        <w:rPr>
          <w:b/>
          <w:highlight w:val="yellow"/>
          <w:u w:val="single"/>
        </w:rPr>
      </w:pPr>
      <w:r w:rsidRPr="00363797">
        <w:rPr>
          <w:b/>
          <w:u w:val="single"/>
        </w:rPr>
        <w:t>INT/763</w:t>
      </w:r>
    </w:p>
    <w:p w:rsidR="007C1435" w:rsidRPr="00363797" w:rsidRDefault="007C1435" w:rsidP="00C25B4D">
      <w:pPr>
        <w:overflowPunct/>
        <w:adjustRightInd/>
        <w:textAlignment w:val="auto"/>
        <w:rPr>
          <w:i/>
          <w:u w:val="single"/>
        </w:rPr>
      </w:pPr>
    </w:p>
    <w:p w:rsidR="007C1435" w:rsidRPr="00363797" w:rsidRDefault="007C1435" w:rsidP="00C25B4D">
      <w:pPr>
        <w:widowControl w:val="0"/>
        <w:numPr>
          <w:ilvl w:val="0"/>
          <w:numId w:val="103"/>
        </w:numPr>
        <w:ind w:hanging="567"/>
        <w:rPr>
          <w:b/>
          <w:i/>
          <w:sz w:val="28"/>
        </w:rPr>
      </w:pPr>
      <w:r w:rsidRPr="00363797">
        <w:rPr>
          <w:b/>
          <w:i/>
          <w:sz w:val="28"/>
        </w:rPr>
        <w:t>Mezní hodnoty emisí</w:t>
      </w:r>
      <w:r w:rsidR="00FC42A5" w:rsidRPr="00363797">
        <w:rPr>
          <w:b/>
          <w:i/>
          <w:sz w:val="28"/>
        </w:rPr>
        <w:t xml:space="preserve"> a </w:t>
      </w:r>
      <w:r w:rsidRPr="00363797">
        <w:rPr>
          <w:b/>
          <w:i/>
          <w:sz w:val="28"/>
        </w:rPr>
        <w:t>schválení typu motorů nesilničních pojízdných strojů</w:t>
      </w:r>
    </w:p>
    <w:p w:rsidR="007C1435" w:rsidRPr="00363797" w:rsidRDefault="007C1435" w:rsidP="00C25B4D">
      <w:pPr>
        <w:tabs>
          <w:tab w:val="center" w:pos="284"/>
        </w:tabs>
        <w:overflowPunct/>
        <w:adjustRightInd/>
        <w:ind w:left="266" w:hanging="266"/>
        <w:textAlignment w:val="auto"/>
        <w:rPr>
          <w:b/>
        </w:rPr>
      </w:pPr>
    </w:p>
    <w:p w:rsidR="007C1435" w:rsidRPr="00363797" w:rsidRDefault="007C1435" w:rsidP="00C25B4D">
      <w:pPr>
        <w:tabs>
          <w:tab w:val="center" w:pos="284"/>
        </w:tabs>
        <w:overflowPunct/>
        <w:adjustRightInd/>
        <w:ind w:left="266" w:hanging="266"/>
        <w:textAlignment w:val="auto"/>
      </w:pPr>
      <w:r w:rsidRPr="00363797">
        <w:rPr>
          <w:b/>
        </w:rPr>
        <w:t>Zpravodaj:</w:t>
      </w:r>
      <w:r w:rsidRPr="00363797">
        <w:tab/>
        <w:t>Brendan BURNS (Zaměstnavatelé – UK)</w:t>
      </w:r>
    </w:p>
    <w:p w:rsidR="007C1435" w:rsidRPr="00363797" w:rsidRDefault="007C1435" w:rsidP="00C25B4D">
      <w:pPr>
        <w:tabs>
          <w:tab w:val="center" w:pos="284"/>
        </w:tabs>
        <w:overflowPunct/>
        <w:adjustRightInd/>
        <w:ind w:left="266" w:hanging="266"/>
        <w:textAlignment w:val="auto"/>
        <w:rPr>
          <w:b/>
        </w:rPr>
      </w:pPr>
    </w:p>
    <w:p w:rsidR="00097F95" w:rsidRPr="00363797" w:rsidRDefault="007C1435" w:rsidP="00C25B4D">
      <w:pPr>
        <w:tabs>
          <w:tab w:val="center" w:pos="284"/>
        </w:tabs>
        <w:overflowPunct/>
        <w:adjustRightInd/>
        <w:ind w:left="266" w:hanging="266"/>
        <w:textAlignment w:val="auto"/>
      </w:pPr>
      <w:r w:rsidRPr="00363797">
        <w:rPr>
          <w:b/>
        </w:rPr>
        <w:t>Odkazy:</w:t>
      </w:r>
      <w:r w:rsidRPr="00363797">
        <w:tab/>
      </w:r>
      <w:proofErr w:type="gramStart"/>
      <w:r w:rsidRPr="00363797">
        <w:t>COM(2014</w:t>
      </w:r>
      <w:proofErr w:type="gramEnd"/>
      <w:r w:rsidRPr="00363797">
        <w:t xml:space="preserve">) 581 </w:t>
      </w:r>
      <w:proofErr w:type="spellStart"/>
      <w:r w:rsidRPr="00363797">
        <w:t>final</w:t>
      </w:r>
      <w:proofErr w:type="spellEnd"/>
      <w:r w:rsidRPr="00363797">
        <w:t xml:space="preserve"> – 2014/0268 (COD) </w:t>
      </w:r>
    </w:p>
    <w:p w:rsidR="007C1435" w:rsidRPr="00363797" w:rsidRDefault="00061D37" w:rsidP="00842AAD">
      <w:pPr>
        <w:overflowPunct/>
        <w:adjustRightInd/>
        <w:ind w:firstLine="1418"/>
        <w:textAlignment w:val="auto"/>
      </w:pPr>
      <w:r w:rsidRPr="00363797">
        <w:t>EESC-2014-06067-00-00-AC-TRA</w:t>
      </w:r>
    </w:p>
    <w:p w:rsidR="00061D37" w:rsidRPr="00363797" w:rsidRDefault="00061D37" w:rsidP="00C25B4D">
      <w:pPr>
        <w:overflowPunct/>
        <w:adjustRightInd/>
        <w:textAlignment w:val="auto"/>
      </w:pPr>
    </w:p>
    <w:p w:rsidR="007C1435" w:rsidRPr="00363797" w:rsidRDefault="007C1435" w:rsidP="00C25B4D">
      <w:pPr>
        <w:keepNext/>
        <w:keepLines/>
        <w:tabs>
          <w:tab w:val="center" w:pos="284"/>
        </w:tabs>
        <w:overflowPunct/>
        <w:adjustRightInd/>
        <w:ind w:left="266" w:hanging="266"/>
        <w:textAlignment w:val="auto"/>
        <w:rPr>
          <w:b/>
        </w:rPr>
      </w:pPr>
      <w:r w:rsidRPr="00363797">
        <w:rPr>
          <w:b/>
        </w:rPr>
        <w:lastRenderedPageBreak/>
        <w:t>Hlavní body:</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r w:rsidRPr="00363797">
        <w:t>EHSV je přesvědčen, že snížení škodlivých emisí oxidu uhelnatého, oxidů dusíku, uhlovodíků</w:t>
      </w:r>
      <w:r w:rsidR="00FC42A5" w:rsidRPr="00363797">
        <w:t xml:space="preserve"> a </w:t>
      </w:r>
      <w:r w:rsidRPr="00363797">
        <w:t>částic</w:t>
      </w:r>
      <w:r w:rsidR="00FC42A5" w:rsidRPr="00363797">
        <w:t xml:space="preserve"> z </w:t>
      </w:r>
      <w:r w:rsidRPr="00363797">
        <w:t>motorů určených pro zemědělské</w:t>
      </w:r>
      <w:r w:rsidR="00FC42A5" w:rsidRPr="00363797">
        <w:t xml:space="preserve"> a </w:t>
      </w:r>
      <w:r w:rsidRPr="00363797">
        <w:t>lesnické traktory je důležitým krokem</w:t>
      </w:r>
      <w:r w:rsidR="00FC42A5" w:rsidRPr="00363797">
        <w:t xml:space="preserve"> k </w:t>
      </w:r>
      <w:r w:rsidRPr="00363797">
        <w:t>dosažení cílů EU</w:t>
      </w:r>
      <w:r w:rsidR="00FC42A5" w:rsidRPr="00363797">
        <w:t xml:space="preserve"> v </w:t>
      </w:r>
      <w:r w:rsidRPr="00363797">
        <w:t>oblasti kvality ovzduší.</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r w:rsidRPr="00363797">
        <w:t>EHSV doporučuje, aby:</w:t>
      </w:r>
    </w:p>
    <w:p w:rsidR="007C1435" w:rsidRPr="00363797" w:rsidRDefault="007C1435" w:rsidP="00C25B4D">
      <w:pPr>
        <w:overflowPunct/>
        <w:adjustRightInd/>
        <w:textAlignment w:val="auto"/>
      </w:pPr>
    </w:p>
    <w:p w:rsidR="007C1435" w:rsidRPr="00363797" w:rsidRDefault="007C1435" w:rsidP="00C25B4D">
      <w:pPr>
        <w:numPr>
          <w:ilvl w:val="0"/>
          <w:numId w:val="126"/>
        </w:numPr>
        <w:overflowPunct/>
        <w:adjustRightInd/>
        <w:textAlignment w:val="auto"/>
      </w:pPr>
      <w:r w:rsidRPr="00363797">
        <w:t>byly provedeny pilotní programy pro všechny typy motorů</w:t>
      </w:r>
      <w:r w:rsidR="00FC42A5" w:rsidRPr="00363797">
        <w:t xml:space="preserve"> a </w:t>
      </w:r>
      <w:r w:rsidRPr="00363797">
        <w:t>strojů,</w:t>
      </w:r>
      <w:r w:rsidR="00FC42A5" w:rsidRPr="00363797">
        <w:t xml:space="preserve"> a </w:t>
      </w:r>
      <w:r w:rsidRPr="00363797">
        <w:t>ověřilo se tak, zda je možné instalovat nezbytné nástroje;</w:t>
      </w:r>
    </w:p>
    <w:p w:rsidR="00963F6D" w:rsidRPr="00363797" w:rsidRDefault="00963F6D" w:rsidP="00C25B4D">
      <w:pPr>
        <w:overflowPunct/>
        <w:adjustRightInd/>
        <w:textAlignment w:val="auto"/>
      </w:pPr>
    </w:p>
    <w:p w:rsidR="007C1435" w:rsidRPr="00363797" w:rsidRDefault="007C1435" w:rsidP="00C25B4D">
      <w:pPr>
        <w:numPr>
          <w:ilvl w:val="0"/>
          <w:numId w:val="126"/>
        </w:numPr>
        <w:overflowPunct/>
        <w:adjustRightInd/>
        <w:textAlignment w:val="auto"/>
      </w:pPr>
      <w:r w:rsidRPr="00363797">
        <w:t>bylo nové nařízení rychle schváleno vzhledem ke značným obavám</w:t>
      </w:r>
      <w:r w:rsidR="00FC42A5" w:rsidRPr="00363797">
        <w:t xml:space="preserve"> o </w:t>
      </w:r>
      <w:r w:rsidRPr="00363797">
        <w:t>veřejné zdraví</w:t>
      </w:r>
      <w:r w:rsidR="00FC42A5" w:rsidRPr="00363797">
        <w:t xml:space="preserve"> v </w:t>
      </w:r>
      <w:r w:rsidRPr="00363797">
        <w:t>souvislosti</w:t>
      </w:r>
      <w:r w:rsidR="00FC42A5" w:rsidRPr="00363797">
        <w:t xml:space="preserve"> s </w:t>
      </w:r>
      <w:r w:rsidRPr="00363797">
        <w:t>nanočásticemi vznikajícími při spalování</w:t>
      </w:r>
      <w:r w:rsidR="00FC42A5" w:rsidRPr="00363797">
        <w:t xml:space="preserve"> a </w:t>
      </w:r>
      <w:r w:rsidRPr="00363797">
        <w:t>vysoké úrovni ochrany, jíž lze dosáhnout zavedením navrhované etapy</w:t>
      </w:r>
      <w:r w:rsidR="00FC42A5" w:rsidRPr="00363797">
        <w:t xml:space="preserve"> V </w:t>
      </w:r>
      <w:r w:rsidRPr="00363797">
        <w:t>pro motory</w:t>
      </w:r>
      <w:r w:rsidR="00FC42A5" w:rsidRPr="00363797">
        <w:t xml:space="preserve"> v </w:t>
      </w:r>
      <w:r w:rsidRPr="00363797">
        <w:t>nesilničních pojízdných strojích.</w:t>
      </w:r>
    </w:p>
    <w:p w:rsidR="007C1435" w:rsidRPr="00363797" w:rsidRDefault="007C1435" w:rsidP="00C25B4D">
      <w:pPr>
        <w:overflowPunct/>
        <w:adjustRightInd/>
        <w:ind w:left="720"/>
        <w:textAlignment w:val="auto"/>
        <w:outlineLvl w:val="1"/>
      </w:pPr>
    </w:p>
    <w:p w:rsidR="007C1435" w:rsidRPr="00363797" w:rsidRDefault="007C1435" w:rsidP="00C25B4D">
      <w:pPr>
        <w:overflowPunct/>
        <w:adjustRightInd/>
        <w:textAlignment w:val="auto"/>
        <w:rPr>
          <w:i/>
        </w:rPr>
      </w:pPr>
      <w:r w:rsidRPr="00363797">
        <w:rPr>
          <w:b/>
          <w:i/>
        </w:rPr>
        <w:t>Kontaktní osoba:</w:t>
      </w:r>
      <w:r w:rsidRPr="00363797">
        <w:tab/>
      </w:r>
      <w:r w:rsidRPr="00363797">
        <w:tab/>
      </w:r>
      <w:r w:rsidRPr="00363797">
        <w:rPr>
          <w:i/>
        </w:rPr>
        <w:t>Alice Tétu</w:t>
      </w:r>
    </w:p>
    <w:p w:rsidR="007C1435" w:rsidRPr="00363797" w:rsidRDefault="007C1435" w:rsidP="00C25B4D">
      <w:pPr>
        <w:overflowPunct/>
        <w:adjustRightInd/>
        <w:textAlignment w:val="auto"/>
        <w:rPr>
          <w:i/>
        </w:rPr>
      </w:pPr>
      <w:r w:rsidRPr="00363797">
        <w:rPr>
          <w:i/>
        </w:rPr>
        <w:t xml:space="preserve">(tel.: 00 32 2 546 82 86 – e-mail: </w:t>
      </w:r>
      <w:hyperlink r:id="rId37">
        <w:r w:rsidRPr="00363797">
          <w:rPr>
            <w:rStyle w:val="Hyperlink"/>
            <w:i/>
          </w:rPr>
          <w:t>alice.tetu@eesc.europa.eu</w:t>
        </w:r>
      </w:hyperlink>
      <w:r w:rsidRPr="00363797">
        <w:rPr>
          <w:i/>
        </w:rPr>
        <w:t>)</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p>
    <w:p w:rsidR="00D3628B" w:rsidRPr="00363797" w:rsidRDefault="00D3628B" w:rsidP="00C25B4D">
      <w:pPr>
        <w:keepNext/>
        <w:keepLines/>
        <w:numPr>
          <w:ilvl w:val="0"/>
          <w:numId w:val="2"/>
        </w:numPr>
        <w:overflowPunct/>
        <w:adjustRightInd/>
        <w:ind w:left="709" w:hanging="709"/>
        <w:textAlignment w:val="auto"/>
        <w:outlineLvl w:val="0"/>
        <w:rPr>
          <w:b/>
          <w:sz w:val="28"/>
        </w:rPr>
      </w:pPr>
      <w:r w:rsidRPr="00363797">
        <w:rPr>
          <w:b/>
          <w:sz w:val="28"/>
        </w:rPr>
        <w:t>STRATEGIE EVROPA 2020 / RŮST</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rPr>
          <w:b/>
          <w:u w:val="single"/>
        </w:rPr>
      </w:pPr>
      <w:r w:rsidRPr="00363797">
        <w:rPr>
          <w:b/>
          <w:u w:val="single"/>
        </w:rPr>
        <w:t>EUR-007</w:t>
      </w:r>
    </w:p>
    <w:p w:rsidR="007C1435" w:rsidRPr="00363797" w:rsidRDefault="007C1435" w:rsidP="00C25B4D">
      <w:pPr>
        <w:overflowPunct/>
        <w:adjustRightInd/>
        <w:textAlignment w:val="auto"/>
        <w:rPr>
          <w:b/>
          <w:highlight w:val="yellow"/>
          <w:u w:val="single"/>
        </w:rPr>
      </w:pPr>
    </w:p>
    <w:p w:rsidR="007C1435" w:rsidRPr="00363797" w:rsidRDefault="007C1435" w:rsidP="00C25B4D">
      <w:pPr>
        <w:widowControl w:val="0"/>
        <w:numPr>
          <w:ilvl w:val="0"/>
          <w:numId w:val="103"/>
        </w:numPr>
        <w:rPr>
          <w:b/>
          <w:i/>
          <w:sz w:val="28"/>
        </w:rPr>
      </w:pPr>
      <w:r w:rsidRPr="00363797">
        <w:rPr>
          <w:b/>
          <w:i/>
          <w:sz w:val="28"/>
        </w:rPr>
        <w:t>Pokrok při provádění strategie Evropa 2020</w:t>
      </w:r>
      <w:r w:rsidR="00FC42A5" w:rsidRPr="00363797">
        <w:rPr>
          <w:b/>
          <w:i/>
          <w:sz w:val="28"/>
        </w:rPr>
        <w:t xml:space="preserve"> a </w:t>
      </w:r>
      <w:r w:rsidRPr="00363797">
        <w:rPr>
          <w:b/>
          <w:i/>
          <w:sz w:val="28"/>
        </w:rPr>
        <w:t>způsob, jak dosáhnout jejích cílů do roku 2020 (průzkumné stanovisko na žádost lotyšského předsednictví)</w:t>
      </w:r>
    </w:p>
    <w:p w:rsidR="007C1435" w:rsidRPr="00363797" w:rsidRDefault="007C1435" w:rsidP="00C25B4D">
      <w:pPr>
        <w:overflowPunct/>
        <w:adjustRightInd/>
        <w:ind w:firstLine="17"/>
        <w:textAlignment w:val="auto"/>
        <w:rPr>
          <w:highlight w:val="yellow"/>
        </w:rPr>
      </w:pPr>
    </w:p>
    <w:p w:rsidR="007C1435" w:rsidRPr="00363797" w:rsidRDefault="007C1435" w:rsidP="00C25B4D">
      <w:pPr>
        <w:overflowPunct/>
        <w:adjustRightInd/>
        <w:textAlignment w:val="auto"/>
      </w:pPr>
      <w:r w:rsidRPr="00363797">
        <w:rPr>
          <w:b/>
        </w:rPr>
        <w:t>Hlavní zpravodaj:</w:t>
      </w:r>
      <w:r w:rsidRPr="00363797">
        <w:t xml:space="preserve"> </w:t>
      </w:r>
      <w:r w:rsidRPr="00363797">
        <w:tab/>
      </w:r>
      <w:proofErr w:type="spellStart"/>
      <w:r w:rsidRPr="00363797">
        <w:t>Etele</w:t>
      </w:r>
      <w:proofErr w:type="spellEnd"/>
      <w:r w:rsidRPr="00363797">
        <w:t xml:space="preserve"> BARÁTH (Různé zájmy – HU)</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pPr>
      <w:r w:rsidRPr="00363797">
        <w:rPr>
          <w:b/>
        </w:rPr>
        <w:t xml:space="preserve">Odkaz: </w:t>
      </w:r>
      <w:r w:rsidRPr="00363797">
        <w:tab/>
        <w:t>EESC-2015-00034-00-00-PAC-TRA</w:t>
      </w:r>
    </w:p>
    <w:p w:rsidR="007C1435" w:rsidRPr="00363797" w:rsidRDefault="007C1435" w:rsidP="00C25B4D">
      <w:pPr>
        <w:overflowPunct/>
        <w:adjustRightInd/>
        <w:textAlignment w:val="auto"/>
        <w:rPr>
          <w:b/>
        </w:rPr>
      </w:pPr>
    </w:p>
    <w:p w:rsidR="007C1435" w:rsidRPr="00363797" w:rsidRDefault="007C1435" w:rsidP="00C25B4D">
      <w:pPr>
        <w:overflowPunct/>
        <w:adjustRightInd/>
        <w:textAlignment w:val="auto"/>
        <w:rPr>
          <w:b/>
        </w:rPr>
      </w:pPr>
      <w:r w:rsidRPr="00363797">
        <w:rPr>
          <w:b/>
        </w:rPr>
        <w:t>Hlavní body:</w:t>
      </w:r>
    </w:p>
    <w:p w:rsidR="007C1435" w:rsidRPr="00363797" w:rsidRDefault="007C1435" w:rsidP="00C25B4D">
      <w:pPr>
        <w:overflowPunct/>
        <w:adjustRightInd/>
        <w:textAlignment w:val="auto"/>
      </w:pPr>
    </w:p>
    <w:p w:rsidR="007C1435" w:rsidRPr="00363797" w:rsidRDefault="007C1435" w:rsidP="00C25B4D">
      <w:pPr>
        <w:numPr>
          <w:ilvl w:val="0"/>
          <w:numId w:val="74"/>
        </w:numPr>
      </w:pPr>
      <w:r w:rsidRPr="00363797">
        <w:t>EHSV souhlasí</w:t>
      </w:r>
      <w:r w:rsidR="00FC42A5" w:rsidRPr="00363797">
        <w:t xml:space="preserve"> s </w:t>
      </w:r>
      <w:r w:rsidRPr="00363797">
        <w:t>lotyšským předsednictvím, které uznává zásadní význam přezkumu strategie Evropa 2020 za účelem posílení evropské konkurenceschopnosti. EHSV podporuje přímou spojitost mezi lepší konkurenceschopností Evropy</w:t>
      </w:r>
      <w:r w:rsidR="00FC42A5" w:rsidRPr="00363797">
        <w:t xml:space="preserve"> a </w:t>
      </w:r>
      <w:r w:rsidRPr="00363797">
        <w:t>stěžejní iniciativou Digitální agenda pro Evropu.</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EHSV souhlasí se zlepšením balíčku pro jednotný digitální trh</w:t>
      </w:r>
      <w:r w:rsidR="00FC42A5" w:rsidRPr="00363797">
        <w:t xml:space="preserve"> a </w:t>
      </w:r>
      <w:r w:rsidRPr="00363797">
        <w:t>domnívá se, že zajištění digitální budoucnosti Evropské unie je jedním</w:t>
      </w:r>
      <w:r w:rsidR="00FC42A5" w:rsidRPr="00363797">
        <w:t xml:space="preserve"> z </w:t>
      </w:r>
      <w:r w:rsidRPr="00363797">
        <w:t>hlavních pilířů podporujících konkurenceschopnost evropské ekonomiky</w:t>
      </w:r>
      <w:r w:rsidR="00FC42A5" w:rsidRPr="00363797">
        <w:t xml:space="preserve"> a </w:t>
      </w:r>
      <w:r w:rsidRPr="00363797">
        <w:t>určujících udržitelný rozvoj evropské společnosti šetrné</w:t>
      </w:r>
      <w:r w:rsidR="00FC42A5" w:rsidRPr="00363797">
        <w:t xml:space="preserve"> k </w:t>
      </w:r>
      <w:r w:rsidRPr="00363797">
        <w:t>životnímu prostředí.</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Strategie Evropa 2020</w:t>
      </w:r>
      <w:r w:rsidR="00FC42A5" w:rsidRPr="00363797">
        <w:t xml:space="preserve"> a </w:t>
      </w:r>
      <w:r w:rsidRPr="00363797">
        <w:t>investiční plán by měly být mnohem důkladněji propojeny, tak aby bylo možné napravit hlavní nedostatky strategie Evropa 2020</w:t>
      </w:r>
      <w:r w:rsidR="00FC42A5" w:rsidRPr="00363797">
        <w:t xml:space="preserve"> a </w:t>
      </w:r>
      <w:r w:rsidRPr="00363797">
        <w:t>nové finanční nástroje zvyšovaly šanci na plnění jejích cílů.</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Kvůli měnícím se prioritám</w:t>
      </w:r>
      <w:r w:rsidR="00FC42A5" w:rsidRPr="00363797">
        <w:t xml:space="preserve"> a v </w:t>
      </w:r>
      <w:r w:rsidRPr="00363797">
        <w:t>zájmu zajištění úspěšného provádění strategie Evropa 2020 by bylo vhodné, aby existovalo jedno správní místo schopné zajistit účinnou koordinaci</w:t>
      </w:r>
      <w:r w:rsidR="00FC42A5" w:rsidRPr="00363797">
        <w:t xml:space="preserve"> a </w:t>
      </w:r>
      <w:r w:rsidRPr="00363797">
        <w:t>racionalizaci úkolů</w:t>
      </w:r>
      <w:r w:rsidR="00FC42A5" w:rsidRPr="00363797">
        <w:t xml:space="preserve"> a </w:t>
      </w:r>
      <w:r w:rsidRPr="00363797">
        <w:t>postupů souvisejících</w:t>
      </w:r>
      <w:r w:rsidR="00FC42A5" w:rsidRPr="00363797">
        <w:t xml:space="preserve"> s </w:t>
      </w:r>
      <w:r w:rsidRPr="00363797">
        <w:t>prováděním politik, včetně agentur EU.</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Strategie Evropa 2020 (a poté Evropa 2030) by měly být ústřední koncepcí, na níž dlouhodobě stojí hospodářské, sociální</w:t>
      </w:r>
      <w:r w:rsidR="00FC42A5" w:rsidRPr="00363797">
        <w:t xml:space="preserve"> a </w:t>
      </w:r>
      <w:r w:rsidRPr="00363797">
        <w:t>územní strategie EU zohledňující škálu rozdílných realit</w:t>
      </w:r>
      <w:r w:rsidR="00FC42A5" w:rsidRPr="00363797">
        <w:t xml:space="preserve"> v </w:t>
      </w:r>
      <w:r w:rsidRPr="00363797">
        <w:t>členských státech.</w:t>
      </w:r>
    </w:p>
    <w:p w:rsidR="007C1435" w:rsidRPr="00363797" w:rsidRDefault="007C1435" w:rsidP="00C25B4D">
      <w:pPr>
        <w:tabs>
          <w:tab w:val="left" w:pos="770"/>
        </w:tabs>
        <w:overflowPunct/>
        <w:adjustRightInd/>
        <w:textAlignment w:val="auto"/>
        <w:rPr>
          <w:b/>
          <w:i/>
        </w:rPr>
      </w:pPr>
    </w:p>
    <w:p w:rsidR="007C1435" w:rsidRPr="00363797" w:rsidRDefault="007C1435" w:rsidP="00C25B4D">
      <w:pPr>
        <w:tabs>
          <w:tab w:val="left" w:pos="770"/>
        </w:tabs>
        <w:overflowPunct/>
        <w:adjustRightInd/>
        <w:textAlignment w:val="auto"/>
        <w:rPr>
          <w:i/>
        </w:rPr>
      </w:pPr>
      <w:proofErr w:type="spellStart"/>
      <w:r w:rsidRPr="00363797">
        <w:rPr>
          <w:b/>
          <w:i/>
        </w:rPr>
        <w:t>Kontakní</w:t>
      </w:r>
      <w:proofErr w:type="spellEnd"/>
      <w:r w:rsidRPr="00363797">
        <w:rPr>
          <w:b/>
          <w:i/>
        </w:rPr>
        <w:t xml:space="preserve"> osoba:</w:t>
      </w:r>
      <w:r w:rsidRPr="00363797">
        <w:tab/>
      </w:r>
      <w:proofErr w:type="spellStart"/>
      <w:r w:rsidRPr="00363797">
        <w:rPr>
          <w:i/>
        </w:rPr>
        <w:t>Jüri</w:t>
      </w:r>
      <w:proofErr w:type="spellEnd"/>
      <w:r w:rsidRPr="00363797">
        <w:rPr>
          <w:i/>
        </w:rPr>
        <w:t xml:space="preserve"> Soosaar </w:t>
      </w:r>
    </w:p>
    <w:p w:rsidR="007C1435" w:rsidRPr="00363797" w:rsidRDefault="007C1435" w:rsidP="00C25B4D">
      <w:pPr>
        <w:overflowPunct/>
        <w:adjustRightInd/>
        <w:textAlignment w:val="auto"/>
        <w:rPr>
          <w:b/>
          <w:highlight w:val="yellow"/>
          <w:u w:val="single"/>
        </w:rPr>
      </w:pPr>
      <w:r w:rsidRPr="00363797">
        <w:rPr>
          <w:i/>
        </w:rPr>
        <w:t xml:space="preserve">(tel.: 00 32 2 546 96 28 – email: </w:t>
      </w:r>
      <w:hyperlink r:id="rId38">
        <w:r w:rsidRPr="00363797">
          <w:rPr>
            <w:rStyle w:val="Hyperlink"/>
            <w:i/>
          </w:rPr>
          <w:t>juri.soosaar@eesc.europa.eu</w:t>
        </w:r>
      </w:hyperlink>
      <w:r w:rsidRPr="00363797">
        <w:rPr>
          <w:i/>
        </w:rPr>
        <w:t>)</w:t>
      </w:r>
    </w:p>
    <w:p w:rsidR="007C1435" w:rsidRPr="00363797" w:rsidRDefault="007C1435" w:rsidP="00C25B4D">
      <w:pPr>
        <w:overflowPunct/>
        <w:adjustRightInd/>
        <w:textAlignment w:val="auto"/>
      </w:pPr>
    </w:p>
    <w:p w:rsidR="007C1435" w:rsidRPr="00363797" w:rsidRDefault="007C1435" w:rsidP="00C25B4D">
      <w:pPr>
        <w:overflowPunct/>
        <w:adjustRightInd/>
        <w:textAlignment w:val="auto"/>
        <w:rPr>
          <w:b/>
          <w:u w:val="single"/>
        </w:rPr>
      </w:pPr>
      <w:r w:rsidRPr="00363797">
        <w:rPr>
          <w:b/>
          <w:u w:val="single"/>
        </w:rPr>
        <w:t>EUR-008</w:t>
      </w:r>
    </w:p>
    <w:p w:rsidR="007C1435" w:rsidRPr="00363797" w:rsidRDefault="007C1435" w:rsidP="00C25B4D">
      <w:pPr>
        <w:overflowPunct/>
        <w:adjustRightInd/>
        <w:textAlignment w:val="auto"/>
        <w:rPr>
          <w:b/>
          <w:highlight w:val="yellow"/>
          <w:u w:val="single"/>
        </w:rPr>
      </w:pPr>
    </w:p>
    <w:p w:rsidR="007C1435" w:rsidRPr="00363797" w:rsidRDefault="005C0147" w:rsidP="00C25B4D">
      <w:pPr>
        <w:widowControl w:val="0"/>
        <w:numPr>
          <w:ilvl w:val="0"/>
          <w:numId w:val="103"/>
        </w:numPr>
        <w:rPr>
          <w:b/>
          <w:i/>
          <w:sz w:val="28"/>
        </w:rPr>
      </w:pPr>
      <w:r w:rsidRPr="00363797">
        <w:rPr>
          <w:b/>
          <w:i/>
          <w:sz w:val="28"/>
        </w:rPr>
        <w:t>Roční analýza růstu 2015 (sdělení)</w:t>
      </w:r>
    </w:p>
    <w:p w:rsidR="007C1435" w:rsidRPr="00363797" w:rsidRDefault="007C1435" w:rsidP="00C25B4D">
      <w:pPr>
        <w:overflowPunct/>
        <w:adjustRightInd/>
        <w:ind w:firstLine="17"/>
        <w:textAlignment w:val="auto"/>
        <w:rPr>
          <w:highlight w:val="yellow"/>
        </w:rPr>
      </w:pPr>
    </w:p>
    <w:p w:rsidR="007C1435" w:rsidRPr="00363797" w:rsidRDefault="007C1435" w:rsidP="00C25B4D">
      <w:pPr>
        <w:overflowPunct/>
        <w:adjustRightInd/>
        <w:textAlignment w:val="auto"/>
      </w:pPr>
      <w:r w:rsidRPr="00363797">
        <w:rPr>
          <w:b/>
        </w:rPr>
        <w:t>Hlavní zpravodaj:</w:t>
      </w:r>
      <w:r w:rsidRPr="00363797">
        <w:t xml:space="preserve"> Gonçalo LOBO XAVIER</w:t>
      </w:r>
      <w:r w:rsidRPr="00363797">
        <w:rPr>
          <w:b/>
        </w:rPr>
        <w:t xml:space="preserve"> </w:t>
      </w:r>
      <w:r w:rsidRPr="00363797">
        <w:t>(Zaměstnavatelé – PT)</w:t>
      </w:r>
    </w:p>
    <w:p w:rsidR="007C1435" w:rsidRPr="00363797" w:rsidRDefault="007C1435" w:rsidP="00C25B4D">
      <w:pPr>
        <w:tabs>
          <w:tab w:val="left" w:pos="0"/>
        </w:tabs>
        <w:overflowPunct/>
        <w:adjustRightInd/>
        <w:ind w:hanging="369"/>
        <w:textAlignment w:val="auto"/>
      </w:pPr>
    </w:p>
    <w:p w:rsidR="005C0147" w:rsidRPr="00363797" w:rsidRDefault="007C1435" w:rsidP="00C25B4D">
      <w:pPr>
        <w:overflowPunct/>
        <w:adjustRightInd/>
        <w:textAlignment w:val="auto"/>
        <w:rPr>
          <w:b/>
        </w:rPr>
      </w:pPr>
      <w:r w:rsidRPr="00363797">
        <w:rPr>
          <w:b/>
        </w:rPr>
        <w:t xml:space="preserve">Odkazy: </w:t>
      </w:r>
      <w:r w:rsidRPr="00363797">
        <w:tab/>
      </w:r>
      <w:proofErr w:type="gramStart"/>
      <w:r w:rsidRPr="00363797">
        <w:t>COM(2014</w:t>
      </w:r>
      <w:proofErr w:type="gramEnd"/>
      <w:r w:rsidRPr="00363797">
        <w:t xml:space="preserve">) 902 </w:t>
      </w:r>
      <w:proofErr w:type="spellStart"/>
      <w:r w:rsidRPr="00363797">
        <w:t>final</w:t>
      </w:r>
      <w:proofErr w:type="spellEnd"/>
    </w:p>
    <w:p w:rsidR="007C1435" w:rsidRPr="00363797" w:rsidRDefault="007C1435" w:rsidP="00842AAD">
      <w:pPr>
        <w:overflowPunct/>
        <w:adjustRightInd/>
        <w:ind w:firstLine="1418"/>
        <w:textAlignment w:val="auto"/>
      </w:pPr>
      <w:r w:rsidRPr="00363797">
        <w:t>EESC-2015-00071-00-00-PAC-TRA</w:t>
      </w:r>
    </w:p>
    <w:p w:rsidR="007C1435" w:rsidRPr="00363797" w:rsidRDefault="007C1435" w:rsidP="00C25B4D">
      <w:pPr>
        <w:overflowPunct/>
        <w:adjustRightInd/>
        <w:textAlignment w:val="auto"/>
        <w:rPr>
          <w:b/>
        </w:rPr>
      </w:pPr>
    </w:p>
    <w:p w:rsidR="007C1435" w:rsidRPr="00363797" w:rsidRDefault="007C1435" w:rsidP="00C25B4D">
      <w:pPr>
        <w:overflowPunct/>
        <w:adjustRightInd/>
        <w:textAlignment w:val="auto"/>
        <w:rPr>
          <w:b/>
        </w:rPr>
      </w:pPr>
      <w:r w:rsidRPr="00363797">
        <w:rPr>
          <w:b/>
        </w:rPr>
        <w:t>Hlavní body:</w:t>
      </w:r>
    </w:p>
    <w:p w:rsidR="007C1435" w:rsidRPr="00363797" w:rsidRDefault="007C1435" w:rsidP="00C25B4D">
      <w:pPr>
        <w:overflowPunct/>
        <w:adjustRightInd/>
        <w:textAlignment w:val="auto"/>
      </w:pPr>
    </w:p>
    <w:p w:rsidR="007C1435" w:rsidRPr="00363797" w:rsidRDefault="007C1435" w:rsidP="00C25B4D">
      <w:pPr>
        <w:numPr>
          <w:ilvl w:val="0"/>
          <w:numId w:val="74"/>
        </w:numPr>
      </w:pPr>
      <w:r w:rsidRPr="00363797">
        <w:t>EHSV vítá roční analýzu růstu na rok 2015, kterou vypracovala Komise,</w:t>
      </w:r>
      <w:r w:rsidR="00FC42A5" w:rsidRPr="00363797">
        <w:t xml:space="preserve"> a v </w:t>
      </w:r>
      <w:r w:rsidRPr="00363797">
        <w:t>ní vytyčený koncepční cíl podpořit náležitou míru růstu</w:t>
      </w:r>
      <w:r w:rsidR="00FC42A5" w:rsidRPr="00363797">
        <w:t xml:space="preserve"> a </w:t>
      </w:r>
      <w:r w:rsidRPr="00363797">
        <w:t>napomoci tak hospodářskému oživení</w:t>
      </w:r>
      <w:r w:rsidR="00FC42A5" w:rsidRPr="00363797">
        <w:t xml:space="preserve"> v </w:t>
      </w:r>
      <w:r w:rsidRPr="00363797">
        <w:t>Evropě. Tento přístup, který se opírá</w:t>
      </w:r>
      <w:r w:rsidR="00FC42A5" w:rsidRPr="00363797">
        <w:t xml:space="preserve"> o </w:t>
      </w:r>
      <w:r w:rsidRPr="00363797">
        <w:t>tři pilíře – podporu investic, strukturální reformy</w:t>
      </w:r>
      <w:r w:rsidR="00FC42A5" w:rsidRPr="00363797">
        <w:t xml:space="preserve"> a </w:t>
      </w:r>
      <w:r w:rsidRPr="00363797">
        <w:t>odpovědnou fiskální</w:t>
      </w:r>
      <w:r w:rsidR="00FC42A5" w:rsidRPr="00363797">
        <w:t xml:space="preserve"> a </w:t>
      </w:r>
      <w:r w:rsidRPr="00363797">
        <w:t>rozpočtovou konsolidaci –, se jeví jako správná reakce na evropské potřeby. Nicméně stále přetrvávají určité nedostatky</w:t>
      </w:r>
      <w:r w:rsidR="00FC42A5" w:rsidRPr="00363797">
        <w:t xml:space="preserve"> v </w:t>
      </w:r>
      <w:r w:rsidRPr="00363797">
        <w:t>postupu – tato analýza například nepokrývá dostatečně sociální</w:t>
      </w:r>
      <w:r w:rsidR="00FC42A5" w:rsidRPr="00363797">
        <w:t xml:space="preserve"> a </w:t>
      </w:r>
      <w:r w:rsidRPr="00363797">
        <w:t>environmentální hlediska.</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S ohledem na investiční plán pro Evropu je mimořádně důležité, aby byly vytvořeny vhodné podmínky pro investice založené na partnerství, na němž se bude podílet soukromý</w:t>
      </w:r>
      <w:r w:rsidR="00FC42A5" w:rsidRPr="00363797">
        <w:t xml:space="preserve"> i </w:t>
      </w:r>
      <w:r w:rsidRPr="00363797">
        <w:t>veřejný sektor. Sociální investice zde mohou sehrát určující roli při zvyšování sociálního blahobytu</w:t>
      </w:r>
      <w:r w:rsidR="00FC42A5" w:rsidRPr="00363797">
        <w:t xml:space="preserve"> a </w:t>
      </w:r>
      <w:r w:rsidRPr="00363797">
        <w:t>odstraňování chudoby</w:t>
      </w:r>
      <w:r w:rsidR="00FC42A5" w:rsidRPr="00363797">
        <w:t xml:space="preserve"> a </w:t>
      </w:r>
      <w:r w:rsidRPr="00363797">
        <w:t>vyloučení.</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EHSV se domnívá, že je potřebná fiskální odpovědnost ze strany všech členských států</w:t>
      </w:r>
      <w:r w:rsidR="00FC42A5" w:rsidRPr="00363797">
        <w:t xml:space="preserve"> a </w:t>
      </w:r>
      <w:r w:rsidRPr="00363797">
        <w:t>měla by být přímo spojena</w:t>
      </w:r>
      <w:r w:rsidR="00FC42A5" w:rsidRPr="00363797">
        <w:t xml:space="preserve"> s </w:t>
      </w:r>
      <w:r w:rsidRPr="00363797">
        <w:t>podporou zaměstnanosti</w:t>
      </w:r>
      <w:r w:rsidR="00FC42A5" w:rsidRPr="00363797">
        <w:t xml:space="preserve"> a </w:t>
      </w:r>
      <w:r w:rsidRPr="00363797">
        <w:t>sociální odpovědností. Výbor podporuje fiskální konsolidaci podporující růst</w:t>
      </w:r>
      <w:r w:rsidR="00FC42A5" w:rsidRPr="00363797">
        <w:t xml:space="preserve"> a </w:t>
      </w:r>
      <w:r w:rsidRPr="00363797">
        <w:t xml:space="preserve">žádá členské státy, aby tam, kde to bude možné, snížily daňovou </w:t>
      </w:r>
      <w:r w:rsidRPr="00363797">
        <w:lastRenderedPageBreak/>
        <w:t>zátěž způsobenou úspornými opatřeními</w:t>
      </w:r>
      <w:r w:rsidR="00FC42A5" w:rsidRPr="00363797">
        <w:t xml:space="preserve"> s </w:t>
      </w:r>
      <w:r w:rsidRPr="00363797">
        <w:t>cílem oživit soukromé investice, aniž by při tom byly opomíjeny inteligentní investice veřejné.</w:t>
      </w:r>
    </w:p>
    <w:p w:rsidR="007C1435" w:rsidRPr="00363797" w:rsidRDefault="007C1435" w:rsidP="00C25B4D">
      <w:pPr>
        <w:overflowPunct/>
        <w:adjustRightInd/>
        <w:ind w:left="369"/>
        <w:textAlignment w:val="auto"/>
      </w:pPr>
    </w:p>
    <w:p w:rsidR="007C1435" w:rsidRPr="00363797" w:rsidRDefault="007C1435" w:rsidP="00C25B4D">
      <w:pPr>
        <w:numPr>
          <w:ilvl w:val="0"/>
          <w:numId w:val="74"/>
        </w:numPr>
      </w:pPr>
      <w:r w:rsidRPr="00363797">
        <w:t>EHSV vítá zjednodušení evropského semestru, upozorňuje ovšem na to, že je nutné zavést nový „časový plán pro občanskou společnost“. Výbor zdůrazňuje, že přezkum strategie Evropa 2020</w:t>
      </w:r>
      <w:r w:rsidR="00FC42A5" w:rsidRPr="00363797">
        <w:t xml:space="preserve"> v </w:t>
      </w:r>
      <w:r w:rsidRPr="00363797">
        <w:t>polovině období by měl být zveřejněn včas, aby zainteresované strany měly dostatek času na přípravu svých postojů.</w:t>
      </w:r>
    </w:p>
    <w:p w:rsidR="007C1435" w:rsidRPr="00363797" w:rsidRDefault="007C1435" w:rsidP="00C25B4D">
      <w:pPr>
        <w:tabs>
          <w:tab w:val="left" w:pos="770"/>
        </w:tabs>
        <w:overflowPunct/>
        <w:adjustRightInd/>
        <w:textAlignment w:val="auto"/>
        <w:rPr>
          <w:b/>
          <w:i/>
        </w:rPr>
      </w:pPr>
    </w:p>
    <w:p w:rsidR="007C1435" w:rsidRPr="00363797" w:rsidRDefault="007C1435" w:rsidP="00C25B4D">
      <w:pPr>
        <w:tabs>
          <w:tab w:val="left" w:pos="770"/>
        </w:tabs>
        <w:overflowPunct/>
        <w:adjustRightInd/>
        <w:textAlignment w:val="auto"/>
        <w:rPr>
          <w:i/>
        </w:rPr>
      </w:pPr>
      <w:r w:rsidRPr="00363797">
        <w:rPr>
          <w:b/>
          <w:i/>
        </w:rPr>
        <w:t>Kontaktní osoba:</w:t>
      </w:r>
      <w:r w:rsidRPr="00363797">
        <w:tab/>
      </w:r>
      <w:proofErr w:type="spellStart"/>
      <w:r w:rsidRPr="00363797">
        <w:rPr>
          <w:i/>
        </w:rPr>
        <w:t>Jüri</w:t>
      </w:r>
      <w:proofErr w:type="spellEnd"/>
      <w:r w:rsidRPr="00363797">
        <w:rPr>
          <w:i/>
        </w:rPr>
        <w:t xml:space="preserve"> Soosaar </w:t>
      </w:r>
    </w:p>
    <w:p w:rsidR="007C1435" w:rsidRPr="00363797" w:rsidRDefault="007C1435" w:rsidP="00C25B4D">
      <w:pPr>
        <w:overflowPunct/>
        <w:adjustRightInd/>
        <w:textAlignment w:val="auto"/>
        <w:rPr>
          <w:b/>
          <w:highlight w:val="yellow"/>
          <w:u w:val="single"/>
        </w:rPr>
      </w:pPr>
      <w:r w:rsidRPr="00363797">
        <w:rPr>
          <w:i/>
        </w:rPr>
        <w:t xml:space="preserve">(tel.: 00 32 2 546 96 28 – email: </w:t>
      </w:r>
      <w:hyperlink r:id="rId39">
        <w:r w:rsidRPr="00363797">
          <w:rPr>
            <w:rStyle w:val="Hyperlink"/>
            <w:i/>
          </w:rPr>
          <w:t>juri.soosaar@eesc.europa.eu</w:t>
        </w:r>
      </w:hyperlink>
      <w:r w:rsidRPr="00363797">
        <w:rPr>
          <w:i/>
        </w:rPr>
        <w:t>)</w:t>
      </w:r>
    </w:p>
    <w:p w:rsidR="007C1435" w:rsidRPr="00363797" w:rsidRDefault="007C1435" w:rsidP="00C25B4D">
      <w:pPr>
        <w:overflowPunct/>
        <w:adjustRightInd/>
        <w:textAlignment w:val="auto"/>
        <w:rPr>
          <w:b/>
        </w:rPr>
      </w:pPr>
    </w:p>
    <w:p w:rsidR="00D3628B" w:rsidRPr="00363797" w:rsidRDefault="007C1435" w:rsidP="00C25B4D">
      <w:pPr>
        <w:keepNext/>
        <w:keepLines/>
        <w:numPr>
          <w:ilvl w:val="0"/>
          <w:numId w:val="2"/>
        </w:numPr>
        <w:overflowPunct/>
        <w:adjustRightInd/>
        <w:ind w:left="709" w:hanging="709"/>
        <w:textAlignment w:val="auto"/>
        <w:outlineLvl w:val="0"/>
        <w:rPr>
          <w:b/>
          <w:sz w:val="28"/>
        </w:rPr>
      </w:pPr>
      <w:r w:rsidRPr="00363797">
        <w:rPr>
          <w:b/>
          <w:sz w:val="28"/>
        </w:rPr>
        <w:t>ZDRAVÍ</w:t>
      </w:r>
      <w:r w:rsidR="00FC42A5" w:rsidRPr="00363797">
        <w:rPr>
          <w:b/>
          <w:sz w:val="28"/>
        </w:rPr>
        <w:t xml:space="preserve"> A </w:t>
      </w:r>
      <w:r w:rsidRPr="00363797">
        <w:rPr>
          <w:b/>
          <w:sz w:val="28"/>
        </w:rPr>
        <w:t xml:space="preserve">BEZPEČNOST </w:t>
      </w:r>
    </w:p>
    <w:p w:rsidR="006C131B" w:rsidRPr="00363797" w:rsidRDefault="006C131B" w:rsidP="00C25B4D">
      <w:pPr>
        <w:overflowPunct/>
        <w:adjustRightInd/>
        <w:textAlignment w:val="auto"/>
        <w:rPr>
          <w:b/>
        </w:rPr>
      </w:pPr>
    </w:p>
    <w:p w:rsidR="0064036F" w:rsidRPr="00363797" w:rsidRDefault="0064036F" w:rsidP="00CA2D2F">
      <w:pPr>
        <w:overflowPunct/>
        <w:adjustRightInd/>
        <w:textAlignment w:val="auto"/>
        <w:rPr>
          <w:b/>
        </w:rPr>
      </w:pPr>
      <w:r w:rsidRPr="00363797">
        <w:rPr>
          <w:b/>
        </w:rPr>
        <w:t>CCMI/130</w:t>
      </w:r>
    </w:p>
    <w:p w:rsidR="00E33568" w:rsidRPr="00363797" w:rsidRDefault="00E33568" w:rsidP="00C25B4D">
      <w:pPr>
        <w:overflowPunct/>
        <w:adjustRightInd/>
        <w:ind w:left="-567"/>
        <w:textAlignment w:val="auto"/>
        <w:rPr>
          <w:b/>
        </w:rPr>
      </w:pPr>
    </w:p>
    <w:p w:rsidR="0064036F" w:rsidRPr="00363797" w:rsidRDefault="0064036F" w:rsidP="00C25B4D">
      <w:pPr>
        <w:numPr>
          <w:ilvl w:val="0"/>
          <w:numId w:val="23"/>
        </w:numPr>
        <w:rPr>
          <w:b/>
          <w:i/>
          <w:sz w:val="28"/>
        </w:rPr>
      </w:pPr>
      <w:r w:rsidRPr="00363797">
        <w:tab/>
      </w:r>
      <w:r w:rsidRPr="00363797">
        <w:rPr>
          <w:b/>
          <w:i/>
          <w:sz w:val="28"/>
        </w:rPr>
        <w:t>Zbavení EU azbestu (stanovisko</w:t>
      </w:r>
      <w:r w:rsidR="00FC42A5" w:rsidRPr="00363797">
        <w:rPr>
          <w:b/>
          <w:i/>
          <w:sz w:val="28"/>
        </w:rPr>
        <w:t xml:space="preserve"> z </w:t>
      </w:r>
      <w:r w:rsidRPr="00363797">
        <w:rPr>
          <w:b/>
          <w:i/>
          <w:sz w:val="28"/>
        </w:rPr>
        <w:t>vlastní iniciativy)</w:t>
      </w:r>
    </w:p>
    <w:p w:rsidR="0064036F" w:rsidRPr="00363797" w:rsidRDefault="0064036F" w:rsidP="00C25B4D">
      <w:pPr>
        <w:overflowPunct/>
        <w:adjustRightInd/>
        <w:ind w:left="-39"/>
        <w:textAlignment w:val="auto"/>
        <w:rPr>
          <w:b/>
          <w:i/>
          <w:sz w:val="28"/>
        </w:rPr>
      </w:pPr>
    </w:p>
    <w:p w:rsidR="0064036F" w:rsidRPr="00363797" w:rsidRDefault="0064036F" w:rsidP="00C25B4D">
      <w:pPr>
        <w:overflowPunct/>
        <w:adjustRightInd/>
        <w:ind w:left="-39"/>
        <w:textAlignment w:val="auto"/>
      </w:pPr>
      <w:r w:rsidRPr="00363797">
        <w:rPr>
          <w:b/>
        </w:rPr>
        <w:t>Zpravodaj:</w:t>
      </w:r>
      <w:r w:rsidRPr="00363797">
        <w:tab/>
        <w:t>Aurel Laurenţiu</w:t>
      </w:r>
      <w:r w:rsidRPr="00363797">
        <w:rPr>
          <w:b/>
        </w:rPr>
        <w:t xml:space="preserve"> </w:t>
      </w:r>
      <w:r w:rsidRPr="00363797">
        <w:t xml:space="preserve">PLOSCEANU (Zaměstnavatelé – RO) </w:t>
      </w:r>
    </w:p>
    <w:p w:rsidR="00BB5E6B" w:rsidRPr="00363797" w:rsidRDefault="00BB5E6B" w:rsidP="00C25B4D">
      <w:pPr>
        <w:overflowPunct/>
        <w:adjustRightInd/>
        <w:ind w:left="-39"/>
        <w:textAlignment w:val="auto"/>
      </w:pPr>
    </w:p>
    <w:p w:rsidR="0064036F" w:rsidRPr="00363797" w:rsidRDefault="0064036F" w:rsidP="00C25B4D">
      <w:pPr>
        <w:overflowPunct/>
        <w:adjustRightInd/>
        <w:ind w:left="-39"/>
        <w:textAlignment w:val="auto"/>
      </w:pPr>
      <w:proofErr w:type="spellStart"/>
      <w:r w:rsidRPr="00363797">
        <w:rPr>
          <w:b/>
        </w:rPr>
        <w:t>Spoluzpravodaj</w:t>
      </w:r>
      <w:proofErr w:type="spellEnd"/>
      <w:r w:rsidRPr="00363797">
        <w:rPr>
          <w:b/>
        </w:rPr>
        <w:t xml:space="preserve">: </w:t>
      </w:r>
      <w:r w:rsidRPr="00363797">
        <w:t>Enrico GIBELLIERI (Zaměstnanci – IT)</w:t>
      </w:r>
    </w:p>
    <w:p w:rsidR="00BB5E6B" w:rsidRPr="00363797" w:rsidRDefault="00BB5E6B" w:rsidP="00C25B4D">
      <w:pPr>
        <w:overflowPunct/>
        <w:adjustRightInd/>
        <w:ind w:left="-39"/>
        <w:textAlignment w:val="auto"/>
        <w:rPr>
          <w:b/>
        </w:rPr>
      </w:pPr>
    </w:p>
    <w:p w:rsidR="0064036F" w:rsidRPr="00363797" w:rsidRDefault="0064036F" w:rsidP="00C25B4D">
      <w:pPr>
        <w:overflowPunct/>
        <w:adjustRightInd/>
        <w:ind w:left="-39"/>
        <w:textAlignment w:val="auto"/>
      </w:pPr>
      <w:r w:rsidRPr="00363797">
        <w:rPr>
          <w:b/>
        </w:rPr>
        <w:t>Odkaz:</w:t>
      </w:r>
      <w:r w:rsidRPr="00363797">
        <w:tab/>
        <w:t>EESC-2014-05005-00-00-AS</w:t>
      </w:r>
    </w:p>
    <w:p w:rsidR="00BB5E6B" w:rsidRPr="00363797" w:rsidRDefault="00BB5E6B" w:rsidP="00C25B4D">
      <w:pPr>
        <w:overflowPunct/>
        <w:adjustRightInd/>
        <w:ind w:left="-39"/>
        <w:textAlignment w:val="auto"/>
        <w:rPr>
          <w:b/>
        </w:rPr>
      </w:pPr>
    </w:p>
    <w:p w:rsidR="0064036F" w:rsidRPr="00363797" w:rsidRDefault="0064036F" w:rsidP="00C25B4D">
      <w:pPr>
        <w:overflowPunct/>
        <w:adjustRightInd/>
        <w:ind w:left="-39"/>
        <w:textAlignment w:val="auto"/>
        <w:rPr>
          <w:b/>
        </w:rPr>
      </w:pPr>
      <w:r w:rsidRPr="00363797">
        <w:rPr>
          <w:b/>
        </w:rPr>
        <w:t>Hlavní body:</w:t>
      </w:r>
    </w:p>
    <w:p w:rsidR="00BB5E6B" w:rsidRPr="00363797" w:rsidRDefault="00BB5E6B" w:rsidP="00C25B4D">
      <w:pPr>
        <w:overflowPunct/>
        <w:adjustRightInd/>
        <w:ind w:left="-39"/>
        <w:textAlignment w:val="auto"/>
      </w:pPr>
    </w:p>
    <w:p w:rsidR="00B54D9B" w:rsidRPr="00363797" w:rsidRDefault="0064036F" w:rsidP="00C0580A">
      <w:pPr>
        <w:overflowPunct/>
        <w:adjustRightInd/>
        <w:textAlignment w:val="auto"/>
      </w:pPr>
      <w:r w:rsidRPr="00363797">
        <w:t>Úplné odstranění veškerého použitého azbestu</w:t>
      </w:r>
      <w:r w:rsidR="00FC42A5" w:rsidRPr="00363797">
        <w:t xml:space="preserve"> a </w:t>
      </w:r>
      <w:r w:rsidRPr="00363797">
        <w:t>všech výrobků obsahujících azbest musí být pro Evropskou unii prioritním cílem. EHSV vybízí EU, aby spolupracovala se sociálními partnery</w:t>
      </w:r>
      <w:r w:rsidR="00FC42A5" w:rsidRPr="00363797">
        <w:t xml:space="preserve"> a </w:t>
      </w:r>
      <w:r w:rsidRPr="00363797">
        <w:t>dalšími zainteresovanými stranami při přípravě</w:t>
      </w:r>
      <w:r w:rsidR="00FC42A5" w:rsidRPr="00363797">
        <w:t xml:space="preserve"> a </w:t>
      </w:r>
      <w:r w:rsidRPr="00363797">
        <w:t>sdílení akčních plánů nakládání</w:t>
      </w:r>
      <w:r w:rsidR="00FC42A5" w:rsidRPr="00363797">
        <w:t xml:space="preserve"> s </w:t>
      </w:r>
      <w:r w:rsidRPr="00363797">
        <w:t>azbestem</w:t>
      </w:r>
      <w:r w:rsidR="00FC42A5" w:rsidRPr="00363797">
        <w:t xml:space="preserve"> a </w:t>
      </w:r>
      <w:r w:rsidRPr="00363797">
        <w:t>jeho odstraňování. Několik členských států EU sestavilo rejstříky budov</w:t>
      </w:r>
      <w:r w:rsidR="00FC42A5" w:rsidRPr="00363797">
        <w:t xml:space="preserve"> s </w:t>
      </w:r>
      <w:r w:rsidRPr="00363797">
        <w:t>výskytem azbestu. Je třeba vybídnout ostatní členské státy</w:t>
      </w:r>
      <w:r w:rsidR="00FC42A5" w:rsidRPr="00363797">
        <w:t xml:space="preserve"> k </w:t>
      </w:r>
      <w:r w:rsidRPr="00363797">
        <w:t xml:space="preserve">vytvoření takovýchto rejstříků. </w:t>
      </w:r>
    </w:p>
    <w:p w:rsidR="00B54D9B" w:rsidRPr="00363797" w:rsidRDefault="00B54D9B" w:rsidP="00C0580A">
      <w:pPr>
        <w:overflowPunct/>
        <w:adjustRightInd/>
        <w:textAlignment w:val="auto"/>
      </w:pPr>
    </w:p>
    <w:p w:rsidR="00B54D9B" w:rsidRPr="00363797" w:rsidRDefault="0064036F" w:rsidP="00C0580A">
      <w:pPr>
        <w:numPr>
          <w:ilvl w:val="0"/>
          <w:numId w:val="128"/>
        </w:numPr>
        <w:overflowPunct/>
        <w:adjustRightInd/>
        <w:textAlignment w:val="auto"/>
      </w:pPr>
      <w:r w:rsidRPr="00363797">
        <w:t>Evropská unie by měla členské státy vybídnout, aby podle příkladu Polska na různých úrovních – místní, regionální</w:t>
      </w:r>
      <w:r w:rsidR="00FC42A5" w:rsidRPr="00363797">
        <w:t xml:space="preserve"> a </w:t>
      </w:r>
      <w:r w:rsidRPr="00363797">
        <w:t>vnitrostátní – zahájily konkrétní akční plány</w:t>
      </w:r>
      <w:r w:rsidR="00FC42A5" w:rsidRPr="00363797">
        <w:t xml:space="preserve"> a </w:t>
      </w:r>
      <w:r w:rsidRPr="00363797">
        <w:t xml:space="preserve">programy pro odstranění všech ještě stále existujících zdrojů azbestu. </w:t>
      </w:r>
    </w:p>
    <w:p w:rsidR="00B54D9B" w:rsidRPr="00363797" w:rsidRDefault="00B54D9B" w:rsidP="00C0580A">
      <w:pPr>
        <w:overflowPunct/>
        <w:adjustRightInd/>
        <w:textAlignment w:val="auto"/>
      </w:pPr>
    </w:p>
    <w:p w:rsidR="00B54D9B" w:rsidRPr="00363797" w:rsidRDefault="0064036F" w:rsidP="00C0580A">
      <w:pPr>
        <w:numPr>
          <w:ilvl w:val="0"/>
          <w:numId w:val="128"/>
        </w:numPr>
        <w:overflowPunct/>
        <w:adjustRightInd/>
        <w:textAlignment w:val="auto"/>
      </w:pPr>
      <w:r w:rsidRPr="00363797">
        <w:t xml:space="preserve">Evropská komise by měla zvážit, zda by její strukturální fondy nemohly být výslovně zpřístupněny plánům na odstraňování azbestu. </w:t>
      </w:r>
    </w:p>
    <w:p w:rsidR="00B54D9B" w:rsidRPr="00363797" w:rsidRDefault="00B54D9B" w:rsidP="00C0580A">
      <w:pPr>
        <w:overflowPunct/>
        <w:adjustRightInd/>
        <w:ind w:left="681"/>
        <w:textAlignment w:val="auto"/>
      </w:pPr>
    </w:p>
    <w:p w:rsidR="00B54D9B" w:rsidRPr="00363797" w:rsidRDefault="00FC1EA1" w:rsidP="00C0580A">
      <w:pPr>
        <w:numPr>
          <w:ilvl w:val="0"/>
          <w:numId w:val="128"/>
        </w:numPr>
        <w:overflowPunct/>
        <w:adjustRightInd/>
        <w:textAlignment w:val="auto"/>
      </w:pPr>
      <w:r w:rsidRPr="00363797">
        <w:t>Od Evropské komise se žádá, aby uskutečnila studii, která se bude zabývat stávajícími vnitrostátními postupy</w:t>
      </w:r>
      <w:r w:rsidR="00FC42A5" w:rsidRPr="00363797">
        <w:t xml:space="preserve"> a </w:t>
      </w:r>
      <w:r w:rsidRPr="00363797">
        <w:t>systémy evidence azbestu</w:t>
      </w:r>
      <w:r w:rsidR="00FC42A5" w:rsidRPr="00363797">
        <w:t xml:space="preserve"> a </w:t>
      </w:r>
      <w:r w:rsidRPr="00363797">
        <w:t>jejich financováním. EHSV Komisi vyzývá, aby</w:t>
      </w:r>
      <w:r w:rsidR="00FC42A5" w:rsidRPr="00363797">
        <w:t xml:space="preserve"> s </w:t>
      </w:r>
      <w:r w:rsidRPr="00363797">
        <w:t xml:space="preserve">odkazem na nejlepší dostupné technologie prosazovala systémy pro likvidaci výrobků obsahujících azbest (plazmový hořák, pyrolytické spalování atd.). Měl by se </w:t>
      </w:r>
      <w:r w:rsidRPr="00363797">
        <w:lastRenderedPageBreak/>
        <w:t>podporovat výzkum</w:t>
      </w:r>
      <w:r w:rsidR="00FC42A5" w:rsidRPr="00363797">
        <w:t xml:space="preserve"> a </w:t>
      </w:r>
      <w:r w:rsidRPr="00363797">
        <w:t>inovace</w:t>
      </w:r>
      <w:r w:rsidR="00FC42A5" w:rsidRPr="00363797">
        <w:t xml:space="preserve"> s </w:t>
      </w:r>
      <w:r w:rsidRPr="00363797">
        <w:t>cílem uplatňovat udržitelné technologie pro zpracování</w:t>
      </w:r>
      <w:r w:rsidR="00FC42A5" w:rsidRPr="00363797">
        <w:t xml:space="preserve"> a </w:t>
      </w:r>
      <w:proofErr w:type="spellStart"/>
      <w:r w:rsidRPr="00363797">
        <w:t>inertizaci</w:t>
      </w:r>
      <w:proofErr w:type="spellEnd"/>
      <w:r w:rsidRPr="00363797">
        <w:t xml:space="preserve"> odpadu obsahujícího azbest, aby bylo možné ho bezpečně recyklovat</w:t>
      </w:r>
      <w:r w:rsidR="00FC42A5" w:rsidRPr="00363797">
        <w:t xml:space="preserve"> a </w:t>
      </w:r>
      <w:r w:rsidRPr="00363797">
        <w:t>opětovně používat</w:t>
      </w:r>
      <w:r w:rsidR="00FC42A5" w:rsidRPr="00363797">
        <w:t xml:space="preserve"> a </w:t>
      </w:r>
      <w:r w:rsidRPr="00363797">
        <w:t>aby byl</w:t>
      </w:r>
      <w:r w:rsidR="00FC42A5" w:rsidRPr="00363797">
        <w:t xml:space="preserve"> v </w:t>
      </w:r>
      <w:r w:rsidRPr="00363797">
        <w:t xml:space="preserve">menší míře ukládán na skládkách. </w:t>
      </w:r>
    </w:p>
    <w:p w:rsidR="00B54D9B" w:rsidRPr="00363797" w:rsidRDefault="00B54D9B" w:rsidP="00C0580A">
      <w:pPr>
        <w:overflowPunct/>
        <w:adjustRightInd/>
        <w:ind w:left="681"/>
        <w:textAlignment w:val="auto"/>
      </w:pPr>
    </w:p>
    <w:p w:rsidR="00B54D9B" w:rsidRPr="00363797" w:rsidRDefault="0064036F" w:rsidP="00C0580A">
      <w:pPr>
        <w:numPr>
          <w:ilvl w:val="0"/>
          <w:numId w:val="128"/>
        </w:numPr>
        <w:overflowPunct/>
        <w:adjustRightInd/>
        <w:textAlignment w:val="auto"/>
      </w:pPr>
      <w:r w:rsidRPr="00363797">
        <w:t>Komise by měla stanovit účinná opatření, která zamezí nebezpečnému odvážení azbestového odpadu na skládky, jež jsou určeny pro běžný stavební odpad Financování ze strany EU</w:t>
      </w:r>
      <w:r w:rsidR="00FC42A5" w:rsidRPr="00363797">
        <w:t xml:space="preserve"> a </w:t>
      </w:r>
      <w:r w:rsidRPr="00363797">
        <w:t>pobídky členských států zaměřené na snižování energetické náročnosti budov by měly být provázány</w:t>
      </w:r>
      <w:r w:rsidR="00FC42A5" w:rsidRPr="00363797">
        <w:t xml:space="preserve"> s </w:t>
      </w:r>
      <w:r w:rsidRPr="00363797">
        <w:t>bezpečným odstraňováním azbestu</w:t>
      </w:r>
      <w:r w:rsidR="00FC42A5" w:rsidRPr="00363797">
        <w:t xml:space="preserve"> z </w:t>
      </w:r>
      <w:r w:rsidRPr="00363797">
        <w:t xml:space="preserve">těchto budov. </w:t>
      </w:r>
    </w:p>
    <w:p w:rsidR="00B54D9B" w:rsidRPr="00363797" w:rsidRDefault="00B54D9B" w:rsidP="00C0580A">
      <w:pPr>
        <w:overflowPunct/>
        <w:adjustRightInd/>
        <w:ind w:left="681"/>
        <w:textAlignment w:val="auto"/>
      </w:pPr>
    </w:p>
    <w:p w:rsidR="00B54D9B" w:rsidRPr="00363797" w:rsidRDefault="0064036F" w:rsidP="00C0580A">
      <w:pPr>
        <w:numPr>
          <w:ilvl w:val="0"/>
          <w:numId w:val="128"/>
        </w:numPr>
        <w:overflowPunct/>
        <w:adjustRightInd/>
        <w:textAlignment w:val="auto"/>
      </w:pPr>
      <w:r w:rsidRPr="00363797">
        <w:t>EHSV vyzývá Komisi, aby ve spolupráci</w:t>
      </w:r>
      <w:r w:rsidR="00FC42A5" w:rsidRPr="00363797">
        <w:t xml:space="preserve"> s </w:t>
      </w:r>
      <w:r w:rsidRPr="00363797">
        <w:t>vnitrostátními orgány poskytovala potřebnou podporu opatřením</w:t>
      </w:r>
      <w:r w:rsidR="00FC42A5" w:rsidRPr="00363797">
        <w:t xml:space="preserve"> a </w:t>
      </w:r>
      <w:r w:rsidRPr="00363797">
        <w:t>iniciativám</w:t>
      </w:r>
      <w:r w:rsidR="00FC42A5" w:rsidRPr="00363797">
        <w:t xml:space="preserve"> s </w:t>
      </w:r>
      <w:r w:rsidRPr="00363797">
        <w:t>cílem zajistit ochranu všech zaměstnanců</w:t>
      </w:r>
      <w:r w:rsidR="00FC42A5" w:rsidRPr="00363797">
        <w:t xml:space="preserve"> v </w:t>
      </w:r>
      <w:r w:rsidRPr="00363797">
        <w:t>EU, vzhledem</w:t>
      </w:r>
      <w:r w:rsidR="00FC42A5" w:rsidRPr="00363797">
        <w:t xml:space="preserve"> k </w:t>
      </w:r>
      <w:r w:rsidRPr="00363797">
        <w:t>tomu, že malé</w:t>
      </w:r>
      <w:r w:rsidR="00FC42A5" w:rsidRPr="00363797">
        <w:t xml:space="preserve"> a </w:t>
      </w:r>
      <w:r w:rsidRPr="00363797">
        <w:t>střední podniky, které zaměstnávají většinu evropské pracovní síly, jsou obzvlášť vystaveny potížím při provádění hygienických</w:t>
      </w:r>
      <w:r w:rsidR="00FC42A5" w:rsidRPr="00363797">
        <w:t xml:space="preserve"> a </w:t>
      </w:r>
      <w:r w:rsidRPr="00363797">
        <w:t xml:space="preserve">bezpečnostních předpisů. </w:t>
      </w:r>
    </w:p>
    <w:p w:rsidR="00B54D9B" w:rsidRPr="00363797" w:rsidRDefault="00B54D9B" w:rsidP="00C0580A">
      <w:pPr>
        <w:overflowPunct/>
        <w:adjustRightInd/>
        <w:ind w:left="681"/>
        <w:textAlignment w:val="auto"/>
      </w:pPr>
    </w:p>
    <w:p w:rsidR="00B54D9B" w:rsidRPr="00363797" w:rsidRDefault="0064036F" w:rsidP="00C0580A">
      <w:pPr>
        <w:numPr>
          <w:ilvl w:val="0"/>
          <w:numId w:val="128"/>
        </w:numPr>
        <w:overflowPunct/>
        <w:adjustRightInd/>
        <w:textAlignment w:val="auto"/>
      </w:pPr>
      <w:r w:rsidRPr="00363797">
        <w:t>EHSV vyzývá Komisi, aby vypracovala programy</w:t>
      </w:r>
      <w:r w:rsidR="00FC42A5" w:rsidRPr="00363797">
        <w:t xml:space="preserve"> a </w:t>
      </w:r>
      <w:r w:rsidRPr="00363797">
        <w:t>osvětové činnosti týkající se rizik spojených</w:t>
      </w:r>
      <w:r w:rsidR="00FC42A5" w:rsidRPr="00363797">
        <w:t xml:space="preserve"> s </w:t>
      </w:r>
      <w:r w:rsidRPr="00363797">
        <w:t>azbestem</w:t>
      </w:r>
      <w:r w:rsidR="00FC42A5" w:rsidRPr="00363797">
        <w:t xml:space="preserve"> a </w:t>
      </w:r>
      <w:r w:rsidRPr="00363797">
        <w:t>potřeby vhodného školení všech zaměstnanců, kteří mohou přijít do styku</w:t>
      </w:r>
      <w:r w:rsidR="00FC42A5" w:rsidRPr="00363797">
        <w:t xml:space="preserve"> s </w:t>
      </w:r>
      <w:r w:rsidRPr="00363797">
        <w:t>materiály obsahujícími azbest.</w:t>
      </w:r>
    </w:p>
    <w:p w:rsidR="00B54D9B" w:rsidRPr="00363797" w:rsidRDefault="00B54D9B" w:rsidP="00C0580A">
      <w:pPr>
        <w:overflowPunct/>
        <w:adjustRightInd/>
        <w:ind w:left="681"/>
        <w:textAlignment w:val="auto"/>
      </w:pPr>
    </w:p>
    <w:p w:rsidR="00B54D9B" w:rsidRPr="00363797" w:rsidRDefault="0064036F" w:rsidP="00C0580A">
      <w:pPr>
        <w:numPr>
          <w:ilvl w:val="0"/>
          <w:numId w:val="128"/>
        </w:numPr>
        <w:overflowPunct/>
        <w:adjustRightInd/>
        <w:textAlignment w:val="auto"/>
      </w:pPr>
      <w:r w:rsidRPr="00363797">
        <w:t>EHSV vyzývá Komisi, aby pozměnila doporučení 2003/670/ES tak, aby</w:t>
      </w:r>
      <w:r w:rsidR="00FC42A5" w:rsidRPr="00363797">
        <w:t xml:space="preserve"> v </w:t>
      </w:r>
      <w:r w:rsidRPr="00363797">
        <w:t>něm byl zohledněn pokrok</w:t>
      </w:r>
      <w:r w:rsidR="00FC42A5" w:rsidRPr="00363797">
        <w:t xml:space="preserve"> v </w:t>
      </w:r>
      <w:r w:rsidRPr="00363797">
        <w:t>lékařském výzkumu</w:t>
      </w:r>
      <w:r w:rsidR="00FC42A5" w:rsidRPr="00363797">
        <w:t xml:space="preserve"> a </w:t>
      </w:r>
      <w:r w:rsidRPr="00363797">
        <w:t>aby byla rakovina hrtanu</w:t>
      </w:r>
      <w:r w:rsidR="00FC42A5" w:rsidRPr="00363797">
        <w:t xml:space="preserve"> a </w:t>
      </w:r>
      <w:r w:rsidRPr="00363797">
        <w:t>vaječníků zahrnuta mezi nemoci související</w:t>
      </w:r>
      <w:r w:rsidR="00FC42A5" w:rsidRPr="00363797">
        <w:t xml:space="preserve"> s </w:t>
      </w:r>
      <w:r w:rsidRPr="00363797">
        <w:t>azbestem. Instituce EU by měly šířit osvědčené postupy týkající se uznávání nemocí souvisejících</w:t>
      </w:r>
      <w:r w:rsidR="00FC42A5" w:rsidRPr="00363797">
        <w:t xml:space="preserve"> s </w:t>
      </w:r>
      <w:r w:rsidRPr="00363797">
        <w:t>azbestem. Je nutné sdružit oběti působení azbestu</w:t>
      </w:r>
      <w:r w:rsidR="00FC42A5" w:rsidRPr="00363797">
        <w:t xml:space="preserve"> v </w:t>
      </w:r>
      <w:r w:rsidRPr="00363797">
        <w:t xml:space="preserve">organizacích. </w:t>
      </w:r>
    </w:p>
    <w:p w:rsidR="00B54D9B" w:rsidRPr="00363797" w:rsidRDefault="00B54D9B" w:rsidP="00C25B4D">
      <w:pPr>
        <w:overflowPunct/>
        <w:adjustRightInd/>
        <w:ind w:left="-39"/>
        <w:textAlignment w:val="auto"/>
      </w:pPr>
    </w:p>
    <w:p w:rsidR="00B54D9B" w:rsidRPr="00363797" w:rsidRDefault="0064036F" w:rsidP="00C25B4D">
      <w:pPr>
        <w:overflowPunct/>
        <w:adjustRightInd/>
        <w:ind w:left="-39"/>
        <w:textAlignment w:val="auto"/>
      </w:pPr>
      <w:r w:rsidRPr="00363797">
        <w:t xml:space="preserve">EHSV proto: </w:t>
      </w:r>
    </w:p>
    <w:p w:rsidR="00B54D9B" w:rsidRPr="00363797" w:rsidRDefault="00B54D9B" w:rsidP="00C25B4D">
      <w:pPr>
        <w:overflowPunct/>
        <w:adjustRightInd/>
        <w:ind w:left="-39"/>
        <w:textAlignment w:val="auto"/>
      </w:pPr>
    </w:p>
    <w:p w:rsidR="00B54D9B" w:rsidRPr="00363797" w:rsidRDefault="0064036F" w:rsidP="00C0580A">
      <w:pPr>
        <w:numPr>
          <w:ilvl w:val="0"/>
          <w:numId w:val="127"/>
        </w:numPr>
        <w:overflowPunct/>
        <w:adjustRightInd/>
        <w:textAlignment w:val="auto"/>
      </w:pPr>
      <w:r w:rsidRPr="00363797">
        <w:t>vyzývá pojišťovny</w:t>
      </w:r>
      <w:r w:rsidR="00FC42A5" w:rsidRPr="00363797">
        <w:t xml:space="preserve"> a </w:t>
      </w:r>
      <w:r w:rsidRPr="00363797">
        <w:t>subjekty poskytující odškodnění, aby přijaly společný přístup, pokud jde</w:t>
      </w:r>
      <w:r w:rsidR="00FC42A5" w:rsidRPr="00363797">
        <w:t xml:space="preserve"> o </w:t>
      </w:r>
      <w:r w:rsidRPr="00363797">
        <w:t>uznávání nemocí</w:t>
      </w:r>
      <w:r w:rsidR="00FC42A5" w:rsidRPr="00363797">
        <w:t xml:space="preserve"> z </w:t>
      </w:r>
      <w:r w:rsidRPr="00363797">
        <w:t>povolání souvisejících</w:t>
      </w:r>
      <w:r w:rsidR="00FC42A5" w:rsidRPr="00363797">
        <w:t xml:space="preserve"> s </w:t>
      </w:r>
      <w:r w:rsidRPr="00363797">
        <w:t>azbestem</w:t>
      </w:r>
      <w:r w:rsidR="00FC42A5" w:rsidRPr="00363797">
        <w:t xml:space="preserve"> a </w:t>
      </w:r>
      <w:r w:rsidRPr="00363797">
        <w:t>odškodňování</w:t>
      </w:r>
      <w:r w:rsidR="00FC42A5" w:rsidRPr="00363797">
        <w:t xml:space="preserve"> v </w:t>
      </w:r>
      <w:r w:rsidRPr="00363797">
        <w:t xml:space="preserve">případě těchto onemocnění; </w:t>
      </w:r>
    </w:p>
    <w:p w:rsidR="00B54D9B" w:rsidRPr="00363797" w:rsidRDefault="00B54D9B" w:rsidP="00C0580A">
      <w:pPr>
        <w:overflowPunct/>
        <w:adjustRightInd/>
        <w:ind w:left="681"/>
        <w:textAlignment w:val="auto"/>
      </w:pPr>
    </w:p>
    <w:p w:rsidR="00B54D9B" w:rsidRPr="00363797" w:rsidRDefault="0064036F" w:rsidP="00C0580A">
      <w:pPr>
        <w:numPr>
          <w:ilvl w:val="0"/>
          <w:numId w:val="127"/>
        </w:numPr>
        <w:overflowPunct/>
        <w:adjustRightInd/>
        <w:textAlignment w:val="auto"/>
      </w:pPr>
      <w:r w:rsidRPr="00363797">
        <w:t>vyzývá ke zjednodušení</w:t>
      </w:r>
      <w:r w:rsidR="00FC42A5" w:rsidRPr="00363797">
        <w:t xml:space="preserve"> a </w:t>
      </w:r>
      <w:r w:rsidRPr="00363797">
        <w:t xml:space="preserve">usnadnění procesu uznávání; </w:t>
      </w:r>
    </w:p>
    <w:p w:rsidR="00B54D9B" w:rsidRPr="00363797" w:rsidRDefault="00B54D9B" w:rsidP="00C0580A">
      <w:pPr>
        <w:overflowPunct/>
        <w:adjustRightInd/>
        <w:ind w:left="681"/>
        <w:textAlignment w:val="auto"/>
      </w:pPr>
    </w:p>
    <w:p w:rsidR="00B54D9B" w:rsidRPr="00363797" w:rsidRDefault="0064036F" w:rsidP="00C0580A">
      <w:pPr>
        <w:numPr>
          <w:ilvl w:val="0"/>
          <w:numId w:val="127"/>
        </w:numPr>
        <w:overflowPunct/>
        <w:adjustRightInd/>
        <w:textAlignment w:val="auto"/>
      </w:pPr>
      <w:r w:rsidRPr="00363797">
        <w:t>uznává, že</w:t>
      </w:r>
      <w:r w:rsidR="00FC42A5" w:rsidRPr="00363797">
        <w:t xml:space="preserve"> v </w:t>
      </w:r>
      <w:r w:rsidRPr="00363797">
        <w:t>důsledku velmi dlouhé doby latence nejsou oběti působení azbestu často schopny doložit příčinnou souvislost své nemoci</w:t>
      </w:r>
      <w:r w:rsidR="00FC42A5" w:rsidRPr="00363797">
        <w:t xml:space="preserve"> s </w:t>
      </w:r>
      <w:r w:rsidRPr="00363797">
        <w:t xml:space="preserve">expozicí azbestu při práci; </w:t>
      </w:r>
    </w:p>
    <w:p w:rsidR="00B54D9B" w:rsidRPr="00363797" w:rsidRDefault="00B54D9B" w:rsidP="00C0580A">
      <w:pPr>
        <w:overflowPunct/>
        <w:adjustRightInd/>
        <w:ind w:left="681"/>
        <w:textAlignment w:val="auto"/>
      </w:pPr>
    </w:p>
    <w:p w:rsidR="0064036F" w:rsidRPr="00363797" w:rsidRDefault="0064036F" w:rsidP="00C0580A">
      <w:pPr>
        <w:numPr>
          <w:ilvl w:val="0"/>
          <w:numId w:val="127"/>
        </w:numPr>
        <w:overflowPunct/>
        <w:adjustRightInd/>
        <w:textAlignment w:val="auto"/>
      </w:pPr>
      <w:r w:rsidRPr="00363797">
        <w:t>vyzývá Komisi, aby podporovala konference, které poskytují profesionální poradenství skupinám sdružujícím oběti působení azbestu</w:t>
      </w:r>
      <w:r w:rsidR="00FC42A5" w:rsidRPr="00363797">
        <w:t xml:space="preserve"> a </w:t>
      </w:r>
      <w:r w:rsidRPr="00363797">
        <w:t>které poskytují podporu jejich členům.</w:t>
      </w:r>
    </w:p>
    <w:p w:rsidR="00583698" w:rsidRPr="00363797" w:rsidRDefault="00583698" w:rsidP="00C25B4D">
      <w:pPr>
        <w:overflowPunct/>
        <w:adjustRightInd/>
        <w:ind w:left="-567"/>
        <w:textAlignment w:val="auto"/>
        <w:rPr>
          <w:i/>
        </w:rPr>
      </w:pPr>
    </w:p>
    <w:p w:rsidR="0064036F" w:rsidRPr="00363797" w:rsidRDefault="0064036F" w:rsidP="0059138B">
      <w:pPr>
        <w:tabs>
          <w:tab w:val="left" w:pos="770"/>
        </w:tabs>
        <w:overflowPunct/>
        <w:adjustRightInd/>
        <w:textAlignment w:val="auto"/>
        <w:rPr>
          <w:b/>
          <w:i/>
        </w:rPr>
      </w:pPr>
      <w:r w:rsidRPr="00363797">
        <w:rPr>
          <w:b/>
          <w:i/>
        </w:rPr>
        <w:t>Kontaktní osoba:</w:t>
      </w:r>
      <w:r w:rsidRPr="00363797">
        <w:tab/>
      </w:r>
      <w:bookmarkStart w:id="0" w:name="_GoBack"/>
      <w:bookmarkEnd w:id="0"/>
      <w:r w:rsidRPr="00363797">
        <w:rPr>
          <w:i/>
        </w:rPr>
        <w:t xml:space="preserve"> </w:t>
      </w:r>
    </w:p>
    <w:p w:rsidR="0064036F" w:rsidRPr="00363797" w:rsidRDefault="0064036F" w:rsidP="0059138B">
      <w:pPr>
        <w:overflowPunct/>
        <w:adjustRightInd/>
        <w:textAlignment w:val="auto"/>
        <w:rPr>
          <w:i/>
        </w:rPr>
      </w:pPr>
      <w:r w:rsidRPr="00363797">
        <w:rPr>
          <w:i/>
        </w:rPr>
        <w:t xml:space="preserve">(tel.: 00 32 2 546 86 28 - e-mail: </w:t>
      </w:r>
      <w:hyperlink r:id="rId40">
        <w:r w:rsidR="0059138B" w:rsidRPr="0059138B">
          <w:t xml:space="preserve"> </w:t>
        </w:r>
        <w:r w:rsidR="0059138B" w:rsidRPr="0059138B">
          <w:rPr>
            <w:rStyle w:val="Hyperlink"/>
            <w:i/>
          </w:rPr>
          <w:t>ccmi2</w:t>
        </w:r>
        <w:r w:rsidRPr="00363797">
          <w:rPr>
            <w:rStyle w:val="Hyperlink"/>
            <w:i/>
          </w:rPr>
          <w:t>@eesc.europa.eu</w:t>
        </w:r>
      </w:hyperlink>
      <w:r w:rsidRPr="00363797">
        <w:rPr>
          <w:i/>
        </w:rPr>
        <w:t>)</w:t>
      </w:r>
    </w:p>
    <w:p w:rsidR="002A4257" w:rsidRPr="00363797" w:rsidRDefault="002A4257" w:rsidP="00C25B4D">
      <w:pPr>
        <w:overflowPunct/>
        <w:adjustRightInd/>
        <w:textAlignment w:val="auto"/>
      </w:pPr>
    </w:p>
    <w:p w:rsidR="00B019D8" w:rsidRPr="00363797" w:rsidRDefault="00B019D8" w:rsidP="00C25B4D">
      <w:pPr>
        <w:overflowPunct/>
        <w:adjustRightInd/>
        <w:jc w:val="center"/>
        <w:textAlignment w:val="auto"/>
      </w:pPr>
      <w:r w:rsidRPr="00363797">
        <w:t>_____________</w:t>
      </w:r>
    </w:p>
    <w:p w:rsidR="00FC42A5" w:rsidRPr="00363797" w:rsidRDefault="00FC42A5" w:rsidP="00FC42A5">
      <w:pPr>
        <w:overflowPunct/>
        <w:adjustRightInd/>
        <w:jc w:val="left"/>
        <w:textAlignment w:val="auto"/>
      </w:pPr>
    </w:p>
    <w:sectPr w:rsidR="00FC42A5" w:rsidRPr="00363797" w:rsidSect="00727BB9">
      <w:headerReference w:type="even" r:id="rId41"/>
      <w:headerReference w:type="default" r:id="rId42"/>
      <w:footerReference w:type="even" r:id="rId43"/>
      <w:footerReference w:type="default" r:id="rId44"/>
      <w:headerReference w:type="first" r:id="rId45"/>
      <w:footerReference w:type="first" r:id="rId46"/>
      <w:pgSz w:w="11907" w:h="1683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6C" w:rsidRDefault="00715C6C">
      <w:r>
        <w:separator/>
      </w:r>
    </w:p>
    <w:p w:rsidR="00715C6C" w:rsidRDefault="00715C6C"/>
  </w:endnote>
  <w:endnote w:type="continuationSeparator" w:id="0">
    <w:p w:rsidR="00715C6C" w:rsidRDefault="00715C6C">
      <w:r>
        <w:continuationSeparator/>
      </w:r>
    </w:p>
    <w:p w:rsidR="00715C6C" w:rsidRDefault="00715C6C"/>
  </w:endnote>
  <w:endnote w:type="continuationNotice" w:id="1">
    <w:p w:rsidR="00715C6C" w:rsidRDefault="00715C6C">
      <w:pPr>
        <w:spacing w:line="240" w:lineRule="auto"/>
      </w:pPr>
    </w:p>
    <w:p w:rsidR="00715C6C" w:rsidRDefault="00715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66" w:rsidRDefault="00064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064866">
      <w:rPr>
        <w:noProof/>
      </w:rPr>
      <w:t>1</w:t>
    </w:r>
    <w:r>
      <w:fldChar w:fldCharType="end"/>
    </w:r>
    <w:r>
      <w:t>/</w:t>
    </w:r>
    <w:r>
      <w:fldChar w:fldCharType="begin"/>
    </w:r>
    <w:r>
      <w:instrText xml:space="preserve"> = </w:instrText>
    </w:r>
    <w:r w:rsidR="00715C6C">
      <w:fldChar w:fldCharType="begin"/>
    </w:r>
    <w:r w:rsidR="00715C6C">
      <w:instrText xml:space="preserve"> NUMPAGES </w:instrText>
    </w:r>
    <w:r w:rsidR="00715C6C">
      <w:fldChar w:fldCharType="separate"/>
    </w:r>
    <w:r w:rsidR="00064866">
      <w:rPr>
        <w:noProof/>
      </w:rPr>
      <w:instrText>11</w:instrText>
    </w:r>
    <w:r w:rsidR="00715C6C">
      <w:rPr>
        <w:noProof/>
      </w:rPr>
      <w:fldChar w:fldCharType="end"/>
    </w:r>
    <w:r>
      <w:instrText xml:space="preserve"> </w:instrText>
    </w:r>
    <w:r>
      <w:fldChar w:fldCharType="separate"/>
    </w:r>
    <w:r w:rsidR="00064866">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66" w:rsidRDefault="000648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715C6C">
      <w:fldChar w:fldCharType="begin"/>
    </w:r>
    <w:r w:rsidR="00715C6C">
      <w:instrText xml:space="preserve"> NUMPAGES </w:instrText>
    </w:r>
    <w:r w:rsidR="00715C6C">
      <w:fldChar w:fldCharType="separate"/>
    </w:r>
    <w:r>
      <w:rPr>
        <w:noProof/>
      </w:rPr>
      <w:instrText>12</w:instrText>
    </w:r>
    <w:r w:rsidR="00715C6C">
      <w:rPr>
        <w:noProof/>
      </w:rPr>
      <w:fldChar w:fldCharType="end"/>
    </w:r>
    <w:r>
      <w:instrText xml:space="preserv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064866">
      <w:rPr>
        <w:noProof/>
      </w:rPr>
      <w:t>11</w:t>
    </w:r>
    <w:r>
      <w:fldChar w:fldCharType="end"/>
    </w:r>
    <w:r>
      <w:t>/</w:t>
    </w:r>
    <w:r>
      <w:fldChar w:fldCharType="begin"/>
    </w:r>
    <w:r>
      <w:instrText xml:space="preserve"> = </w:instrText>
    </w:r>
    <w:r w:rsidR="00715C6C">
      <w:fldChar w:fldCharType="begin"/>
    </w:r>
    <w:r w:rsidR="00715C6C">
      <w:instrText xml:space="preserve"> NUMPAGES </w:instrText>
    </w:r>
    <w:r w:rsidR="00715C6C">
      <w:fldChar w:fldCharType="separate"/>
    </w:r>
    <w:r w:rsidR="00064866">
      <w:rPr>
        <w:noProof/>
      </w:rPr>
      <w:instrText>11</w:instrText>
    </w:r>
    <w:r w:rsidR="00715C6C">
      <w:rPr>
        <w:noProof/>
      </w:rPr>
      <w:fldChar w:fldCharType="end"/>
    </w:r>
    <w:r>
      <w:instrText xml:space="preserve"> </w:instrText>
    </w:r>
    <w:r>
      <w:fldChar w:fldCharType="separate"/>
    </w:r>
    <w:r w:rsidR="00064866">
      <w:rPr>
        <w:noProof/>
      </w:rPr>
      <w:t>11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6C" w:rsidRDefault="00715C6C">
      <w:r>
        <w:separator/>
      </w:r>
    </w:p>
  </w:footnote>
  <w:footnote w:type="continuationSeparator" w:id="0">
    <w:p w:rsidR="00715C6C" w:rsidRDefault="00715C6C">
      <w:r>
        <w:continuationSeparator/>
      </w:r>
    </w:p>
    <w:p w:rsidR="00715C6C" w:rsidRDefault="00715C6C"/>
  </w:footnote>
  <w:footnote w:type="continuationNotice" w:id="1">
    <w:p w:rsidR="00715C6C" w:rsidRDefault="00715C6C">
      <w:pPr>
        <w:spacing w:line="240" w:lineRule="auto"/>
      </w:pPr>
    </w:p>
    <w:p w:rsidR="00715C6C" w:rsidRDefault="00715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66" w:rsidRDefault="00064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66" w:rsidRDefault="00064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66" w:rsidRDefault="000648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08695380"/>
    <w:multiLevelType w:val="hybridMultilevel"/>
    <w:tmpl w:val="390A9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0">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4">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8">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3">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3">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4">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13F15E1"/>
    <w:multiLevelType w:val="singleLevel"/>
    <w:tmpl w:val="ACD4CDB0"/>
    <w:lvl w:ilvl="0">
      <w:numFmt w:val="decimal"/>
      <w:lvlText w:val="*"/>
      <w:lvlJc w:val="left"/>
      <w:pPr>
        <w:ind w:left="0" w:firstLine="0"/>
      </w:pPr>
    </w:lvl>
  </w:abstractNum>
  <w:abstractNum w:abstractNumId="52">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7">
    <w:nsid w:val="57477A6E"/>
    <w:multiLevelType w:val="singleLevel"/>
    <w:tmpl w:val="ACD4CDB0"/>
    <w:lvl w:ilvl="0">
      <w:numFmt w:val="decimal"/>
      <w:lvlText w:val="*"/>
      <w:lvlJc w:val="left"/>
      <w:pPr>
        <w:ind w:left="0" w:firstLine="0"/>
      </w:pPr>
    </w:lvl>
  </w:abstractNum>
  <w:abstractNum w:abstractNumId="58">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9">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1">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5">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6">
    <w:nsid w:val="5E011F07"/>
    <w:multiLevelType w:val="hybridMultilevel"/>
    <w:tmpl w:val="971227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61140AF6"/>
    <w:multiLevelType w:val="singleLevel"/>
    <w:tmpl w:val="A8C2A524"/>
    <w:lvl w:ilvl="0">
      <w:numFmt w:val="decimal"/>
      <w:lvlText w:val="*"/>
      <w:lvlJc w:val="left"/>
      <w:pPr>
        <w:ind w:left="0" w:firstLine="0"/>
      </w:pPr>
    </w:lvl>
  </w:abstractNum>
  <w:abstractNum w:abstractNumId="71">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4">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67B25350"/>
    <w:multiLevelType w:val="singleLevel"/>
    <w:tmpl w:val="4154AB76"/>
    <w:lvl w:ilvl="0">
      <w:numFmt w:val="decimal"/>
      <w:lvlText w:val="*"/>
      <w:lvlJc w:val="left"/>
      <w:pPr>
        <w:ind w:left="0" w:firstLine="0"/>
      </w:pPr>
    </w:lvl>
  </w:abstractNum>
  <w:abstractNum w:abstractNumId="78">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EC05EF"/>
    <w:multiLevelType w:val="singleLevel"/>
    <w:tmpl w:val="ACD4CDB0"/>
    <w:lvl w:ilvl="0">
      <w:numFmt w:val="decimal"/>
      <w:lvlText w:val="*"/>
      <w:lvlJc w:val="left"/>
      <w:pPr>
        <w:ind w:left="0" w:firstLine="0"/>
      </w:pPr>
    </w:lvl>
  </w:abstractNum>
  <w:abstractNum w:abstractNumId="80">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946675A"/>
    <w:multiLevelType w:val="singleLevel"/>
    <w:tmpl w:val="ACD4CDB0"/>
    <w:lvl w:ilvl="0">
      <w:numFmt w:val="decimal"/>
      <w:lvlText w:val="*"/>
      <w:lvlJc w:val="left"/>
      <w:pPr>
        <w:ind w:left="0" w:firstLine="0"/>
      </w:pPr>
    </w:lvl>
  </w:abstractNum>
  <w:abstractNum w:abstractNumId="82">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3">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84">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2">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4">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0">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7AC93F74"/>
    <w:multiLevelType w:val="singleLevel"/>
    <w:tmpl w:val="A8C2A524"/>
    <w:lvl w:ilvl="0">
      <w:numFmt w:val="decimal"/>
      <w:lvlText w:val="*"/>
      <w:lvlJc w:val="left"/>
      <w:pPr>
        <w:ind w:left="0" w:firstLine="0"/>
      </w:pPr>
    </w:lvl>
  </w:abstractNum>
  <w:abstractNum w:abstractNumId="102">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103">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6"/>
  </w:num>
  <w:num w:numId="2">
    <w:abstractNumId w:val="27"/>
  </w:num>
  <w:num w:numId="3">
    <w:abstractNumId w:val="91"/>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61"/>
  </w:num>
  <w:num w:numId="8">
    <w:abstractNumId w:val="75"/>
  </w:num>
  <w:num w:numId="9">
    <w:abstractNumId w:val="63"/>
  </w:num>
  <w:num w:numId="10">
    <w:abstractNumId w:val="10"/>
  </w:num>
  <w:num w:numId="11">
    <w:abstractNumId w:val="45"/>
  </w:num>
  <w:num w:numId="12">
    <w:abstractNumId w:val="15"/>
  </w:num>
  <w:num w:numId="13">
    <w:abstractNumId w:val="7"/>
  </w:num>
  <w:num w:numId="14">
    <w:abstractNumId w:val="49"/>
  </w:num>
  <w:num w:numId="15">
    <w:abstractNumId w:val="90"/>
  </w:num>
  <w:num w:numId="16">
    <w:abstractNumId w:val="20"/>
  </w:num>
  <w:num w:numId="17">
    <w:abstractNumId w:val="78"/>
  </w:num>
  <w:num w:numId="18">
    <w:abstractNumId w:val="88"/>
  </w:num>
  <w:num w:numId="19">
    <w:abstractNumId w:val="58"/>
  </w:num>
  <w:num w:numId="20">
    <w:abstractNumId w:val="27"/>
  </w:num>
  <w:num w:numId="21">
    <w:abstractNumId w:val="27"/>
  </w:num>
  <w:num w:numId="22">
    <w:abstractNumId w:val="48"/>
  </w:num>
  <w:num w:numId="23">
    <w:abstractNumId w:val="11"/>
  </w:num>
  <w:num w:numId="24">
    <w:abstractNumId w:val="72"/>
  </w:num>
  <w:num w:numId="25">
    <w:abstractNumId w:val="79"/>
  </w:num>
  <w:num w:numId="26">
    <w:abstractNumId w:val="77"/>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69"/>
  </w:num>
  <w:num w:numId="30">
    <w:abstractNumId w:val="25"/>
  </w:num>
  <w:num w:numId="31">
    <w:abstractNumId w:val="35"/>
  </w:num>
  <w:num w:numId="32">
    <w:abstractNumId w:val="36"/>
  </w:num>
  <w:num w:numId="33">
    <w:abstractNumId w:val="29"/>
  </w:num>
  <w:num w:numId="34">
    <w:abstractNumId w:val="23"/>
  </w:num>
  <w:num w:numId="35">
    <w:abstractNumId w:val="70"/>
  </w:num>
  <w:num w:numId="36">
    <w:abstractNumId w:val="73"/>
  </w:num>
  <w:num w:numId="37">
    <w:abstractNumId w:val="9"/>
  </w:num>
  <w:num w:numId="38">
    <w:abstractNumId w:val="17"/>
  </w:num>
  <w:num w:numId="39">
    <w:abstractNumId w:val="12"/>
  </w:num>
  <w:num w:numId="40">
    <w:abstractNumId w:val="97"/>
  </w:num>
  <w:num w:numId="41">
    <w:abstractNumId w:val="96"/>
  </w:num>
  <w:num w:numId="42">
    <w:abstractNumId w:val="31"/>
  </w:num>
  <w:num w:numId="43">
    <w:abstractNumId w:val="84"/>
  </w:num>
  <w:num w:numId="44">
    <w:abstractNumId w:val="3"/>
  </w:num>
  <w:num w:numId="45">
    <w:abstractNumId w:val="5"/>
  </w:num>
  <w:num w:numId="46">
    <w:abstractNumId w:val="0"/>
  </w:num>
  <w:num w:numId="47">
    <w:abstractNumId w:val="37"/>
  </w:num>
  <w:num w:numId="48">
    <w:abstractNumId w:val="22"/>
  </w:num>
  <w:num w:numId="49">
    <w:abstractNumId w:val="59"/>
  </w:num>
  <w:num w:numId="50">
    <w:abstractNumId w:val="38"/>
  </w:num>
  <w:num w:numId="51">
    <w:abstractNumId w:val="67"/>
  </w:num>
  <w:num w:numId="52">
    <w:abstractNumId w:val="95"/>
  </w:num>
  <w:num w:numId="53">
    <w:abstractNumId w:val="0"/>
  </w:num>
  <w:num w:numId="54">
    <w:abstractNumId w:val="41"/>
  </w:num>
  <w:num w:numId="55">
    <w:abstractNumId w:val="33"/>
  </w:num>
  <w:num w:numId="56">
    <w:abstractNumId w:val="85"/>
  </w:num>
  <w:num w:numId="57">
    <w:abstractNumId w:val="8"/>
  </w:num>
  <w:num w:numId="58">
    <w:abstractNumId w:val="93"/>
  </w:num>
  <w:num w:numId="59">
    <w:abstractNumId w:val="65"/>
  </w:num>
  <w:num w:numId="60">
    <w:abstractNumId w:val="64"/>
  </w:num>
  <w:num w:numId="61">
    <w:abstractNumId w:val="60"/>
  </w:num>
  <w:num w:numId="62">
    <w:abstractNumId w:val="102"/>
  </w:num>
  <w:num w:numId="63">
    <w:abstractNumId w:val="51"/>
  </w:num>
  <w:num w:numId="64">
    <w:abstractNumId w:val="76"/>
  </w:num>
  <w:num w:numId="65">
    <w:abstractNumId w:val="50"/>
  </w:num>
  <w:num w:numId="66">
    <w:abstractNumId w:val="100"/>
  </w:num>
  <w:num w:numId="67">
    <w:abstractNumId w:val="24"/>
  </w:num>
  <w:num w:numId="68">
    <w:abstractNumId w:val="30"/>
  </w:num>
  <w:num w:numId="69">
    <w:abstractNumId w:val="83"/>
  </w:num>
  <w:num w:numId="70">
    <w:abstractNumId w:val="34"/>
  </w:num>
  <w:num w:numId="71">
    <w:abstractNumId w:val="44"/>
  </w:num>
  <w:num w:numId="72">
    <w:abstractNumId w:val="26"/>
  </w:num>
  <w:num w:numId="73">
    <w:abstractNumId w:val="92"/>
  </w:num>
  <w:num w:numId="74">
    <w:abstractNumId w:val="28"/>
  </w:num>
  <w:num w:numId="75">
    <w:abstractNumId w:val="54"/>
  </w:num>
  <w:num w:numId="76">
    <w:abstractNumId w:val="21"/>
  </w:num>
  <w:num w:numId="77">
    <w:abstractNumId w:val="81"/>
  </w:num>
  <w:num w:numId="78">
    <w:abstractNumId w:val="98"/>
  </w:num>
  <w:num w:numId="79">
    <w:abstractNumId w:val="68"/>
  </w:num>
  <w:num w:numId="80">
    <w:abstractNumId w:val="6"/>
  </w:num>
  <w:num w:numId="81">
    <w:abstractNumId w:val="42"/>
  </w:num>
  <w:num w:numId="82">
    <w:abstractNumId w:val="39"/>
  </w:num>
  <w:num w:numId="83">
    <w:abstractNumId w:val="32"/>
  </w:num>
  <w:num w:numId="84">
    <w:abstractNumId w:val="80"/>
  </w:num>
  <w:num w:numId="85">
    <w:abstractNumId w:val="18"/>
  </w:num>
  <w:num w:numId="86">
    <w:abstractNumId w:val="87"/>
  </w:num>
  <w:num w:numId="87">
    <w:abstractNumId w:val="74"/>
  </w:num>
  <w:num w:numId="88">
    <w:abstractNumId w:val="99"/>
  </w:num>
  <w:num w:numId="89">
    <w:abstractNumId w:val="43"/>
  </w:num>
  <w:num w:numId="90">
    <w:abstractNumId w:val="101"/>
  </w:num>
  <w:num w:numId="91">
    <w:abstractNumId w:val="55"/>
  </w:num>
  <w:num w:numId="92">
    <w:abstractNumId w:val="94"/>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53"/>
  </w:num>
  <w:num w:numId="101">
    <w:abstractNumId w:val="40"/>
  </w:num>
  <w:num w:numId="102">
    <w:abstractNumId w:val="89"/>
  </w:num>
  <w:num w:numId="10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4">
    <w:abstractNumId w:val="13"/>
  </w:num>
  <w:num w:numId="105">
    <w:abstractNumId w:val="47"/>
  </w:num>
  <w:num w:numId="106">
    <w:abstractNumId w:val="71"/>
  </w:num>
  <w:num w:numId="107">
    <w:abstractNumId w:val="86"/>
  </w:num>
  <w:num w:numId="108">
    <w:abstractNumId w:val="66"/>
  </w:num>
  <w:num w:numId="109">
    <w:abstractNumId w:val="57"/>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14"/>
  </w:num>
  <w:num w:numId="120">
    <w:abstractNumId w:val="0"/>
  </w:num>
  <w:num w:numId="121">
    <w:abstractNumId w:val="0"/>
  </w:num>
  <w:num w:numId="122">
    <w:abstractNumId w:val="103"/>
  </w:num>
  <w:num w:numId="123">
    <w:abstractNumId w:val="46"/>
  </w:num>
  <w:num w:numId="124">
    <w:abstractNumId w:val="62"/>
  </w:num>
  <w:num w:numId="125">
    <w:abstractNumId w:val="16"/>
  </w:num>
  <w:num w:numId="126">
    <w:abstractNumId w:val="52"/>
  </w:num>
  <w:num w:numId="127">
    <w:abstractNumId w:val="19"/>
  </w:num>
  <w:num w:numId="128">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16F"/>
    <w:rsid w:val="00042642"/>
    <w:rsid w:val="00044F01"/>
    <w:rsid w:val="00045952"/>
    <w:rsid w:val="000522DF"/>
    <w:rsid w:val="000525AB"/>
    <w:rsid w:val="000533A5"/>
    <w:rsid w:val="00054DD4"/>
    <w:rsid w:val="00060F63"/>
    <w:rsid w:val="00061D37"/>
    <w:rsid w:val="00062A75"/>
    <w:rsid w:val="0006346E"/>
    <w:rsid w:val="00064866"/>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97F95"/>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149"/>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338ED"/>
    <w:rsid w:val="0013684E"/>
    <w:rsid w:val="00140CB7"/>
    <w:rsid w:val="0014117B"/>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3C60"/>
    <w:rsid w:val="001A42AB"/>
    <w:rsid w:val="001A4677"/>
    <w:rsid w:val="001A4D55"/>
    <w:rsid w:val="001A55CC"/>
    <w:rsid w:val="001A5C45"/>
    <w:rsid w:val="001A7937"/>
    <w:rsid w:val="001A79E1"/>
    <w:rsid w:val="001B2069"/>
    <w:rsid w:val="001B25CE"/>
    <w:rsid w:val="001B4D86"/>
    <w:rsid w:val="001B6D9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BC8"/>
    <w:rsid w:val="001D1C61"/>
    <w:rsid w:val="001D26A0"/>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4855"/>
    <w:rsid w:val="001F5B80"/>
    <w:rsid w:val="001F5D34"/>
    <w:rsid w:val="001F6C61"/>
    <w:rsid w:val="001F722C"/>
    <w:rsid w:val="002011C7"/>
    <w:rsid w:val="00202DD0"/>
    <w:rsid w:val="00204E72"/>
    <w:rsid w:val="002050C1"/>
    <w:rsid w:val="00205D34"/>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257"/>
    <w:rsid w:val="002A4D4A"/>
    <w:rsid w:val="002A56C9"/>
    <w:rsid w:val="002A639C"/>
    <w:rsid w:val="002A7E77"/>
    <w:rsid w:val="002B0992"/>
    <w:rsid w:val="002B3B04"/>
    <w:rsid w:val="002B7E69"/>
    <w:rsid w:val="002C04C0"/>
    <w:rsid w:val="002C053A"/>
    <w:rsid w:val="002C06ED"/>
    <w:rsid w:val="002C0820"/>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2820"/>
    <w:rsid w:val="002F58A3"/>
    <w:rsid w:val="002F58A6"/>
    <w:rsid w:val="002F5F6E"/>
    <w:rsid w:val="002F6615"/>
    <w:rsid w:val="002F6A04"/>
    <w:rsid w:val="002F6A1D"/>
    <w:rsid w:val="002F73F5"/>
    <w:rsid w:val="003005FC"/>
    <w:rsid w:val="0030179C"/>
    <w:rsid w:val="003025AB"/>
    <w:rsid w:val="00303C27"/>
    <w:rsid w:val="00305C00"/>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797"/>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E3A8F"/>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6B12"/>
    <w:rsid w:val="00457709"/>
    <w:rsid w:val="00460000"/>
    <w:rsid w:val="00460B2D"/>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011F"/>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0A4B"/>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698"/>
    <w:rsid w:val="00583708"/>
    <w:rsid w:val="0058534B"/>
    <w:rsid w:val="00585D08"/>
    <w:rsid w:val="0058626A"/>
    <w:rsid w:val="00586CFE"/>
    <w:rsid w:val="0059138B"/>
    <w:rsid w:val="00595116"/>
    <w:rsid w:val="00595659"/>
    <w:rsid w:val="00595663"/>
    <w:rsid w:val="005966F8"/>
    <w:rsid w:val="005A2D3B"/>
    <w:rsid w:val="005A4724"/>
    <w:rsid w:val="005A49B2"/>
    <w:rsid w:val="005A4D00"/>
    <w:rsid w:val="005A702D"/>
    <w:rsid w:val="005B52DE"/>
    <w:rsid w:val="005B54EC"/>
    <w:rsid w:val="005B7B68"/>
    <w:rsid w:val="005B7CB5"/>
    <w:rsid w:val="005C0147"/>
    <w:rsid w:val="005C1C2B"/>
    <w:rsid w:val="005C74AB"/>
    <w:rsid w:val="005C7B59"/>
    <w:rsid w:val="005D06D6"/>
    <w:rsid w:val="005D388C"/>
    <w:rsid w:val="005D3BA3"/>
    <w:rsid w:val="005D7C45"/>
    <w:rsid w:val="005E07D0"/>
    <w:rsid w:val="005E3DE2"/>
    <w:rsid w:val="005E4FDA"/>
    <w:rsid w:val="005E51B8"/>
    <w:rsid w:val="005E5276"/>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36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3ABD"/>
    <w:rsid w:val="006B4428"/>
    <w:rsid w:val="006B4B07"/>
    <w:rsid w:val="006B5E4E"/>
    <w:rsid w:val="006B6E45"/>
    <w:rsid w:val="006C131B"/>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5C6C"/>
    <w:rsid w:val="0071647A"/>
    <w:rsid w:val="00721A22"/>
    <w:rsid w:val="00722D1D"/>
    <w:rsid w:val="00723CF4"/>
    <w:rsid w:val="0072403B"/>
    <w:rsid w:val="00726539"/>
    <w:rsid w:val="00727BB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275"/>
    <w:rsid w:val="007629B8"/>
    <w:rsid w:val="00762BC3"/>
    <w:rsid w:val="007630F2"/>
    <w:rsid w:val="0076415A"/>
    <w:rsid w:val="00764ABE"/>
    <w:rsid w:val="00764BBC"/>
    <w:rsid w:val="00764D07"/>
    <w:rsid w:val="0076623D"/>
    <w:rsid w:val="00766C15"/>
    <w:rsid w:val="0077004E"/>
    <w:rsid w:val="00771A55"/>
    <w:rsid w:val="007722EC"/>
    <w:rsid w:val="0077472C"/>
    <w:rsid w:val="0077507A"/>
    <w:rsid w:val="0077584F"/>
    <w:rsid w:val="00780597"/>
    <w:rsid w:val="0079350D"/>
    <w:rsid w:val="00794A16"/>
    <w:rsid w:val="0079659B"/>
    <w:rsid w:val="007A2A8E"/>
    <w:rsid w:val="007A59CC"/>
    <w:rsid w:val="007A6740"/>
    <w:rsid w:val="007B27E0"/>
    <w:rsid w:val="007B29AE"/>
    <w:rsid w:val="007B3EA9"/>
    <w:rsid w:val="007B652C"/>
    <w:rsid w:val="007B6F0A"/>
    <w:rsid w:val="007B6F8C"/>
    <w:rsid w:val="007B75E0"/>
    <w:rsid w:val="007C036B"/>
    <w:rsid w:val="007C1435"/>
    <w:rsid w:val="007C1647"/>
    <w:rsid w:val="007C1959"/>
    <w:rsid w:val="007C328A"/>
    <w:rsid w:val="007C4E36"/>
    <w:rsid w:val="007C7A9D"/>
    <w:rsid w:val="007D1E48"/>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AAD"/>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2D95"/>
    <w:rsid w:val="008C349C"/>
    <w:rsid w:val="008C50E8"/>
    <w:rsid w:val="008C5428"/>
    <w:rsid w:val="008C7A73"/>
    <w:rsid w:val="008D1A4F"/>
    <w:rsid w:val="008D255F"/>
    <w:rsid w:val="008D517B"/>
    <w:rsid w:val="008D51B0"/>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3F6D"/>
    <w:rsid w:val="009651F5"/>
    <w:rsid w:val="0096596C"/>
    <w:rsid w:val="009665C7"/>
    <w:rsid w:val="0096678C"/>
    <w:rsid w:val="00966985"/>
    <w:rsid w:val="00966EA1"/>
    <w:rsid w:val="009702BD"/>
    <w:rsid w:val="0097205F"/>
    <w:rsid w:val="009737D3"/>
    <w:rsid w:val="009742B4"/>
    <w:rsid w:val="00974F89"/>
    <w:rsid w:val="009752CC"/>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0A1F"/>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54"/>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4D9B"/>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5E6B"/>
    <w:rsid w:val="00BB61B4"/>
    <w:rsid w:val="00BB6C73"/>
    <w:rsid w:val="00BB7800"/>
    <w:rsid w:val="00BC039F"/>
    <w:rsid w:val="00BC0843"/>
    <w:rsid w:val="00BC11D8"/>
    <w:rsid w:val="00BC1C98"/>
    <w:rsid w:val="00BC4693"/>
    <w:rsid w:val="00BC5280"/>
    <w:rsid w:val="00BC5EBC"/>
    <w:rsid w:val="00BC610B"/>
    <w:rsid w:val="00BC6A4F"/>
    <w:rsid w:val="00BD0569"/>
    <w:rsid w:val="00BD3580"/>
    <w:rsid w:val="00BD73FF"/>
    <w:rsid w:val="00BD7628"/>
    <w:rsid w:val="00BE05AD"/>
    <w:rsid w:val="00BF0600"/>
    <w:rsid w:val="00BF08A5"/>
    <w:rsid w:val="00BF5353"/>
    <w:rsid w:val="00BF5BAD"/>
    <w:rsid w:val="00C004B5"/>
    <w:rsid w:val="00C006E9"/>
    <w:rsid w:val="00C02515"/>
    <w:rsid w:val="00C02560"/>
    <w:rsid w:val="00C02917"/>
    <w:rsid w:val="00C0580A"/>
    <w:rsid w:val="00C0622E"/>
    <w:rsid w:val="00C0677D"/>
    <w:rsid w:val="00C06837"/>
    <w:rsid w:val="00C06BA9"/>
    <w:rsid w:val="00C07223"/>
    <w:rsid w:val="00C10216"/>
    <w:rsid w:val="00C10DD5"/>
    <w:rsid w:val="00C11282"/>
    <w:rsid w:val="00C11F1F"/>
    <w:rsid w:val="00C13E14"/>
    <w:rsid w:val="00C143AA"/>
    <w:rsid w:val="00C20208"/>
    <w:rsid w:val="00C23940"/>
    <w:rsid w:val="00C245C1"/>
    <w:rsid w:val="00C24605"/>
    <w:rsid w:val="00C24CDB"/>
    <w:rsid w:val="00C2522B"/>
    <w:rsid w:val="00C25B4D"/>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5150"/>
    <w:rsid w:val="00C86DB6"/>
    <w:rsid w:val="00C87621"/>
    <w:rsid w:val="00C9052A"/>
    <w:rsid w:val="00C9132A"/>
    <w:rsid w:val="00C91A37"/>
    <w:rsid w:val="00C91E23"/>
    <w:rsid w:val="00C931E0"/>
    <w:rsid w:val="00C936F0"/>
    <w:rsid w:val="00C96DE2"/>
    <w:rsid w:val="00C97C33"/>
    <w:rsid w:val="00CA049A"/>
    <w:rsid w:val="00CA2D2F"/>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0079"/>
    <w:rsid w:val="00D02026"/>
    <w:rsid w:val="00D02384"/>
    <w:rsid w:val="00D0577B"/>
    <w:rsid w:val="00D065D2"/>
    <w:rsid w:val="00D07C15"/>
    <w:rsid w:val="00D11086"/>
    <w:rsid w:val="00D161B6"/>
    <w:rsid w:val="00D22C9E"/>
    <w:rsid w:val="00D2327B"/>
    <w:rsid w:val="00D321C6"/>
    <w:rsid w:val="00D336C2"/>
    <w:rsid w:val="00D3628B"/>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6BF8"/>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013E"/>
    <w:rsid w:val="00DA1C19"/>
    <w:rsid w:val="00DA24D7"/>
    <w:rsid w:val="00DA2768"/>
    <w:rsid w:val="00DA2CC8"/>
    <w:rsid w:val="00DA30EB"/>
    <w:rsid w:val="00DA346B"/>
    <w:rsid w:val="00DA5ADB"/>
    <w:rsid w:val="00DA5F70"/>
    <w:rsid w:val="00DA6A17"/>
    <w:rsid w:val="00DB0012"/>
    <w:rsid w:val="00DB2C62"/>
    <w:rsid w:val="00DB5643"/>
    <w:rsid w:val="00DB5EDC"/>
    <w:rsid w:val="00DB6373"/>
    <w:rsid w:val="00DB6735"/>
    <w:rsid w:val="00DB6E60"/>
    <w:rsid w:val="00DB7B1F"/>
    <w:rsid w:val="00DC1442"/>
    <w:rsid w:val="00DC2994"/>
    <w:rsid w:val="00DC2FC1"/>
    <w:rsid w:val="00DC3E8D"/>
    <w:rsid w:val="00DC59CC"/>
    <w:rsid w:val="00DD05C1"/>
    <w:rsid w:val="00DD0E60"/>
    <w:rsid w:val="00DD1773"/>
    <w:rsid w:val="00DD191E"/>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568"/>
    <w:rsid w:val="00E33BBB"/>
    <w:rsid w:val="00E33E06"/>
    <w:rsid w:val="00E34048"/>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AF1"/>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3B6"/>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43"/>
    <w:rsid w:val="00F04BE9"/>
    <w:rsid w:val="00F04F9E"/>
    <w:rsid w:val="00F05840"/>
    <w:rsid w:val="00F05CD2"/>
    <w:rsid w:val="00F07724"/>
    <w:rsid w:val="00F07F76"/>
    <w:rsid w:val="00F10966"/>
    <w:rsid w:val="00F11931"/>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404"/>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1EA1"/>
    <w:rsid w:val="00FC2A92"/>
    <w:rsid w:val="00FC42A5"/>
    <w:rsid w:val="00FC4329"/>
    <w:rsid w:val="00FC4ACC"/>
    <w:rsid w:val="00FC51CE"/>
    <w:rsid w:val="00FC5A41"/>
    <w:rsid w:val="00FC63A4"/>
    <w:rsid w:val="00FD4153"/>
    <w:rsid w:val="00FD46DA"/>
    <w:rsid w:val="00FD4ECF"/>
    <w:rsid w:val="00FD58CB"/>
    <w:rsid w:val="00FD6784"/>
    <w:rsid w:val="00FE05B3"/>
    <w:rsid w:val="00FE16AB"/>
    <w:rsid w:val="00FE1F7C"/>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cs-CZ" w:eastAsia="cs-CZ"/>
    </w:rPr>
  </w:style>
  <w:style w:type="character" w:customStyle="1" w:styleId="Heading2Char">
    <w:name w:val="Heading 2 Char"/>
    <w:link w:val="Heading2"/>
    <w:rsid w:val="00C277AF"/>
    <w:rPr>
      <w:rFonts w:eastAsia="Times New Roman"/>
      <w:sz w:val="22"/>
      <w:lang w:val="cs-CZ" w:eastAsia="cs-CZ"/>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cs-CZ" w:eastAsia="cs-CZ"/>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cs-CZ" w:eastAsia="cs-CZ"/>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BalloonText">
    <w:name w:val="Balloon Text"/>
    <w:basedOn w:val="Normal"/>
    <w:link w:val="BalloonTextChar"/>
    <w:rsid w:val="00FC42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42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cs-CZ" w:eastAsia="cs-CZ"/>
    </w:rPr>
  </w:style>
  <w:style w:type="character" w:customStyle="1" w:styleId="Heading2Char">
    <w:name w:val="Heading 2 Char"/>
    <w:link w:val="Heading2"/>
    <w:rsid w:val="00C277AF"/>
    <w:rPr>
      <w:rFonts w:eastAsia="Times New Roman"/>
      <w:sz w:val="22"/>
      <w:lang w:val="cs-CZ" w:eastAsia="cs-CZ"/>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cs-CZ" w:eastAsia="cs-CZ"/>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cs-CZ" w:eastAsia="cs-CZ"/>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BalloonText">
    <w:name w:val="Balloon Text"/>
    <w:basedOn w:val="Normal"/>
    <w:link w:val="BalloonTextChar"/>
    <w:rsid w:val="00FC42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42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mailto:juri.soosaar@eesc.europa.e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gerald.klec@eesc.europa.eu"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esc.europa.eu/" TargetMode="External"/><Relationship Id="rId17" Type="http://schemas.openxmlformats.org/officeDocument/2006/relationships/hyperlink" Target="http://www.eesc.europa.eu/" TargetMode="External"/><Relationship Id="rId25" Type="http://schemas.openxmlformats.org/officeDocument/2006/relationships/hyperlink" Target="http://www.eesc.europa.eu/?i=portal.en.opinions-search" TargetMode="External"/><Relationship Id="rId33" Type="http://schemas.openxmlformats.org/officeDocument/2006/relationships/hyperlink" Target="mailto:gerald.klec@eesc.europa.eu" TargetMode="External"/><Relationship Id="rId38" Type="http://schemas.openxmlformats.org/officeDocument/2006/relationships/hyperlink" Target="mailto:juri.soosaar@eesc.europa.eu" TargetMode="External"/><Relationship Id="rId46" Type="http://schemas.openxmlformats.org/officeDocument/2006/relationships/footer" Target="footer9.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eesc.europa.eu/?i=portal.en.documents" TargetMode="External"/><Relationship Id="rId32" Type="http://schemas.openxmlformats.org/officeDocument/2006/relationships/hyperlink" Target="mailto:helena.polomik@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adam.plezer@eesc.europa.eu" TargetMode="External"/><Relationship Id="rId45" Type="http://schemas.openxmlformats.org/officeDocument/2006/relationships/header" Target="header9.xml"/><Relationship Id="rId5" Type="http://schemas.openxmlformats.org/officeDocument/2006/relationships/styles" Target="styles.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yperlink" Target="mailto:luis.lobo@eesc.europa.e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mailto:dorota.zapatka@eesc.europa.eu" TargetMode="Externa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EF6446B-9ECA-475C-A96D-F2E1BB86D8EC}">
  <ds:schemaRefs>
    <ds:schemaRef ds:uri="http://schemas.openxmlformats.org/officeDocument/2006/bibliography"/>
  </ds:schemaRefs>
</ds:datastoreItem>
</file>

<file path=customXml/itemProps3.xml><?xml version="1.0" encoding="utf-8"?>
<ds:datastoreItem xmlns:ds="http://schemas.openxmlformats.org/officeDocument/2006/customXml" ds:itemID="{9EAF705B-70AD-4C8B-9287-F3464A74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Links>
    <vt:vector size="84" baseType="variant">
      <vt:variant>
        <vt:i4>917564</vt:i4>
      </vt:variant>
      <vt:variant>
        <vt:i4>66</vt:i4>
      </vt:variant>
      <vt:variant>
        <vt:i4>0</vt:i4>
      </vt:variant>
      <vt:variant>
        <vt:i4>5</vt:i4>
      </vt:variant>
      <vt:variant>
        <vt:lpwstr>mailto:adam.plezer@eesc.europa.eu</vt:lpwstr>
      </vt:variant>
      <vt:variant>
        <vt:lpwstr/>
      </vt:variant>
      <vt:variant>
        <vt:i4>5439615</vt:i4>
      </vt:variant>
      <vt:variant>
        <vt:i4>63</vt:i4>
      </vt:variant>
      <vt:variant>
        <vt:i4>0</vt:i4>
      </vt:variant>
      <vt:variant>
        <vt:i4>5</vt:i4>
      </vt:variant>
      <vt:variant>
        <vt:lpwstr>mailto:juri.soosaar@eesc.europa.eu</vt:lpwstr>
      </vt:variant>
      <vt:variant>
        <vt:lpwstr/>
      </vt:variant>
      <vt:variant>
        <vt:i4>5439615</vt:i4>
      </vt:variant>
      <vt:variant>
        <vt:i4>60</vt:i4>
      </vt:variant>
      <vt:variant>
        <vt:i4>0</vt:i4>
      </vt:variant>
      <vt:variant>
        <vt:i4>5</vt:i4>
      </vt:variant>
      <vt:variant>
        <vt:lpwstr>mailto:juri.soosaar@eesc.europa.eu</vt:lpwstr>
      </vt:variant>
      <vt:variant>
        <vt:lpwstr/>
      </vt:variant>
      <vt:variant>
        <vt:i4>7667805</vt:i4>
      </vt:variant>
      <vt:variant>
        <vt:i4>57</vt:i4>
      </vt:variant>
      <vt:variant>
        <vt:i4>0</vt:i4>
      </vt:variant>
      <vt:variant>
        <vt:i4>5</vt:i4>
      </vt:variant>
      <vt:variant>
        <vt:lpwstr>mailto:alice.tetu@eesc.europa.eu</vt:lpwstr>
      </vt:variant>
      <vt:variant>
        <vt:lpwstr/>
      </vt:variant>
      <vt:variant>
        <vt:i4>7274573</vt:i4>
      </vt:variant>
      <vt:variant>
        <vt:i4>51</vt:i4>
      </vt:variant>
      <vt:variant>
        <vt:i4>0</vt:i4>
      </vt:variant>
      <vt:variant>
        <vt:i4>5</vt:i4>
      </vt:variant>
      <vt:variant>
        <vt:lpwstr>mailto:luis.lobo@eesc.europa.eu</vt:lpwstr>
      </vt:variant>
      <vt:variant>
        <vt:lpwstr/>
      </vt:variant>
      <vt:variant>
        <vt:i4>4128786</vt:i4>
      </vt:variant>
      <vt:variant>
        <vt:i4>45</vt:i4>
      </vt:variant>
      <vt:variant>
        <vt:i4>0</vt:i4>
      </vt:variant>
      <vt:variant>
        <vt:i4>5</vt:i4>
      </vt:variant>
      <vt:variant>
        <vt:lpwstr>mailto:dorota.zapatka@eesc.europa.eu</vt:lpwstr>
      </vt:variant>
      <vt:variant>
        <vt:lpwstr/>
      </vt:variant>
      <vt:variant>
        <vt:i4>1835051</vt:i4>
      </vt:variant>
      <vt:variant>
        <vt:i4>39</vt:i4>
      </vt:variant>
      <vt:variant>
        <vt:i4>0</vt:i4>
      </vt:variant>
      <vt:variant>
        <vt:i4>5</vt:i4>
      </vt:variant>
      <vt:variant>
        <vt:lpwstr>mailto:gerald.klec@eesc.europa.eu</vt:lpwstr>
      </vt:variant>
      <vt:variant>
        <vt:lpwstr/>
      </vt:variant>
      <vt:variant>
        <vt:i4>1835051</vt:i4>
      </vt:variant>
      <vt:variant>
        <vt:i4>33</vt:i4>
      </vt:variant>
      <vt:variant>
        <vt:i4>0</vt:i4>
      </vt:variant>
      <vt:variant>
        <vt:i4>5</vt:i4>
      </vt:variant>
      <vt:variant>
        <vt:lpwstr>mailto:gerald.klec@eesc.europa.eu</vt:lpwstr>
      </vt:variant>
      <vt:variant>
        <vt:lpwstr/>
      </vt:variant>
      <vt:variant>
        <vt:i4>3473431</vt:i4>
      </vt:variant>
      <vt:variant>
        <vt:i4>27</vt:i4>
      </vt:variant>
      <vt:variant>
        <vt:i4>0</vt:i4>
      </vt:variant>
      <vt:variant>
        <vt:i4>5</vt:i4>
      </vt:variant>
      <vt:variant>
        <vt:lpwstr>mailto:helena.polomik@eesc.europa.eu</vt:lpwstr>
      </vt:variant>
      <vt:variant>
        <vt:lpwstr/>
      </vt:variant>
      <vt:variant>
        <vt:i4>1441844</vt:i4>
      </vt:variant>
      <vt:variant>
        <vt:i4>17</vt:i4>
      </vt:variant>
      <vt:variant>
        <vt:i4>0</vt:i4>
      </vt:variant>
      <vt:variant>
        <vt:i4>5</vt:i4>
      </vt:variant>
      <vt:variant>
        <vt:lpwstr/>
      </vt:variant>
      <vt:variant>
        <vt:lpwstr>_Toc411607117</vt:lpwstr>
      </vt:variant>
      <vt:variant>
        <vt:i4>1441844</vt:i4>
      </vt:variant>
      <vt:variant>
        <vt:i4>11</vt:i4>
      </vt:variant>
      <vt:variant>
        <vt:i4>0</vt:i4>
      </vt:variant>
      <vt:variant>
        <vt:i4>5</vt:i4>
      </vt:variant>
      <vt:variant>
        <vt:lpwstr/>
      </vt:variant>
      <vt:variant>
        <vt:lpwstr>_Toc411607116</vt:lpwstr>
      </vt:variant>
      <vt:variant>
        <vt:i4>1441844</vt:i4>
      </vt:variant>
      <vt:variant>
        <vt:i4>5</vt:i4>
      </vt:variant>
      <vt:variant>
        <vt:i4>0</vt:i4>
      </vt:variant>
      <vt:variant>
        <vt:i4>5</vt:i4>
      </vt:variant>
      <vt:variant>
        <vt:lpwstr/>
      </vt:variant>
      <vt:variant>
        <vt:lpwstr>_Toc411607115</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2015-03-19T08:27:00Z</dcterms:created>
  <dcterms:modified xsi:type="dcterms:W3CDTF">2015-03-19T08:27:00Z</dcterms:modified>
  <cp:category/>
</cp:coreProperties>
</file>