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A3D13" w:rsidRPr="005F370A" w:rsidRDefault="00AB55AD" w:rsidP="005F370A">
      <w:pPr>
        <w:rPr>
          <w:b/>
        </w:rPr>
      </w:pPr>
      <w:r>
        <w:rPr>
          <w:noProof/>
          <w:lang w:val="fr-BE" w:eastAsia="fr-BE" w:bidi="ar-SA"/>
        </w:rPr>
        <mc:AlternateContent>
          <mc:Choice Requires="wps">
            <w:drawing>
              <wp:anchor distT="0" distB="0" distL="114300" distR="114300" simplePos="0" relativeHeight="251660800" behindDoc="1" locked="0" layoutInCell="0" allowOverlap="1" wp14:anchorId="69C08F74" wp14:editId="1B4C332E">
                <wp:simplePos x="0" y="0"/>
                <wp:positionH relativeFrom="page">
                  <wp:posOffset>6767830</wp:posOffset>
                </wp:positionH>
                <wp:positionV relativeFrom="page">
                  <wp:posOffset>10079990</wp:posOffset>
                </wp:positionV>
                <wp:extent cx="647700" cy="396240"/>
                <wp:effectExtent l="0" t="0" r="0" b="381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ED8" w:rsidRPr="001D09F5" w:rsidRDefault="00EF4ED8" w:rsidP="00AB55AD">
                            <w:pPr>
                              <w:jc w:val="center"/>
                              <w:rPr>
                                <w:rFonts w:ascii="Arial" w:hAnsi="Arial" w:cs="Arial"/>
                                <w:b/>
                                <w:sz w:val="48"/>
                              </w:rPr>
                            </w:pPr>
                            <w:r>
                              <w:rPr>
                                <w:rFonts w:ascii="Arial" w:hAnsi="Arial"/>
                                <w:b/>
                                <w:sz w:val="48"/>
                              </w:rPr>
                              <w:t>SV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xmlns:o="urn:schemas-microsoft-com:office:office" xmlns:v="urn:schemas-microsoft-com:vml" id="_x0000_t202" coordsize="21600,21600" o:spt="202" path="m,l,21600r21600,l21600,xe">
                <v:stroke joinstyle="miter"/>
                <v:path gradientshapeok="t" o:connecttype="rect"/>
              </v:shapetype>
              <v:shape xmlns:o="urn:schemas-microsoft-com:office:office" xmlns:v="urn:schemas-microsoft-com:vml" id="Text Box 17" o:spid="_x0000_s1026" type="#_x0000_t202" style="position:absolute;left:0;text-align:left;margin-left:532.9pt;margin-top:793.7pt;width:51pt;height:3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xItgIAALo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gF&#10;vYswErSDHj2y0aA7OaJwbusz9DoFt4ceHM0I5+DrctX9vSy/aSTkqqFiy26VkkPDaAX8QnvTv7g6&#10;4WgLshk+ygri0J2RDmisVWeLB+VAgA59ejr1xnIp4TAm83kAlhJM75I4Iq53Pk2Pl3ulzXsmO2QX&#10;GVbQegdO9/faWDI0PbrYWEIWvG1d+1vx7AAcpxMIDVetzZJw3fyZBMl6sV4Qj0Tx2iNBnnu3xYp4&#10;cRHOZ/m7fLXKw182bkjShlcVEzbMUVkh+bPOHTQ+aeKkLS1bXlk4S0mr7WbVKrSnoOzCfa7kYDm7&#10;+c9puCJALi9SCqGYd1HiFfFi7pGCzLxkHiy8IEzukjggCcmL5yndc8H+PSU0ZDiZRbNJS2fSL3IL&#10;3Pc6N5p23MDsaHmX4cXJiaZWgWtRudYayttpfVEKS/9cCmj3sdFOr1aik1jNuBkBxYp4I6snUK6S&#10;oCwQIQw8WDRS/cBogOGRYf19RxXDqP0gQP1JSECfyLgNmc0j2KhLy+bSQkUJUBk2GE3LlZkm1K5X&#10;fNtApOm9CXkLL6bmTs1nVod3BgPCJXUYZnYCXe6d13nkLn8DAAD//wMAUEsDBBQABgAIAAAAIQCB&#10;A6l84QAAAA8BAAAPAAAAZHJzL2Rvd25yZXYueG1sTI/NTsMwEITvSLyDtUjcqF2UpGmIUyEQVyrK&#10;j8TNjbdJRLyOYrcJb9/tCW4zu6PZb8vN7HpxwjF0njQsFwoEUu1tR42Gj/eXuxxEiIas6T2hhl8M&#10;sKmur0pTWD/RG552sRFcQqEwGtoYh0LKULfoTFj4AYl3Bz86E9mOjbSjmbjc9fJeqUw60xFfaM2A&#10;Ty3WP7uj0/D5evj+StS2eXbpMPlZSXJrqfXtzfz4ACLiHP/CcMFndKiYae+PZIPo2assZfbIKs1X&#10;CYhLZpmteLZnlSXrHGRVyv9/VGcAAAD//wMAUEsBAi0AFAAGAAgAAAAhALaDOJL+AAAA4QEAABMA&#10;AAAAAAAAAAAAAAAAAAAAAFtDb250ZW50X1R5cGVzXS54bWxQSwECLQAUAAYACAAAACEAOP0h/9YA&#10;AACUAQAACwAAAAAAAAAAAAAAAAAvAQAAX3JlbHMvLnJlbHNQSwECLQAUAAYACAAAACEAY+4cSLYC&#10;AAC6BQAADgAAAAAAAAAAAAAAAAAuAgAAZHJzL2Uyb0RvYy54bWxQSwECLQAUAAYACAAAACEAgQOp&#10;fOEAAAAPAQAADwAAAAAAAAAAAAAAAAAQBQAAZHJzL2Rvd25yZXYueG1sUEsFBgAAAAAEAAQA8wAA&#10;AB4GAAAAAA==&#10;" o:allowincell="f" filled="f" stroked="f">
                <v:textbox>
                  <w:txbxContent>
                    <w:p w:rsidR="00EF4ED8" w:rsidRPr="001D09F5" w:rsidRDefault="00EF4ED8" w:rsidP="00AB55AD">
                      <w:pPr>
                        <w:jc w:val="center"/>
                        <w:rPr>
                          <w:rFonts w:ascii="Arial" w:hAnsi="Arial" w:cs="Arial"/>
                          <w:b/>
                          <w:sz w:val="48"/>
                        </w:rPr>
                      </w:pPr>
                      <w:r>
                        <w:rPr>
                          <w:rFonts w:ascii="Arial" w:hAnsi="Arial"/>
                          <w:b/>
                          <w:sz w:val="48"/>
                        </w:rPr>
                        <w:t>SV</w:t>
                      </w:r>
                    </w:p>
                  </w:txbxContent>
                </v:textbox>
                <w10:wrap xmlns:w10="urn:schemas-microsoft-com:office:word" anchorx="page" anchory="page"/>
              </v:shape>
            </w:pict>
          </mc:Fallback>
        </mc:AlternateContent>
      </w:r>
      <w:r>
        <w:rPr>
          <w:b/>
          <w:noProof/>
          <w:lang w:val="fr-BE" w:eastAsia="fr-BE" w:bidi="ar-SA"/>
        </w:rPr>
        <w:drawing>
          <wp:inline distT="0" distB="0" distL="0" distR="0" wp14:anchorId="55541D9D" wp14:editId="1700E8D4">
            <wp:extent cx="5843905" cy="2106930"/>
            <wp:effectExtent l="0" t="0" r="4445"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3905" cy="2106930"/>
                    </a:xfrm>
                    <a:prstGeom prst="rect">
                      <a:avLst/>
                    </a:prstGeom>
                    <a:noFill/>
                    <a:ln>
                      <a:noFill/>
                    </a:ln>
                  </pic:spPr>
                </pic:pic>
              </a:graphicData>
            </a:graphic>
          </wp:inline>
        </w:drawing>
      </w:r>
    </w:p>
    <w:p w:rsidR="00FE752B" w:rsidRPr="005F370A" w:rsidRDefault="00FE752B" w:rsidP="001D09F5">
      <w:pPr>
        <w:jc w:val="center"/>
        <w:rPr>
          <w:b/>
          <w:sz w:val="24"/>
        </w:rPr>
      </w:pPr>
    </w:p>
    <w:p w:rsidR="005A6DA3" w:rsidRPr="005F370A" w:rsidRDefault="00CB0124" w:rsidP="001D09F5">
      <w:pPr>
        <w:jc w:val="center"/>
        <w:rPr>
          <w:b/>
          <w:sz w:val="24"/>
        </w:rPr>
      </w:pPr>
      <w:r>
        <w:rPr>
          <w:b/>
          <w:sz w:val="28"/>
        </w:rPr>
        <w:t xml:space="preserve">NYA VÄGVAL FÖR FRAMTIDENS ENERGI </w:t>
      </w:r>
      <w:r>
        <w:rPr>
          <w:b/>
          <w:sz w:val="28"/>
        </w:rPr>
        <w:br/>
      </w:r>
      <w:r>
        <w:t>:</w:t>
      </w:r>
      <w:r>
        <w:rPr>
          <w:b/>
          <w:sz w:val="24"/>
        </w:rPr>
        <w:t>CIVILSAMHÄLLET SOM NYCKELAKTÖR FÖR OMSTÄLLNINGEN TILL FÖRNYBAR ENERGI</w:t>
      </w:r>
    </w:p>
    <w:p w:rsidR="00FE752B" w:rsidRPr="005F370A" w:rsidRDefault="00FE752B" w:rsidP="001D09F5">
      <w:pPr>
        <w:jc w:val="center"/>
        <w:rPr>
          <w:sz w:val="24"/>
        </w:rPr>
      </w:pPr>
    </w:p>
    <w:p w:rsidR="00032F43" w:rsidRPr="005F370A" w:rsidRDefault="005A6DA3" w:rsidP="001D09F5">
      <w:pPr>
        <w:jc w:val="center"/>
        <w:rPr>
          <w:sz w:val="24"/>
        </w:rPr>
      </w:pPr>
      <w:r>
        <w:rPr>
          <w:sz w:val="24"/>
        </w:rPr>
        <w:t>En studie från EESK om civilsamhällets roll för genomförandet av EU-direktivet om förnybar energi</w:t>
      </w:r>
    </w:p>
    <w:p w:rsidR="0071019D" w:rsidRPr="005F370A" w:rsidRDefault="0071019D" w:rsidP="001D09F5">
      <w:pPr>
        <w:jc w:val="center"/>
        <w:rPr>
          <w:sz w:val="24"/>
        </w:rPr>
      </w:pPr>
    </w:p>
    <w:p w:rsidR="00FE752B" w:rsidRPr="005F370A" w:rsidRDefault="00FE752B" w:rsidP="001D09F5">
      <w:pPr>
        <w:jc w:val="center"/>
        <w:rPr>
          <w:sz w:val="24"/>
        </w:rPr>
      </w:pPr>
    </w:p>
    <w:p w:rsidR="005A6DA3" w:rsidRPr="005F370A" w:rsidRDefault="0071019D" w:rsidP="001D09F5">
      <w:pPr>
        <w:jc w:val="center"/>
        <w:rPr>
          <w:sz w:val="24"/>
        </w:rPr>
      </w:pPr>
      <w:r>
        <w:rPr>
          <w:sz w:val="24"/>
        </w:rPr>
        <w:t xml:space="preserve">SLUTRAPPORT </w:t>
      </w:r>
    </w:p>
    <w:p w:rsidR="005A6DA3" w:rsidRPr="005F370A" w:rsidRDefault="005A6DA3" w:rsidP="001D09F5">
      <w:pPr>
        <w:jc w:val="center"/>
        <w:rPr>
          <w:sz w:val="24"/>
        </w:rPr>
      </w:pPr>
    </w:p>
    <w:p w:rsidR="00FE752B" w:rsidRPr="005F370A" w:rsidRDefault="00FE752B" w:rsidP="00AB55AD">
      <w:pPr>
        <w:jc w:val="center"/>
        <w:rPr>
          <w:sz w:val="24"/>
        </w:rPr>
      </w:pPr>
    </w:p>
    <w:p w:rsidR="00FE752B" w:rsidRPr="005F370A" w:rsidRDefault="00FE752B" w:rsidP="001D09F5">
      <w:pPr>
        <w:jc w:val="center"/>
        <w:rPr>
          <w:sz w:val="24"/>
        </w:rPr>
      </w:pPr>
    </w:p>
    <w:p w:rsidR="00FE752B" w:rsidRPr="005F370A" w:rsidRDefault="00FE752B" w:rsidP="001D09F5">
      <w:pPr>
        <w:jc w:val="center"/>
        <w:rPr>
          <w:sz w:val="24"/>
        </w:rPr>
      </w:pPr>
    </w:p>
    <w:p w:rsidR="00FE752B" w:rsidRPr="005F370A" w:rsidRDefault="00FE752B" w:rsidP="001D09F5">
      <w:pPr>
        <w:jc w:val="center"/>
        <w:rPr>
          <w:sz w:val="24"/>
        </w:rPr>
      </w:pPr>
    </w:p>
    <w:p w:rsidR="00FE752B" w:rsidRPr="005F370A" w:rsidRDefault="00FE752B" w:rsidP="001D09F5">
      <w:pPr>
        <w:jc w:val="center"/>
        <w:rPr>
          <w:sz w:val="24"/>
        </w:rPr>
      </w:pPr>
    </w:p>
    <w:p w:rsidR="00FE752B" w:rsidRPr="005F370A" w:rsidRDefault="00FE752B" w:rsidP="001D09F5">
      <w:pPr>
        <w:jc w:val="center"/>
        <w:rPr>
          <w:sz w:val="24"/>
        </w:rPr>
      </w:pPr>
    </w:p>
    <w:p w:rsidR="00FE752B" w:rsidRPr="005F370A" w:rsidRDefault="00FE752B" w:rsidP="001D09F5">
      <w:pPr>
        <w:jc w:val="center"/>
        <w:rPr>
          <w:sz w:val="24"/>
        </w:rPr>
      </w:pPr>
    </w:p>
    <w:p w:rsidR="00FE752B" w:rsidRPr="005F370A" w:rsidRDefault="00FE752B" w:rsidP="001D09F5">
      <w:pPr>
        <w:jc w:val="center"/>
        <w:rPr>
          <w:sz w:val="24"/>
        </w:rPr>
      </w:pPr>
    </w:p>
    <w:p w:rsidR="00FE752B" w:rsidRPr="005F370A" w:rsidRDefault="00FE752B" w:rsidP="001D09F5">
      <w:pPr>
        <w:jc w:val="center"/>
        <w:rPr>
          <w:sz w:val="24"/>
        </w:rPr>
      </w:pPr>
    </w:p>
    <w:p w:rsidR="0071019D" w:rsidRPr="005F370A" w:rsidRDefault="005A6DA3" w:rsidP="001D09F5">
      <w:pPr>
        <w:jc w:val="left"/>
        <w:rPr>
          <w:sz w:val="24"/>
        </w:rPr>
      </w:pPr>
      <w:r>
        <w:rPr>
          <w:sz w:val="24"/>
        </w:rPr>
        <w:t>(</w:t>
      </w:r>
      <w:r>
        <w:rPr>
          <w:i/>
          <w:sz w:val="24"/>
        </w:rPr>
        <w:t>Januari 2015)</w:t>
      </w:r>
    </w:p>
    <w:p w:rsidR="00CC5F80" w:rsidRPr="005F370A" w:rsidRDefault="005A6DA3" w:rsidP="007E1A59">
      <w:r>
        <w:br w:type="page"/>
      </w:r>
      <w:r>
        <w:lastRenderedPageBreak/>
        <w:t>Studien har utförts av en grupp bestående av nio medlemmar från EESK:s observationsgrupp för hållbar utveckling (SDO) och EESK:s facksektion för transporter, energi, infrastruktur och informationssamhället (TEN):</w:t>
      </w:r>
    </w:p>
    <w:p w:rsidR="007B46C7" w:rsidRPr="005F370A" w:rsidRDefault="007B46C7" w:rsidP="007E1A59"/>
    <w:p w:rsidR="00CC5F80" w:rsidRPr="005F370A" w:rsidRDefault="001D09F5" w:rsidP="001D09F5">
      <w:pPr>
        <w:pStyle w:val="ListParagraph"/>
        <w:numPr>
          <w:ilvl w:val="0"/>
          <w:numId w:val="34"/>
        </w:numPr>
        <w:jc w:val="both"/>
        <w:rPr>
          <w:sz w:val="22"/>
        </w:rPr>
      </w:pPr>
      <w:r>
        <w:rPr>
          <w:sz w:val="22"/>
        </w:rPr>
        <w:t>En kärna bestående av tre ledamöter som lett arbetet och besökt de sex medlemsstaterna: Lutz Ribbe (samordnare), Isabel Caño Aguilar och Brenda King.</w:t>
      </w:r>
    </w:p>
    <w:p w:rsidR="00CC5F80" w:rsidRPr="005F370A" w:rsidRDefault="001D09F5" w:rsidP="001D09F5">
      <w:pPr>
        <w:pStyle w:val="ListParagraph"/>
        <w:numPr>
          <w:ilvl w:val="0"/>
          <w:numId w:val="35"/>
        </w:numPr>
        <w:jc w:val="both"/>
        <w:rPr>
          <w:sz w:val="20"/>
        </w:rPr>
      </w:pPr>
      <w:r>
        <w:rPr>
          <w:sz w:val="22"/>
        </w:rPr>
        <w:t xml:space="preserve">En utökad grupp med sex ledamöter som understött genomförandet av fallstudier i ett antal utvalda medlemsstater: Andrzej Chwiluk (Polen), Pierre-Jean Coulon (Frankrike), Tom Jones (Storbritannien), Vitas Mačiulis (Litauen), Georgi Stoev (Bulgarien) och Frank van Oorschot (Nederländerna). </w:t>
      </w:r>
    </w:p>
    <w:p w:rsidR="004229DB" w:rsidRPr="005F370A" w:rsidRDefault="004229DB" w:rsidP="001D09F5"/>
    <w:p w:rsidR="00CC5F80" w:rsidRPr="005F370A" w:rsidRDefault="000F3C0F" w:rsidP="001D09F5">
      <w:r>
        <w:t>Rayka Hauser och Nuno Quental vid sekretariatet för EESK:s observationsgrupp för hållbar utveckling har fortlöpande bistått vid genomförandet av fallstudierna och med sammanställningen av denna rapport.</w:t>
      </w:r>
    </w:p>
    <w:p w:rsidR="00CC5F80" w:rsidRPr="005F370A" w:rsidRDefault="00CC5F80" w:rsidP="001D09F5">
      <w:pPr>
        <w:spacing w:line="240" w:lineRule="auto"/>
        <w:jc w:val="left"/>
        <w:rPr>
          <w:b/>
          <w:sz w:val="24"/>
        </w:rPr>
      </w:pPr>
    </w:p>
    <w:p w:rsidR="007C4DC2" w:rsidRPr="005F370A" w:rsidRDefault="007140E4" w:rsidP="001D09F5">
      <w:r>
        <w:t>EESK:s studiegrupp vill rikta ett särskilt tack till rådet för hållbar utveckling i den franska regionen Provence-Alpes-Côte d'Azur (PACA), den walesiska regeringen, det polska gruvfacket, Europeiska kommissionens representation i Tyskland, Bulgarien, Polen och Wales, ett stort antal civilsamhällesorganisationer, producentorganisationer inom sektorn för förnybar energi, kooperativa organisationer, medborgarinitiativ och sociala företag samt myndigheter på nationell, regional och lokal nivå i de besökta länderna. Dessa aktörer har alla stött genomförandet av studien, deltagit aktivt i diskussionerna, visat entusiasm när det handlat om att driva på utbyggnaden av decentraliserade förnybara energialternativ och på ett ovärderligt sätt bidragit till slutsatserna i denna studie genom att ge sitt perspektiv på frågan.</w:t>
      </w:r>
    </w:p>
    <w:p w:rsidR="007C4DC2" w:rsidRPr="005F370A" w:rsidRDefault="007C4DC2" w:rsidP="001D09F5"/>
    <w:p w:rsidR="007E1A59" w:rsidRPr="005F370A" w:rsidRDefault="00C95307" w:rsidP="001D09F5">
      <w:pPr>
        <w:spacing w:line="276" w:lineRule="auto"/>
      </w:pPr>
      <w:r>
        <w:t>Denna rapport bygger således i första hand på den omfattande återkoppling som studiegruppen fått från en mängd olika aktörer i samband med platsbesöken och diskussionerna.</w:t>
      </w:r>
    </w:p>
    <w:p w:rsidR="00F71482" w:rsidRPr="005F370A" w:rsidRDefault="00CC5F80" w:rsidP="001D09F5">
      <w:pPr>
        <w:spacing w:line="276" w:lineRule="auto"/>
        <w:rPr>
          <w:b/>
          <w:sz w:val="24"/>
        </w:rPr>
      </w:pPr>
      <w:r>
        <w:br w:type="page"/>
      </w:r>
      <w:r>
        <w:rPr>
          <w:b/>
          <w:sz w:val="24"/>
        </w:rPr>
        <w:lastRenderedPageBreak/>
        <w:t>Innehållsförteckning</w:t>
      </w:r>
    </w:p>
    <w:p w:rsidR="00E45B90" w:rsidRPr="005F370A" w:rsidRDefault="00DE28D1" w:rsidP="001D09F5">
      <w:pPr>
        <w:tabs>
          <w:tab w:val="left" w:pos="284"/>
          <w:tab w:val="right" w:leader="dot" w:pos="9063"/>
        </w:tabs>
        <w:spacing w:after="100"/>
        <w:rPr>
          <w:noProof/>
        </w:rPr>
      </w:pPr>
      <w:r w:rsidRPr="005F370A">
        <w:fldChar w:fldCharType="begin"/>
      </w:r>
      <w:r w:rsidR="00F71482" w:rsidRPr="005F370A">
        <w:instrText xml:space="preserve"> TOC \o "1-3" \h \z \u </w:instrText>
      </w:r>
      <w:r w:rsidRPr="005F370A">
        <w:fldChar w:fldCharType="separate"/>
      </w:r>
      <w:r>
        <w:rPr>
          <w:b/>
          <w:noProof/>
          <w:color w:val="4472C4"/>
        </w:rPr>
        <w:t>TOC</w:t>
      </w:r>
      <w:r w:rsidRPr="005F370A">
        <w:fldChar w:fldCharType="end"/>
      </w:r>
      <w:r>
        <w:br w:type="page"/>
      </w:r>
      <w:r>
        <w:rPr>
          <w:b/>
          <w:color w:val="4472C4"/>
        </w:rPr>
        <w:lastRenderedPageBreak/>
        <w:t>Utdrag från skälen i ingressen till Europaparlamentets och rådets direktiv 2009/28/EG om främjande av användningen av energi från förnybara energikällor (EU-direktivet om förnybar energi):</w:t>
      </w:r>
    </w:p>
    <w:p w:rsidR="00AB3E75" w:rsidRPr="001D09F5" w:rsidRDefault="00AB3E75" w:rsidP="001D09F5">
      <w:pPr>
        <w:spacing w:line="240" w:lineRule="auto"/>
        <w:jc w:val="left"/>
        <w:rPr>
          <w:highlight w:val="yellow"/>
        </w:rPr>
      </w:pPr>
    </w:p>
    <w:p w:rsidR="003D68A2" w:rsidRPr="005F370A" w:rsidRDefault="0035732E" w:rsidP="001D09F5">
      <w:r>
        <w:t>"(3) Möjligheterna att skapa ekonomisk tillväxt genom innovation och en hållbar konkurrenskraftig energipolitik har konstaterats. Produktionen av energi från förnybara energikällor är ofta beroende av lokala eller regionala små och medelstora företag. Investeringar i regional och lokal produktion av energi från förnybara energikällor skapar betydande möjligheter till tillväxt och sysselsättning i medlemsstaterna och deras regioner. Kommissionen och medlemsstaterna bör därför stödja nationella och regionala utvecklingsåtgärder i dessa områden, uppmuntra utbyte av bästa metoder för produktion av energi från förnybara energikällor mellan lokala och regionala utvecklingsinitiativ och främja användningen av strukturfonder på detta område.</w:t>
      </w:r>
    </w:p>
    <w:p w:rsidR="003D68A2" w:rsidRPr="005F370A" w:rsidRDefault="003D68A2" w:rsidP="001D09F5">
      <w:pPr>
        <w:jc w:val="left"/>
      </w:pPr>
    </w:p>
    <w:p w:rsidR="00170616" w:rsidRPr="005F370A" w:rsidRDefault="00170616" w:rsidP="001D09F5">
      <w:r>
        <w:t>"(4) Vid främjandet av utvecklingen av marknaden för förnybara energikällor är det nödvändigt att ta i betraktande dess positiva inverkan på regionala och lokala utvecklingsmöjligheter, exportmöjligheter, social sammanhållning och sysselsättning, inte minst när det gäller små och medelstora företag och oberoende energiproducenter." (…)</w:t>
      </w:r>
    </w:p>
    <w:p w:rsidR="00170616" w:rsidRPr="005F370A" w:rsidRDefault="00170616" w:rsidP="001D09F5"/>
    <w:p w:rsidR="00170616" w:rsidRPr="005F370A" w:rsidRDefault="00170616" w:rsidP="001D09F5">
      <w:r>
        <w:t>"(6) Det är lämpligt att stödja demonstrations- och kommersialiseringsfasen för decentraliserad teknik för energi från förnybara energikällor. Utvecklingen mot en decentraliserad energiproduktion har många fördelar såsom utnyttjandet av lokala energikällor, förbättrad lokal trygg energiförsörjning, kortare transportsträckor och minskade förluster vid energitransmission. Sådan decentralisering främjar också samhällsutvecklingen och sammanhållningen genom att erbjuda inkomstkällor och skapa lokala arbetstillfällen." (…)</w:t>
      </w:r>
    </w:p>
    <w:p w:rsidR="00170616" w:rsidRPr="005F370A" w:rsidRDefault="00170616" w:rsidP="001D09F5"/>
    <w:p w:rsidR="00832BFA" w:rsidRPr="005F370A" w:rsidRDefault="00894515" w:rsidP="001D09F5">
      <w:r>
        <w:t>"(43) För att stimulera enskilda medborgares bidrag till de mål som fastställs i detta direktiv bör de relevanta myndigheterna överväga möjligheten att ersätta godkännanden med en enkel anmälan till det behöriga organet när små decentraliserade enheter för produktion av energi från förnybara energikällor anläggs."</w:t>
      </w:r>
    </w:p>
    <w:p w:rsidR="00D25D87" w:rsidRPr="005F370A" w:rsidRDefault="00E33263" w:rsidP="001D09F5">
      <w:pPr>
        <w:pStyle w:val="Heading1"/>
        <w:keepNext/>
        <w:rPr>
          <w:b/>
          <w:sz w:val="24"/>
        </w:rPr>
      </w:pPr>
      <w:r>
        <w:br w:type="page"/>
      </w:r>
      <w:bookmarkStart w:id="1" w:name="_Toc408506713"/>
      <w:bookmarkStart w:id="2" w:name="_Toc411238458"/>
      <w:bookmarkStart w:id="3" w:name="_Toc395310050"/>
      <w:bookmarkStart w:id="4" w:name="_Toc399257196"/>
      <w:bookmarkStart w:id="5" w:name="_Toc398538367"/>
      <w:r>
        <w:rPr>
          <w:b/>
          <w:sz w:val="24"/>
        </w:rPr>
        <w:lastRenderedPageBreak/>
        <w:t>Sammanfattning av undersökningsresultat och rekommendationer</w:t>
      </w:r>
      <w:bookmarkEnd w:id="1"/>
      <w:bookmarkEnd w:id="2"/>
    </w:p>
    <w:p w:rsidR="00D25D87" w:rsidRPr="005F370A" w:rsidRDefault="00D25D87" w:rsidP="001D09F5">
      <w:pPr>
        <w:keepNext/>
      </w:pPr>
    </w:p>
    <w:p w:rsidR="00D25D87" w:rsidRPr="005F370A" w:rsidRDefault="00D25D87" w:rsidP="001D09F5">
      <w:pPr>
        <w:pStyle w:val="Heading2"/>
        <w:keepNext/>
        <w:rPr>
          <w:b/>
        </w:rPr>
      </w:pPr>
      <w:bookmarkStart w:id="6" w:name="_Toc408506714"/>
      <w:bookmarkStart w:id="7" w:name="_Toc411238459"/>
      <w:r>
        <w:rPr>
          <w:b/>
        </w:rPr>
        <w:t>De viktigaste resultaten</w:t>
      </w:r>
      <w:bookmarkEnd w:id="6"/>
      <w:bookmarkEnd w:id="7"/>
    </w:p>
    <w:p w:rsidR="00D25D87" w:rsidRPr="005F370A" w:rsidRDefault="00D25D87" w:rsidP="001D09F5">
      <w:pPr>
        <w:keepNext/>
      </w:pPr>
    </w:p>
    <w:p w:rsidR="00D25D87" w:rsidRPr="005F370A" w:rsidRDefault="00D25D87" w:rsidP="001D09F5">
      <w:pPr>
        <w:pStyle w:val="Heading3"/>
        <w:keepNext/>
      </w:pPr>
      <w:bookmarkStart w:id="8" w:name="_Toc408506715"/>
      <w:bookmarkStart w:id="9" w:name="_Toc411238460"/>
      <w:r>
        <w:t>Rätt tillfälle</w:t>
      </w:r>
      <w:bookmarkEnd w:id="8"/>
      <w:bookmarkEnd w:id="9"/>
    </w:p>
    <w:p w:rsidR="00D25D87" w:rsidRPr="005F370A" w:rsidRDefault="00D25D87" w:rsidP="001D09F5">
      <w:r>
        <w:t xml:space="preserve">I alla de medlemsstater som besöktes fann studiegruppen ett starkt civilsamhälle som engagerat sig i energiomställningen, som var medvetet om de socioekonomiska möjligheter som den skapar, och som ville dra nytta av decentraliserad förnybar energiproduktion. Man såg med spänning på de möjligheter som den förnybara energin innebär för inkomstgenerering, samhällsutveckling och social innovation, och det fanns en vilja att lära sig mer om bästa praxis och stödja strategier i andra medlemsstater. </w:t>
      </w:r>
    </w:p>
    <w:p w:rsidR="00D25D87" w:rsidRPr="005F370A" w:rsidRDefault="00D25D87" w:rsidP="001D09F5"/>
    <w:p w:rsidR="00D25D87" w:rsidRPr="005F370A" w:rsidRDefault="00D25D87" w:rsidP="001D09F5">
      <w:pPr>
        <w:pStyle w:val="Heading3"/>
        <w:keepNext/>
      </w:pPr>
      <w:bookmarkStart w:id="10" w:name="_Toc408506716"/>
      <w:bookmarkStart w:id="11" w:name="_Toc411238461"/>
      <w:r>
        <w:t>En viss frustration</w:t>
      </w:r>
      <w:bookmarkEnd w:id="10"/>
      <w:bookmarkEnd w:id="11"/>
    </w:p>
    <w:p w:rsidR="00D25D87" w:rsidRPr="005F370A" w:rsidRDefault="00D25D87" w:rsidP="001D09F5">
      <w:r>
        <w:t>Samtidigt vittnade intressenterna om sin frustration över byråkratiska hinder och komplexa förfaranden, samt de politiska reformer som nyligen genomförts och som medfört att mindre producenter och kollektiv hamnat i ett ofördelaktigt läge i jämförelse med de stora, centraliserade energiproducenterna. Vidare var de besvikna över att de politiska beslutsfattarna inte erkände värdet av småskalig energiproduktion, samt, i vissa fall, avsaknaden av en konstruktiv dialog med myndigheterna. Dessa hinder är välkända och beskrivs i detalj i kommissionens lägesrapport om förnybar energi (2013)</w:t>
      </w:r>
      <w:r>
        <w:rPr>
          <w:rStyle w:val="FootnoteReference"/>
        </w:rPr>
        <w:footnoteReference w:id="2"/>
      </w:r>
      <w:r>
        <w:t>. Det faktum att sådana hinder kvarstår eller till och med ökar (t.ex. i och med införandet av auktioner för produktion av förnybar energi i ett antal medlemsstater) har av vissa företrädare för det civila samhället tolkats som ett direkt angrepp på småskalig energiproduktion till förmån för stora centraliserade producenter.</w:t>
      </w:r>
    </w:p>
    <w:p w:rsidR="00D25D87" w:rsidRPr="005F370A" w:rsidRDefault="00D25D87" w:rsidP="001D09F5"/>
    <w:p w:rsidR="00D25D87" w:rsidRPr="005F370A" w:rsidRDefault="00D25D87" w:rsidP="001D09F5">
      <w:pPr>
        <w:pStyle w:val="Heading3"/>
        <w:keepNext/>
      </w:pPr>
      <w:bookmarkStart w:id="12" w:name="_Toc408506717"/>
      <w:bookmarkStart w:id="13" w:name="_Toc411238462"/>
      <w:r>
        <w:t>Starka argument för småskalig produktion av förnybar energi</w:t>
      </w:r>
      <w:bookmarkEnd w:id="12"/>
      <w:bookmarkEnd w:id="13"/>
    </w:p>
    <w:p w:rsidR="00D25D87" w:rsidRPr="005F370A" w:rsidRDefault="00D25D87" w:rsidP="001D09F5">
      <w:r>
        <w:t>Ett viktigt resultat av undersökningen är det faktum att det civila samhället inte nöjer sig med att enbart rådfrågas om energipolitik. Lokalsamhällen, det civila samhällets organisationer och privatpersoner är angelägna om att producera förnybar energi – och gruppen fick tydliga belägg och argument till stöd för denna trend:</w:t>
      </w:r>
    </w:p>
    <w:p w:rsidR="00D25D87" w:rsidRPr="005F370A" w:rsidRDefault="00D25D87" w:rsidP="001D09F5"/>
    <w:p w:rsidR="00D25D87" w:rsidRPr="005F370A" w:rsidRDefault="00D25D87" w:rsidP="001D09F5">
      <w:r>
        <w:t>Småskalig energiproduktion ökar den lokala acceptansen för infrastruktur för förnybar energi och stärker stödet och engagemanget för övergångsprocessen. Den frigör den finansiering som det finns ett trängande behov av inför energiomställningen, skapar gemensamma lokala socioekonomiska fördelar och bevarar mervärdet i lokalsamhällena. Det stämmer att produktion av förnybar energi håller på att bli en ekonomisk möjlighet för enskilda medborgare, jordbrukare, kooperativ, små och medelstora företag, lokalsamhällen, välgörenhetsorganisationer och icke-statliga organisationer i stället för, eller vid sidan av, de konventionella energibolagen. Den stimulerar lokal utveckling, social innovation och samarbete. Decentraliserade system gör det möjligt för privatpersoner och samhällen att dela kostnaderna för och fördelarna med förnybar energi och kartlägga möjligheter för en bättre matchning mellan utbud och efterfrågan (t.ex. fjärrvärme). Om de politiska ramarna medger det kommer småskalig produktion av förnybar energi i hög grad att bidra till att skapa lokala jobb och ekonomisk tillväxt.</w:t>
      </w:r>
    </w:p>
    <w:p w:rsidR="00D25D87" w:rsidRPr="005F370A" w:rsidRDefault="00D25D87" w:rsidP="001D09F5"/>
    <w:p w:rsidR="00D25D87" w:rsidRPr="005F370A" w:rsidRDefault="00D25D87" w:rsidP="001D09F5">
      <w:r>
        <w:lastRenderedPageBreak/>
        <w:t>EESK:s studie visar att utvecklingen av förnybar energi går snabbare framåt, framför allt i de medlemsstater där lokalbefolkningen (enskilda invånare eller gemensamt) har fått möjlighet att genomföra egna medborgarinitiativ på energiområdet. Den viktigaste förutsättningen för denna utveckling är optimalt utformade stödsystem och ett fullgott regelverk för småskalig produktion av förnybar energi. För att man ska kunna dra nytta av dessa nya möjligheter bör EU och medlemsstaterna i sin klimat- och energipolitik i mycket högre grad lyfta fram vikten av en koppling mellan en decentraliserad produktion av förnybar energi och regional och lokal utveckling. Tiden är mogen för en stark, stabil och konsekvent uppsättning stödstrukturer för småskalig produktion av förnybar energi så att Europa kan utvecklas mot en koldioxidsnål ekonomi.</w:t>
      </w:r>
    </w:p>
    <w:p w:rsidR="00D25D87" w:rsidRPr="005F370A" w:rsidRDefault="00D25D87" w:rsidP="001D09F5"/>
    <w:p w:rsidR="00D25D87" w:rsidRPr="005F370A" w:rsidRDefault="00D25D87" w:rsidP="001D09F5">
      <w:pPr>
        <w:pStyle w:val="Heading3"/>
        <w:keepNext/>
      </w:pPr>
      <w:bookmarkStart w:id="14" w:name="_Toc408506718"/>
      <w:bookmarkStart w:id="15" w:name="_Toc411238463"/>
      <w:r>
        <w:t>En enorm potential som till stor del är outnyttjad</w:t>
      </w:r>
      <w:bookmarkEnd w:id="14"/>
      <w:bookmarkEnd w:id="15"/>
    </w:p>
    <w:p w:rsidR="00D25D87" w:rsidRPr="005F370A" w:rsidRDefault="00D25D87" w:rsidP="001D09F5">
      <w:r>
        <w:t>Av studien framgår att de nationella policydokumenten fem år efter det att direktivet om förnybar energi antogs fortfarande knappast innehåller någon hänvisning till en konsekvent strategi för att stödja en decentraliserad produktion av förnybar energi som ska gynna lokalbefolkningen. Studiegruppen kunde inte hitta några tecken på en konsekvent genomförd statlig strategi som syftar till att främja småskalig energiproduktion i någon av de besökta medlemsstaterna. En vacklande politik och reformer som nyligen har genomförts i regelverken för förnybara energislag i alla de studerade länderna har tvärtom resulterat i ovisshet, en ovilja att göra nya investeringar och oro bland intressenterna när det gäller framtiden för småskalig energiproduktion.</w:t>
      </w:r>
    </w:p>
    <w:p w:rsidR="00D25D87" w:rsidRPr="005F370A" w:rsidRDefault="00D25D87" w:rsidP="001D09F5"/>
    <w:p w:rsidR="00D25D87" w:rsidRPr="005F370A" w:rsidRDefault="00D25D87" w:rsidP="001D09F5">
      <w:pPr>
        <w:pStyle w:val="Heading2"/>
        <w:keepNext/>
        <w:rPr>
          <w:b/>
        </w:rPr>
      </w:pPr>
      <w:bookmarkStart w:id="16" w:name="_Toc408506719"/>
      <w:bookmarkStart w:id="17" w:name="_Toc411238464"/>
      <w:r>
        <w:rPr>
          <w:b/>
        </w:rPr>
        <w:t>De viktigaste rekommendationerna</w:t>
      </w:r>
      <w:bookmarkEnd w:id="16"/>
      <w:bookmarkEnd w:id="17"/>
    </w:p>
    <w:p w:rsidR="00D25D87" w:rsidRPr="005F370A" w:rsidRDefault="00D25D87" w:rsidP="001D09F5">
      <w:pPr>
        <w:keepNext/>
      </w:pPr>
    </w:p>
    <w:p w:rsidR="00D25D87" w:rsidRPr="005F370A" w:rsidRDefault="00D25D87" w:rsidP="001D09F5">
      <w:pPr>
        <w:pStyle w:val="Heading3"/>
        <w:keepNext/>
      </w:pPr>
      <w:bookmarkStart w:id="18" w:name="_Toc408506720"/>
      <w:bookmarkStart w:id="19" w:name="_Toc411238465"/>
      <w:r>
        <w:t>Skapa lika villkor för förnybar energi</w:t>
      </w:r>
      <w:bookmarkEnd w:id="18"/>
      <w:bookmarkEnd w:id="19"/>
    </w:p>
    <w:p w:rsidR="00D25D87" w:rsidRPr="005F370A" w:rsidRDefault="00D25D87" w:rsidP="001D09F5">
      <w:r>
        <w:t>I kommissionens lägesrapport om förnybar energi 2013</w:t>
      </w:r>
      <w:r>
        <w:rPr>
          <w:rStyle w:val="FootnoteReference"/>
        </w:rPr>
        <w:footnoteReference w:id="3"/>
      </w:r>
      <w:r>
        <w:t xml:space="preserve"> påpekades det att stöd till utbyggnaden av förnybar energi kommer att behövas även i fortsättningen, så länge det saknas en öppen, konkurrensinriktad inre energimarknad i EU som syftar till att åtgärda marknadsmisslyckanden och internalisera de hälso- och miljörelaterade samt de sociala kostnaderna för användningen av fossila bränslen. Regeringarna bör också verka för att fasa ut skadliga och ineffektiva subventioner till fossila bränslen som uppmuntrar till slöseri och undergräver den hållbara utvecklingen, i enlighet med det åtagande som bekräftades på nytt i slutdokumentet från Rio+ 20, "The Future We Want". Koldioxidprissättning är bara en möjlighet när det gäller att internalisera externa kostnader genom att öka den relativa kostnaden för teknik som bygger på fossila bränslen. </w:t>
      </w:r>
    </w:p>
    <w:p w:rsidR="00D25D87" w:rsidRPr="005F370A" w:rsidRDefault="00D25D87" w:rsidP="001D09F5"/>
    <w:p w:rsidR="00D25D87" w:rsidRPr="005F370A" w:rsidRDefault="00D25D87" w:rsidP="001D09F5">
      <w:pPr>
        <w:pStyle w:val="Heading3"/>
        <w:keepNext/>
      </w:pPr>
      <w:bookmarkStart w:id="20" w:name="_Toc408506721"/>
      <w:bookmarkStart w:id="21" w:name="_Toc411238466"/>
      <w:r>
        <w:t>Göra decentraliserad småskalig produktion av förnybar energi till en politisk prioritering</w:t>
      </w:r>
      <w:bookmarkEnd w:id="20"/>
      <w:bookmarkEnd w:id="21"/>
    </w:p>
    <w:p w:rsidR="00D25D87" w:rsidRPr="005F370A" w:rsidRDefault="00D25D87" w:rsidP="001D09F5">
      <w:r>
        <w:t xml:space="preserve">En ny energipolitik kan inte genomföras utan stöd från medborgarna, men med deras stöd kan politiska mål uppnås snabbare än man skulle kunna ana. EESK rekommenderar att lokala, nationella och europeiska beslutsfattare gör medborgarnas egenansvar för produktionen av förnybar energi till en tydlig prioritering. I nästa lägesrapport om förnybar energi från kommissionen, som förväntas 2015, bör man undersöka vad som döljer sig bakom siffrorna och bedöma i vilken utsträckning byråkratiska hinder har avlägsnats och marknadstillträde för nya, mindre aktörer har utvecklats. </w:t>
      </w:r>
    </w:p>
    <w:p w:rsidR="00D25D87" w:rsidRPr="005F370A" w:rsidRDefault="00D25D87" w:rsidP="001D09F5"/>
    <w:p w:rsidR="00D25D87" w:rsidRPr="005F370A" w:rsidRDefault="00D25D87" w:rsidP="001D09F5">
      <w:pPr>
        <w:pStyle w:val="Heading3"/>
        <w:keepNext/>
      </w:pPr>
      <w:bookmarkStart w:id="22" w:name="_Toc408506722"/>
      <w:bookmarkStart w:id="23" w:name="_Toc411238467"/>
      <w:r>
        <w:lastRenderedPageBreak/>
        <w:t>Inrätta stabila politiska ramar för att stödja småskalig produktion av förnybar energi:</w:t>
      </w:r>
      <w:bookmarkEnd w:id="22"/>
      <w:bookmarkEnd w:id="23"/>
    </w:p>
    <w:p w:rsidR="00D25D87" w:rsidRPr="005F370A" w:rsidRDefault="00D25D87" w:rsidP="001D09F5">
      <w:pPr>
        <w:numPr>
          <w:ilvl w:val="0"/>
          <w:numId w:val="14"/>
        </w:numPr>
      </w:pPr>
      <w:r>
        <w:t xml:space="preserve">De administrativa förfarandena för småskalig energiproduktion bör vara enkla och snabba och kostnaderna för dem bör vara rimliga. </w:t>
      </w:r>
    </w:p>
    <w:p w:rsidR="00D25D87" w:rsidRPr="005F370A" w:rsidRDefault="00D25D87" w:rsidP="001D09F5">
      <w:pPr>
        <w:numPr>
          <w:ilvl w:val="0"/>
          <w:numId w:val="14"/>
        </w:numPr>
      </w:pPr>
      <w:r>
        <w:t>Kostnader och väntetider för anslutning av projekt för småskalig energiproduktion till elnätet måste vara rimliga, och systemoperatörerna bör bötfällas om de bryter mot detta.</w:t>
      </w:r>
    </w:p>
    <w:p w:rsidR="00D25D87" w:rsidRPr="005F370A" w:rsidRDefault="00D25D87" w:rsidP="001D09F5">
      <w:pPr>
        <w:numPr>
          <w:ilvl w:val="0"/>
          <w:numId w:val="14"/>
        </w:numPr>
      </w:pPr>
      <w:r>
        <w:t>Gemensamma kontaktpunkter bör erbjuda vägledning till små investerare från planeringsstadiet via genomförbarhetsstudier till utnyttjandet.</w:t>
      </w:r>
    </w:p>
    <w:p w:rsidR="00D25D87" w:rsidRPr="005F370A" w:rsidRDefault="00D25D87" w:rsidP="001D09F5">
      <w:pPr>
        <w:numPr>
          <w:ilvl w:val="0"/>
          <w:numId w:val="14"/>
        </w:numPr>
      </w:pPr>
      <w:r>
        <w:t>El från förnybara källor bör ges inmatningsprioritet framför fossila bränslen och kärnkraft.</w:t>
      </w:r>
    </w:p>
    <w:p w:rsidR="00D25D87" w:rsidRPr="005F370A" w:rsidRDefault="00D25D87" w:rsidP="001D09F5">
      <w:pPr>
        <w:numPr>
          <w:ilvl w:val="0"/>
          <w:numId w:val="14"/>
        </w:numPr>
      </w:pPr>
      <w:r>
        <w:t>Småskalig produktion av förnybar energi bör undantas från förfaranden som skapar oproportionerligt stora bördor, kostnader och osäkerhet, bl.a. skyldigheter att sälja direkt på marknaden.</w:t>
      </w:r>
    </w:p>
    <w:p w:rsidR="00D25D87" w:rsidRPr="005F370A" w:rsidRDefault="00D25D87" w:rsidP="001D09F5">
      <w:pPr>
        <w:numPr>
          <w:ilvl w:val="0"/>
          <w:numId w:val="14"/>
        </w:numPr>
      </w:pPr>
      <w:r>
        <w:t xml:space="preserve">Inmatningspriser bör vara den främsta stödformen för småskalig produktion av förnybar energi. Det är ett enkelt och säkert sätt för producenterna att exakt beräkna sina investeringar och sin avkastning. De ger en investeringstrygghet som gör det lättare för småproducenter att få de lån de behöver. Inmatningspriserna kan och bör ständigt finjusteras för att minska investeringskostnaderna. </w:t>
      </w:r>
    </w:p>
    <w:p w:rsidR="00D25D87" w:rsidRPr="005F370A" w:rsidRDefault="00D25D87" w:rsidP="001D09F5">
      <w:pPr>
        <w:numPr>
          <w:ilvl w:val="0"/>
          <w:numId w:val="14"/>
        </w:numPr>
      </w:pPr>
      <w:r>
        <w:t>För att hantera utbudsfluktuationer och deras dramatiska effekter på elpriserna under perioder med hög belastning kan systemet med inmatningspriser kompletteras med energihushållningsmekanismer för att hantera fluktuationer, t.ex. nettomätning (se nedan), smarta elnät och utveckling av lagringskapaciteten.</w:t>
      </w:r>
    </w:p>
    <w:p w:rsidR="00D25D87" w:rsidRPr="005F370A" w:rsidRDefault="00D25D87" w:rsidP="001D09F5">
      <w:pPr>
        <w:numPr>
          <w:ilvl w:val="0"/>
          <w:numId w:val="14"/>
        </w:numPr>
      </w:pPr>
      <w:r>
        <w:t>Medlemsstaterna bör vara mycket försiktiga med att använda anbud när det gäller förnybar energi, eftersom komplexa och kostsamma förfaranden lägger en orimlig börda på småskaliga producenter och kan leda till att den småskaliga energiproduktionen inte erhåller något stöd. Om stora centraliserade producenter gynnas och konkurrensen minskar kan det dessutom leda till högre priser för konsumenterna. Anbudsförfaranden kan dessutom inte fungera om det inte finns någon energimarknad. Riktlinjerna för statligt stöd till miljöskydd och energi för 2014–2020 bör förtydligas i detta avseende.</w:t>
      </w:r>
    </w:p>
    <w:p w:rsidR="00D25D87" w:rsidRPr="005F370A" w:rsidRDefault="00D25D87" w:rsidP="001D09F5">
      <w:pPr>
        <w:numPr>
          <w:ilvl w:val="0"/>
          <w:numId w:val="14"/>
        </w:numPr>
      </w:pPr>
      <w:r>
        <w:t>De småskaliga producenterna bör ha rätt till nettomätning och stöd till energiproduktion.</w:t>
      </w:r>
    </w:p>
    <w:p w:rsidR="00D25D87" w:rsidRPr="005F370A" w:rsidRDefault="00D25D87" w:rsidP="001D09F5">
      <w:pPr>
        <w:numPr>
          <w:ilvl w:val="0"/>
          <w:numId w:val="14"/>
        </w:numPr>
      </w:pPr>
      <w:r>
        <w:t>EU:s struktur- och sammanhållningsfonder och de nationella budgetarna bör öronmärka de medel som krävs för att se till att utvecklingen av förnybara energislag och en decentraliserad energiproduktion inte bromsas upp på grund av elnätets begränsningar.</w:t>
      </w:r>
    </w:p>
    <w:p w:rsidR="00D25D87" w:rsidRPr="005F370A" w:rsidRDefault="00D25D87" w:rsidP="001D09F5">
      <w:pPr>
        <w:ind w:left="360"/>
      </w:pPr>
    </w:p>
    <w:p w:rsidR="00D25D87" w:rsidRPr="005F370A" w:rsidRDefault="00D25D87" w:rsidP="001D09F5">
      <w:pPr>
        <w:pStyle w:val="Heading3"/>
        <w:keepNext/>
      </w:pPr>
      <w:bookmarkStart w:id="24" w:name="_Toc408506723"/>
      <w:bookmarkStart w:id="25" w:name="_Toc411238468"/>
      <w:r>
        <w:t>Stärka en aktiv dialog med det civila samhället om energipolitiken</w:t>
      </w:r>
      <w:bookmarkEnd w:id="24"/>
      <w:bookmarkEnd w:id="25"/>
    </w:p>
    <w:p w:rsidR="00D25D87" w:rsidRPr="005F370A" w:rsidRDefault="00D25D87" w:rsidP="001D09F5">
      <w:pPr>
        <w:numPr>
          <w:ilvl w:val="0"/>
          <w:numId w:val="14"/>
        </w:numPr>
      </w:pPr>
      <w:r>
        <w:t>Politiken för förnybar energi bör utformas och genomföras i en ständig dialog med det civila samhällets aktörer i syfte att utveckla en gemensam förståelse och gemensamma mål, stöd till genomförandet, samt en kultur präglad av samarbete och ömsesidigt förtroende. EESK:s europeiska energidialog bör vara till hjälp i detta avseende.</w:t>
      </w:r>
    </w:p>
    <w:p w:rsidR="00D25D87" w:rsidRPr="005F370A" w:rsidRDefault="00D25D87" w:rsidP="001D09F5">
      <w:pPr>
        <w:numPr>
          <w:ilvl w:val="0"/>
          <w:numId w:val="14"/>
        </w:numPr>
      </w:pPr>
      <w:r>
        <w:t>Det civila samhället bör ges befogenhet att delta i utvecklingen av medlemsstatens klimat- och energihandlingsplaner samt vid övervakningen och översynen av genomförandet.</w:t>
      </w:r>
    </w:p>
    <w:p w:rsidR="00D25D87" w:rsidRPr="005F370A" w:rsidRDefault="00D25D87" w:rsidP="001D09F5">
      <w:pPr>
        <w:numPr>
          <w:ilvl w:val="0"/>
          <w:numId w:val="14"/>
        </w:numPr>
      </w:pPr>
      <w:r>
        <w:t>Strategier, finansieringsprogram och stödåtgärder på EU-nivå och på nationell, regional och lokal nivå bör övervakas och ses över, och det civila samhället bör aktivt medverka i syfte att se till att de bidrar till den småskaliga energiproduktionen och inte skadar den. Särskilt införandet av omtvistade åtgärder som kravet på försäljning direkt på marknaden och anbudsförfaranden för produktion av förnybar energi bör noga övervakas i syfte att kartlägga och snabbt avhjälpa eventuella negativa effekter för den småskaliga energiproduktionen.</w:t>
      </w:r>
    </w:p>
    <w:p w:rsidR="00D25D87" w:rsidRPr="005F370A" w:rsidRDefault="00D25D87" w:rsidP="001D09F5"/>
    <w:p w:rsidR="00D25D87" w:rsidRPr="005F370A" w:rsidRDefault="00D25D87" w:rsidP="001D09F5">
      <w:pPr>
        <w:pStyle w:val="Heading3"/>
        <w:keepNext/>
      </w:pPr>
      <w:bookmarkStart w:id="26" w:name="_Toc408506724"/>
      <w:bookmarkStart w:id="27" w:name="_Toc411238469"/>
      <w:r>
        <w:t>Inleda en öppen dialog om energipriser, kostnader och fördelar</w:t>
      </w:r>
      <w:bookmarkEnd w:id="26"/>
      <w:bookmarkEnd w:id="27"/>
    </w:p>
    <w:p w:rsidR="00D25D87" w:rsidRPr="005F370A" w:rsidRDefault="00D25D87" w:rsidP="001D09F5">
      <w:r>
        <w:t>Eftersom debatterna om energipolitiken ofta domineras av kortsiktig oro när det gäller priserna behövs det en öppen, offentlig debatt om energikostnader och priser. Den hållbara energin har mycket låga externa kostnader, vilket är en stor skillnad jämfört med konventionella energikällor, som medför betydande hälso- och miljökostnader för samhället både nu och för kommande generationer. Klar och begriplig information bör offentliggöras för att ge en fullständig bild av kostnader och fördelar i samband med subventioner till förnybara energikällor, fossila bränslen och kärnkraft, inklusive de externa kostnaderna för människors hälsa och miljökvaliteten, samt fördelarna med att undvika import och säkra energitryggheten. Såsom påpekades i kommissionens lägesrapport om förnybar energi 2013</w:t>
      </w:r>
      <w:r>
        <w:rPr>
          <w:rStyle w:val="FootnoteReference"/>
        </w:rPr>
        <w:footnoteReference w:id="4"/>
      </w:r>
      <w:r>
        <w:t xml:space="preserve"> kommer det även i fortsättningen att behövas finansiella, rättsliga och administrativa politiska åtgärder som stöd till utbyggnaden av förnybar energi trots att kostnaderna för den förnybara tekniken ständigt sjunker, så länge det saknas en öppen, konkurrensinriktad inre energimarknad i EU, i syfte att åtgärda marknadsmisslyckanden och internalisera de externa kostnaderna.</w:t>
      </w:r>
    </w:p>
    <w:p w:rsidR="00D25D87" w:rsidRPr="005F370A" w:rsidRDefault="00D25D87" w:rsidP="001D09F5"/>
    <w:p w:rsidR="00D25D87" w:rsidRPr="005F370A" w:rsidRDefault="00D25D87" w:rsidP="001D09F5">
      <w:pPr>
        <w:pStyle w:val="Heading3"/>
        <w:keepNext/>
      </w:pPr>
      <w:bookmarkStart w:id="28" w:name="_Toc408506725"/>
      <w:bookmarkStart w:id="29" w:name="_Toc411238470"/>
      <w:r>
        <w:t>Att hantera energiomställningens sociala konsekvenser</w:t>
      </w:r>
      <w:bookmarkEnd w:id="28"/>
      <w:bookmarkEnd w:id="29"/>
      <w:r>
        <w:t xml:space="preserve"> </w:t>
      </w:r>
    </w:p>
    <w:p w:rsidR="00D25D87" w:rsidRPr="005F370A" w:rsidRDefault="00D25D87" w:rsidP="001D09F5">
      <w:r>
        <w:t xml:space="preserve">Även om energiomställningens nettoeffekt på sysselsättningen och inkomsterna förväntas vara positiv upplever en del konventionella energisektorer att de förlorar marknadsandelar och arbetstillfällen (vilket inte nödvändigtvis är relaterat till de förnybara energikällornas ökade betydelse). Regeringarna måste ta ansvar för de socioekonomiska effekterna av omställningen till en koldioxidsnål ekonomi som ytterst ska gynna alla delar av samhället. Nationella sociala övergångsstrategier måste införas och noga införlivas med utbyggnaden av förnybar energi för att omställningen ska bli problemfri, för att få fram de nya yrkesfärdigheter som behövs och för att på ett fokuserat sätt angripa eventuella negativa sociala effekter på sysselsättningen och socialt svaga hushåll. Regeringarna måste se till att kostnaderna för stöd till småskalig produktion av förnybar energi fördelas på ett rättvist sätt i samhället. </w:t>
      </w:r>
    </w:p>
    <w:p w:rsidR="000959F1" w:rsidRPr="005F370A" w:rsidRDefault="000959F1" w:rsidP="001D09F5"/>
    <w:p w:rsidR="002D259B" w:rsidRPr="005F370A" w:rsidRDefault="00F846DB" w:rsidP="001D09F5">
      <w:pPr>
        <w:pStyle w:val="Heading1"/>
        <w:keepNext/>
        <w:rPr>
          <w:b/>
          <w:sz w:val="24"/>
        </w:rPr>
      </w:pPr>
      <w:bookmarkStart w:id="30" w:name="_Toc411238471"/>
      <w:r>
        <w:rPr>
          <w:b/>
          <w:sz w:val="24"/>
        </w:rPr>
        <w:t>Inledning</w:t>
      </w:r>
      <w:bookmarkEnd w:id="3"/>
      <w:bookmarkEnd w:id="4"/>
      <w:bookmarkEnd w:id="5"/>
      <w:bookmarkEnd w:id="30"/>
    </w:p>
    <w:p w:rsidR="00F0101B" w:rsidRPr="005F370A" w:rsidRDefault="00F0101B" w:rsidP="001D09F5">
      <w:pPr>
        <w:keepNext/>
      </w:pPr>
    </w:p>
    <w:p w:rsidR="007F4114" w:rsidRPr="005F370A" w:rsidRDefault="00F57C49" w:rsidP="001D09F5">
      <w:r>
        <w:t>Europeiska unionens (EU) beslutsfattare har tillsammans satt upp ett tydligt politiskt mål: Koldioxidutsläppen ska senast 2050 ha minskat med 80–95 %. EU ska bli en resurseffektiv och klimatvänlig ekonomi med låga koldioxidutsläpp. Denna agenda motiveras inte enbart av klimatförändringarna. Det krävs en energipolitisk revolution för att vi ska kunna möta de utmaningar som är förknippade med det faktum att de fossila bränslena inte är oändliga, och för att vi ska kunna bryta EU:s beroende av importerad energi från politiskt instabila områden. Energisystemen måste utvecklas på ett sätt som garanterar ren och säker energi till överkomliga priser för dagens konsumenter och för kommande generationer. Vid planeringen av energiproduktionen måste man väga in sociala, miljömässiga och hälsomässiga effekter och ta hänsyn till konsekvenserna för framtida generationer.</w:t>
      </w:r>
    </w:p>
    <w:p w:rsidR="007F4114" w:rsidRPr="005F370A" w:rsidRDefault="007F4114" w:rsidP="001D09F5"/>
    <w:p w:rsidR="00782D6B" w:rsidRPr="005F370A" w:rsidRDefault="007F4114" w:rsidP="001D09F5">
      <w:r>
        <w:lastRenderedPageBreak/>
        <w:t>Förnybar energi har en central roll i en sådan omställning. EU-direktivet från 2009 om förnybar energi</w:t>
      </w:r>
      <w:r>
        <w:rPr>
          <w:rStyle w:val="FootnoteReference"/>
        </w:rPr>
        <w:footnoteReference w:id="5"/>
      </w:r>
      <w:r>
        <w:t xml:space="preserve"> kom till för att främja produktionen av förnybar energi och trygga energiförsörjningen. Enligt detta direktiv ska varje medlemsstat senast 2020 ha uppnått målet att förnybar energi ska utgöra en viss andel av den slutliga energiförbrukningen, för att på så sätt bidra till det övergripande EU-målet att 20 % ska utgöras av förnybar energi. I EU:s klimat- och energipolitiska ram för 2030 föreslås en ytterligare ökning av denna andel så att den senast 2030 uppgår till minst 27 %. Europeiska ekonomiska och sociala kommittén (EESK) stöder detta mål</w:t>
      </w:r>
      <w:r>
        <w:rPr>
          <w:rStyle w:val="FootnoteReference"/>
        </w:rPr>
        <w:footnoteReference w:id="6"/>
      </w:r>
      <w:r>
        <w:t>, men kräver samtidigt att medlemsstaterna sätter upp nationella mål för förnybar energi så att kommissionen kan vidta åtgärder och se till att medlemsstaterna anstränger sig för att det gemensamma målet ska kunna nås.</w:t>
      </w:r>
    </w:p>
    <w:p w:rsidR="00C95307" w:rsidRPr="005F370A" w:rsidRDefault="00C95307" w:rsidP="001D09F5"/>
    <w:p w:rsidR="00C95307" w:rsidRPr="005F370A" w:rsidRDefault="00C95307" w:rsidP="001D09F5">
      <w:r>
        <w:t>I uppdragsbeskrivningen för den nya kommissionsledamoten med ansvar för energifrågor, skrev kommissionens ordförande Juncker: "Vi måste också öka andelen förnybar energi på vår kontinent. Detta handlar inte bara om en ansvarsfull klimatpolitik. Det handlar samtidigt om en industripolitik som är absolut nödvändig om vi vill fortsätta ha tillgång till energi till rimliga priser på medellång sikt. Jag tror starkt på potentialen hos "grön tillväxt" och jag vill att EU ska bli världsbäst på förnybar energi."</w:t>
      </w:r>
    </w:p>
    <w:p w:rsidR="007C4DC2" w:rsidRPr="005F370A" w:rsidRDefault="007C4DC2" w:rsidP="001D09F5"/>
    <w:p w:rsidR="00EE3B35" w:rsidRPr="005F370A" w:rsidRDefault="00AD0D72" w:rsidP="001D09F5">
      <w:r>
        <w:t xml:space="preserve">EESK har insett vilka tekniska, ekonomiska och sociala utmaningar det innebär att övergå till en resurseffektiv och koldioxidsnål ekonomi. Farhågor har framförts om fördelningen av kostnaderna och fördelarna i samband med övergången, om integreringen av spridda och fluktuerande energikällor i försörjningssystemet, om den nya infrastrukturen och det lokala motståndet mot vissa typer av infrastruktur för förnybar energi. Man är på god väg att hitta lösningar på dessa utmaningar. Kostnaderna för förnybar energiteknik har sjunkit tack vare den tekniska utvecklingen och marknadsspridningen, och det görs framsteg i arbetet med att utveckla smarta nät och andra lösningar för att hantera svängningarna i utbud och efterfrågan. </w:t>
      </w:r>
    </w:p>
    <w:p w:rsidR="00EE3B35" w:rsidRPr="005F370A" w:rsidRDefault="00EE3B35" w:rsidP="001D09F5"/>
    <w:p w:rsidR="00030F5F" w:rsidRPr="005F370A" w:rsidRDefault="00F0101B" w:rsidP="001D09F5">
      <w:r>
        <w:t xml:space="preserve">EESK inledde denna studie väl medveten om att utformningen och genomförandet av strategier för förnybar energi handlar minst lika mycket om marknadsstrukturer och socioekonomiska aspekter som om tekniska och teknikrelaterade frågor. Studien har inte för avsikt att analysera de tekniska utmaningarna, som behandlas i diskussioner på andra håll. I stället undersöker vi den inte alls lika utforskade frågan om </w:t>
      </w:r>
      <w:r>
        <w:rPr>
          <w:b/>
        </w:rPr>
        <w:t>vilken roll det civila samhället spelar, eller skulle kunna och borde spela</w:t>
      </w:r>
      <w:r>
        <w:t xml:space="preserve">, i denna genomgripande omvandlingsprocess. </w:t>
      </w:r>
    </w:p>
    <w:p w:rsidR="00030F5F" w:rsidRPr="005F370A" w:rsidRDefault="00030F5F" w:rsidP="001D09F5"/>
    <w:p w:rsidR="00AD0D72" w:rsidRPr="005F370A" w:rsidRDefault="00AD0D72" w:rsidP="001D09F5">
      <w:r>
        <w:t>Är det civila samhällets roll begränsad till övervakning och godkännande av nya strategier och projekt? Sker det några samråd med civilsamhällets aktörer, och vad leder dessa i så fall till? Eller är civilsamhället redan fullständigt integrerat i processen och har möjlighet att spela en aktiv eller t.o.m. ledande roll i ett nytt och mer decentraliserat system för produktion av förnybar energi? Och slutligen, vilka är framgångsfaktorerna respektive utmaningarna i detta avseende?</w:t>
      </w:r>
    </w:p>
    <w:p w:rsidR="00AD0D72" w:rsidRPr="005F370A" w:rsidRDefault="00AD0D72" w:rsidP="001D09F5"/>
    <w:p w:rsidR="007F4114" w:rsidRPr="005F370A" w:rsidRDefault="007F4114" w:rsidP="001D09F5">
      <w:r>
        <w:lastRenderedPageBreak/>
        <w:t>Civilsamhället har hittills endast varit marginellt involverat i energiproduktionsprocessen. Energisektorn har varit starkt centraliserad med en tydlig rollfördelning. Den traditionella – och fortfarande vanligaste – energiproduktionen sker vid ett mindre antal stora centrala anläggningar, de flesta för fossila bränslen eller kärnkraft. Ett mycket litet antal stora energibolag har dominerat marknaden, t.ex. fyra i Tyskland, sex i Storbritannien och ett i Frankrike. Medborgarna, företagen och industrin har haft rollen som passiva konsumenter som fått betala för energiprodukterna.</w:t>
      </w:r>
    </w:p>
    <w:p w:rsidR="00513D39" w:rsidRPr="005F370A" w:rsidRDefault="00513D39" w:rsidP="001D09F5"/>
    <w:p w:rsidR="00612F1D" w:rsidRPr="005F370A" w:rsidRDefault="003266BA" w:rsidP="001D09F5">
      <w:r>
        <w:t xml:space="preserve">Utvecklingen av koldioxidsnål energi kommer på ett genomgripande sätt att förändra energisektorn. Förnybar energi är till sin natur mer decentraliserad eftersom det ofta är fråga om lokala resurser som är omöjliga eller alltför dyra att transportera. Energi- och elproduktionen kommer att ske i människors närmiljö, vilket innebär att energiinfrastrukturen kommer att bli mycket synligare i landskapet. </w:t>
      </w:r>
    </w:p>
    <w:p w:rsidR="00EF4326" w:rsidRPr="005F370A" w:rsidRDefault="00EF4326" w:rsidP="001D09F5"/>
    <w:p w:rsidR="003266BA" w:rsidRPr="005F370A" w:rsidRDefault="00EF4326" w:rsidP="001D09F5">
      <w:r>
        <w:t>Denna politik måste accepteras för att den ska bli framgångsrik. Detta gäller även energipolitiken historiskt sett och kanske ännu mer framtidens energipolitik. Det är inte bara EU:s övergripande klimatpolitik som behöver civilsamhällets stöd: Varje projekt, varje vind-, sol- eller biogasenergianläggning står och faller med lokalbefolkningens acceptans. Ett projekt accepteras i högre grad om människorna som berörs av det inser fördelarna med förändringarna i livsmiljön, och ännu mer om förändringarna innebär direkta fördelar för dem.</w:t>
      </w:r>
    </w:p>
    <w:p w:rsidR="003266BA" w:rsidRPr="005F370A" w:rsidRDefault="003266BA" w:rsidP="001D09F5"/>
    <w:p w:rsidR="005C66B9" w:rsidRPr="005F370A" w:rsidRDefault="003266BA" w:rsidP="001D09F5">
      <w:r>
        <w:t xml:space="preserve">Ur ett globalt klimatperspektiv spelar det ingen roll vem som äger eller driver ett vindkraftverk. Ur ett acceptansperspektiv kan det dock ha avgörande betydelse. Genomförandet av direktivet om förnybar energi – och även av klimatpolitiken i stort – är därför nära kopplat till frågan om </w:t>
      </w:r>
      <w:r>
        <w:rPr>
          <w:b/>
        </w:rPr>
        <w:t>vem som ges företräde till och möjlighet att producera och tjäna på förnybar energi</w:t>
      </w:r>
      <w:r>
        <w:t>: utomstående investerare som använder en regions lokala resurser i eget vinstintresse, eller lokalbefolkningen som kan utnyttja sina egna sol-, biomasse- och vindresurser inte bara för att producera energi, utan även för att skapa nya värden, möjligheter och sysselsättning i den egna regionen. Därmed inte sagt att omställningen till förnybar energi kan eller bör utföras enbart av småproducenter. Snarare måste privatpersoner och samhällen ges förutsättningar att konkurrera med stora investerare för att skapa lokalt mervärde och spela sin viktiga roll i energiomställningen.</w:t>
      </w:r>
    </w:p>
    <w:p w:rsidR="005C66B9" w:rsidRPr="005F370A" w:rsidRDefault="005C66B9" w:rsidP="001D09F5"/>
    <w:p w:rsidR="00894515" w:rsidRPr="005F370A" w:rsidRDefault="00713428" w:rsidP="001D09F5">
      <w:r>
        <w:t>I EU-direktivet om förnybar energi erkänns den tillväxt- och sysselsättningspotential som regional och lokal produktion av energi från förnybara källor utgör. I direktivet uppmanas medlemsstaterna att stödja nationella och regionala utvecklingsåtgärder och främja användningen av strukturfondsmedel på detta område, även om det inte uttryckligen erkänner eller stöder den lokalt ledda utvecklingen av förnybar energi.</w:t>
      </w:r>
    </w:p>
    <w:p w:rsidR="0070032E" w:rsidRPr="001D09F5" w:rsidRDefault="0070032E" w:rsidP="001D09F5">
      <w:pPr>
        <w:rPr>
          <w:highlight w:val="yellow"/>
        </w:rPr>
      </w:pPr>
    </w:p>
    <w:p w:rsidR="004410D9" w:rsidRPr="005F370A" w:rsidRDefault="004A39F2" w:rsidP="001D09F5">
      <w:r>
        <w:t xml:space="preserve">I SDO-studien undersöktes erfarenheter av denna typ av system i sex medlemsstater. I denna rapport presenteras resultaten av EESK:s studie och ges rekommendationer till EU:s institutioner och nationella beslutsfattare om hur de kan förbättra de rättsliga förutsättningarna för en decentraliserad produktion av förnybar energi som drivs av och sker till förmån för lokalbefolkningen och civilsamhället. </w:t>
      </w:r>
    </w:p>
    <w:p w:rsidR="004410D9" w:rsidRPr="005F370A" w:rsidRDefault="004410D9" w:rsidP="001D09F5"/>
    <w:p w:rsidR="002D259B" w:rsidRPr="005F370A" w:rsidRDefault="009B5725" w:rsidP="001D09F5">
      <w:r>
        <w:t>Rapporten åtföljs av nationella rapporter med ytterligare information om var och en av de sex medlemsstater som besöktes i samband med studien.</w:t>
      </w:r>
    </w:p>
    <w:p w:rsidR="000959F1" w:rsidRPr="005F370A" w:rsidRDefault="000959F1" w:rsidP="001D09F5"/>
    <w:p w:rsidR="00861968" w:rsidRPr="005F370A" w:rsidRDefault="00025B07" w:rsidP="001D09F5">
      <w:pPr>
        <w:pStyle w:val="Heading1"/>
        <w:keepNext/>
        <w:rPr>
          <w:b/>
          <w:sz w:val="24"/>
        </w:rPr>
      </w:pPr>
      <w:bookmarkStart w:id="31" w:name="_Toc399145990"/>
      <w:bookmarkStart w:id="32" w:name="_Toc399257197"/>
      <w:bookmarkStart w:id="33" w:name="_Toc408506710"/>
      <w:bookmarkStart w:id="34" w:name="_Toc411238472"/>
      <w:r>
        <w:rPr>
          <w:b/>
          <w:sz w:val="24"/>
        </w:rPr>
        <w:lastRenderedPageBreak/>
        <w:t>Tillvägagångssätt</w:t>
      </w:r>
      <w:bookmarkEnd w:id="31"/>
      <w:bookmarkEnd w:id="32"/>
      <w:bookmarkEnd w:id="33"/>
      <w:bookmarkEnd w:id="34"/>
    </w:p>
    <w:p w:rsidR="00861968" w:rsidRPr="005F370A" w:rsidRDefault="00861968" w:rsidP="001D09F5">
      <w:pPr>
        <w:keepNext/>
      </w:pPr>
    </w:p>
    <w:p w:rsidR="00861968" w:rsidRPr="005F370A" w:rsidRDefault="00861968" w:rsidP="001D09F5">
      <w:pPr>
        <w:pStyle w:val="Heading2"/>
        <w:keepNext/>
        <w:rPr>
          <w:b/>
        </w:rPr>
      </w:pPr>
      <w:bookmarkStart w:id="35" w:name="_Toc399257198"/>
      <w:bookmarkStart w:id="36" w:name="_Toc408506711"/>
      <w:bookmarkStart w:id="37" w:name="_Toc411238473"/>
      <w:r>
        <w:rPr>
          <w:b/>
        </w:rPr>
        <w:t>Mål</w:t>
      </w:r>
      <w:bookmarkEnd w:id="35"/>
      <w:bookmarkEnd w:id="36"/>
      <w:bookmarkEnd w:id="37"/>
    </w:p>
    <w:p w:rsidR="00861968" w:rsidRPr="005F370A" w:rsidRDefault="00861968" w:rsidP="007E1A59">
      <w:pPr>
        <w:keepNext/>
      </w:pPr>
      <w:bookmarkStart w:id="38" w:name="_Toc399145992"/>
      <w:bookmarkEnd w:id="38"/>
    </w:p>
    <w:p w:rsidR="00861968" w:rsidRPr="005F370A" w:rsidRDefault="00861968" w:rsidP="001D09F5">
      <w:r>
        <w:t>Syftet med studien är att besvara två specifika frågeställningar:</w:t>
      </w:r>
    </w:p>
    <w:p w:rsidR="00861968" w:rsidRPr="005F370A" w:rsidRDefault="00861968" w:rsidP="001D09F5"/>
    <w:p w:rsidR="008F70EB" w:rsidRPr="005F370A" w:rsidRDefault="00861968" w:rsidP="001D09F5">
      <w:pPr>
        <w:numPr>
          <w:ilvl w:val="0"/>
          <w:numId w:val="12"/>
        </w:numPr>
      </w:pPr>
      <w:r>
        <w:t>I hur hög grad är civilsamhället delaktigt i genomförandet av EU-direktivet om förnybar energi? Har civilsamhället bara status som informerad observatör? Fungerar det som en remissinstans i beslutsprocessen? Eller är det direkt involverat i energiproduktionen, och bidrar därmed både till och drar nytta av övergången till en koldioxidsnål ekonomi?</w:t>
      </w:r>
    </w:p>
    <w:p w:rsidR="00861968" w:rsidRPr="005F370A" w:rsidRDefault="00861968" w:rsidP="001D09F5">
      <w:pPr>
        <w:ind w:left="720"/>
      </w:pPr>
    </w:p>
    <w:p w:rsidR="00861968" w:rsidRPr="005F370A" w:rsidRDefault="00861968" w:rsidP="001D09F5">
      <w:pPr>
        <w:numPr>
          <w:ilvl w:val="0"/>
          <w:numId w:val="12"/>
        </w:numPr>
      </w:pPr>
      <w:r>
        <w:t>I vilken omfattning stöder nationella och regionala regelverk (politiska, administrativa, ekonomiska och tekniska ramar) civilsamhällets produktion av förnybar energi?</w:t>
      </w:r>
    </w:p>
    <w:p w:rsidR="00861968" w:rsidRPr="005F370A" w:rsidRDefault="00861968" w:rsidP="001D09F5"/>
    <w:p w:rsidR="00861968" w:rsidRPr="005F370A" w:rsidRDefault="00861968" w:rsidP="001D09F5">
      <w:r>
        <w:t xml:space="preserve">För att kunna besvara dessa frågor har vi i studien försökt att </w:t>
      </w:r>
      <w:r>
        <w:rPr>
          <w:b/>
        </w:rPr>
        <w:t>identifiera strategier och konkreta åtgärder</w:t>
      </w:r>
      <w:r>
        <w:t xml:space="preserve"> som vidtagits på olika styrelsenivåer för att driva på den lokalt ledda produktionen av förnybar energi och koppla den till fördelar för lokalbefolkningen. Detta gör vi genom att peka på goda exempel och framföra politiska rekommendationer.</w:t>
      </w:r>
    </w:p>
    <w:p w:rsidR="00861968" w:rsidRPr="005F370A" w:rsidRDefault="00861968" w:rsidP="001D09F5"/>
    <w:p w:rsidR="008F70EB" w:rsidRPr="005F370A" w:rsidRDefault="008F70EB" w:rsidP="001D09F5">
      <w:r>
        <w:t xml:space="preserve">I rapporten har vi använt oss av begreppet </w:t>
      </w:r>
      <w:r>
        <w:rPr>
          <w:b/>
        </w:rPr>
        <w:t>småskalig produktion av förnybar energi</w:t>
      </w:r>
      <w:r>
        <w:t xml:space="preserve"> för att beteckna en decentraliserad förnybar energiproduktion som ägs (till minst 50 %) eller drivs av medborgare, lokala projekt, samhällen, lokala myndigheter, välgörenhetsorganisationer, icke-statliga organisationer, jordbrukare, kooperativ eller små och medelstora företag, och som innebär att det skapas ett flöde av lokala värden som kan stanna inom regionen. Inte alla projekt för förnybar energi medför ett värde på det lokala planet. Definitionen omfattar t.ex. inte vindkraftsparker som tillhör stora bolag, och vars mervärde inte kommer de lokala samhällena till godo.</w:t>
      </w:r>
    </w:p>
    <w:p w:rsidR="000959F1" w:rsidRPr="005F370A" w:rsidRDefault="000959F1" w:rsidP="001D09F5"/>
    <w:p w:rsidR="00861968" w:rsidRPr="005F370A" w:rsidRDefault="00861968" w:rsidP="001D09F5">
      <w:pPr>
        <w:pStyle w:val="Heading2"/>
        <w:keepNext/>
        <w:rPr>
          <w:b/>
        </w:rPr>
      </w:pPr>
      <w:bookmarkStart w:id="39" w:name="_Toc399145994"/>
      <w:bookmarkStart w:id="40" w:name="_Toc399257199"/>
      <w:bookmarkStart w:id="41" w:name="_Toc408506712"/>
      <w:bookmarkStart w:id="42" w:name="_Toc411238474"/>
      <w:r>
        <w:rPr>
          <w:b/>
        </w:rPr>
        <w:t>Metod</w:t>
      </w:r>
      <w:bookmarkEnd w:id="39"/>
      <w:bookmarkEnd w:id="40"/>
      <w:bookmarkEnd w:id="41"/>
      <w:bookmarkEnd w:id="42"/>
    </w:p>
    <w:p w:rsidR="003E034A" w:rsidRPr="005F370A" w:rsidRDefault="003E034A" w:rsidP="001D09F5">
      <w:pPr>
        <w:keepNext/>
      </w:pPr>
    </w:p>
    <w:p w:rsidR="00861968" w:rsidRPr="005F370A" w:rsidRDefault="00861968" w:rsidP="001D09F5">
      <w:r>
        <w:t>Studien bygger på en sammanställning och analys av olika informationskällor och framför allt på bidrag från ett brett spektrum av aktörer i samband med besöken på plats i de utvalda medlemsstaterna. Följande arbetsmoment har utförts:</w:t>
      </w:r>
    </w:p>
    <w:p w:rsidR="00861968" w:rsidRPr="005F370A" w:rsidRDefault="001D09F5" w:rsidP="001D09F5">
      <w:pPr>
        <w:pStyle w:val="ListParagraph"/>
        <w:numPr>
          <w:ilvl w:val="0"/>
          <w:numId w:val="30"/>
        </w:numPr>
        <w:spacing w:before="240"/>
        <w:rPr>
          <w:sz w:val="22"/>
        </w:rPr>
      </w:pPr>
      <w:r>
        <w:rPr>
          <w:sz w:val="22"/>
        </w:rPr>
        <w:t>Skrivbordsundersökningar av litteratur, statistik och nationella politiska dokument.</w:t>
      </w:r>
    </w:p>
    <w:p w:rsidR="00B0721D" w:rsidRPr="005F370A" w:rsidRDefault="001D09F5" w:rsidP="001D09F5">
      <w:pPr>
        <w:pStyle w:val="ListParagraph"/>
        <w:numPr>
          <w:ilvl w:val="0"/>
          <w:numId w:val="31"/>
        </w:numPr>
        <w:spacing w:before="240"/>
        <w:rPr>
          <w:sz w:val="22"/>
        </w:rPr>
      </w:pPr>
      <w:r>
        <w:rPr>
          <w:sz w:val="22"/>
        </w:rPr>
        <w:t>Intervjuer med nyckelaktörer på EU-nivå.</w:t>
      </w:r>
    </w:p>
    <w:p w:rsidR="00861968" w:rsidRPr="005F370A" w:rsidRDefault="001D09F5" w:rsidP="001D09F5">
      <w:pPr>
        <w:pStyle w:val="ListParagraph"/>
        <w:numPr>
          <w:ilvl w:val="0"/>
          <w:numId w:val="32"/>
        </w:numPr>
        <w:spacing w:before="240"/>
        <w:rPr>
          <w:sz w:val="22"/>
        </w:rPr>
      </w:pPr>
      <w:r>
        <w:rPr>
          <w:sz w:val="22"/>
        </w:rPr>
        <w:t>Webbenkät riktad till myndigheter och aktörer om olika aspekter på nationella administrativa, tekniska och finansiella policyramar för förnybar energi.</w:t>
      </w:r>
    </w:p>
    <w:p w:rsidR="008F70EB" w:rsidRPr="005F370A" w:rsidRDefault="001D09F5" w:rsidP="001D09F5">
      <w:pPr>
        <w:pStyle w:val="ListParagraph"/>
        <w:numPr>
          <w:ilvl w:val="0"/>
          <w:numId w:val="33"/>
        </w:numPr>
        <w:spacing w:before="240"/>
        <w:rPr>
          <w:sz w:val="22"/>
        </w:rPr>
      </w:pPr>
      <w:r>
        <w:rPr>
          <w:sz w:val="22"/>
        </w:rPr>
        <w:t xml:space="preserve">Besök på plats i sex utvalda medlemsstater, där det ingick seminarier och utfrågningar med myndigheter och aktörer samt besök hos lokala projekt för förnybar energi. De sex medlemsstaterna valdes ut på grundval av att vi skulle kunna a) få en god geografisk spridning inom EU, b) ge exempel från "nya" respektive "gamla" medlemsstater och c) avspegla olika startpunkter och genomförandegrad för direktivet om förnybar energi. </w:t>
      </w:r>
    </w:p>
    <w:p w:rsidR="00861968" w:rsidRPr="005F370A" w:rsidRDefault="00861968" w:rsidP="001D09F5">
      <w:pPr>
        <w:spacing w:before="240"/>
        <w:ind w:left="360"/>
        <w:jc w:val="left"/>
      </w:pPr>
      <w:r>
        <w:t>Besöken ägde rum under följande dagar:</w:t>
      </w:r>
    </w:p>
    <w:p w:rsidR="00861968" w:rsidRPr="005F370A" w:rsidRDefault="001D09F5" w:rsidP="001D09F5">
      <w:pPr>
        <w:pStyle w:val="ListParagraph"/>
        <w:numPr>
          <w:ilvl w:val="1"/>
          <w:numId w:val="24"/>
        </w:numPr>
        <w:rPr>
          <w:sz w:val="22"/>
        </w:rPr>
      </w:pPr>
      <w:r>
        <w:rPr>
          <w:sz w:val="22"/>
        </w:rPr>
        <w:t>Tyskland: 11–13 mars 2014.</w:t>
      </w:r>
    </w:p>
    <w:p w:rsidR="00861968" w:rsidRPr="005F370A" w:rsidRDefault="001D09F5" w:rsidP="001D09F5">
      <w:pPr>
        <w:pStyle w:val="ListParagraph"/>
        <w:numPr>
          <w:ilvl w:val="1"/>
          <w:numId w:val="25"/>
        </w:numPr>
        <w:rPr>
          <w:sz w:val="22"/>
        </w:rPr>
      </w:pPr>
      <w:r>
        <w:rPr>
          <w:sz w:val="22"/>
        </w:rPr>
        <w:lastRenderedPageBreak/>
        <w:t>Polen: 7–9 april 2014.</w:t>
      </w:r>
    </w:p>
    <w:p w:rsidR="00861968" w:rsidRPr="005F370A" w:rsidRDefault="001D09F5" w:rsidP="001D09F5">
      <w:pPr>
        <w:pStyle w:val="ListParagraph"/>
        <w:numPr>
          <w:ilvl w:val="1"/>
          <w:numId w:val="26"/>
        </w:numPr>
        <w:rPr>
          <w:sz w:val="22"/>
        </w:rPr>
      </w:pPr>
      <w:r>
        <w:rPr>
          <w:sz w:val="22"/>
        </w:rPr>
        <w:t>Frankrike: 23–24 april 2014.</w:t>
      </w:r>
    </w:p>
    <w:p w:rsidR="00861968" w:rsidRPr="005F370A" w:rsidRDefault="001D09F5" w:rsidP="001D09F5">
      <w:pPr>
        <w:pStyle w:val="ListParagraph"/>
        <w:numPr>
          <w:ilvl w:val="1"/>
          <w:numId w:val="27"/>
        </w:numPr>
        <w:rPr>
          <w:sz w:val="22"/>
        </w:rPr>
      </w:pPr>
      <w:r>
        <w:rPr>
          <w:sz w:val="22"/>
        </w:rPr>
        <w:t>Storbritannien: 5–7 maj 2014.</w:t>
      </w:r>
    </w:p>
    <w:p w:rsidR="00861968" w:rsidRPr="005F370A" w:rsidRDefault="001D09F5" w:rsidP="001D09F5">
      <w:pPr>
        <w:pStyle w:val="ListParagraph"/>
        <w:numPr>
          <w:ilvl w:val="1"/>
          <w:numId w:val="28"/>
        </w:numPr>
        <w:rPr>
          <w:sz w:val="22"/>
        </w:rPr>
      </w:pPr>
      <w:r>
        <w:rPr>
          <w:sz w:val="22"/>
        </w:rPr>
        <w:t>Litauen: 13–15 maj 2014.</w:t>
      </w:r>
    </w:p>
    <w:p w:rsidR="00861968" w:rsidRPr="005F370A" w:rsidRDefault="001D09F5" w:rsidP="001D09F5">
      <w:pPr>
        <w:pStyle w:val="ListParagraph"/>
        <w:numPr>
          <w:ilvl w:val="1"/>
          <w:numId w:val="29"/>
        </w:numPr>
        <w:rPr>
          <w:sz w:val="22"/>
        </w:rPr>
      </w:pPr>
      <w:r>
        <w:rPr>
          <w:sz w:val="22"/>
        </w:rPr>
        <w:t>Bulgarien: 14–16 juli 2014.</w:t>
      </w:r>
    </w:p>
    <w:p w:rsidR="00861968" w:rsidRPr="005F370A" w:rsidRDefault="00861968" w:rsidP="001D09F5">
      <w:pPr>
        <w:rPr>
          <w:sz w:val="24"/>
        </w:rPr>
      </w:pPr>
    </w:p>
    <w:p w:rsidR="00EA4643" w:rsidRPr="005F370A" w:rsidRDefault="00EA4643" w:rsidP="001D09F5">
      <w:pPr>
        <w:rPr>
          <w:b/>
        </w:rPr>
      </w:pPr>
      <w:r>
        <w:t>Det bör påpekas att det vid tidpunkten för studiebesöken pågick ett betydande reformarbete av policyramar och åtgärder för förnybar energi i alla de besökta länderna. Studiegruppen hade därför möjlighet att ta del av de livliga diskussioner som pågick i länderna om reformernas eventuella konsekvenser för småskaliga energiprojekt. Rapporter om varje besök bifogas denna rapport.</w:t>
      </w:r>
    </w:p>
    <w:p w:rsidR="00EA4643" w:rsidRPr="005F370A" w:rsidRDefault="00EA4643" w:rsidP="001D09F5"/>
    <w:p w:rsidR="003E034A" w:rsidRPr="005F370A" w:rsidRDefault="003E034A" w:rsidP="001D09F5">
      <w:r>
        <w:t>Eftersom fokus ligger på det civila samhället undersöks i studien sådana förnybara energikällor där småproducenter och lokalsamhällen brukar delta, dvs. solenergi (solceller och solfångare), vindkraft, biomassa, biogas och mikrovattenkraftverk.</w:t>
      </w:r>
    </w:p>
    <w:p w:rsidR="003E034A" w:rsidRPr="005F370A" w:rsidRDefault="003E034A" w:rsidP="001D09F5"/>
    <w:p w:rsidR="00105A4D" w:rsidRPr="005F370A" w:rsidRDefault="008A4B88" w:rsidP="001D09F5">
      <w:pPr>
        <w:pStyle w:val="Heading1"/>
        <w:keepNext/>
        <w:rPr>
          <w:b/>
          <w:sz w:val="24"/>
        </w:rPr>
      </w:pPr>
      <w:bookmarkStart w:id="43" w:name="_Toc397891541"/>
      <w:bookmarkStart w:id="44" w:name="_Toc397891544"/>
      <w:bookmarkStart w:id="45" w:name="_Toc397891545"/>
      <w:bookmarkStart w:id="46" w:name="_Toc397891546"/>
      <w:bookmarkStart w:id="47" w:name="_Toc397891547"/>
      <w:bookmarkStart w:id="48" w:name="_Toc397891548"/>
      <w:bookmarkStart w:id="49" w:name="_Toc398538369"/>
      <w:bookmarkStart w:id="50" w:name="_Toc408506726"/>
      <w:bookmarkStart w:id="51" w:name="_Toc411238475"/>
      <w:bookmarkEnd w:id="43"/>
      <w:bookmarkEnd w:id="44"/>
      <w:bookmarkEnd w:id="45"/>
      <w:bookmarkEnd w:id="46"/>
      <w:bookmarkEnd w:id="47"/>
      <w:bookmarkEnd w:id="48"/>
      <w:r>
        <w:rPr>
          <w:b/>
          <w:sz w:val="24"/>
        </w:rPr>
        <w:t>Framstegen för förnybar energi i EU – en lägesrapport</w:t>
      </w:r>
      <w:bookmarkEnd w:id="49"/>
      <w:bookmarkEnd w:id="50"/>
      <w:bookmarkEnd w:id="51"/>
    </w:p>
    <w:p w:rsidR="00094EC2" w:rsidRPr="005F370A" w:rsidRDefault="00094EC2" w:rsidP="001D09F5">
      <w:pPr>
        <w:keepNext/>
        <w:spacing w:line="240" w:lineRule="auto"/>
      </w:pPr>
    </w:p>
    <w:p w:rsidR="004E5946" w:rsidRPr="005F370A" w:rsidRDefault="00014F2A" w:rsidP="001D09F5">
      <w:pPr>
        <w:spacing w:line="276" w:lineRule="auto"/>
      </w:pPr>
      <w:r>
        <w:t>EU:s ekonomi är fortfarande starkt beroende av fossila och importerade bränslen, men andelen förnybar energi i den slutliga energiförbrukningen (brutto) har växt stadigt. Den uppgick till 14,1 % 2012</w:t>
      </w:r>
      <w:r>
        <w:rPr>
          <w:rStyle w:val="FootnoteReference"/>
        </w:rPr>
        <w:footnoteReference w:id="7"/>
      </w:r>
      <w:r>
        <w:t>, fortfarande i linje med målet i direktivet om förnybar energi om 20 % andel förnybar energi i EU:s slutliga energiförbrukning (brutto) år 2020. Framstegen har dock varierat kraftigt inom EU och det skedde en inbromsning under 2014. Om denna trend fortsätter kommer EU inte att kunna uppnå sitt mål på 20 %.</w:t>
      </w:r>
      <w:bookmarkStart w:id="52" w:name="_Toc397891565"/>
      <w:bookmarkStart w:id="53" w:name="_Toc397891566"/>
      <w:bookmarkStart w:id="54" w:name="_Toc397891567"/>
      <w:bookmarkStart w:id="55" w:name="_Toc397891568"/>
      <w:bookmarkEnd w:id="52"/>
      <w:bookmarkEnd w:id="53"/>
      <w:bookmarkEnd w:id="54"/>
      <w:bookmarkEnd w:id="55"/>
    </w:p>
    <w:p w:rsidR="0007081A" w:rsidRPr="005F370A" w:rsidRDefault="0007081A" w:rsidP="001D09F5">
      <w:pPr>
        <w:spacing w:line="200" w:lineRule="exact"/>
        <w:rPr>
          <w:sz w:val="18"/>
        </w:rPr>
      </w:pPr>
    </w:p>
    <w:p w:rsidR="00F453D2" w:rsidRPr="005F370A" w:rsidRDefault="00DC3D46" w:rsidP="001D09F5">
      <w:pPr>
        <w:jc w:val="left"/>
        <w:rPr>
          <w:b/>
          <w:sz w:val="18"/>
        </w:rPr>
      </w:pPr>
      <w:r>
        <w:rPr>
          <w:b/>
          <w:noProof/>
          <w:sz w:val="18"/>
          <w:lang w:val="fr-BE" w:eastAsia="fr-BE" w:bidi="ar-SA"/>
        </w:rPr>
        <w:drawing>
          <wp:inline distT="0" distB="0" distL="0" distR="0" wp14:anchorId="18F0C9DC" wp14:editId="687CC347">
            <wp:extent cx="4874260" cy="31172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4260" cy="3117215"/>
                    </a:xfrm>
                    <a:prstGeom prst="rect">
                      <a:avLst/>
                    </a:prstGeom>
                    <a:noFill/>
                    <a:ln>
                      <a:noFill/>
                    </a:ln>
                  </pic:spPr>
                </pic:pic>
              </a:graphicData>
            </a:graphic>
          </wp:inline>
        </w:drawing>
      </w:r>
    </w:p>
    <w:p w:rsidR="00662559" w:rsidRPr="005F370A" w:rsidRDefault="007623B8" w:rsidP="001D09F5">
      <w:pPr>
        <w:jc w:val="left"/>
        <w:rPr>
          <w:b/>
          <w:sz w:val="18"/>
        </w:rPr>
      </w:pPr>
      <w:r>
        <w:rPr>
          <w:b/>
          <w:sz w:val="18"/>
        </w:rPr>
        <w:t>Figur</w:t>
      </w:r>
      <w:r w:rsidR="00AD5F89" w:rsidRPr="005F370A">
        <w:rPr>
          <w:b/>
          <w:sz w:val="18"/>
        </w:rPr>
        <w:fldChar w:fldCharType="begin" w:fldLock="1"/>
      </w:r>
      <w:r w:rsidR="00AD5F89" w:rsidRPr="005F370A">
        <w:rPr>
          <w:b/>
          <w:sz w:val="18"/>
        </w:rPr>
        <w:instrText xml:space="preserve"> SEQ Figure \* ARABIC </w:instrText>
      </w:r>
      <w:r w:rsidR="00AD5F89" w:rsidRPr="005F370A">
        <w:rPr>
          <w:b/>
          <w:sz w:val="18"/>
        </w:rPr>
        <w:fldChar w:fldCharType="separate"/>
      </w:r>
      <w:r w:rsidR="00B56504" w:rsidRPr="005F370A">
        <w:rPr>
          <w:b/>
          <w:sz w:val="18"/>
        </w:rPr>
        <w:t>1</w:t>
      </w:r>
      <w:r w:rsidR="00AD5F89" w:rsidRPr="005F370A">
        <w:rPr>
          <w:b/>
          <w:sz w:val="18"/>
        </w:rPr>
        <w:fldChar w:fldCharType="end"/>
      </w:r>
      <w:r>
        <w:rPr>
          <w:b/>
          <w:sz w:val="18"/>
        </w:rPr>
        <w:t>: Andel energi från förnybara energikällor per medlemsstat (% av den slutliga bruttoenergiförbrukningen)</w:t>
      </w:r>
    </w:p>
    <w:p w:rsidR="0007081A" w:rsidRPr="005F370A" w:rsidRDefault="0007081A" w:rsidP="001D09F5">
      <w:pPr>
        <w:rPr>
          <w:sz w:val="18"/>
        </w:rPr>
      </w:pPr>
      <w:r>
        <w:rPr>
          <w:sz w:val="18"/>
        </w:rPr>
        <w:t>Källa: Eurostats pressmeddelande, STAT/14/37, av den 10 mars 2014.</w:t>
      </w:r>
    </w:p>
    <w:p w:rsidR="0007081A" w:rsidRPr="005F370A" w:rsidRDefault="0007081A" w:rsidP="001D09F5"/>
    <w:p w:rsidR="004C28DF" w:rsidRPr="005F370A" w:rsidRDefault="009C36C3" w:rsidP="001D09F5">
      <w:bookmarkStart w:id="56" w:name="_Toc395564689"/>
      <w:r>
        <w:t xml:space="preserve">Enligt uppgifter från Eurostat (2012) vilar produktionen av förnybar energi i EU främst på biomassa (46 %) och vattenkraft (16 %), men nya typer av förnybara energikällor såsom </w:t>
      </w:r>
      <w:r>
        <w:rPr>
          <w:b/>
        </w:rPr>
        <w:t>solceller</w:t>
      </w:r>
      <w:r>
        <w:t xml:space="preserve"> och vindkraft vinner terräng och medför nya möjligheter för det civila samhället att delta.</w:t>
      </w:r>
    </w:p>
    <w:p w:rsidR="009C36C3" w:rsidRPr="005F370A" w:rsidRDefault="009C36C3" w:rsidP="001D09F5"/>
    <w:p w:rsidR="00094EC2" w:rsidRPr="005F370A" w:rsidRDefault="00DC3D46" w:rsidP="006F39AC">
      <w:pPr>
        <w:keepLines/>
      </w:pPr>
      <w:r>
        <w:rPr>
          <w:noProof/>
          <w:lang w:val="fr-BE" w:eastAsia="fr-BE" w:bidi="ar-SA"/>
        </w:rPr>
        <w:drawing>
          <wp:inline distT="0" distB="0" distL="0" distR="0" wp14:anchorId="155C6A24" wp14:editId="15609769">
            <wp:extent cx="2878455" cy="2003425"/>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8455" cy="2003425"/>
                    </a:xfrm>
                    <a:prstGeom prst="rect">
                      <a:avLst/>
                    </a:prstGeom>
                    <a:noFill/>
                    <a:ln>
                      <a:noFill/>
                    </a:ln>
                  </pic:spPr>
                </pic:pic>
              </a:graphicData>
            </a:graphic>
          </wp:inline>
        </w:drawing>
      </w:r>
    </w:p>
    <w:p w:rsidR="004C28DF" w:rsidRPr="005F370A" w:rsidRDefault="007623B8" w:rsidP="006F39AC">
      <w:pPr>
        <w:keepLines/>
        <w:jc w:val="left"/>
        <w:rPr>
          <w:b/>
          <w:sz w:val="18"/>
        </w:rPr>
      </w:pPr>
      <w:r>
        <w:rPr>
          <w:b/>
          <w:sz w:val="18"/>
        </w:rPr>
        <w:t xml:space="preserve">Figur </w:t>
      </w:r>
      <w:r w:rsidRPr="005F370A">
        <w:rPr>
          <w:b/>
          <w:sz w:val="18"/>
        </w:rPr>
        <w:fldChar w:fldCharType="begin" w:fldLock="1"/>
      </w:r>
      <w:r w:rsidRPr="005F370A">
        <w:rPr>
          <w:b/>
          <w:sz w:val="18"/>
        </w:rPr>
        <w:instrText xml:space="preserve"> SEQ Figure \* ARABIC </w:instrText>
      </w:r>
      <w:r w:rsidRPr="005F370A">
        <w:rPr>
          <w:b/>
          <w:sz w:val="18"/>
        </w:rPr>
        <w:fldChar w:fldCharType="separate"/>
      </w:r>
      <w:r w:rsidR="00B56504" w:rsidRPr="005F370A">
        <w:rPr>
          <w:b/>
          <w:sz w:val="18"/>
        </w:rPr>
        <w:t>2</w:t>
      </w:r>
      <w:r w:rsidRPr="005F370A">
        <w:rPr>
          <w:b/>
          <w:sz w:val="18"/>
        </w:rPr>
        <w:fldChar w:fldCharType="end"/>
      </w:r>
      <w:r>
        <w:rPr>
          <w:b/>
          <w:sz w:val="18"/>
        </w:rPr>
        <w:t>: Installerad elkapacitet för förnybar energi i EU-28.</w:t>
      </w:r>
    </w:p>
    <w:p w:rsidR="004C28DF" w:rsidRPr="005F370A" w:rsidRDefault="00763804" w:rsidP="006F39AC">
      <w:pPr>
        <w:keepLines/>
        <w:jc w:val="left"/>
        <w:rPr>
          <w:sz w:val="18"/>
        </w:rPr>
      </w:pPr>
      <w:r>
        <w:rPr>
          <w:sz w:val="18"/>
        </w:rPr>
        <w:t>Källa: Uppgifter från Eurostat</w:t>
      </w:r>
    </w:p>
    <w:p w:rsidR="00FC3C8B" w:rsidRPr="005F370A" w:rsidRDefault="00FC3C8B" w:rsidP="001D09F5"/>
    <w:p w:rsidR="00F879A8" w:rsidRPr="005F370A" w:rsidRDefault="00F879A8" w:rsidP="001D09F5">
      <w:r>
        <w:t xml:space="preserve">Den slutliga förbrukningen av </w:t>
      </w:r>
      <w:r>
        <w:rPr>
          <w:b/>
        </w:rPr>
        <w:t>el från förnybara energikällor</w:t>
      </w:r>
      <w:r>
        <w:t xml:space="preserve"> (RES-E) uppgick till 23,5 % under 2012. Denna framgång kan delvis förklaras av den imponerande tillväxten inom solcellssektorn (som stod för 23 % av den installerade kapaciteten av el från förnybara energikällor i EU fram till 2012) och inom vindkraftssektorn (som stod för 35 % av den installerade kapaciteten).</w:t>
      </w:r>
    </w:p>
    <w:p w:rsidR="00F879A8" w:rsidRPr="005F370A" w:rsidRDefault="00F879A8" w:rsidP="001D09F5">
      <w:pPr>
        <w:rPr>
          <w:b/>
          <w:sz w:val="18"/>
        </w:rPr>
      </w:pPr>
    </w:p>
    <w:p w:rsidR="00C6082A" w:rsidRPr="005F370A" w:rsidRDefault="00807AB2" w:rsidP="001D09F5">
      <w:r>
        <w:t xml:space="preserve">Framstegen när det gäller förnybara energikällor inom sektorn för uppvärmning och kylning har gått mycket långsammare: 15,6% 2012. Biomassan står för 15 % av värmeproduktionen och 87 % av förnybara energikällor inom sektorn för uppvärmning och kylning. Biogasen ligger efter med endast 3 % av de förnybara energikällorna inom sektorn för uppvärmning och kylning. Biomassa används ofta för att producera värme i kraftvärmeverk, men en stor del av den bränns med ineffektiv utrustning. Träbiomassa används fortfarande i stor utsträckning i Östeuropa, med en stor import från Ryssland (i Polens fall). Den energi som produceras räknas som förnybar energi och producenterna får </w:t>
      </w:r>
      <w:r>
        <w:rPr>
          <w:i/>
        </w:rPr>
        <w:t>gröna certifikat</w:t>
      </w:r>
      <w:r>
        <w:t>, även om den i praktiken inte bidrar till utsläppsminskningen och ibland bidrar till avskogningen. Dessutom sambränner de flesta kraftvärmeverk en blandning av kol och biomassa, vilket gör det svårt att kontrollera den rapporterade andelen förnybara energikällor: ett problem som påpekats av aktörer i Polen, Litauen och Bulgarien. I Polen gick 70–75 % av alla gröna certifikat till koleldade elkraftverk under perioden 2007–2011, vars vinster ökade samtidigt som priset på gröna certifikat minskade. Denna minskning drabbade i sin tur vindkraftverken hårt och gjorde dem ekonomiskt olönsamma.</w:t>
      </w:r>
    </w:p>
    <w:p w:rsidR="00C6082A" w:rsidRPr="005F370A" w:rsidRDefault="00C6082A" w:rsidP="001D09F5"/>
    <w:p w:rsidR="00035914" w:rsidRPr="005F370A" w:rsidRDefault="00035914" w:rsidP="001D09F5">
      <w:pPr>
        <w:spacing w:line="276" w:lineRule="auto"/>
      </w:pPr>
      <w:r>
        <w:t>Det är viktigt att påpeka att den politiska debatten och samhällsdebatten om förnybar energi hittills främst har varit inriktad på produktionen av el, medan värmeproduktionen inte har haft en lika framträdande roll. Denna prioriteringsordning måste omprövas eftersom energianvändningen är betydligt högre inom uppvärmnings- än inom elsektorn. En kombination av förnybar elproduktion och värmeproduktion kan dessutom vara ett ypperligt tillfälle att skaffa välbehövlig lagringskapacitet (kraft till värme), som skulle kunna utnyttjas upprepade gånger för att hantera svängningar i produktionen av förnybar energi.</w:t>
      </w:r>
    </w:p>
    <w:p w:rsidR="000959F1" w:rsidRPr="005F370A" w:rsidRDefault="000959F1" w:rsidP="001D09F5">
      <w:pPr>
        <w:spacing w:line="240" w:lineRule="auto"/>
      </w:pPr>
    </w:p>
    <w:p w:rsidR="0020591A" w:rsidRPr="005F370A" w:rsidRDefault="00494BB0" w:rsidP="001D09F5">
      <w:pPr>
        <w:pStyle w:val="Heading1"/>
        <w:keepNext/>
        <w:rPr>
          <w:b/>
          <w:sz w:val="24"/>
        </w:rPr>
      </w:pPr>
      <w:bookmarkStart w:id="57" w:name="_Toc398903652"/>
      <w:bookmarkStart w:id="58" w:name="_Toc399145834"/>
      <w:bookmarkStart w:id="59" w:name="_Toc399145887"/>
      <w:bookmarkStart w:id="60" w:name="_Toc399145940"/>
      <w:bookmarkStart w:id="61" w:name="_Toc399145998"/>
      <w:bookmarkStart w:id="62" w:name="_Toc399146068"/>
      <w:bookmarkStart w:id="63" w:name="_Toc399146122"/>
      <w:bookmarkStart w:id="64" w:name="_Toc399146230"/>
      <w:bookmarkStart w:id="65" w:name="_Toc399146283"/>
      <w:bookmarkStart w:id="66" w:name="_Toc399146335"/>
      <w:bookmarkStart w:id="67" w:name="_Toc399157080"/>
      <w:bookmarkStart w:id="68" w:name="_Toc399171472"/>
      <w:bookmarkStart w:id="69" w:name="_Toc399171546"/>
      <w:bookmarkStart w:id="70" w:name="_Toc399171620"/>
      <w:bookmarkStart w:id="71" w:name="_Toc399171690"/>
      <w:bookmarkStart w:id="72" w:name="_Toc399171764"/>
      <w:bookmarkStart w:id="73" w:name="_Toc398903653"/>
      <w:bookmarkStart w:id="74" w:name="_Toc399145835"/>
      <w:bookmarkStart w:id="75" w:name="_Toc399145888"/>
      <w:bookmarkStart w:id="76" w:name="_Toc399145941"/>
      <w:bookmarkStart w:id="77" w:name="_Toc399145999"/>
      <w:bookmarkStart w:id="78" w:name="_Toc399146069"/>
      <w:bookmarkStart w:id="79" w:name="_Toc399146123"/>
      <w:bookmarkStart w:id="80" w:name="_Toc399146231"/>
      <w:bookmarkStart w:id="81" w:name="_Toc399146284"/>
      <w:bookmarkStart w:id="82" w:name="_Toc399146336"/>
      <w:bookmarkStart w:id="83" w:name="_Toc399157081"/>
      <w:bookmarkStart w:id="84" w:name="_Toc399171473"/>
      <w:bookmarkStart w:id="85" w:name="_Toc399171547"/>
      <w:bookmarkStart w:id="86" w:name="_Toc399171621"/>
      <w:bookmarkStart w:id="87" w:name="_Toc399171691"/>
      <w:bookmarkStart w:id="88" w:name="_Toc399171765"/>
      <w:bookmarkStart w:id="89" w:name="_Toc398903654"/>
      <w:bookmarkStart w:id="90" w:name="_Toc399145836"/>
      <w:bookmarkStart w:id="91" w:name="_Toc399145889"/>
      <w:bookmarkStart w:id="92" w:name="_Toc399145942"/>
      <w:bookmarkStart w:id="93" w:name="_Toc399146000"/>
      <w:bookmarkStart w:id="94" w:name="_Toc399146070"/>
      <w:bookmarkStart w:id="95" w:name="_Toc399146124"/>
      <w:bookmarkStart w:id="96" w:name="_Toc399146232"/>
      <w:bookmarkStart w:id="97" w:name="_Toc399146285"/>
      <w:bookmarkStart w:id="98" w:name="_Toc399146337"/>
      <w:bookmarkStart w:id="99" w:name="_Toc399157082"/>
      <w:bookmarkStart w:id="100" w:name="_Toc399171474"/>
      <w:bookmarkStart w:id="101" w:name="_Toc399171548"/>
      <w:bookmarkStart w:id="102" w:name="_Toc399171622"/>
      <w:bookmarkStart w:id="103" w:name="_Toc399171692"/>
      <w:bookmarkStart w:id="104" w:name="_Toc399171766"/>
      <w:bookmarkStart w:id="105" w:name="_Toc398903655"/>
      <w:bookmarkStart w:id="106" w:name="_Toc399145837"/>
      <w:bookmarkStart w:id="107" w:name="_Toc399145890"/>
      <w:bookmarkStart w:id="108" w:name="_Toc399145943"/>
      <w:bookmarkStart w:id="109" w:name="_Toc399146001"/>
      <w:bookmarkStart w:id="110" w:name="_Toc399146071"/>
      <w:bookmarkStart w:id="111" w:name="_Toc399146125"/>
      <w:bookmarkStart w:id="112" w:name="_Toc399146233"/>
      <w:bookmarkStart w:id="113" w:name="_Toc399146286"/>
      <w:bookmarkStart w:id="114" w:name="_Toc399146338"/>
      <w:bookmarkStart w:id="115" w:name="_Toc399157083"/>
      <w:bookmarkStart w:id="116" w:name="_Toc399171475"/>
      <w:bookmarkStart w:id="117" w:name="_Toc399171549"/>
      <w:bookmarkStart w:id="118" w:name="_Toc399171623"/>
      <w:bookmarkStart w:id="119" w:name="_Toc399171693"/>
      <w:bookmarkStart w:id="120" w:name="_Toc399171767"/>
      <w:bookmarkStart w:id="121" w:name="_Toc398903656"/>
      <w:bookmarkStart w:id="122" w:name="_Toc399145838"/>
      <w:bookmarkStart w:id="123" w:name="_Toc399145891"/>
      <w:bookmarkStart w:id="124" w:name="_Toc399145944"/>
      <w:bookmarkStart w:id="125" w:name="_Toc399146002"/>
      <w:bookmarkStart w:id="126" w:name="_Toc399146072"/>
      <w:bookmarkStart w:id="127" w:name="_Toc399146126"/>
      <w:bookmarkStart w:id="128" w:name="_Toc399146234"/>
      <w:bookmarkStart w:id="129" w:name="_Toc399146287"/>
      <w:bookmarkStart w:id="130" w:name="_Toc399146339"/>
      <w:bookmarkStart w:id="131" w:name="_Toc399157084"/>
      <w:bookmarkStart w:id="132" w:name="_Toc399171476"/>
      <w:bookmarkStart w:id="133" w:name="_Toc399171550"/>
      <w:bookmarkStart w:id="134" w:name="_Toc399171624"/>
      <w:bookmarkStart w:id="135" w:name="_Toc399171694"/>
      <w:bookmarkStart w:id="136" w:name="_Toc399171768"/>
      <w:bookmarkStart w:id="137" w:name="_Toc398903658"/>
      <w:bookmarkStart w:id="138" w:name="_Toc399145840"/>
      <w:bookmarkStart w:id="139" w:name="_Toc399145893"/>
      <w:bookmarkStart w:id="140" w:name="_Toc399145946"/>
      <w:bookmarkStart w:id="141" w:name="_Toc399146004"/>
      <w:bookmarkStart w:id="142" w:name="_Toc399146074"/>
      <w:bookmarkStart w:id="143" w:name="_Toc399146128"/>
      <w:bookmarkStart w:id="144" w:name="_Toc399146236"/>
      <w:bookmarkStart w:id="145" w:name="_Toc399146289"/>
      <w:bookmarkStart w:id="146" w:name="_Toc399146341"/>
      <w:bookmarkStart w:id="147" w:name="_Toc399157086"/>
      <w:bookmarkStart w:id="148" w:name="_Toc399171478"/>
      <w:bookmarkStart w:id="149" w:name="_Toc399171552"/>
      <w:bookmarkStart w:id="150" w:name="_Toc399171626"/>
      <w:bookmarkStart w:id="151" w:name="_Toc399171696"/>
      <w:bookmarkStart w:id="152" w:name="_Toc399171770"/>
      <w:bookmarkStart w:id="153" w:name="_Toc398903659"/>
      <w:bookmarkStart w:id="154" w:name="_Toc399145841"/>
      <w:bookmarkStart w:id="155" w:name="_Toc399145894"/>
      <w:bookmarkStart w:id="156" w:name="_Toc399145947"/>
      <w:bookmarkStart w:id="157" w:name="_Toc399146005"/>
      <w:bookmarkStart w:id="158" w:name="_Toc399146075"/>
      <w:bookmarkStart w:id="159" w:name="_Toc399146129"/>
      <w:bookmarkStart w:id="160" w:name="_Toc399146237"/>
      <w:bookmarkStart w:id="161" w:name="_Toc399146290"/>
      <w:bookmarkStart w:id="162" w:name="_Toc399146342"/>
      <w:bookmarkStart w:id="163" w:name="_Toc399157087"/>
      <w:bookmarkStart w:id="164" w:name="_Toc399171479"/>
      <w:bookmarkStart w:id="165" w:name="_Toc399171553"/>
      <w:bookmarkStart w:id="166" w:name="_Toc399171627"/>
      <w:bookmarkStart w:id="167" w:name="_Toc399171697"/>
      <w:bookmarkStart w:id="168" w:name="_Toc399171771"/>
      <w:bookmarkStart w:id="169" w:name="_Toc398903660"/>
      <w:bookmarkStart w:id="170" w:name="_Toc399145842"/>
      <w:bookmarkStart w:id="171" w:name="_Toc399145895"/>
      <w:bookmarkStart w:id="172" w:name="_Toc399145948"/>
      <w:bookmarkStart w:id="173" w:name="_Toc399146006"/>
      <w:bookmarkStart w:id="174" w:name="_Toc399146076"/>
      <w:bookmarkStart w:id="175" w:name="_Toc399146130"/>
      <w:bookmarkStart w:id="176" w:name="_Toc399146238"/>
      <w:bookmarkStart w:id="177" w:name="_Toc399146291"/>
      <w:bookmarkStart w:id="178" w:name="_Toc399146343"/>
      <w:bookmarkStart w:id="179" w:name="_Toc399157088"/>
      <w:bookmarkStart w:id="180" w:name="_Toc399171480"/>
      <w:bookmarkStart w:id="181" w:name="_Toc399171554"/>
      <w:bookmarkStart w:id="182" w:name="_Toc399171628"/>
      <w:bookmarkStart w:id="183" w:name="_Toc399171698"/>
      <w:bookmarkStart w:id="184" w:name="_Toc399171772"/>
      <w:bookmarkStart w:id="185" w:name="_Toc398903661"/>
      <w:bookmarkStart w:id="186" w:name="_Toc399145843"/>
      <w:bookmarkStart w:id="187" w:name="_Toc399145896"/>
      <w:bookmarkStart w:id="188" w:name="_Toc399145949"/>
      <w:bookmarkStart w:id="189" w:name="_Toc399146007"/>
      <w:bookmarkStart w:id="190" w:name="_Toc399146077"/>
      <w:bookmarkStart w:id="191" w:name="_Toc399146131"/>
      <w:bookmarkStart w:id="192" w:name="_Toc399146239"/>
      <w:bookmarkStart w:id="193" w:name="_Toc399146292"/>
      <w:bookmarkStart w:id="194" w:name="_Toc399146344"/>
      <w:bookmarkStart w:id="195" w:name="_Toc399157089"/>
      <w:bookmarkStart w:id="196" w:name="_Toc399171481"/>
      <w:bookmarkStart w:id="197" w:name="_Toc399171555"/>
      <w:bookmarkStart w:id="198" w:name="_Toc399171629"/>
      <w:bookmarkStart w:id="199" w:name="_Toc399171699"/>
      <w:bookmarkStart w:id="200" w:name="_Toc399171773"/>
      <w:bookmarkStart w:id="201" w:name="_Toc398903665"/>
      <w:bookmarkStart w:id="202" w:name="_Toc399145847"/>
      <w:bookmarkStart w:id="203" w:name="_Toc399145900"/>
      <w:bookmarkStart w:id="204" w:name="_Toc399145953"/>
      <w:bookmarkStart w:id="205" w:name="_Toc399146011"/>
      <w:bookmarkStart w:id="206" w:name="_Toc399146081"/>
      <w:bookmarkStart w:id="207" w:name="_Toc399146135"/>
      <w:bookmarkStart w:id="208" w:name="_Toc399146243"/>
      <w:bookmarkStart w:id="209" w:name="_Toc399146296"/>
      <w:bookmarkStart w:id="210" w:name="_Toc399146348"/>
      <w:bookmarkStart w:id="211" w:name="_Toc399157093"/>
      <w:bookmarkStart w:id="212" w:name="_Toc399171485"/>
      <w:bookmarkStart w:id="213" w:name="_Toc399171559"/>
      <w:bookmarkStart w:id="214" w:name="_Toc399171633"/>
      <w:bookmarkStart w:id="215" w:name="_Toc399171703"/>
      <w:bookmarkStart w:id="216" w:name="_Toc399171777"/>
      <w:bookmarkStart w:id="217" w:name="_Toc398903666"/>
      <w:bookmarkStart w:id="218" w:name="_Toc399145848"/>
      <w:bookmarkStart w:id="219" w:name="_Toc399145901"/>
      <w:bookmarkStart w:id="220" w:name="_Toc399145954"/>
      <w:bookmarkStart w:id="221" w:name="_Toc399146012"/>
      <w:bookmarkStart w:id="222" w:name="_Toc399146082"/>
      <w:bookmarkStart w:id="223" w:name="_Toc399146136"/>
      <w:bookmarkStart w:id="224" w:name="_Toc399146244"/>
      <w:bookmarkStart w:id="225" w:name="_Toc399146297"/>
      <w:bookmarkStart w:id="226" w:name="_Toc399146349"/>
      <w:bookmarkStart w:id="227" w:name="_Toc399157094"/>
      <w:bookmarkStart w:id="228" w:name="_Toc399171486"/>
      <w:bookmarkStart w:id="229" w:name="_Toc399171560"/>
      <w:bookmarkStart w:id="230" w:name="_Toc399171634"/>
      <w:bookmarkStart w:id="231" w:name="_Toc399171704"/>
      <w:bookmarkStart w:id="232" w:name="_Toc399171778"/>
      <w:bookmarkStart w:id="233" w:name="_Toc398903667"/>
      <w:bookmarkStart w:id="234" w:name="_Toc399145849"/>
      <w:bookmarkStart w:id="235" w:name="_Toc399145902"/>
      <w:bookmarkStart w:id="236" w:name="_Toc399145955"/>
      <w:bookmarkStart w:id="237" w:name="_Toc399146013"/>
      <w:bookmarkStart w:id="238" w:name="_Toc399146083"/>
      <w:bookmarkStart w:id="239" w:name="_Toc399146137"/>
      <w:bookmarkStart w:id="240" w:name="_Toc399146245"/>
      <w:bookmarkStart w:id="241" w:name="_Toc399146298"/>
      <w:bookmarkStart w:id="242" w:name="_Toc399146350"/>
      <w:bookmarkStart w:id="243" w:name="_Toc399157095"/>
      <w:bookmarkStart w:id="244" w:name="_Toc399171487"/>
      <w:bookmarkStart w:id="245" w:name="_Toc399171561"/>
      <w:bookmarkStart w:id="246" w:name="_Toc399171635"/>
      <w:bookmarkStart w:id="247" w:name="_Toc399171705"/>
      <w:bookmarkStart w:id="248" w:name="_Toc399171779"/>
      <w:bookmarkStart w:id="249" w:name="_Toc398903668"/>
      <w:bookmarkStart w:id="250" w:name="_Toc399145850"/>
      <w:bookmarkStart w:id="251" w:name="_Toc399145903"/>
      <w:bookmarkStart w:id="252" w:name="_Toc399145956"/>
      <w:bookmarkStart w:id="253" w:name="_Toc399146014"/>
      <w:bookmarkStart w:id="254" w:name="_Toc399146084"/>
      <w:bookmarkStart w:id="255" w:name="_Toc399146138"/>
      <w:bookmarkStart w:id="256" w:name="_Toc399146246"/>
      <w:bookmarkStart w:id="257" w:name="_Toc399146299"/>
      <w:bookmarkStart w:id="258" w:name="_Toc399146351"/>
      <w:bookmarkStart w:id="259" w:name="_Toc399157096"/>
      <w:bookmarkStart w:id="260" w:name="_Toc399171488"/>
      <w:bookmarkStart w:id="261" w:name="_Toc399171562"/>
      <w:bookmarkStart w:id="262" w:name="_Toc399171636"/>
      <w:bookmarkStart w:id="263" w:name="_Toc399171706"/>
      <w:bookmarkStart w:id="264" w:name="_Toc399171780"/>
      <w:bookmarkStart w:id="265" w:name="_Toc398903671"/>
      <w:bookmarkStart w:id="266" w:name="_Toc399145853"/>
      <w:bookmarkStart w:id="267" w:name="_Toc399145906"/>
      <w:bookmarkStart w:id="268" w:name="_Toc399145959"/>
      <w:bookmarkStart w:id="269" w:name="_Toc399146017"/>
      <w:bookmarkStart w:id="270" w:name="_Toc399146087"/>
      <w:bookmarkStart w:id="271" w:name="_Toc399146141"/>
      <w:bookmarkStart w:id="272" w:name="_Toc399146249"/>
      <w:bookmarkStart w:id="273" w:name="_Toc399146302"/>
      <w:bookmarkStart w:id="274" w:name="_Toc399146354"/>
      <w:bookmarkStart w:id="275" w:name="_Toc399157099"/>
      <w:bookmarkStart w:id="276" w:name="_Toc399171491"/>
      <w:bookmarkStart w:id="277" w:name="_Toc399171565"/>
      <w:bookmarkStart w:id="278" w:name="_Toc399171639"/>
      <w:bookmarkStart w:id="279" w:name="_Toc399171709"/>
      <w:bookmarkStart w:id="280" w:name="_Toc399171783"/>
      <w:bookmarkStart w:id="281" w:name="_Toc398903672"/>
      <w:bookmarkStart w:id="282" w:name="_Toc399145854"/>
      <w:bookmarkStart w:id="283" w:name="_Toc399145907"/>
      <w:bookmarkStart w:id="284" w:name="_Toc399145960"/>
      <w:bookmarkStart w:id="285" w:name="_Toc399146018"/>
      <w:bookmarkStart w:id="286" w:name="_Toc399146088"/>
      <w:bookmarkStart w:id="287" w:name="_Toc399146142"/>
      <w:bookmarkStart w:id="288" w:name="_Toc399146250"/>
      <w:bookmarkStart w:id="289" w:name="_Toc399146303"/>
      <w:bookmarkStart w:id="290" w:name="_Toc399146355"/>
      <w:bookmarkStart w:id="291" w:name="_Toc399157100"/>
      <w:bookmarkStart w:id="292" w:name="_Toc399171492"/>
      <w:bookmarkStart w:id="293" w:name="_Toc399171566"/>
      <w:bookmarkStart w:id="294" w:name="_Toc399171640"/>
      <w:bookmarkStart w:id="295" w:name="_Toc399171710"/>
      <w:bookmarkStart w:id="296" w:name="_Toc399171784"/>
      <w:bookmarkStart w:id="297" w:name="_Toc399146019"/>
      <w:bookmarkStart w:id="298" w:name="_Toc399257202"/>
      <w:bookmarkStart w:id="299" w:name="_Toc398538370"/>
      <w:bookmarkStart w:id="300" w:name="_Toc408506728"/>
      <w:bookmarkStart w:id="301" w:name="_Toc411238476"/>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Pr>
          <w:b/>
          <w:sz w:val="24"/>
        </w:rPr>
        <w:t>Argument för det civila samhällets medverkan och för småskalig produktion av förnybar energi.</w:t>
      </w:r>
      <w:bookmarkEnd w:id="297"/>
      <w:bookmarkEnd w:id="298"/>
      <w:bookmarkEnd w:id="299"/>
      <w:bookmarkEnd w:id="300"/>
      <w:bookmarkEnd w:id="301"/>
    </w:p>
    <w:p w:rsidR="00F94CC4" w:rsidRPr="005F370A" w:rsidRDefault="00F94CC4" w:rsidP="001D09F5">
      <w:pPr>
        <w:keepNext/>
      </w:pPr>
    </w:p>
    <w:p w:rsidR="00F94CC4" w:rsidRPr="005F370A" w:rsidRDefault="00F94CC4" w:rsidP="001D09F5">
      <w:r>
        <w:t xml:space="preserve">Under studiebesöken fick EESK ta del av gott om bevis för betydelsen av småskalig produktion av förnybar energi: från att vinna nödvändig acceptans för nya produktionsanläggningar på kort och medellång sikt till att kunna skaffa fram finansiering för energiomställningen, uppnå självförsörjning på lång sikt, skapa ett regionalt mervärde och lokal utveckling och få ett slut på de traditionella monopolen inom energisektorn. Detta betyder inte att omställningen till förnybar energi bör eller ens kan genomföras på egen hand av civilsamhället. Snarare är det så att det är viktigt att se till att regelverken skapar lika villkor som gör det möjligt för civilsamhället att konkurrera med stora, centraliserade investerare och att spela en central roll i energiomställningen. </w:t>
      </w:r>
    </w:p>
    <w:p w:rsidR="00C12B73" w:rsidRPr="005F370A" w:rsidRDefault="00C12B73" w:rsidP="001D09F5"/>
    <w:p w:rsidR="00D7543F" w:rsidRPr="005F370A" w:rsidRDefault="001D09F5" w:rsidP="001D09F5">
      <w:pPr>
        <w:pStyle w:val="Heading2"/>
        <w:keepNext/>
        <w:rPr>
          <w:b/>
        </w:rPr>
      </w:pPr>
      <w:r>
        <w:rPr>
          <w:b/>
        </w:rPr>
        <w:t>Det civila samhället kräver en aktiv roll</w:t>
      </w:r>
    </w:p>
    <w:p w:rsidR="00AB5608" w:rsidRPr="005F370A" w:rsidRDefault="00AB5608" w:rsidP="001D09F5">
      <w:pPr>
        <w:keepNext/>
      </w:pPr>
    </w:p>
    <w:p w:rsidR="00DF283C" w:rsidRPr="005F370A" w:rsidRDefault="00494BB0" w:rsidP="001D09F5">
      <w:r>
        <w:t>EESK studiebesök i de sex EU-medlemsstaterna, liksom diskussionerna med det civila samhällets organisationer i Bryssel, gav vissa oväntade resultat. Studiegruppen mötte ett mycket öppenhjärtigt civilsamhälle</w:t>
      </w:r>
      <w:r>
        <w:rPr>
          <w:rStyle w:val="FootnoteReference"/>
        </w:rPr>
        <w:footnoteReference w:id="8"/>
      </w:r>
      <w:r>
        <w:t xml:space="preserve">, vars aktörer inte bara stödde förnybar energi utan också klart och tydligt såg möjligheter för dem själva i samband med energiomställningen. Anmärkningsvärt var att diskussionerna med dessa aktörer dominerades av socioekonomiska hänsyn och inriktades på gemenskapsnyttan snarare än på målen att mildra klimatförändringarna. </w:t>
      </w:r>
    </w:p>
    <w:p w:rsidR="00DF283C" w:rsidRPr="005F370A" w:rsidRDefault="00DF283C" w:rsidP="001D09F5"/>
    <w:p w:rsidR="00BE2066" w:rsidRPr="005F370A" w:rsidRDefault="00F94CC4" w:rsidP="001D09F5">
      <w:r>
        <w:t xml:space="preserve">I de olika medlemsstaterna träffade gruppen företrädare för det civila samhället, som uttryckte mycket varierande grader av tillförsikt. I Tyskland förklarade aktörerna: "Vi inte bara stöder energiomställningen, vi ÄR energiomställningen. Energiomställningen, </w:t>
      </w:r>
      <w:r>
        <w:rPr>
          <w:i/>
        </w:rPr>
        <w:t>Energiewende</w:t>
      </w:r>
      <w:r>
        <w:t>, kom till stånd tack vare oss, inte genom politiker eller de stora energibolagen. Det var tack vare våra påtryckningar som man fastställde de ramvillkor som gjorde omställningen möjlig." I Polen, Litauen och Bulgarien dämpades däremot det stora intresset för småskalig produktion av förnybar energi av en enorm frustration över de administrativa och finansiella hindren för deltagande i politiska processer och i energiproduktionen. I stället för att erkänna värdet av och möjligheterna med den nya klimat- och energipolitiken föreföll regeringsföreträdare i dessa tre länder främst se hot och problem med småskalig produktion av förnybar energi. Dels framförde de tvivel om den förnybara energins kapacitet att täcka stora delar av elbehovet (ett argument som ofta används i ett tidigt skede av energiomställningen), dels uttryckte de oro över den stora spridningen av förnybar energi.</w:t>
      </w:r>
    </w:p>
    <w:p w:rsidR="00435BF4" w:rsidRPr="005F370A" w:rsidRDefault="009A5736" w:rsidP="001D09F5">
      <w:pPr>
        <w:spacing w:before="240"/>
      </w:pPr>
      <w:r>
        <w:t>Från det civila samhällets sida gav man ett tydligt och konsekvent svar på studiens huvudfråga, nämligen att det civila samhället vill delta aktivt i produktionen av förnybar energi. Som en deltagare i diskussionen i Polen sammanfattade saken: ”Vi vill inte stå och se på hur andra utnyttjar solen och vinden i vår region. Vi vill själva kunna dra nytta av resurserna." Avslutningsvis konstaterade arbetsgruppen att det fanns en enorm efterfrågan på information, på exempel på bästa praxis och framgångsmodeller liksom på lärdomar som dragits – för att undvika att upprepa andras misstag.</w:t>
      </w:r>
    </w:p>
    <w:p w:rsidR="00435BF4" w:rsidRPr="005F370A" w:rsidRDefault="00435BF4" w:rsidP="001D09F5"/>
    <w:p w:rsidR="00E15A67" w:rsidRPr="005F370A" w:rsidRDefault="001D09F5" w:rsidP="001D09F5">
      <w:pPr>
        <w:pStyle w:val="Heading2"/>
        <w:keepNext/>
        <w:rPr>
          <w:b/>
        </w:rPr>
      </w:pPr>
      <w:bookmarkStart w:id="302" w:name="_Toc399145856"/>
      <w:bookmarkStart w:id="303" w:name="_Toc399145909"/>
      <w:bookmarkStart w:id="304" w:name="_Toc399145962"/>
      <w:bookmarkStart w:id="305" w:name="_Toc399146020"/>
      <w:bookmarkStart w:id="306" w:name="_Toc399146090"/>
      <w:bookmarkStart w:id="307" w:name="_Toc399146144"/>
      <w:bookmarkStart w:id="308" w:name="_Toc399146252"/>
      <w:bookmarkStart w:id="309" w:name="_Toc399146305"/>
      <w:bookmarkStart w:id="310" w:name="_Toc399146357"/>
      <w:bookmarkStart w:id="311" w:name="_Toc399157102"/>
      <w:bookmarkStart w:id="312" w:name="_Toc399171494"/>
      <w:bookmarkStart w:id="313" w:name="_Toc399171568"/>
      <w:bookmarkStart w:id="314" w:name="_Toc399171642"/>
      <w:bookmarkStart w:id="315" w:name="_Toc399171712"/>
      <w:bookmarkStart w:id="316" w:name="_Toc399171786"/>
      <w:bookmarkStart w:id="317" w:name="_Toc399145857"/>
      <w:bookmarkStart w:id="318" w:name="_Toc399145910"/>
      <w:bookmarkStart w:id="319" w:name="_Toc399145963"/>
      <w:bookmarkStart w:id="320" w:name="_Toc399146021"/>
      <w:bookmarkStart w:id="321" w:name="_Toc399146091"/>
      <w:bookmarkStart w:id="322" w:name="_Toc399146145"/>
      <w:bookmarkStart w:id="323" w:name="_Toc399146253"/>
      <w:bookmarkStart w:id="324" w:name="_Toc399146306"/>
      <w:bookmarkStart w:id="325" w:name="_Toc399146358"/>
      <w:bookmarkStart w:id="326" w:name="_Toc399157103"/>
      <w:bookmarkStart w:id="327" w:name="_Toc399171495"/>
      <w:bookmarkStart w:id="328" w:name="_Toc399171569"/>
      <w:bookmarkStart w:id="329" w:name="_Toc399171643"/>
      <w:bookmarkStart w:id="330" w:name="_Toc399171713"/>
      <w:bookmarkStart w:id="331" w:name="_Toc399171787"/>
      <w:bookmarkStart w:id="332" w:name="_Toc399145858"/>
      <w:bookmarkStart w:id="333" w:name="_Toc399145911"/>
      <w:bookmarkStart w:id="334" w:name="_Toc399145964"/>
      <w:bookmarkStart w:id="335" w:name="_Toc399146022"/>
      <w:bookmarkStart w:id="336" w:name="_Toc399146092"/>
      <w:bookmarkStart w:id="337" w:name="_Toc399146146"/>
      <w:bookmarkStart w:id="338" w:name="_Toc399146254"/>
      <w:bookmarkStart w:id="339" w:name="_Toc399146307"/>
      <w:bookmarkStart w:id="340" w:name="_Toc399146359"/>
      <w:bookmarkStart w:id="341" w:name="_Toc399157104"/>
      <w:bookmarkStart w:id="342" w:name="_Toc399171496"/>
      <w:bookmarkStart w:id="343" w:name="_Toc399171570"/>
      <w:bookmarkStart w:id="344" w:name="_Toc399171644"/>
      <w:bookmarkStart w:id="345" w:name="_Toc399171714"/>
      <w:bookmarkStart w:id="346" w:name="_Toc399171788"/>
      <w:bookmarkStart w:id="347" w:name="_Toc399145859"/>
      <w:bookmarkStart w:id="348" w:name="_Toc399145912"/>
      <w:bookmarkStart w:id="349" w:name="_Toc399145965"/>
      <w:bookmarkStart w:id="350" w:name="_Toc399146023"/>
      <w:bookmarkStart w:id="351" w:name="_Toc399146093"/>
      <w:bookmarkStart w:id="352" w:name="_Toc399146147"/>
      <w:bookmarkStart w:id="353" w:name="_Toc399146255"/>
      <w:bookmarkStart w:id="354" w:name="_Toc399146308"/>
      <w:bookmarkStart w:id="355" w:name="_Toc399146360"/>
      <w:bookmarkStart w:id="356" w:name="_Toc399157105"/>
      <w:bookmarkStart w:id="357" w:name="_Toc399171497"/>
      <w:bookmarkStart w:id="358" w:name="_Toc399171571"/>
      <w:bookmarkStart w:id="359" w:name="_Toc399171645"/>
      <w:bookmarkStart w:id="360" w:name="_Toc399171715"/>
      <w:bookmarkStart w:id="361" w:name="_Toc399171789"/>
      <w:bookmarkStart w:id="362" w:name="_Toc399146024"/>
      <w:bookmarkStart w:id="363" w:name="_Toc399257203"/>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Pr>
          <w:b/>
        </w:rPr>
        <w:t>Småskalig energiproduktion ökar den lokala acceptansen för infrastruktur för förnybar energi</w:t>
      </w:r>
      <w:bookmarkEnd w:id="362"/>
      <w:bookmarkEnd w:id="363"/>
    </w:p>
    <w:p w:rsidR="00E051E1" w:rsidRPr="005F370A" w:rsidRDefault="00E051E1" w:rsidP="001D09F5">
      <w:pPr>
        <w:keepNext/>
      </w:pPr>
    </w:p>
    <w:p w:rsidR="004307DD" w:rsidRPr="005F370A" w:rsidRDefault="00E15A67" w:rsidP="001D09F5">
      <w:r>
        <w:t>För en framgångsrik energiomställning krävs hög acceptans från civilsamhällets sida. I samband med EESK:s besök tog aktörerna upp fall av lokalt motstånd mot infrastruktur för förnybar energi, särskilt vindkraftparker. Det rör sig här om typiska fall där infrastruktur för förnybar energi har anlagts av utomstående investerare, med få fördelar och låg kompensation för lokalbefolkningen. I de fall där medborgarna och lokala företag har involverats i ett projekt för förnybar energi har lokalbefolkningen däremot i mycket högre grad insett fördelarna med projektet och accepterat eventuella nackdelar, estetiska eller av annat slag. Ett utmärkt exempel på vikten av lokalt engagemang gavs under en EESK-diskussion om lokalproducerad förnybar energi i november 2013</w:t>
      </w:r>
      <w:r>
        <w:rPr>
          <w:rStyle w:val="FootnoteReference"/>
        </w:rPr>
        <w:footnoteReference w:id="9"/>
      </w:r>
      <w:r>
        <w:t>. Samsø-regionen i Danmark täcker nu hela sitt energibehov med hjälp av förnybara källor, främst tack vare medborgarnas deltagande i lokalt ledda projekt. Som en del av en insats för att bibehålla allmänhetens stöd och deltagande i sektorn för förnybar energi uppmanas vindkraftsentreprenörer att sälja aktier till lokalbefolkningen.</w:t>
      </w:r>
    </w:p>
    <w:p w:rsidR="00C818E2" w:rsidRPr="005F370A" w:rsidRDefault="00C818E2" w:rsidP="001D09F5"/>
    <w:p w:rsidR="004121CF" w:rsidRPr="005F370A" w:rsidRDefault="00D20E1B" w:rsidP="001D09F5">
      <w:r>
        <w:t>Sist men inte minst ökar en småskalig produktion av förnybar energi medvetenheten hos medborgarna, och stärker och motiverar dem att göra sina röster hörda och påverka beslutsfattandet. Processen stärker demokratin och legitimiteten i de politiska besluten. Det kan bidra till att förbättra dialogen och bygga upp förtroendet och samarbetet mellan institutionerna och det civila samhället.</w:t>
      </w:r>
    </w:p>
    <w:p w:rsidR="004121CF" w:rsidRPr="005F370A" w:rsidRDefault="004121CF" w:rsidP="001D09F5"/>
    <w:p w:rsidR="009E0462" w:rsidRPr="005F370A" w:rsidRDefault="009E0462" w:rsidP="001D09F5">
      <w:pPr>
        <w:pStyle w:val="Heading2"/>
        <w:keepNext/>
        <w:rPr>
          <w:b/>
        </w:rPr>
      </w:pPr>
      <w:bookmarkStart w:id="364" w:name="_Toc399146025"/>
      <w:bookmarkStart w:id="365" w:name="_Toc399257204"/>
      <w:bookmarkStart w:id="366" w:name="_Toc408506729"/>
      <w:bookmarkStart w:id="367" w:name="_Toc411238477"/>
      <w:r>
        <w:rPr>
          <w:b/>
        </w:rPr>
        <w:t>Småskalig energiproduktion frigör medel som behövs för omställningen till förnybar energi</w:t>
      </w:r>
      <w:bookmarkEnd w:id="364"/>
      <w:bookmarkEnd w:id="365"/>
      <w:bookmarkEnd w:id="366"/>
      <w:bookmarkEnd w:id="367"/>
    </w:p>
    <w:p w:rsidR="008C3E85" w:rsidRPr="005F370A" w:rsidRDefault="008C3E85" w:rsidP="001D09F5">
      <w:pPr>
        <w:keepNext/>
      </w:pPr>
    </w:p>
    <w:p w:rsidR="005A4AD9" w:rsidRPr="005F370A" w:rsidRDefault="00D91394" w:rsidP="001D09F5">
      <w:r>
        <w:t>Det råder ingen tvekan om att utbyggnaden av förnybar energi och tillhörande infrastruktur kommer att kräva avsevärda ekonomiska medel</w:t>
      </w:r>
      <w:r>
        <w:rPr>
          <w:rStyle w:val="FootnoteReference"/>
        </w:rPr>
        <w:footnoteReference w:id="10"/>
      </w:r>
      <w:r>
        <w:t xml:space="preserve">. Huvuddelen av medlen måste komma från den privata sektorn. Med hjälp av välutformade stödprogram har man lyckats frigöra och mobilisera enorma investeringar från medborgare, samhällen och lokala företagare. Potentialen för sådana småskaliga investeringar i energiomställningen har bara delvis förverkligats, och skillnaderna är stora mellan EU:s medlemsstater. Danmark och Tyskland är förmodligen de bästa exemplen på en omställning som till största delen drivs på av det civila samhället. </w:t>
      </w:r>
    </w:p>
    <w:p w:rsidR="005A4AD9" w:rsidRPr="005F370A" w:rsidRDefault="005A4AD9" w:rsidP="001D09F5"/>
    <w:p w:rsidR="00E12735" w:rsidRPr="005F370A" w:rsidRDefault="005A4AD9" w:rsidP="001D09F5">
      <w:r>
        <w:t xml:space="preserve">I Tyskland uppgick investeringarna i småskalig produktion av förnybar energi till 5,14 miljarder euro 2012, medan traditionella stora energileverantörer endast investerade 1,7 miljarder euro i förnybar energi under samma år. Den nuvarande installerade solcellskapaciteten i Tyskland är mer än 30 000 MW och ökar med 7 MW per dag (vilket är lika med den totala installerade solcellskapaciteten </w:t>
      </w:r>
      <w:r>
        <w:lastRenderedPageBreak/>
        <w:t xml:space="preserve">i Polen). Nästan hälften av kapaciteten kontrolleras av fler än 1 000 energikooperativ, medborgare och jordbrukare: </w:t>
      </w:r>
    </w:p>
    <w:p w:rsidR="00150B02" w:rsidRPr="005F370A" w:rsidRDefault="00150B02" w:rsidP="001D09F5"/>
    <w:p w:rsidR="00150B02" w:rsidRPr="005F370A" w:rsidRDefault="00150B02" w:rsidP="001D09F5"/>
    <w:p w:rsidR="008D4B61" w:rsidRPr="005F370A" w:rsidRDefault="00DC3D46" w:rsidP="001D09F5">
      <w:pPr>
        <w:keepNext/>
      </w:pPr>
      <w:r>
        <w:rPr>
          <w:noProof/>
          <w:lang w:val="fr-BE" w:eastAsia="fr-BE" w:bidi="ar-SA"/>
        </w:rPr>
        <w:drawing>
          <wp:inline distT="0" distB="0" distL="0" distR="0" wp14:anchorId="359D50B1" wp14:editId="6F2D5CF5">
            <wp:extent cx="3251835" cy="1844675"/>
            <wp:effectExtent l="0" t="0" r="5715" b="3175"/>
            <wp:docPr id="5" name="Picture 16" descr="Ownership Distri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wnership Distribution Ch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1835" cy="1844675"/>
                    </a:xfrm>
                    <a:prstGeom prst="rect">
                      <a:avLst/>
                    </a:prstGeom>
                    <a:noFill/>
                    <a:ln>
                      <a:noFill/>
                    </a:ln>
                  </pic:spPr>
                </pic:pic>
              </a:graphicData>
            </a:graphic>
          </wp:inline>
        </w:drawing>
      </w:r>
    </w:p>
    <w:p w:rsidR="008D4B61" w:rsidRPr="005F370A" w:rsidRDefault="004569F3" w:rsidP="001D09F5">
      <w:pPr>
        <w:spacing w:line="240" w:lineRule="auto"/>
        <w:rPr>
          <w:b/>
          <w:sz w:val="18"/>
        </w:rPr>
      </w:pPr>
      <w:r>
        <w:rPr>
          <w:b/>
          <w:sz w:val="18"/>
        </w:rPr>
        <w:t>Figur</w:t>
      </w:r>
      <w:r w:rsidRPr="005F370A">
        <w:rPr>
          <w:b/>
          <w:sz w:val="18"/>
        </w:rPr>
        <w:fldChar w:fldCharType="begin" w:fldLock="1"/>
      </w:r>
      <w:r w:rsidRPr="005F370A">
        <w:rPr>
          <w:b/>
          <w:sz w:val="18"/>
        </w:rPr>
        <w:instrText xml:space="preserve"> SEQ Figure \* ARABIC </w:instrText>
      </w:r>
      <w:r w:rsidRPr="005F370A">
        <w:rPr>
          <w:b/>
          <w:sz w:val="18"/>
        </w:rPr>
        <w:fldChar w:fldCharType="separate"/>
      </w:r>
      <w:r w:rsidR="00B56504" w:rsidRPr="005F370A">
        <w:rPr>
          <w:b/>
          <w:sz w:val="18"/>
        </w:rPr>
        <w:t>3</w:t>
      </w:r>
      <w:r w:rsidRPr="005F370A">
        <w:rPr>
          <w:b/>
          <w:sz w:val="18"/>
        </w:rPr>
        <w:fldChar w:fldCharType="end"/>
      </w:r>
      <w:r>
        <w:rPr>
          <w:b/>
          <w:sz w:val="18"/>
        </w:rPr>
        <w:t>: Ägarförhållanden för installerad kapacitet för förnybar energiproduktion i Tyskland (2012).</w:t>
      </w:r>
    </w:p>
    <w:p w:rsidR="008D4B61" w:rsidRPr="005F370A" w:rsidRDefault="008D4B61" w:rsidP="001D09F5">
      <w:pPr>
        <w:spacing w:line="240" w:lineRule="auto"/>
      </w:pPr>
      <w:r>
        <w:t>Källa: Bloggen "German Energy Transition" (2014).</w:t>
      </w:r>
    </w:p>
    <w:p w:rsidR="00B211D8" w:rsidRPr="005F370A" w:rsidRDefault="00B211D8" w:rsidP="001D09F5"/>
    <w:p w:rsidR="00BA69D1" w:rsidRPr="005F370A" w:rsidRDefault="0047060A" w:rsidP="001D09F5">
      <w:r>
        <w:t xml:space="preserve">I det inledande skedet av </w:t>
      </w:r>
      <w:r>
        <w:rPr>
          <w:i/>
        </w:rPr>
        <w:t>Energiewende</w:t>
      </w:r>
      <w:r>
        <w:t>, skapade de höga investeringskostnaderna och motsvarande höga inmatningspriser för solenergiproduktion incitament för privatpersoner att mata in producerad solenergi i elnätet. Det har skett en tydlig förändring på detta område. Den dramatiska tekniska utvecklingen och de sänkta investeringskostnaderna till följd av denna har gjort det mer lönsamt för småproducenter att använda sin egen el, och därmed minska mängden el som köps in från elnätet. Detta i sin tur har främjat insatser för att optimera den egna energiförbrukningen så att den sker främst under egna produktionstoppar och sänker energianvändningstopparna sent på eftermiddagen eller tidigt på kvällen.</w:t>
      </w:r>
    </w:p>
    <w:p w:rsidR="007C59D0" w:rsidRPr="005F370A" w:rsidRDefault="007C59D0" w:rsidP="001D09F5"/>
    <w:p w:rsidR="007C59D0" w:rsidRPr="005F370A" w:rsidRDefault="007C59D0" w:rsidP="001D09F5">
      <w:r>
        <w:t>Decentraliserad förnybar energi innebär att produktionen vanligtvis sker närmare konsumenten, med en stor potential för att minska nätinfrastrukturskostnaderna. EESK:s studie visar dessutom att småproducenter räknar med betydligt lägre vinstmarginal än storproducenter.</w:t>
      </w:r>
    </w:p>
    <w:p w:rsidR="0003644A" w:rsidRPr="005F370A" w:rsidRDefault="0003644A" w:rsidP="001D09F5"/>
    <w:p w:rsidR="0067053B" w:rsidRPr="005F370A" w:rsidRDefault="00140D90" w:rsidP="001D09F5">
      <w:pPr>
        <w:pStyle w:val="Heading2"/>
        <w:keepNext/>
        <w:rPr>
          <w:b/>
        </w:rPr>
      </w:pPr>
      <w:bookmarkStart w:id="368" w:name="_Toc399257206"/>
      <w:bookmarkStart w:id="369" w:name="_Toc399257207"/>
      <w:bookmarkStart w:id="370" w:name="_Toc399146027"/>
      <w:bookmarkStart w:id="371" w:name="_Toc399257208"/>
      <w:bookmarkStart w:id="372" w:name="_Toc398538372"/>
      <w:bookmarkStart w:id="373" w:name="_Toc408506730"/>
      <w:bookmarkStart w:id="374" w:name="_Toc411238478"/>
      <w:bookmarkEnd w:id="368"/>
      <w:bookmarkEnd w:id="369"/>
      <w:r>
        <w:rPr>
          <w:b/>
        </w:rPr>
        <w:t>Småskalig produktion av förnybar energi för lokal utveckling och minskad energifattigdom</w:t>
      </w:r>
      <w:bookmarkEnd w:id="370"/>
      <w:bookmarkEnd w:id="371"/>
      <w:bookmarkEnd w:id="372"/>
      <w:bookmarkEnd w:id="373"/>
      <w:bookmarkEnd w:id="374"/>
    </w:p>
    <w:p w:rsidR="009D46D5" w:rsidRPr="001D09F5" w:rsidRDefault="009D46D5" w:rsidP="001D09F5">
      <w:pPr>
        <w:keepNext/>
        <w:ind w:left="720" w:hanging="720"/>
        <w:outlineLvl w:val="1"/>
        <w:rPr>
          <w:highlight w:val="yellow"/>
        </w:rPr>
      </w:pPr>
    </w:p>
    <w:p w:rsidR="00E661FE" w:rsidRPr="005F370A" w:rsidRDefault="0002791D" w:rsidP="001D09F5">
      <w:r>
        <w:t xml:space="preserve">Förnybar energi innebär att man utnyttjar lokala resurser. Med de rätta regelverken skapar energi som produceras av medborgare och lokalsamhällen ett nytt värdeflöde som kan stanna kvar i regionen. Vissa orter där man producerar egen förnybar energi kan nu behålla de enorma summor som tidigare gick till import av energi och fossila bränslen utifrån, investera dem i nya lokala arbetstillfällen och socioekonomisk utveckling. </w:t>
      </w:r>
    </w:p>
    <w:p w:rsidR="00E661FE" w:rsidRPr="005F370A" w:rsidRDefault="00E661FE" w:rsidP="001D09F5"/>
    <w:p w:rsidR="00BA18F3" w:rsidRPr="005F370A" w:rsidRDefault="00DB60DA" w:rsidP="001D09F5">
      <w:r>
        <w:t xml:space="preserve">Ett sådant exempel är samhället Treuenbrietzen i Tyskland, som tillsammans med sina invånare har upprättat egna sol-, vind- och biogasanläggningar. Biogasanläggningen producerar både el och värme, som distribueras via samhällets nya värmenät som man själv installerat. Ytterligare värmebehov täcks delvis genom en flisbrännare. Samhället har dessutom dragit ett separat elnät och håller på att bygga upp egen energilagringskapacitet för att bli energioberoende. De lokala elpriserna ligger på 16,6 cent/kWh, vilket är 30–35 % lägre än de genomsnittliga elpriserna i Tyskland. Värme levereras till konsumenterna till ett pris av 7,5 cent/kWh, vilket ligger långt under de inhemska kostnaderna för gas- </w:t>
      </w:r>
      <w:r>
        <w:lastRenderedPageBreak/>
        <w:t>eller oljevärme. Treuenbrietzen är ett bevis på att lokal förnybar energi faktiskt kan medföra besparingar.</w:t>
      </w:r>
    </w:p>
    <w:p w:rsidR="00BA18F3" w:rsidRPr="005F370A" w:rsidRDefault="00BA18F3" w:rsidP="001D09F5"/>
    <w:p w:rsidR="00663964" w:rsidRPr="005F370A" w:rsidRDefault="009556B3" w:rsidP="001D09F5">
      <w:pPr>
        <w:keepNext/>
      </w:pPr>
      <w:r>
        <w:t xml:space="preserve">Initiativ för småskalig produktion av förnybar energi främjar samarbete mellan olika lokala aktörer, vilket den mycket snabba ökningen av energikooperativ runt om i EU visar (figur 4). </w:t>
      </w:r>
    </w:p>
    <w:p w:rsidR="007623B8" w:rsidRPr="005F370A" w:rsidRDefault="007623B8" w:rsidP="001D09F5">
      <w:pPr>
        <w:keepNext/>
      </w:pPr>
    </w:p>
    <w:p w:rsidR="00663964" w:rsidRPr="005F370A" w:rsidRDefault="00DC3D46" w:rsidP="001D09F5">
      <w:pPr>
        <w:keepNext/>
      </w:pPr>
      <w:r>
        <w:rPr>
          <w:noProof/>
          <w:lang w:val="fr-BE" w:eastAsia="fr-BE" w:bidi="ar-SA"/>
        </w:rPr>
        <w:drawing>
          <wp:inline distT="0" distB="0" distL="0" distR="0" wp14:anchorId="3A5407DC" wp14:editId="44BE4921">
            <wp:extent cx="914400" cy="23933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2393315"/>
                    </a:xfrm>
                    <a:prstGeom prst="rect">
                      <a:avLst/>
                    </a:prstGeom>
                    <a:noFill/>
                    <a:ln>
                      <a:noFill/>
                    </a:ln>
                  </pic:spPr>
                </pic:pic>
              </a:graphicData>
            </a:graphic>
          </wp:inline>
        </w:drawing>
      </w:r>
      <w:r>
        <w:rPr>
          <w:noProof/>
          <w:lang w:val="fr-BE" w:eastAsia="fr-BE" w:bidi="ar-SA"/>
        </w:rPr>
        <w:drawing>
          <wp:inline distT="0" distB="0" distL="0" distR="0" wp14:anchorId="53085865" wp14:editId="0233F9A1">
            <wp:extent cx="2814955" cy="2409190"/>
            <wp:effectExtent l="0" t="0" r="4445"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955" cy="2409190"/>
                    </a:xfrm>
                    <a:prstGeom prst="rect">
                      <a:avLst/>
                    </a:prstGeom>
                    <a:noFill/>
                    <a:ln>
                      <a:noFill/>
                    </a:ln>
                  </pic:spPr>
                </pic:pic>
              </a:graphicData>
            </a:graphic>
          </wp:inline>
        </w:drawing>
      </w:r>
    </w:p>
    <w:p w:rsidR="00395105" w:rsidRPr="005F370A" w:rsidRDefault="004569F3" w:rsidP="001D09F5">
      <w:pPr>
        <w:spacing w:line="240" w:lineRule="auto"/>
        <w:rPr>
          <w:b/>
          <w:sz w:val="18"/>
        </w:rPr>
      </w:pPr>
      <w:r>
        <w:rPr>
          <w:b/>
          <w:sz w:val="18"/>
        </w:rPr>
        <w:t>Figur</w:t>
      </w:r>
      <w:r w:rsidR="00AD5F89" w:rsidRPr="005F370A">
        <w:rPr>
          <w:b/>
          <w:sz w:val="18"/>
        </w:rPr>
        <w:fldChar w:fldCharType="begin" w:fldLock="1"/>
      </w:r>
      <w:r w:rsidR="00AD5F89" w:rsidRPr="005F370A">
        <w:rPr>
          <w:b/>
          <w:sz w:val="18"/>
        </w:rPr>
        <w:instrText xml:space="preserve"> SEQ Figure \* ARABIC </w:instrText>
      </w:r>
      <w:r w:rsidR="00AD5F89" w:rsidRPr="005F370A">
        <w:rPr>
          <w:b/>
          <w:sz w:val="18"/>
        </w:rPr>
        <w:fldChar w:fldCharType="separate"/>
      </w:r>
      <w:r w:rsidR="00B56504" w:rsidRPr="005F370A">
        <w:rPr>
          <w:b/>
          <w:sz w:val="18"/>
        </w:rPr>
        <w:t>4</w:t>
      </w:r>
      <w:r w:rsidR="00AD5F89" w:rsidRPr="005F370A">
        <w:rPr>
          <w:b/>
          <w:sz w:val="18"/>
        </w:rPr>
        <w:fldChar w:fldCharType="end"/>
      </w:r>
      <w:r>
        <w:rPr>
          <w:b/>
          <w:sz w:val="18"/>
        </w:rPr>
        <w:t>: Preliminära uppgifter och karta över registrerade småskaliga energikooperativ.</w:t>
      </w:r>
    </w:p>
    <w:p w:rsidR="00395105" w:rsidRPr="005F370A" w:rsidRDefault="00395105" w:rsidP="001D09F5">
      <w:pPr>
        <w:spacing w:line="240" w:lineRule="auto"/>
        <w:rPr>
          <w:sz w:val="16"/>
        </w:rPr>
      </w:pPr>
      <w:r>
        <w:rPr>
          <w:sz w:val="18"/>
        </w:rPr>
        <w:t>Källa: Projektet "REScoop" (2014).</w:t>
      </w:r>
    </w:p>
    <w:p w:rsidR="007C59D0" w:rsidRPr="005F370A" w:rsidRDefault="007C59D0" w:rsidP="001D09F5">
      <w:pPr>
        <w:spacing w:line="240" w:lineRule="auto"/>
        <w:rPr>
          <w:sz w:val="16"/>
        </w:rPr>
      </w:pPr>
    </w:p>
    <w:p w:rsidR="00180CDA" w:rsidRPr="005F370A" w:rsidRDefault="00180CDA" w:rsidP="001D09F5">
      <w:r>
        <w:t xml:space="preserve">Lokala initiativ för förnybar energi är också förknippade med innovativa företagsmodeller, fler sociala företag och ökat samarbete. Studiegruppen har kunnat konstatera att det på lokal nivå finns ett rikt utbud av innovationer inom näringslivet och på det sociala området. En biogasproducent som samarbetar med flera jordbruk minskade exempelvis sin affärsrisk och säkrade tillgången till råvaror, samtidigt som man löste miljöproblemet med gödsel. I Bulgarien startade bostadsrättsinnehavarna i ett flerbostadshus ett kooperativ och använde hyresintäkterna från en mobiltelefonoperatör som fick sätta upp en antenn på hustaket till att investera i solpaneler som förser hela byggnaden med energi. Ett annat exempel på kreativ problemlösning är ett tyskt energikooperativ som byggt ett tak med solpaneler över läktarna på den lokala fotbollsstadion och använde inkomsterna från sin energiproduktion till att betala tillbaka dem som satsat pengar, samt gav dem säsongsbiljetter till lagets matcher. I Wales besöktes samhället Talybont-on-Usk, där ett lokalt projekt för förnybar energi tillhandhåller uppvärmning till den lokala skolan samt två elbilar som drivs med el från solceller på kommunalhusets tak och som lokalbefolkningen har tillgång till. </w:t>
      </w:r>
    </w:p>
    <w:p w:rsidR="00180CDA" w:rsidRPr="005F370A" w:rsidRDefault="00180CDA" w:rsidP="001D09F5"/>
    <w:p w:rsidR="00180CDA" w:rsidRPr="005F370A" w:rsidRDefault="00180CDA" w:rsidP="001D09F5">
      <w:r>
        <w:t>På den polska landsbygden leder de dåliga näten till frekventa strömavbrott, minskade spänningsnivåer och liknande problem. De aktörer som hördes i samband med EESK:s platsbesök presenterade beräkningar som visade att en utbyggnad av lokal förnybar energi i dessa områden i själva verket skulle bli billigare än de 30–60 miljarder PLN</w:t>
      </w:r>
      <w:r>
        <w:rPr>
          <w:rStyle w:val="FootnoteReference"/>
        </w:rPr>
        <w:footnoteReference w:id="11"/>
      </w:r>
      <w:r>
        <w:t xml:space="preserve"> som krävs fram till 2020 för en totalrenovering av fjärrnätet för el. I sin regionala utvecklingsstrategi för 2020 slår den polska regionen Podlaskie fast att man genom förnybar energi kan stärka regionens ekonomi. Strategin tar upp det faktum att över </w:t>
      </w:r>
      <w:r>
        <w:lastRenderedPageBreak/>
        <w:t>5 miljarder zloty</w:t>
      </w:r>
      <w:r>
        <w:rPr>
          <w:rStyle w:val="FootnoteReference"/>
        </w:rPr>
        <w:footnoteReference w:id="12"/>
      </w:r>
      <w:r>
        <w:t xml:space="preserve"> årligen flödar ut ur regionen för energiimport. Eftersom el och värme redan kan produceras lokalt från förnybara energikällor till en lägre kostnad lägger man i den regionala strategin fokus på att skapa ett lokalt, decentraliserat energisystem och sporra till en lokal revolution för förnybar energi, där medborgarna ska vara de som äger produktionsanläggningarna för energi och uppvärmning. Det slås uttryckligen fast att investeringarna främst ska ligga i lokalbefolkningens händer i syfte att minska värdeförluster för regionen.</w:t>
      </w:r>
    </w:p>
    <w:p w:rsidR="00180CDA" w:rsidRPr="005F370A" w:rsidRDefault="00180CDA" w:rsidP="001D09F5">
      <w:pPr>
        <w:spacing w:line="240" w:lineRule="auto"/>
      </w:pPr>
    </w:p>
    <w:p w:rsidR="001B5D89" w:rsidRPr="005F370A" w:rsidRDefault="00140D90" w:rsidP="001D09F5">
      <w:pPr>
        <w:pStyle w:val="Heading2"/>
        <w:keepNext/>
        <w:rPr>
          <w:b/>
        </w:rPr>
      </w:pPr>
      <w:bookmarkStart w:id="375" w:name="_Toc399146028"/>
      <w:bookmarkStart w:id="376" w:name="_Toc399257209"/>
      <w:bookmarkStart w:id="377" w:name="_Toc398538373"/>
      <w:bookmarkStart w:id="378" w:name="_Toc408506731"/>
      <w:bookmarkStart w:id="379" w:name="_Toc411238479"/>
      <w:r>
        <w:rPr>
          <w:b/>
        </w:rPr>
        <w:t>Småskalig produktion av förnybar energi leder netto till fler arbetstillfällen och ekonomisk tillväxt</w:t>
      </w:r>
      <w:bookmarkEnd w:id="375"/>
      <w:bookmarkEnd w:id="376"/>
      <w:bookmarkEnd w:id="377"/>
      <w:bookmarkEnd w:id="378"/>
      <w:bookmarkEnd w:id="379"/>
    </w:p>
    <w:p w:rsidR="00354DA8" w:rsidRPr="001D09F5" w:rsidRDefault="00354DA8" w:rsidP="001D09F5">
      <w:pPr>
        <w:keepNext/>
        <w:rPr>
          <w:highlight w:val="yellow"/>
        </w:rPr>
      </w:pPr>
    </w:p>
    <w:p w:rsidR="00874FB0" w:rsidRPr="005F370A" w:rsidRDefault="009F559E" w:rsidP="001D09F5">
      <w:r>
        <w:t xml:space="preserve">Ökningen av förnybar energi leder till att nya arbetstillfällen skapas i värdekedjan. Denna sysselsättningsskapande effekt är särskilt stark inom sektorer med koppling till energieffektivitet (0,38 årstjänster per GWh), solceller (0,87), biobränslen (0,21) och vindkraft (0,17), vilket ska jämföras med kol och gas (0,11). En annan intressant aspekt är att de flesta arbetstillfällena på marknaden för förnybar energi kräver högkvalificerade arbetstagare, och fem av sex arbetstillfällen är lokala. EU måste därför se till att kunskap och färdigheter utvecklas för att matcha behoven på denna nya arbetsmarknad. </w:t>
      </w:r>
    </w:p>
    <w:p w:rsidR="00874FB0" w:rsidRPr="005F370A" w:rsidRDefault="00874FB0" w:rsidP="001D09F5"/>
    <w:p w:rsidR="00636F47" w:rsidRPr="005F370A" w:rsidRDefault="00874FB0" w:rsidP="001D09F5">
      <w:bookmarkStart w:id="380" w:name="_Toc395310066"/>
      <w:r>
        <w:t>Även om nettoresultatet av en utbyggnad av förnybar energi är positivt kommer en energiomställning samtidigt att medföra att vissa sektorer (som baseras på fossila bränslen och i vissa länder kärnenergi) kommer att förlora marknader och arbetstillfällen. Denna oro var särskilt uttalad i de länder där dessa sektorer sysselsätter ett stort antal människor. Det måste därför finnas nationella strategier som kan säkerställa en smidig omställning, utveckla den nya kompetens som behövs och hantera de sociala effekterna av förlorade arbetstillfällen i de traditionella energisektorerna.</w:t>
      </w:r>
    </w:p>
    <w:p w:rsidR="00B137BE" w:rsidRPr="005F370A" w:rsidRDefault="00B137BE" w:rsidP="001D09F5"/>
    <w:p w:rsidR="00235212" w:rsidRPr="005F370A" w:rsidRDefault="00235212" w:rsidP="001D09F5">
      <w:pPr>
        <w:pStyle w:val="Heading1"/>
        <w:keepNext/>
        <w:rPr>
          <w:b/>
          <w:sz w:val="24"/>
        </w:rPr>
      </w:pPr>
      <w:bookmarkStart w:id="381" w:name="_Toc398538378"/>
      <w:bookmarkStart w:id="382" w:name="_Toc408506732"/>
      <w:bookmarkStart w:id="383" w:name="_Toc411238480"/>
      <w:r>
        <w:rPr>
          <w:b/>
          <w:sz w:val="24"/>
        </w:rPr>
        <w:t>Debatten om priser och kostnader för förnybar energi</w:t>
      </w:r>
      <w:bookmarkEnd w:id="381"/>
      <w:bookmarkEnd w:id="382"/>
      <w:bookmarkEnd w:id="383"/>
    </w:p>
    <w:p w:rsidR="00354DA8" w:rsidRPr="005F370A" w:rsidRDefault="00354DA8" w:rsidP="001D09F5">
      <w:pPr>
        <w:keepNext/>
      </w:pPr>
    </w:p>
    <w:p w:rsidR="00235212" w:rsidRPr="005F370A" w:rsidRDefault="00235212" w:rsidP="001D09F5">
      <w:r>
        <w:t>Den offentliga debatten om energipolitiken domineras i regel av prisfrågan, och kostnaderna för stöd till förnybar energiproduktion var ett återkommande ämne i samband med studien. I vissa av de länder som besöktes har stödmekanismer för förnybar energi pekats ut av beslutsfattare och media som en orsak till de ökade energipriserna för hushållen. Det är viktigt att ta hänsyn till de ekonomiska aspekterna för företag inom sektorn för förnybar energi för att förstå att det fortfarande verkligen behövs offentligt stöd för att uppnå klimat- och energimålen och långsiktiga fördelar.</w:t>
      </w:r>
    </w:p>
    <w:p w:rsidR="00235212" w:rsidRPr="005F370A" w:rsidRDefault="00235212" w:rsidP="001D09F5"/>
    <w:p w:rsidR="00235212" w:rsidRPr="005F370A" w:rsidRDefault="00235212" w:rsidP="001D09F5">
      <w:r>
        <w:t>Frågan är över vilken tidshorisont samhället försöker begränsa kostnaderna. En billig lösning på kort sikt kan visa sig vara en kostsam lösning på lång sikt, och tvärtom. Detta argument är i sig tillräckligt för att ifrågasätta dem som menar att förnybara energislag är dyra och utgör en belastning för de offentliga budgetarna</w:t>
      </w:r>
      <w:r>
        <w:rPr>
          <w:rStyle w:val="FootnoteReference"/>
        </w:rPr>
        <w:footnoteReference w:id="13"/>
      </w:r>
      <w:r>
        <w:t xml:space="preserve">. I själva verket leder större produktionsvolymer, som brukar vara fallet när det gäller teknik, till stadigt minskande enhetskostnader för förnybar energi (den s.k. </w:t>
      </w:r>
      <w:r>
        <w:rPr>
          <w:b/>
        </w:rPr>
        <w:t>inlärningskurvan</w:t>
      </w:r>
      <w:r>
        <w:t xml:space="preserve">). Produktionskostnaderna för anläggningar som producerar förnybar energi beror i första hand på </w:t>
      </w:r>
      <w:r>
        <w:lastRenderedPageBreak/>
        <w:t>investeringskostnaderna. Fram till nyligen var tekniken för förnybar energi dyrare än den för kol och kärnenergi. Detta berodde på att tekniken var mycket "omogen": Den tekniska utvecklingen har skett ungefär parallellt med marknadsinförandet. År 2008 var inmatningspriserna i Tyskland för solcellsenergi 46 cent/kWh, vilket motsvarade de högre produktionskostnaderna vid den tidpunkten. I dag är de högst 12,8 cent/kWh för små anläggningar på upp till 10 kW (och betydligt lägre för större anläggningar), vilket motsvarar de löpande kostnaderna för tekniken.</w:t>
      </w:r>
    </w:p>
    <w:p w:rsidR="00235212" w:rsidRPr="005F370A" w:rsidRDefault="00DC3D46" w:rsidP="001D09F5">
      <w:r>
        <w:rPr>
          <w:noProof/>
          <w:lang w:val="fr-BE" w:eastAsia="fr-BE" w:bidi="ar-SA"/>
        </w:rPr>
        <w:drawing>
          <wp:anchor distT="0" distB="0" distL="114300" distR="114300" simplePos="0" relativeHeight="251658752" behindDoc="0" locked="0" layoutInCell="1" allowOverlap="1" wp14:anchorId="1EFC4E49" wp14:editId="50541439">
            <wp:simplePos x="0" y="0"/>
            <wp:positionH relativeFrom="column">
              <wp:posOffset>0</wp:posOffset>
            </wp:positionH>
            <wp:positionV relativeFrom="paragraph">
              <wp:posOffset>198755</wp:posOffset>
            </wp:positionV>
            <wp:extent cx="5673090" cy="2659380"/>
            <wp:effectExtent l="0" t="0" r="3810" b="762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3090"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212" w:rsidRPr="005F370A" w:rsidRDefault="00DC3D46" w:rsidP="001D09F5">
      <w:r>
        <w:rPr>
          <w:noProof/>
          <w:lang w:val="fr-BE" w:eastAsia="fr-BE" w:bidi="ar-SA"/>
        </w:rPr>
        <mc:AlternateContent>
          <mc:Choice Requires="wpc">
            <w:drawing>
              <wp:anchor distT="0" distB="0" distL="114300" distR="114300" simplePos="0" relativeHeight="251656704" behindDoc="0" locked="0" layoutInCell="1" allowOverlap="1" wp14:anchorId="4498A70C" wp14:editId="2F4D571E">
                <wp:simplePos x="0" y="0"/>
                <wp:positionH relativeFrom="character">
                  <wp:posOffset>0</wp:posOffset>
                </wp:positionH>
                <wp:positionV relativeFrom="line">
                  <wp:posOffset>0</wp:posOffset>
                </wp:positionV>
                <wp:extent cx="5669280" cy="2655570"/>
                <wp:effectExtent l="0" t="0" r="0" b="1905"/>
                <wp:wrapNone/>
                <wp:docPr id="10"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Canvas 8" o:spid="_x0000_s1026" editas="canvas" style="position:absolute;margin-left:0;margin-top:0;width:446.4pt;height:209.1pt;z-index:251656704;mso-position-horizontal-relative:char;mso-position-vertical-relative:line" coordsize="56692,2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1+sibdAAAABQEAAA8AAABkcnMv&#10;ZG93bnJldi54bWxMj0FLw0AQhe+C/2EZwYvYTWItacymiCCI4MFWocdNdpqNZmdDdtPGf+/oRS8P&#10;hje8971yM7teHHEMnScF6SIBgdR401Gr4G33eJ2DCFGT0b0nVPCFATbV+VmpC+NP9IrHbWwFh1Ao&#10;tAIb41BIGRqLToeFH5DYO/jR6cjn2Eoz6hOHu15mSbKSTnfEDVYP+GCx+dxOTsFzs7r6SOtp7/KX&#10;d3tz2++f4m6p1OXFfH8HIuIc/57hB5/RoWKm2k9kgugV8JD4q+zl64xn1AqWaZ6BrEr5n776BgAA&#10;//8DAFBLAQItABQABgAIAAAAIQC2gziS/gAAAOEBAAATAAAAAAAAAAAAAAAAAAAAAABbQ29udGVu&#10;dF9UeXBlc10ueG1sUEsBAi0AFAAGAAgAAAAhADj9If/WAAAAlAEAAAsAAAAAAAAAAAAAAAAALwEA&#10;AF9yZWxzLy5yZWxzUEsBAi0AFAAGAAgAAAAhAGHwIIsUAQAAPgIAAA4AAAAAAAAAAAAAAAAALgIA&#10;AGRycy9lMm9Eb2MueG1sUEsBAi0AFAAGAAgAAAAhAC1+sib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92;height:26555;visibility:visible;mso-wrap-style:square">
                  <v:fill o:detectmouseclick="t"/>
                  <v:path o:connecttype="none"/>
                </v:shape>
                <w10:wrap xmlns:w10="urn:schemas-microsoft-com:office:word" anchory="line"/>
              </v:group>
            </w:pict>
          </mc:Fallback>
        </mc:AlternateContent>
      </w:r>
      <w:r>
        <w:rPr>
          <w:noProof/>
          <w:lang w:val="fr-BE" w:eastAsia="fr-BE" w:bidi="ar-SA"/>
        </w:rPr>
        <mc:AlternateContent>
          <mc:Choice Requires="wps">
            <w:drawing>
              <wp:inline distT="0" distB="0" distL="0" distR="0" wp14:anchorId="4513F8FC" wp14:editId="2A43A248">
                <wp:extent cx="5669280" cy="265557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9280" cy="265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xmlns:o="urn:schemas-microsoft-com:office:office" xmlns:v="urn:schemas-microsoft-com:vml" id="AutoShape 1" o:spid="_x0000_s1026" style="width:446.4pt;height:2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LcswIAALkFAAAOAAAAZHJzL2Uyb0RvYy54bWysVG1v0zAQ/o7Ef7D8PcsLSdpES6etaRDS&#10;gEmDH+AmTmOR2MZ2mw7Ef+fstF27fUFAPli273z3PHdP7vpmP/RoR5Vmghc4vAoworwWDeObAn/9&#10;UnlzjLQhvCG94LTAT1Tjm8XbN9ejzGkkOtE3VCEIwnU+ygJ3xsjc93Xd0YHoKyEpB2Mr1EAMHNXG&#10;bxQZIfrQ+1EQpP4oVCOVqKnWcFtORrxw8duW1uZz22pqUF9gwGbcqty6tqu/uCb5RhHZsfoAg/wF&#10;ioEwDklPoUpiCNoq9irUwGoltGjNVS0GX7Qtq6njAGzC4AWbx45I6rhAcbQ8lUn/v7D1p92DQqyB&#10;3mHEyQAtut0a4TKj0JZnlDoHr0f5oCxBLe9F/U0jLpYd4Rt6qyUUeXp+vFJKjB0lDeB0IfyLGPag&#10;IRpajx9FAwkJJHTF27dqsDmgLGjvevR06hHdG1TDZZKmWTSHVtZgi9IkSWauiz7Jj8+l0uY9FQOy&#10;mwIrwOfCk929NsAIXI8uNhsXFet7J4SeX1yA43QDyeGptVkYrq8/syBbzVfz2IujdOXFQVl6t9Uy&#10;9tIqnCXlu3K5LMNfNm8Y5x1rGsptmqPGwvjPenhQ+6SOk8q06Fljw1lIWm3Wy16hHQGNV+6zfQPw&#10;Z27+JQxnBi4vKIVRHNxFmVel85kXV3HiZbNg7gVhdpelQZzFZXVJ6Z5x+u+U0FjgLIkS16Uz0C+4&#10;Be57zY3kAzMwRXo2FHh+ciK51eCKN661hrB+2p+VwsJ/LgVU7Nhop1gr0kn/a9E8gWCVADmB9GDe&#10;waYT6gdGI8yOAuvvW6IoRv0HDqLPwji2w8Yd4mQWwUGdW9bnFsJrCFVgg9G0XZppQG2lYpsOMoWu&#10;MFzYP7NlTsL2J5pQAX57gPngmBxmmR1A52fn9TxxF78BAAD//wMAUEsDBBQABgAIAAAAIQCjGMfc&#10;3QAAAAUBAAAPAAAAZHJzL2Rvd25yZXYueG1sTI9BS8NAEIXvQv/DMgUvYjcNIjFmU0qhWEQoptrz&#10;Njsmwexsmt0m8d87etHLg+EN730vW022FQP2vnGkYLmIQCCVzjRUKXg7bG8TED5oMrp1hAq+0MMq&#10;n11lOjVupFccilAJDiGfagV1CF0qpS9rtNovXIfE3ofrrQ589pU0vR453LYyjqJ7aXVD3FDrDjc1&#10;lp/FxSoYy/1wPLw8yf3NcefovDtvivdnpa7n0/oRRMAp/D3DDz6jQ85MJ3ch40WrgIeEX2UveYh5&#10;xknB3TKJQeaZ/E+ffwMAAP//AwBQSwECLQAUAAYACAAAACEAtoM4kv4AAADhAQAAEwAAAAAAAAAA&#10;AAAAAAAAAAAAW0NvbnRlbnRfVHlwZXNdLnhtbFBLAQItABQABgAIAAAAIQA4/SH/1gAAAJQBAAAL&#10;AAAAAAAAAAAAAAAAAC8BAABfcmVscy8ucmVsc1BLAQItABQABgAIAAAAIQBh6PLcswIAALkFAAAO&#10;AAAAAAAAAAAAAAAAAC4CAABkcnMvZTJvRG9jLnhtbFBLAQItABQABgAIAAAAIQCjGMfc3QAAAAUB&#10;AAAPAAAAAAAAAAAAAAAAAA0FAABkcnMvZG93bnJldi54bWxQSwUGAAAAAAQABADzAAAAFwYAAAAA&#10;" filled="f" stroked="f">
                <o:lock v:ext="edit" aspectratio="t"/>
                <w10:anchorlock xmlns:w10="urn:schemas-microsoft-com:office:word"/>
              </v:rect>
            </w:pict>
          </mc:Fallback>
        </mc:AlternateContent>
      </w:r>
    </w:p>
    <w:p w:rsidR="00235212" w:rsidRPr="005F370A" w:rsidRDefault="00A76DD5" w:rsidP="001D09F5">
      <w:pPr>
        <w:jc w:val="left"/>
        <w:rPr>
          <w:b/>
          <w:sz w:val="18"/>
        </w:rPr>
      </w:pPr>
      <w:r>
        <w:rPr>
          <w:b/>
          <w:sz w:val="18"/>
        </w:rPr>
        <w:t>Figur</w:t>
      </w:r>
      <w:r w:rsidR="00AD5F89" w:rsidRPr="005F370A">
        <w:rPr>
          <w:b/>
          <w:sz w:val="18"/>
        </w:rPr>
        <w:fldChar w:fldCharType="begin" w:fldLock="1"/>
      </w:r>
      <w:r w:rsidR="00AD5F89" w:rsidRPr="005F370A">
        <w:rPr>
          <w:b/>
          <w:sz w:val="18"/>
        </w:rPr>
        <w:instrText xml:space="preserve"> SEQ Figure \* ARABIC </w:instrText>
      </w:r>
      <w:r w:rsidR="00AD5F89" w:rsidRPr="005F370A">
        <w:rPr>
          <w:b/>
          <w:sz w:val="18"/>
        </w:rPr>
        <w:fldChar w:fldCharType="separate"/>
      </w:r>
      <w:r w:rsidR="00B56504" w:rsidRPr="005F370A">
        <w:rPr>
          <w:b/>
          <w:sz w:val="18"/>
        </w:rPr>
        <w:t>5</w:t>
      </w:r>
      <w:r w:rsidR="00AD5F89" w:rsidRPr="005F370A">
        <w:rPr>
          <w:b/>
          <w:sz w:val="18"/>
        </w:rPr>
        <w:fldChar w:fldCharType="end"/>
      </w:r>
      <w:r>
        <w:rPr>
          <w:b/>
          <w:sz w:val="18"/>
        </w:rPr>
        <w:t xml:space="preserve">: Genomsnittliga konsumentpriser (systempriser, netto) för färdiginstallerade solcellsanläggningar på tak på upp till 10 kWp </w:t>
      </w:r>
    </w:p>
    <w:p w:rsidR="00A76DD5" w:rsidRPr="005F370A" w:rsidRDefault="00A76DD5" w:rsidP="001D09F5">
      <w:r>
        <w:t>Källa: BSW</w:t>
      </w:r>
    </w:p>
    <w:p w:rsidR="00235212" w:rsidRPr="005F370A" w:rsidRDefault="00235212" w:rsidP="001D09F5"/>
    <w:p w:rsidR="00235212" w:rsidRPr="005F370A" w:rsidRDefault="00235212" w:rsidP="001D09F5">
      <w:r>
        <w:rPr>
          <w:b/>
        </w:rPr>
        <w:t>Tekniken för förnybar energi börjar sakta med säkert närma sig prisnivåer som kan konkurrera med kol, naturgas och kärnenergi</w:t>
      </w:r>
      <w:r>
        <w:rPr>
          <w:rStyle w:val="FootnoteReference"/>
        </w:rPr>
        <w:footnoteReference w:id="14"/>
      </w:r>
      <w:r>
        <w:t>. Fastlandsbaserad vindkraft kan redan konkurrera – till och med när externa miljö- och hälsorelaterade kostnader för fossila bränslen eller kärnkraft inte inkluderas i slutpriset mot kund. Man kan förvänta sig att den tekniska utvecklingen kommer att fortsätta att pressa ner investeringskostnaderna för förnybar energi. Samtidigt är sol- och vindkraft förnybara resurser som inte kostar något. Det är därför troligt att förnybar el snart kommer att vara konkurrenskraftig även utan subventioner. Denna trend har bekräftats av Europeiska kommissionen, som i sitt meddelande om en klimat- och energipolitisk ram för perioden 2020–2030</w:t>
      </w:r>
      <w:r>
        <w:rPr>
          <w:rStyle w:val="FootnoteReference"/>
        </w:rPr>
        <w:footnoteReference w:id="15"/>
      </w:r>
      <w:r>
        <w:t xml:space="preserve"> påpekade att "kostnaderna för en övergång till en koldioxidsnål ekonomi […] skiljer sig [inte] nämnvärt från de kostnader som kommer att uppstå under alla omständigheter till följd av behovet av att förnya ett åldrande energisystem, ökande priser på fossila bränslen och efterlevnaden av dagens klimat- och energipolitik. Däremot förväntas en kraftig skiftning från bränsleutgifter till innovativ utrustning med stort mervärde, som kommer att främja investeringar i innovative produkter och tjänster, skapa sysselsättning och tillväxt och förbättra unionens handelsbalans."</w:t>
      </w:r>
    </w:p>
    <w:p w:rsidR="00D45B62" w:rsidRPr="005F370A" w:rsidRDefault="00D45B62" w:rsidP="001D09F5"/>
    <w:p w:rsidR="00C03C78" w:rsidRPr="005F370A" w:rsidRDefault="00C03C78" w:rsidP="001D09F5">
      <w:r>
        <w:t>Decentraliserad förnybar energi innebär att produktionen vanligtvis sker närmare konsumenten, med en stor potential för att minska nätinfrastrukturskostnaderna. EESK:s studie visar dessutom att småproducenter räknar med betydligt lägre vinstmarginal än storproducenter.</w:t>
      </w:r>
    </w:p>
    <w:p w:rsidR="00C03C78" w:rsidRPr="005F370A" w:rsidRDefault="00C03C78" w:rsidP="001D09F5"/>
    <w:p w:rsidR="00113379" w:rsidRPr="005F370A" w:rsidRDefault="00235212" w:rsidP="001D09F5">
      <w:r>
        <w:t>Vidare är många av fördelarna med förnybar energi långt större än de ekonomiska siffrorna, vilket gör det till ett prioriterat område för stöd. Förnybar energi bidrar till att minska klimatförändringarna, skapa arbetstillfällen och lokala hållbara utkomstmöjligheter, öka energitryggheten, minska beroendet av import från instabila regioner och skapa en gynnsammare handelsbalans för EU på grund av ett minskat beroende av fossila bränslen. En politik som inte tar hänsyn till dessa långsiktiga effekter och de många positiva sidoeffekterna av förnybar energi kan leda till en negativ framtida energimix. Att bromsa denna lovande utveckling genom att helt lägga om stödåtgärderna just när de börjar ge resultat skulle få en negativ inverkan.</w:t>
      </w:r>
    </w:p>
    <w:p w:rsidR="00113379" w:rsidRPr="005F370A" w:rsidRDefault="00113379" w:rsidP="001D09F5"/>
    <w:p w:rsidR="006C1151" w:rsidRPr="005F370A" w:rsidRDefault="006C1151" w:rsidP="001D09F5">
      <w:r>
        <w:t xml:space="preserve">Även om energiomställningens nettoeffekt på sysselsättningen och hushållens inkomster förväntas bli positiv upplever en del konventionella energiproducenter redan att de förlorar marknadsandelar, vilket får konsekvenser för sysselsättningen inom dessa sektorer. Detta problem bör angripas omgående och proaktivt. </w:t>
      </w:r>
      <w:r>
        <w:rPr>
          <w:b/>
        </w:rPr>
        <w:t xml:space="preserve">Nationella strategier </w:t>
      </w:r>
      <w:r>
        <w:t>måste införas och noga införlivas med utbyggnaden av förnybar energi för att omställningen ska bli problemfri, för att få fram de nya yrkesfärdigheter som behövs och för att på ett fokuserat sätt angripa eventuella negativa sociala effekter på sysselsättningen och socialt svaga hushåll. Man måste ta itu med det verkliga problem som energifattigdom utgör genom konkreta och riktade åtgärder, men det får inte utnyttjas som ett argument för artificiellt låga energipriser (i t.ex. Bulgarien). Det verkliga problemet med att sysselsättning försvinner i de konventionella sektorerna (som i vissa fall inte nödvändigtvis har ett samband med en ökande andel förnybar energi) får inte användas som argument för att stoppa utvecklingen när det gäller decentraliserad produktion av förnybar energi (i t.ex. Polen). Regeringarna måste ta ansvar för de socioekonomiska effekterna av omställningen till en koldioxidsnål ekonomi som ytterst ska gynna alla delar av samhället.</w:t>
      </w:r>
    </w:p>
    <w:p w:rsidR="006C1151" w:rsidRPr="005F370A" w:rsidRDefault="006C1151" w:rsidP="001D09F5"/>
    <w:p w:rsidR="00E435DF" w:rsidRPr="005F370A" w:rsidRDefault="00271331" w:rsidP="001D09F5">
      <w:pPr>
        <w:pStyle w:val="Heading1"/>
        <w:keepNext/>
        <w:rPr>
          <w:b/>
          <w:sz w:val="24"/>
        </w:rPr>
      </w:pPr>
      <w:bookmarkStart w:id="384" w:name="_Toc398538374"/>
      <w:bookmarkStart w:id="385" w:name="_Toc408506735"/>
      <w:bookmarkStart w:id="386" w:name="_Toc411238481"/>
      <w:r>
        <w:rPr>
          <w:b/>
          <w:sz w:val="24"/>
        </w:rPr>
        <w:t>Vad krävs för att kunna frigöra den småskaliga energiproduktionens potential?</w:t>
      </w:r>
      <w:bookmarkEnd w:id="380"/>
      <w:bookmarkEnd w:id="384"/>
      <w:bookmarkEnd w:id="385"/>
      <w:bookmarkEnd w:id="386"/>
    </w:p>
    <w:p w:rsidR="00646E1E" w:rsidRPr="005F370A" w:rsidRDefault="00646E1E" w:rsidP="001D09F5">
      <w:pPr>
        <w:keepNext/>
      </w:pPr>
      <w:bookmarkStart w:id="387" w:name="_Toc399257211"/>
      <w:bookmarkStart w:id="388" w:name="_Toc399257212"/>
      <w:bookmarkEnd w:id="387"/>
    </w:p>
    <w:p w:rsidR="00347074" w:rsidRPr="005F370A" w:rsidRDefault="00347074" w:rsidP="001D09F5">
      <w:pPr>
        <w:keepNext/>
        <w:numPr>
          <w:ilvl w:val="1"/>
          <w:numId w:val="1"/>
        </w:numPr>
        <w:ind w:left="720" w:hanging="720"/>
        <w:rPr>
          <w:b/>
        </w:rPr>
      </w:pPr>
      <w:r>
        <w:rPr>
          <w:b/>
        </w:rPr>
        <w:t>Lika konkurrensvillkor</w:t>
      </w:r>
      <w:bookmarkStart w:id="389" w:name="_Toc398538375"/>
      <w:bookmarkStart w:id="390" w:name="_Toc395310067"/>
    </w:p>
    <w:p w:rsidR="00347074" w:rsidRPr="005F370A" w:rsidRDefault="00347074" w:rsidP="001D09F5">
      <w:pPr>
        <w:keepNext/>
        <w:rPr>
          <w:b/>
        </w:rPr>
      </w:pPr>
    </w:p>
    <w:p w:rsidR="0095006D" w:rsidRPr="005F370A" w:rsidRDefault="0095006D" w:rsidP="001D09F5">
      <w:r>
        <w:t>Såsom påpekades i kommissionens lägesrapport om förnybar energi 2013</w:t>
      </w:r>
      <w:r>
        <w:rPr>
          <w:rStyle w:val="FootnoteReference"/>
        </w:rPr>
        <w:footnoteReference w:id="16"/>
      </w:r>
      <w:r>
        <w:t xml:space="preserve">, kommer det att behövas finansiella, rättsliga och administrativa politiska åtgärder som stöd till utvecklingen av förnybar energi trots att kostnaderna för den förnybara tekniken ständigt sjunker, så länge det saknas en öppen, konkurrensinriktad inre energimarknad i EU, i syfte att åtgärda marknadsmisslyckanden och internalisera hälsokostnaderna, miljökostnaderna och de sociala kostnaderna för användningen av fossila bränslen. Koldioxidprissättning är ett sätt att internalisera externa kostnader. Detta väcker frågan om de relativa kostnaderna för teknik som baseras på fossila bränslen. Intäkter från försäljningen av utsläppsrätter kan återanvändas eller läggas i fonder för att stödja förnybar energi. </w:t>
      </w:r>
    </w:p>
    <w:p w:rsidR="00646E1E" w:rsidRPr="005F370A" w:rsidRDefault="00646E1E" w:rsidP="001D09F5">
      <w:pPr>
        <w:keepNext/>
        <w:outlineLvl w:val="1"/>
        <w:rPr>
          <w:b/>
        </w:rPr>
      </w:pPr>
    </w:p>
    <w:p w:rsidR="00870719" w:rsidRPr="005F370A" w:rsidRDefault="00453991" w:rsidP="001D09F5">
      <w:pPr>
        <w:pStyle w:val="Heading2"/>
        <w:keepNext/>
        <w:rPr>
          <w:b/>
        </w:rPr>
      </w:pPr>
      <w:bookmarkStart w:id="391" w:name="_Toc408506736"/>
      <w:bookmarkStart w:id="392" w:name="_Toc411238482"/>
      <w:r>
        <w:rPr>
          <w:b/>
        </w:rPr>
        <w:t>Stabila och enhetliga politiska ramar</w:t>
      </w:r>
      <w:bookmarkEnd w:id="388"/>
      <w:bookmarkEnd w:id="389"/>
      <w:bookmarkEnd w:id="391"/>
      <w:bookmarkEnd w:id="392"/>
    </w:p>
    <w:p w:rsidR="00BC2894" w:rsidRPr="005F370A" w:rsidRDefault="00BC2894" w:rsidP="001D09F5">
      <w:pPr>
        <w:keepNext/>
        <w:rPr>
          <w:b/>
        </w:rPr>
      </w:pPr>
    </w:p>
    <w:p w:rsidR="00024F07" w:rsidRPr="005F370A" w:rsidRDefault="00E009A6" w:rsidP="001D09F5">
      <w:r>
        <w:rPr>
          <w:b/>
        </w:rPr>
        <w:t xml:space="preserve">En stabil och enhetlig politik </w:t>
      </w:r>
      <w:r>
        <w:t xml:space="preserve">är en nyckelfaktor för alla investeringar, även i förnybar energi, och detta är något som har betonats av aktörerna vid </w:t>
      </w:r>
      <w:r>
        <w:rPr>
          <w:b/>
          <w:i/>
        </w:rPr>
        <w:t xml:space="preserve">samtliga </w:t>
      </w:r>
      <w:r>
        <w:t>fallstudiebesök. Stabila och enhetliga regler gör det möjligt för investerare att planera, hantera risker och få tillgång till krediter.</w:t>
      </w:r>
    </w:p>
    <w:p w:rsidR="007E1A59" w:rsidRPr="005F370A" w:rsidRDefault="007E1A59" w:rsidP="001D09F5"/>
    <w:p w:rsidR="00024F07" w:rsidRPr="005F370A" w:rsidRDefault="00C03937" w:rsidP="001D09F5">
      <w:r>
        <w:t xml:space="preserve">Som exempel har den tyska lagen om förnybar energi (Erneuerbare-Energien-Gesetz, EEG), där de centrala faktorerna är att näten är lättillgängliga, förnybara energikällor prioriteras, elen marknadsförs av nätoperatören och att inmatningspriset ska ligga fast i 20 år, inneburit en utmärkt investeringssäkerhet och en möjlighet för den småskaliga energiproduktionen att utvecklas mycket snabbare än någon hade kunnat föreställa sig. </w:t>
      </w:r>
    </w:p>
    <w:p w:rsidR="00024F07" w:rsidRPr="005F370A" w:rsidRDefault="00024F07" w:rsidP="001D09F5"/>
    <w:p w:rsidR="00024F07" w:rsidRPr="005F370A" w:rsidRDefault="0024537E" w:rsidP="001D09F5">
      <w:r>
        <w:t>Att ändra dessa stabila förutsättningar kan få negativa konsekvenser, till att börja med genom att man skapar osäkerhet för små investerare kring huruvida de kommer att få finansiellt stöd efter planeringsfasen (t.ex. på grund av att ett årligt tak för nya anläggningar införs). Trots detta pågick diskussioner om genomgripande reformer</w:t>
      </w:r>
      <w:r>
        <w:rPr>
          <w:rStyle w:val="FootnoteReference"/>
        </w:rPr>
        <w:footnoteReference w:id="17"/>
      </w:r>
      <w:r>
        <w:t xml:space="preserve"> vid tiden för eller nära inpå platsbesöken i Tyskland, Polen, Frankrike och Storbritannien. I Bulgarien pekade småproducenter på motstridiga lagar och ett regeringsbeslut om att avbryta utbyggnaden av förnybar energi 2013 sedan man meddelat att 2020 års mål hade nåtts. En fullständigt oacceptabel metod är att ändra ramvillkoren efter att produktionen av förnybar energi kommit i gång, som t.ex. i Bulgarien där investerare i småskaliga sol- och vindkraftsanläggningar har hamnat på obestånd på grund av att nya skatter och avgifter införts på förnybar energi. Även om den skatt på 20 % på vindkraft och solenergi som infördes i januari 2014 annullerades av Bulgariens högsta domstol i juli 2014 fick operatörerna inte tillbaka de belopp de redan hade betalat in under den perioden. Ett moratorium för stödordningar för solenergi som infördes 2010 i Frankrike ledde också till att investeringarna nästan helt upphörde. </w:t>
      </w:r>
    </w:p>
    <w:p w:rsidR="00024F07" w:rsidRPr="005F370A" w:rsidRDefault="00024F07" w:rsidP="001D09F5"/>
    <w:p w:rsidR="00335B70" w:rsidRPr="005F370A" w:rsidRDefault="00DC3D46" w:rsidP="001D09F5">
      <w:pPr>
        <w:rPr>
          <w:b/>
        </w:rPr>
      </w:pPr>
      <w:r>
        <w:rPr>
          <w:noProof/>
          <w:lang w:val="fr-BE" w:eastAsia="fr-BE" w:bidi="ar-SA"/>
        </w:rPr>
        <w:lastRenderedPageBreak/>
        <w:drawing>
          <wp:inline distT="0" distB="0" distL="0" distR="0" wp14:anchorId="7FB5699C" wp14:editId="6DA1947C">
            <wp:extent cx="5772785" cy="2941955"/>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785" cy="2941955"/>
                    </a:xfrm>
                    <a:prstGeom prst="rect">
                      <a:avLst/>
                    </a:prstGeom>
                    <a:noFill/>
                    <a:ln>
                      <a:noFill/>
                    </a:ln>
                  </pic:spPr>
                </pic:pic>
              </a:graphicData>
            </a:graphic>
          </wp:inline>
        </w:drawing>
      </w:r>
    </w:p>
    <w:p w:rsidR="006B1DF4" w:rsidRPr="005F370A" w:rsidRDefault="004569F3" w:rsidP="001D09F5">
      <w:pPr>
        <w:rPr>
          <w:b/>
          <w:sz w:val="18"/>
        </w:rPr>
      </w:pPr>
      <w:r>
        <w:rPr>
          <w:b/>
          <w:sz w:val="18"/>
        </w:rPr>
        <w:t>Figur</w:t>
      </w:r>
      <w:r w:rsidR="00AD5F89" w:rsidRPr="005F370A">
        <w:rPr>
          <w:b/>
          <w:sz w:val="18"/>
        </w:rPr>
        <w:fldChar w:fldCharType="begin" w:fldLock="1"/>
      </w:r>
      <w:r w:rsidR="00AD5F89" w:rsidRPr="005F370A">
        <w:rPr>
          <w:b/>
          <w:sz w:val="18"/>
        </w:rPr>
        <w:instrText xml:space="preserve"> SEQ Figure \* ARABIC </w:instrText>
      </w:r>
      <w:r w:rsidR="00AD5F89" w:rsidRPr="005F370A">
        <w:rPr>
          <w:b/>
          <w:sz w:val="18"/>
        </w:rPr>
        <w:fldChar w:fldCharType="separate"/>
      </w:r>
      <w:r w:rsidR="00B56504" w:rsidRPr="005F370A">
        <w:rPr>
          <w:b/>
          <w:sz w:val="18"/>
        </w:rPr>
        <w:t>6</w:t>
      </w:r>
      <w:r w:rsidR="00AD5F89" w:rsidRPr="005F370A">
        <w:rPr>
          <w:b/>
          <w:sz w:val="18"/>
        </w:rPr>
        <w:fldChar w:fldCharType="end"/>
      </w:r>
      <w:r>
        <w:rPr>
          <w:b/>
          <w:sz w:val="18"/>
        </w:rPr>
        <w:t>: Osäkerheten kring politiken för förnybar energi inom EU.</w:t>
      </w:r>
    </w:p>
    <w:p w:rsidR="006B1DF4" w:rsidRPr="005F370A" w:rsidRDefault="007418E3" w:rsidP="001D09F5">
      <w:pPr>
        <w:rPr>
          <w:sz w:val="16"/>
        </w:rPr>
      </w:pPr>
      <w:r>
        <w:rPr>
          <w:sz w:val="18"/>
        </w:rPr>
        <w:t>Källa: EDP Renováveis (2013).</w:t>
      </w:r>
    </w:p>
    <w:p w:rsidR="009A17DF" w:rsidRPr="005F370A" w:rsidRDefault="009A17DF" w:rsidP="001D09F5">
      <w:pPr>
        <w:rPr>
          <w:b/>
        </w:rPr>
      </w:pPr>
    </w:p>
    <w:p w:rsidR="00024F07" w:rsidRPr="005F370A" w:rsidRDefault="00024F07" w:rsidP="001D09F5">
      <w:r>
        <w:t>Rättslig osäkerhet är inte bara en faktor med en destabiliserade inverkan på investeringarna. Den senaste tidens politiska reformerna visar även en tydlig tendens till minskat stöd till småproducenter och att de missgynnas i förhållande till större producenter (t.ex. på grund av de auktionsförfaranden för produktion av förnybar energi som införs). Debatter i samtliga besökta länder visade att småskaliga producenter av förnybar energi kopplade denna tendens till kommissionens riktlinjer för statligt stöd till miljöskydd och energi för 2014–2010</w:t>
      </w:r>
      <w:r>
        <w:rPr>
          <w:rStyle w:val="FootnoteReference"/>
        </w:rPr>
        <w:footnoteReference w:id="18"/>
      </w:r>
      <w:r>
        <w:t>. Dessa riktlinjer medförde betydande begränsningar för medlemsstaternas beslut att garantera inmatningspriser för investeringar i förnybar energi efter 2016. Aktörer som deltog i lokala samråd menade att man måste undvika överkompensation och utveckla den förnybara energin på ett kostnadseffektivt sätt. De talade emellertid om nyligen genomförda reformer av stödramarna för förnybar energi som "en kapplöpning mot botten". En del pekade på att EU driver på en tendens till återcentralisering, som döljs bakom argument om kostnadseffektivitet eller kostnadsminskningar.</w:t>
      </w:r>
    </w:p>
    <w:p w:rsidR="00024F07" w:rsidRPr="005F370A" w:rsidRDefault="00024F07" w:rsidP="001D09F5"/>
    <w:p w:rsidR="00024F07" w:rsidRPr="005F370A" w:rsidRDefault="00024F07" w:rsidP="001D09F5">
      <w:r>
        <w:t>Enligt Internationella energiorganet</w:t>
      </w:r>
      <w:r>
        <w:rPr>
          <w:rStyle w:val="FootnoteReference"/>
        </w:rPr>
        <w:footnoteReference w:id="19"/>
      </w:r>
      <w:r>
        <w:t xml:space="preserve"> ökar nu den politiska osäkerheten på vissa särskilt viktiga OECD-marknader, och detta precis när förnybar energi alltmer håller på att bli ett kostnadseffektivt alternativ. Den dämpande effekten av ändrade rättsliga ramar har redan börjat märkas av under 2014, och EU riskerar att missa målet för 2020 om 20 % förnybar energi i den totala slutliga energiförbrukningen.</w:t>
      </w:r>
    </w:p>
    <w:p w:rsidR="00024F07" w:rsidRPr="005F370A" w:rsidRDefault="00024F07" w:rsidP="001D09F5"/>
    <w:p w:rsidR="00427725" w:rsidRPr="005F370A" w:rsidRDefault="00427725" w:rsidP="001D09F5">
      <w:pPr>
        <w:pStyle w:val="Heading2"/>
        <w:keepNext/>
        <w:rPr>
          <w:b/>
        </w:rPr>
      </w:pPr>
      <w:bookmarkStart w:id="393" w:name="_Toc408506737"/>
      <w:bookmarkStart w:id="394" w:name="_Toc411238483"/>
      <w:r>
        <w:rPr>
          <w:b/>
        </w:rPr>
        <w:lastRenderedPageBreak/>
        <w:t>En öppen och inkluderande process för utformning av politiken</w:t>
      </w:r>
      <w:bookmarkEnd w:id="393"/>
      <w:bookmarkEnd w:id="394"/>
    </w:p>
    <w:p w:rsidR="00427725" w:rsidRPr="005F370A" w:rsidRDefault="00427725" w:rsidP="001D09F5">
      <w:pPr>
        <w:keepNext/>
      </w:pPr>
    </w:p>
    <w:p w:rsidR="00512FBF" w:rsidRPr="005F370A" w:rsidRDefault="004D7208" w:rsidP="001D09F5">
      <w:r>
        <w:t xml:space="preserve">Vid sidan av stabila politiska ramar utgör även </w:t>
      </w:r>
      <w:r>
        <w:rPr>
          <w:b/>
        </w:rPr>
        <w:t>den demokratiska processen för att utforma politiken</w:t>
      </w:r>
      <w:r>
        <w:t xml:space="preserve"> och reformerna en av de nyckelfrågor som framkommit under EESK:s studie. Liksom EESK framhållit i sin europeiska energidialog måste politiken utformas inom ramen för en öppen och överskådlig debatt med aktörer från det civila samhället på alla nivåer för att strategierna ska lyckas och för att resultaten ska bli hållbara. Detta är en förutsättning för att man ska kunna nå en samsyn, ställa upp gemensamma mål och skapa ett brett stöd för genomförandet. I Tyskland och Danmark har energiomställningen skett genom en process nedifrån och upp där politiska beslut tillkommit efter påtryckningar från allmänheten och politiken  i mångt och mycket genomförts av det civila samhället. I andra länder som ingått i studien (Bulgarien, Polen) har dock studiegruppen inte kunnat notera att någon egentlig debatt förekommit eller att något förtroende funnits mellan myndigheterna och de småskaliga energiproducenterna.</w:t>
      </w:r>
    </w:p>
    <w:p w:rsidR="00A75A96" w:rsidRPr="005F370A" w:rsidRDefault="00A75A96" w:rsidP="001D09F5"/>
    <w:p w:rsidR="006E47A2" w:rsidRPr="005F370A" w:rsidRDefault="00DB6905" w:rsidP="001D09F5">
      <w:pPr>
        <w:pStyle w:val="Heading2"/>
        <w:keepNext/>
        <w:rPr>
          <w:b/>
        </w:rPr>
      </w:pPr>
      <w:bookmarkStart w:id="395" w:name="_Toc399146031"/>
      <w:bookmarkStart w:id="396" w:name="_Toc399257213"/>
      <w:bookmarkStart w:id="397" w:name="_Toc398538376"/>
      <w:bookmarkStart w:id="398" w:name="_Toc408506738"/>
      <w:bookmarkStart w:id="399" w:name="_Toc411238484"/>
      <w:r>
        <w:rPr>
          <w:b/>
        </w:rPr>
        <w:t>Enkla och öppna administrativa förfaranden</w:t>
      </w:r>
      <w:bookmarkEnd w:id="395"/>
      <w:bookmarkEnd w:id="396"/>
      <w:bookmarkEnd w:id="397"/>
      <w:bookmarkEnd w:id="398"/>
      <w:bookmarkEnd w:id="399"/>
    </w:p>
    <w:p w:rsidR="00C240A9" w:rsidRPr="005F370A" w:rsidRDefault="00C240A9" w:rsidP="001D09F5">
      <w:pPr>
        <w:keepNext/>
      </w:pPr>
    </w:p>
    <w:p w:rsidR="00635AD5" w:rsidRPr="005F370A" w:rsidRDefault="00FB217A" w:rsidP="001D09F5">
      <w:r>
        <w:t xml:space="preserve">Småproducenterna är inte alltid några energiexperter, och det är därför viktigt att de har tillgång till stöd och vägledning och att de administrativa förfarandena är enkla och öppna för insyn och håller sig inom rimliga tidsramar. Mycket stora skillnader kunde konstateras mellan medlemsstaterna när det gäller de administrativa förfaranden och den tid som krävs för att godkänna småskaliga anläggningar för förnybar energi, och dessa skillnader var kopplade till utbyggnadsgraden för småskalig energiproduktion. Som exempel kan nämnas att  godkännandeförfarandet för en taksolpanel i Tyskland inte ens tar en arbetsdag och att man bara behöver fylla i ett ansökningsformulär på webben, medan aktörer i länder som Bulgarien, Litauen, Polen och Storbritannien (Wales) rapporterar om komplicerade förfaranden som tar flera månader – eller t.o.m. år. Ett komplicerat och utdraget ansöknings- och planeringssystem kan bli både kostsamt och riskabelt för småskaliga producenter, inte minst om betydande ändringar görs av regelverk och inmatningspriser under samma period. </w:t>
      </w:r>
    </w:p>
    <w:p w:rsidR="00EA4643" w:rsidRPr="005F370A" w:rsidRDefault="00EA4643" w:rsidP="001D09F5"/>
    <w:p w:rsidR="0084371C" w:rsidRPr="005F370A" w:rsidRDefault="00AB49FD" w:rsidP="001D09F5">
      <w:pPr>
        <w:pStyle w:val="Heading2"/>
        <w:keepNext/>
        <w:rPr>
          <w:b/>
        </w:rPr>
      </w:pPr>
      <w:bookmarkStart w:id="400" w:name="_Toc399146032"/>
      <w:bookmarkStart w:id="401" w:name="_Toc399257214"/>
      <w:bookmarkStart w:id="402" w:name="_Toc398538377"/>
      <w:bookmarkStart w:id="403" w:name="_Toc408506739"/>
      <w:bookmarkStart w:id="404" w:name="_Toc411238485"/>
      <w:r>
        <w:rPr>
          <w:b/>
        </w:rPr>
        <w:t>Stödordningar som anpassas till behoven för decentraliserad småskalig produktion av förnybar energi</w:t>
      </w:r>
      <w:bookmarkEnd w:id="400"/>
      <w:bookmarkEnd w:id="401"/>
      <w:bookmarkEnd w:id="402"/>
      <w:bookmarkEnd w:id="403"/>
      <w:bookmarkEnd w:id="404"/>
    </w:p>
    <w:p w:rsidR="00EE578B" w:rsidRPr="005F370A" w:rsidRDefault="00EE578B" w:rsidP="001D09F5">
      <w:pPr>
        <w:keepNext/>
      </w:pPr>
    </w:p>
    <w:p w:rsidR="002A7A3D" w:rsidRPr="005F370A" w:rsidRDefault="001D09F5" w:rsidP="001D09F5">
      <w:pPr>
        <w:pStyle w:val="ListParagraph"/>
        <w:keepNext/>
        <w:keepLines/>
        <w:numPr>
          <w:ilvl w:val="0"/>
          <w:numId w:val="19"/>
        </w:numPr>
        <w:ind w:left="426" w:hanging="426"/>
        <w:rPr>
          <w:b/>
        </w:rPr>
      </w:pPr>
      <w:r>
        <w:rPr>
          <w:b/>
        </w:rPr>
        <w:t>Prioriterad inmatning till nätet</w:t>
      </w:r>
    </w:p>
    <w:p w:rsidR="00884652" w:rsidRPr="005F370A" w:rsidRDefault="002A7A3D" w:rsidP="001D09F5">
      <w:r>
        <w:rPr>
          <w:b/>
        </w:rPr>
        <w:t xml:space="preserve">Inmatningen </w:t>
      </w:r>
      <w:r>
        <w:t>av förnybar energi bör prioriteras framför energi från kärnkraft och fossila bränslen, vilket innebär att den bör vara den första som säljs till elsystemoperatörer. I Tyskland slogs denna prioritering fast i lagen om förnybar energi från 2000 och bekräftades i den omarbetade lagen från 2014.</w:t>
      </w:r>
    </w:p>
    <w:p w:rsidR="00884652" w:rsidRPr="005F370A" w:rsidRDefault="00884652" w:rsidP="001D09F5"/>
    <w:p w:rsidR="00EE578B" w:rsidRPr="005F370A" w:rsidRDefault="001D09F5" w:rsidP="001D09F5">
      <w:pPr>
        <w:pStyle w:val="ListParagraph"/>
        <w:keepNext/>
        <w:numPr>
          <w:ilvl w:val="0"/>
          <w:numId w:val="3"/>
        </w:numPr>
        <w:jc w:val="both"/>
        <w:rPr>
          <w:b/>
        </w:rPr>
      </w:pPr>
      <w:r>
        <w:rPr>
          <w:b/>
        </w:rPr>
        <w:t>Inmatningspriser</w:t>
      </w:r>
    </w:p>
    <w:p w:rsidR="00542AC8" w:rsidRPr="005F370A" w:rsidRDefault="00066D7F" w:rsidP="001D09F5">
      <w:r>
        <w:t xml:space="preserve">Den absolut vanligaste stödmekanismen för förnybar energi är inmatningspriserna, som innebär långsiktiga (10–25 år) köpeavtal för tillhandahållande av förnybar el till elnätet som nätoperatören kan sälja på marknaden. Producenten får det fasta inmatningspriset och behöver inte sälja direkt på marknaden. </w:t>
      </w:r>
    </w:p>
    <w:p w:rsidR="00542AC8" w:rsidRPr="005F370A" w:rsidRDefault="00542AC8" w:rsidP="001D09F5"/>
    <w:p w:rsidR="00625B30" w:rsidRPr="005F370A" w:rsidRDefault="00542AC8" w:rsidP="001D09F5">
      <w:r>
        <w:t xml:space="preserve">Inmatningspriser bör även i framtiden vara den huvudsakliga stödmekanismen för småskaliga projekt för produktion av förnybar energi. Det är ett enkelt och säkert sätt för producenterna att exakt beräkna </w:t>
      </w:r>
      <w:r>
        <w:lastRenderedPageBreak/>
        <w:t xml:space="preserve">sina investeringar och sin avkastning. De ger en investeringstrygghet som gör det lättare för småproducenter att få de lån de behöver. </w:t>
      </w:r>
    </w:p>
    <w:p w:rsidR="00E60212" w:rsidRPr="005F370A" w:rsidRDefault="00E60212" w:rsidP="001D09F5"/>
    <w:p w:rsidR="00184D21" w:rsidRPr="005F370A" w:rsidRDefault="00184D21" w:rsidP="001D09F5">
      <w:r>
        <w:t xml:space="preserve">När det t.ex. gäller den tyska </w:t>
      </w:r>
      <w:r>
        <w:rPr>
          <w:i/>
        </w:rPr>
        <w:t xml:space="preserve">Energiewende </w:t>
      </w:r>
      <w:r>
        <w:t xml:space="preserve">har inmatningspriserna finansierats via den så kallade EEG-avgiften för förnybar energi, som utgör skillnaden mellan elpriset på börsen och det garanterade inmatningspriset (som när </w:t>
      </w:r>
      <w:r>
        <w:rPr>
          <w:i/>
        </w:rPr>
        <w:t>Energiewende</w:t>
      </w:r>
      <w:r>
        <w:t xml:space="preserve"> inleddes låg på över 50 cent/kWh för solenergi och för närvarande ligger på 12 cent/kWh). Vid elproduktionstoppar går börspriset ner, vilket gör att EEG-avgiften ökar. Elpriskraschen beror emellertid inte enbart på överproduktion av förnybar energi utan också på misslyckandet med utsläppshandelssystemet, billig el från kolkraftverk (som inte internaliserar miljö- och hälsokostnader för samhället) och avsaknaden av en fullt utvecklad elmarknad, nätförvaltning och lagringskapacitet.</w:t>
      </w:r>
    </w:p>
    <w:p w:rsidR="00184D21" w:rsidRPr="005F370A" w:rsidRDefault="00184D21" w:rsidP="001D09F5"/>
    <w:p w:rsidR="0073372C" w:rsidRPr="005F370A" w:rsidRDefault="00CC3484" w:rsidP="001D09F5">
      <w:r>
        <w:t xml:space="preserve">Regeringarna i vissa EU-medlemsstater har inte reagerat tillräckligt snabbt på att den tekniska utvecklingen lett till dramatiska kostnadsminskningar för vindkraft och solenergi och därmed inte sänkt avgifterna för nya anläggningar. Detta har lett till att ett antal nya anläggningar för förnybar energi har fått långfristiga avtal med inmatningspriser som betydligt överstiger de investeringar som gjorts, vilket har resulterat i oproportionerligt höga vinster för dessa anläggningar. Inmatningspriserna kan i själva verket på ett enkelt sätt regelbundet finjusteras utifrån kontinuerligt minskande investeringskostnader. De har redan minskats och är föremål för regelbundna uppdateringar i de flesta länder. Energipriserna – och, trots att detta är orättvist, även bilden av förnybar energi och inmatningspriser – kan emellertid komma att påverkas i åratal framåt av denna försenade reaktion från myndigheternas sida. </w:t>
      </w:r>
    </w:p>
    <w:p w:rsidR="00C310A8" w:rsidRPr="005F370A" w:rsidRDefault="00C310A8" w:rsidP="001D09F5"/>
    <w:p w:rsidR="00C310A8" w:rsidRPr="005F370A" w:rsidRDefault="00C310A8" w:rsidP="001D09F5">
      <w:r>
        <w:t>För att hantera svängningar i utbudet och deras dramatiska effekt på elpriserna under höglastperioder kan systemet med inmatningspriser kompletteras med energihushållningsmekanismer för att hantera svängningarna, t.ex. nettomätning, smarta elnät och utveckling av lagringskapaciteten (se nedan).</w:t>
      </w:r>
    </w:p>
    <w:p w:rsidR="00C310A8" w:rsidRPr="005F370A" w:rsidRDefault="00C310A8" w:rsidP="001D09F5"/>
    <w:p w:rsidR="00C310A8" w:rsidRPr="005F370A" w:rsidRDefault="00C310A8" w:rsidP="007E1A59">
      <w:pPr>
        <w:pStyle w:val="ListParagraph"/>
        <w:keepNext/>
        <w:numPr>
          <w:ilvl w:val="0"/>
          <w:numId w:val="20"/>
        </w:numPr>
        <w:ind w:left="426" w:hanging="426"/>
        <w:jc w:val="both"/>
        <w:rPr>
          <w:b/>
        </w:rPr>
      </w:pPr>
      <w:r>
        <w:rPr>
          <w:b/>
        </w:rPr>
        <w:t>Inmatningspremier</w:t>
      </w:r>
    </w:p>
    <w:p w:rsidR="00625B30" w:rsidRPr="005F370A" w:rsidRDefault="00625B30" w:rsidP="001D09F5">
      <w:r>
        <w:t xml:space="preserve">På senare tid har politiska reformer lett till en stor övergång till </w:t>
      </w:r>
      <w:r>
        <w:rPr>
          <w:b/>
        </w:rPr>
        <w:t>inmatningspremier</w:t>
      </w:r>
      <w:r>
        <w:t>, som innebär att producenter av förnybar energi (över en viss installerad kapacitet) måste sälja sin el direkt på energimarknaden och att de skulle få en viss premie över marknadspriset. Införandet av marknadspremier har oroat producenterna av småskalig energi. Försäljning direkt på marknaden lägger en ny och betydande logistisk börda på små och medelstora producenter och minskar deras möjligheter till projektfinansiering, eftersom det är mindre troligt att långivarna betraktar inmatningspremier som säkra intäkter.</w:t>
      </w:r>
    </w:p>
    <w:p w:rsidR="00AC3D3C" w:rsidRPr="005F370A" w:rsidRDefault="00AC3D3C" w:rsidP="001D09F5"/>
    <w:p w:rsidR="002A7A3D" w:rsidRPr="005F370A" w:rsidRDefault="001D09F5" w:rsidP="001D09F5">
      <w:pPr>
        <w:pStyle w:val="ListParagraph"/>
        <w:keepNext/>
        <w:numPr>
          <w:ilvl w:val="0"/>
          <w:numId w:val="20"/>
        </w:numPr>
        <w:ind w:left="426" w:hanging="426"/>
        <w:jc w:val="both"/>
        <w:rPr>
          <w:b/>
        </w:rPr>
      </w:pPr>
      <w:r>
        <w:rPr>
          <w:b/>
        </w:rPr>
        <w:t>Nettomätning</w:t>
      </w:r>
    </w:p>
    <w:p w:rsidR="002A7A3D" w:rsidRPr="005F370A" w:rsidRDefault="002A7A3D" w:rsidP="001D09F5">
      <w:r>
        <w:rPr>
          <w:b/>
        </w:rPr>
        <w:t>Nettomätning</w:t>
      </w:r>
      <w:r>
        <w:t>, som gör det möjligt för nätanslutna producenter att använda egen el och sälja eventuella överskott till nätet, skapar betydande möjligheter att främja småskalig energiproduktion. Tack vare nettomätning kan prosumenter vid ett senare tillfälle hämta exakt den kvantitet el från nätet som de har levererat och bara betala nätkostnaden. Detta kan i kombination med energihushållning omvandla det allmänna elnätet till en faktisk "virtuell lagringsplats". Danmark införde systemet för solcellsenergi 1998 med betydande framgång. Det litauiska parlamentet inledde å sin sida diskussioner om sitt första lagförslag i början av 2014.</w:t>
      </w:r>
    </w:p>
    <w:p w:rsidR="00625B30" w:rsidRPr="005F370A" w:rsidRDefault="00625B30" w:rsidP="001D09F5"/>
    <w:p w:rsidR="00F64607" w:rsidRPr="005F370A" w:rsidRDefault="001D09F5" w:rsidP="001D09F5">
      <w:pPr>
        <w:pStyle w:val="ListParagraph"/>
        <w:keepNext/>
        <w:numPr>
          <w:ilvl w:val="0"/>
          <w:numId w:val="21"/>
        </w:numPr>
        <w:ind w:left="426" w:hanging="426"/>
        <w:jc w:val="both"/>
        <w:rPr>
          <w:b/>
        </w:rPr>
      </w:pPr>
      <w:r>
        <w:rPr>
          <w:b/>
        </w:rPr>
        <w:lastRenderedPageBreak/>
        <w:t>Kvotsystem</w:t>
      </w:r>
    </w:p>
    <w:p w:rsidR="00575116" w:rsidRPr="005F370A" w:rsidRDefault="00575116" w:rsidP="001D09F5">
      <w:r>
        <w:t>En annan vanlig stödmekanism är att man fastställer kvotkrav för förnybar energi. Dessa kvotsystem har genomförts i varierande grad och har haft varierande framgång i olika länder. I Polen måste t.ex. energidistributörer köpa "gröna certifikat" från marknaden, även om de flesta certifikaten härrör från traditionella kolkraftverk där man sameldar biomassa (delvis importerad från Ryssland). Det var meningen att inkomsterna från gröna certifikat skulle främja utbyggnaden av förnybar energi. EESK:s studie visade dock snarare att de indirekt gjorde el från kol billigare. Dessutom ledde den omfattande användningen av biomassa till en dramatisk sänkning av priset på gröna certifikat i Polen, och därmed minskade också avkastningen på t.ex. investeringar i vindenergi. Instrumentet för gröna certifikat blev fullständigt ineffektivt, eller motverkade till och med sitt syfte. Inmatningspris är på så vis ett mer förutsägbart instrument som ger producenterna bättre avkastning, särskilt för kostnadsintensiv teknik.</w:t>
      </w:r>
    </w:p>
    <w:p w:rsidR="00575116" w:rsidRPr="005F370A" w:rsidRDefault="00575116" w:rsidP="001D09F5"/>
    <w:p w:rsidR="00774C6E" w:rsidRPr="005F370A" w:rsidRDefault="001D09F5" w:rsidP="001D09F5">
      <w:pPr>
        <w:pStyle w:val="ListParagraph"/>
        <w:keepNext/>
        <w:numPr>
          <w:ilvl w:val="0"/>
          <w:numId w:val="22"/>
        </w:numPr>
        <w:ind w:left="426" w:hanging="426"/>
        <w:jc w:val="both"/>
        <w:rPr>
          <w:b/>
        </w:rPr>
      </w:pPr>
      <w:r>
        <w:rPr>
          <w:b/>
        </w:rPr>
        <w:t>Investeringsstöd</w:t>
      </w:r>
    </w:p>
    <w:p w:rsidR="00575116" w:rsidRPr="005F370A" w:rsidRDefault="00774C6E" w:rsidP="007E1A59">
      <w:r>
        <w:t>Genom de ovan nämnda mekanismerna belönas produktion, men eftersom de flesta förnybara energislag är mycket kapitalkrävande finns det också flera instrument som ska undanröja investeringshindren. Investerare i anläggningar med liten eller medelstor kapacitet kan normalt välja mellan att få ett inmatningspris eller ett engångsstöd för att minska de initiala investeringskostnaderna. Dessa stödordningar kan vara av särskilt intresse i regioner som får strukturstöd. De bör anpassas och förvaltas omsorgsfullt för att undvika överdrivna vinster, ineffektivitet som ger onödigt höga energipriser och en suboptimal energimix, eller eventuella flöden av stöd från småskalig energi till hedgefonder.</w:t>
      </w:r>
    </w:p>
    <w:p w:rsidR="007451F5" w:rsidRPr="005F370A" w:rsidRDefault="007451F5" w:rsidP="007E1A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7451F5" w:rsidRPr="005F370A" w:rsidTr="00501C30">
        <w:tc>
          <w:tcPr>
            <w:tcW w:w="9287" w:type="dxa"/>
            <w:shd w:val="clear" w:color="auto" w:fill="C6D9F1"/>
          </w:tcPr>
          <w:p w:rsidR="007451F5" w:rsidRPr="005F370A" w:rsidRDefault="007451F5" w:rsidP="001D09F5">
            <w:pPr>
              <w:spacing w:before="240"/>
              <w:rPr>
                <w:b/>
              </w:rPr>
            </w:pPr>
            <w:r>
              <w:rPr>
                <w:b/>
              </w:rPr>
              <w:t>Ruta 1: Exemplet med den tyska energiomställningen (</w:t>
            </w:r>
            <w:r>
              <w:rPr>
                <w:b/>
                <w:i/>
              </w:rPr>
              <w:t>Energiewende</w:t>
            </w:r>
            <w:r>
              <w:rPr>
                <w:b/>
              </w:rPr>
              <w:t>).</w:t>
            </w:r>
          </w:p>
          <w:p w:rsidR="007451F5" w:rsidRPr="005F370A" w:rsidRDefault="007451F5" w:rsidP="001D09F5">
            <w:r>
              <w:t>Under första hälften av 2014 kom mer än 30 % av Tysklands elförbrukning från förnybara energikällor. Den enorma ökningen av förnybar energi i Tyskland beror till stor del på den tyska lagen om förnybar energi som trädde i kraft år 2000. Syftet med lagen var inte uttryckligen att främja småskalig energiproduktion, men i lagen fastställdes ramvillkor som gjorde det möjligt för det civila samhället att bli en aktiv producent av förnybar energi. I lagen fastställdes följande:</w:t>
            </w:r>
          </w:p>
          <w:p w:rsidR="007451F5" w:rsidRPr="005F370A" w:rsidRDefault="007451F5" w:rsidP="001D09F5">
            <w:pPr>
              <w:numPr>
                <w:ilvl w:val="0"/>
                <w:numId w:val="15"/>
              </w:numPr>
            </w:pPr>
            <w:r>
              <w:t>Enkla planerings- och godkännandeförfaranden för investerare (inga administrativa hinder).</w:t>
            </w:r>
          </w:p>
          <w:p w:rsidR="007451F5" w:rsidRPr="005F370A" w:rsidRDefault="007451F5" w:rsidP="001D09F5">
            <w:pPr>
              <w:numPr>
                <w:ilvl w:val="0"/>
                <w:numId w:val="15"/>
              </w:numPr>
            </w:pPr>
            <w:r>
              <w:t>Lättillgängliga nät.</w:t>
            </w:r>
          </w:p>
          <w:p w:rsidR="007451F5" w:rsidRPr="005F370A" w:rsidRDefault="007451F5" w:rsidP="001D09F5">
            <w:pPr>
              <w:numPr>
                <w:ilvl w:val="0"/>
                <w:numId w:val="15"/>
              </w:numPr>
            </w:pPr>
            <w:r>
              <w:t xml:space="preserve">Utleverans av förnybar energi prioriteras framför energi från kärnkraftverk och fossila bränslen. </w:t>
            </w:r>
          </w:p>
          <w:p w:rsidR="007451F5" w:rsidRPr="005F370A" w:rsidRDefault="007451F5" w:rsidP="001D09F5">
            <w:pPr>
              <w:numPr>
                <w:ilvl w:val="0"/>
                <w:numId w:val="15"/>
              </w:numPr>
            </w:pPr>
            <w:r>
              <w:t>Fasta inmatningspriser under 20 år.</w:t>
            </w:r>
          </w:p>
          <w:p w:rsidR="007451F5" w:rsidRPr="005F370A" w:rsidRDefault="007451F5" w:rsidP="001D09F5">
            <w:pPr>
              <w:numPr>
                <w:ilvl w:val="0"/>
                <w:numId w:val="15"/>
              </w:numPr>
            </w:pPr>
            <w:r>
              <w:t>Nätoperatören säljer elen på marknaden.</w:t>
            </w:r>
          </w:p>
          <w:p w:rsidR="007451F5" w:rsidRPr="005F370A" w:rsidRDefault="007451F5" w:rsidP="001D09F5">
            <w:pPr>
              <w:numPr>
                <w:ilvl w:val="0"/>
                <w:numId w:val="15"/>
              </w:numPr>
            </w:pPr>
            <w:r>
              <w:t>Investeringsstöd i form av förmånliga krediter för anläggningar för förnybar energi från den statliga kreditfaciliteten för återuppbyggnad (KfW).</w:t>
            </w:r>
          </w:p>
          <w:p w:rsidR="007451F5" w:rsidRPr="005F370A" w:rsidRDefault="007451F5" w:rsidP="001D09F5">
            <w:pPr>
              <w:numPr>
                <w:ilvl w:val="0"/>
                <w:numId w:val="15"/>
              </w:numPr>
            </w:pPr>
            <w:r>
              <w:t xml:space="preserve">Kostnader som uppstår till följd av lagen ska täckas av en särskild avgift på elpriserna. Särskilt energiintensiva industrier kan undantas från avgiften för att den inte ska skada deras internationella konkurrenskraft. </w:t>
            </w:r>
          </w:p>
          <w:p w:rsidR="007451F5" w:rsidRPr="005F370A" w:rsidRDefault="007451F5" w:rsidP="001D09F5">
            <w:pPr>
              <w:ind w:left="720"/>
            </w:pPr>
          </w:p>
        </w:tc>
      </w:tr>
    </w:tbl>
    <w:p w:rsidR="007451F5" w:rsidRPr="005F370A" w:rsidRDefault="007451F5" w:rsidP="001D09F5"/>
    <w:p w:rsidR="004229FE" w:rsidRPr="005F370A" w:rsidRDefault="004229FE" w:rsidP="001D09F5">
      <w:r>
        <w:t>I de länder som besöktes av EESK framträdde en mycket komplex bild av priser, kvoter, stöd och subventioner. Denna komplexitet motiveras delvis av vikten av att skilja mellan olika stödordningar, men den bör begränsas till ett minimum:</w:t>
      </w:r>
    </w:p>
    <w:p w:rsidR="007E1A59" w:rsidRPr="005F370A" w:rsidRDefault="007E1A59" w:rsidP="001D09F5"/>
    <w:p w:rsidR="004229FE" w:rsidRPr="005F370A" w:rsidRDefault="004229FE" w:rsidP="001D09F5">
      <w:pPr>
        <w:numPr>
          <w:ilvl w:val="0"/>
          <w:numId w:val="8"/>
        </w:numPr>
      </w:pPr>
      <w:r>
        <w:t>Differentiering utifrån bränsle eller teknik stimulerar utvecklingen av teknikformer med olika kostnader som inte kan konkurrera direkt med varandra, och ökar därför inlärningshastigheten. Den kan även vara inriktad på särskilda inslag i kostnadsstrukturen.</w:t>
      </w:r>
    </w:p>
    <w:p w:rsidR="004229FE" w:rsidRPr="005F370A" w:rsidRDefault="004229FE" w:rsidP="001D09F5">
      <w:pPr>
        <w:numPr>
          <w:ilvl w:val="0"/>
          <w:numId w:val="8"/>
        </w:numPr>
      </w:pPr>
      <w:r>
        <w:t>Differentiering utifrån effektklass gör att man undviker alltför stora vinster till följd av stordriftsfördelar. Det kan även användas för att stimulera småskalig energiproduktion, som normalt är förbunden med låg produktionskapacitet.</w:t>
      </w:r>
    </w:p>
    <w:p w:rsidR="004229FE" w:rsidRPr="005F370A" w:rsidRDefault="004229FE" w:rsidP="001D09F5">
      <w:pPr>
        <w:numPr>
          <w:ilvl w:val="0"/>
          <w:numId w:val="8"/>
        </w:numPr>
      </w:pPr>
      <w:r>
        <w:t xml:space="preserve">Differentiering utifrån energibärare (t.ex. el eller värme) gör det möjligt att uppnå specifika mål för varje energibärare. Till skillnad från elsektorn, där inmatningspriserna brukar betalas under mer än tio år, stimuleras produktion av förnybar värme mestadels genom lån och stöd som täcker en del av investeringskostnaderna. Frankrikes </w:t>
      </w:r>
      <w:r>
        <w:rPr>
          <w:i/>
        </w:rPr>
        <w:t>fonds chaleur</w:t>
      </w:r>
      <w:r>
        <w:t xml:space="preserve"> är ett bra exempel i detta sammanhang. Fr.o.m. 2015 kommer även Litauen att införa krav på förnybara energikällor för värme och kyla när det gäller nya byggnader och för befintliga byggnader som genomgår större renoveringar.</w:t>
      </w:r>
    </w:p>
    <w:p w:rsidR="00AC3D3C" w:rsidRPr="005F370A" w:rsidRDefault="00AC3D3C" w:rsidP="001D09F5"/>
    <w:p w:rsidR="00B325EE" w:rsidRPr="005F370A" w:rsidRDefault="00B325EE" w:rsidP="001D09F5">
      <w:pPr>
        <w:pStyle w:val="Heading2"/>
        <w:keepNext/>
        <w:rPr>
          <w:b/>
        </w:rPr>
      </w:pPr>
      <w:bookmarkStart w:id="405" w:name="_Toc408506740"/>
      <w:bookmarkStart w:id="406" w:name="_Toc411238486"/>
      <w:r>
        <w:rPr>
          <w:b/>
        </w:rPr>
        <w:t>Avlägsna hinder för småskalig produktion av förnybar energi</w:t>
      </w:r>
      <w:bookmarkEnd w:id="405"/>
      <w:bookmarkEnd w:id="406"/>
    </w:p>
    <w:p w:rsidR="00F64607" w:rsidRPr="005F370A" w:rsidRDefault="00F64607" w:rsidP="001D09F5">
      <w:pPr>
        <w:keepNext/>
      </w:pPr>
    </w:p>
    <w:p w:rsidR="003E58DA" w:rsidRPr="005F370A" w:rsidRDefault="001D09F5" w:rsidP="001D09F5">
      <w:pPr>
        <w:pStyle w:val="ListParagraph"/>
        <w:keepNext/>
        <w:numPr>
          <w:ilvl w:val="0"/>
          <w:numId w:val="23"/>
        </w:numPr>
        <w:ind w:left="426" w:hanging="426"/>
        <w:rPr>
          <w:b/>
        </w:rPr>
      </w:pPr>
      <w:r>
        <w:rPr>
          <w:b/>
        </w:rPr>
        <w:t>Försiktighet med anbudsförfaranden</w:t>
      </w:r>
    </w:p>
    <w:p w:rsidR="0093128F" w:rsidRPr="005F370A" w:rsidRDefault="0093128F" w:rsidP="001D09F5">
      <w:r>
        <w:t xml:space="preserve">Sedan man nyligen genomfört reformer av stödramarna för förnybar energi har man i flera av de studerade länderna infört anbudsförfaranden som huvudsakligt förfarande för att tilldela inmatningspriser eller premier för förnybar energi. Endast mycket låg produktionskapacitet kommer i framtiden att undantas från auktioner. Denna trend drivs åtminstone delvis av EU:s riktlinjer för statligt stöd på energi- och miljöområdet. </w:t>
      </w:r>
    </w:p>
    <w:p w:rsidR="0093128F" w:rsidRPr="005F370A" w:rsidRDefault="0093128F" w:rsidP="001D09F5"/>
    <w:p w:rsidR="0093128F" w:rsidRPr="005F370A" w:rsidRDefault="0093128F" w:rsidP="001D09F5">
      <w:r>
        <w:t>Intressenter i alla de länder som besöktes uttryckte oro över komplicerade och kostsamma anbudsförfaranden som även skulle leda till högre finansieringskostnader och minska möjligheterna att få lån på grund av högre investeringsrisker (osäkerhet om huruvida man kommer att beviljas stöd). Denna oproportionerligt stora ekonomiska börda för småskaliga projekt, och det faktum att småproducenter knappast skulle kunna leverera de kvantiteter som vanligen krävs i anbudsförfaranden, skulle i praktiken utestänga det civila samhället och lokalsamhällen från möjligheten att få stöd för förnybar energi. Det skulle också förstöra konkurrensen på energimarknaderna eftersom endast ett fåtal stora producenter skulle ha den kapacitet som krävs för att delta i anbudsförfarandena.</w:t>
      </w:r>
    </w:p>
    <w:p w:rsidR="0093128F" w:rsidRPr="005F370A" w:rsidRDefault="0093128F" w:rsidP="001D09F5"/>
    <w:p w:rsidR="007D4CFA" w:rsidRPr="005F370A" w:rsidRDefault="0093128F" w:rsidP="001D09F5">
      <w:r>
        <w:t>Anbudsförfaranden gynnar stora producenter och kan därmed bidra till en förnyad centralisering, vilket skulle göra det omöjligt för privatpersoner och lokalsamhällen att producera förnybar energi. Om stora centraliserade producenter gynnas kan det leda till högre priser för konsumenterna, eftersom stora företag förväntar sig högre vinstmarginaler än producenter av småskalig energi. Anbudsförfaranden skulle dessutom inte fungera där det inte finns någon energimarknad. Gemensamma erfarenheter i några av de länder som besöktes (i synnerhet i Storbritannien) tyder på att anbudsförfaranden i själva verket kan öka de totala kostnaderna och risken för att projekt försenas eller ställs in. Anbudsförfarande var det första stödsystemet för förnybar energi i Storbritannien. Det övergavs till förmån för ett kvotsystem, som sedan ersattes av inmatningspris för projekt under 5 MW.</w:t>
      </w:r>
    </w:p>
    <w:p w:rsidR="00AB3E75" w:rsidRPr="001D09F5" w:rsidRDefault="00AB3E75" w:rsidP="001D09F5">
      <w:pPr>
        <w:rPr>
          <w:highlight w:val="yellow"/>
        </w:rPr>
      </w:pPr>
    </w:p>
    <w:p w:rsidR="003F63ED" w:rsidRPr="005F370A" w:rsidRDefault="00971042" w:rsidP="007E1A59">
      <w:pPr>
        <w:pStyle w:val="ListParagraph"/>
        <w:keepNext/>
        <w:numPr>
          <w:ilvl w:val="0"/>
          <w:numId w:val="23"/>
        </w:numPr>
        <w:ind w:left="426" w:hanging="426"/>
        <w:rPr>
          <w:b/>
        </w:rPr>
      </w:pPr>
      <w:r>
        <w:rPr>
          <w:b/>
        </w:rPr>
        <w:lastRenderedPageBreak/>
        <w:t>Inte alltför strikta övre gränser för målen för förnybar energi</w:t>
      </w:r>
    </w:p>
    <w:p w:rsidR="00971042" w:rsidRDefault="00575116" w:rsidP="001D09F5">
      <w:r>
        <w:t xml:space="preserve">Flera medlemsstater har infört mekanismer för att bromsa utvecklingen av förnybar energi genom att minska eller upphöra med stödet så snart som deras mål för perioden har uppnåtts. Bland de medlemsstater som besöktes under studiens gång var Bulgarien ett särskilt slående exempel. År 2013 förklarade regeringen att det nationella 2020-målet för förnybar energi på 16 % hade uppnåtts, och sedan dess har nätoperatörer använt detta som ett argument för att vägra ge producenter av förnybar el tillträde till elnätet. Litauen satte en övre gräns för det offentliga stödet till förnybar el genom att sätta upp ganska oambitiösa mål för var och en av de viktigaste teknikerna för förnybar energi. Efter mindre än två år hade kapaciteten uppnåtts utom för vattenkraft. </w:t>
      </w:r>
    </w:p>
    <w:p w:rsidR="00BF1B40" w:rsidRPr="005F370A" w:rsidRDefault="00BF1B40" w:rsidP="001D09F5"/>
    <w:p w:rsidR="00971042" w:rsidRPr="005F370A" w:rsidRDefault="00971042" w:rsidP="001D09F5">
      <w:r>
        <w:t>Vikten av att göra den förnybara sektorns tillväxt mer förutsägbar och att hantera de sociala och ekonomiska kostnaderna för detta kan vara ett giltigt argument för att sätta en övre gräns. Om detta görs är det emellertid mycket viktigt att den inte hindrar medlemsstatens ambitioner i energiomställningen, eller framsteg som kunde och borde ha fått fortsätta.</w:t>
      </w:r>
    </w:p>
    <w:p w:rsidR="00A207FE" w:rsidRPr="005F370A" w:rsidRDefault="00A207FE" w:rsidP="001D09F5"/>
    <w:bookmarkEnd w:id="390"/>
    <w:p w:rsidR="00287CAD" w:rsidRPr="005F370A" w:rsidRDefault="00971042" w:rsidP="007E1A59">
      <w:pPr>
        <w:pStyle w:val="ListParagraph"/>
        <w:keepNext/>
        <w:numPr>
          <w:ilvl w:val="0"/>
          <w:numId w:val="23"/>
        </w:numPr>
        <w:ind w:left="426" w:hanging="426"/>
        <w:rPr>
          <w:b/>
        </w:rPr>
      </w:pPr>
      <w:r>
        <w:rPr>
          <w:b/>
        </w:rPr>
        <w:t>Avlägsnande av hinder för nätanslutningen</w:t>
      </w:r>
    </w:p>
    <w:p w:rsidR="005C65C6" w:rsidRPr="005F370A" w:rsidRDefault="00E2240E" w:rsidP="001D09F5">
      <w:r>
        <w:t>Låg produktionskapacitet, som det ofta är fråga om i samband med småskalig energiproduktion, brukar vara ansluten till distributionsnätet. I många av de studerade länderna är anslutning till elnätet emellertid ett problem på grund av antingen administrativa förfaranden, väntetider eller kostnader. Även om projekt för förnybar energi måste få anslutas till nätet enligt direktivet om förnybar energi utgör de höga kostnader som vissa operatörer ofta tillämpar ett hinder i praktiken. För nya projekt är antalet anslutningsställen ofta begränsade och därför kanske inte producenter av småskalig energi kan ansluta sig till ett rimligt pris. Mikroproduktion som inte är ansluten till elnätet kan komma runt denna brist och till och med vara den rätta lösningen ur ett kostnadsperspektiv för mycket avlägsna områden dit elnätet inte når eller är bristfälligt. Den tyska EEG-lagen är ett ypperligt exempel på god praxis när det gäller nätanslutning</w:t>
      </w:r>
      <w:r>
        <w:rPr>
          <w:rStyle w:val="FootnoteReference"/>
        </w:rPr>
        <w:footnoteReference w:id="20"/>
      </w:r>
      <w:r>
        <w:t>.</w:t>
      </w:r>
    </w:p>
    <w:p w:rsidR="00CC49F4" w:rsidRPr="005F370A" w:rsidRDefault="00CC49F4" w:rsidP="001D09F5"/>
    <w:p w:rsidR="00884652" w:rsidRPr="005F370A" w:rsidRDefault="00884652" w:rsidP="007E1A59">
      <w:pPr>
        <w:pStyle w:val="ListParagraph"/>
        <w:keepNext/>
        <w:numPr>
          <w:ilvl w:val="0"/>
          <w:numId w:val="23"/>
        </w:numPr>
        <w:ind w:left="426" w:hanging="426"/>
        <w:rPr>
          <w:b/>
        </w:rPr>
      </w:pPr>
      <w:r>
        <w:rPr>
          <w:b/>
        </w:rPr>
        <w:t>Undantag från försäljning direkt på marknaden</w:t>
      </w:r>
    </w:p>
    <w:p w:rsidR="00884652" w:rsidRPr="005F370A" w:rsidRDefault="00884652" w:rsidP="001D09F5">
      <w:r>
        <w:t>Försäljning direkt på marknaden lägger nya och betydande logistiska bördor på producenter av småskalig energi. Det minskar också deras möjligheter till projektfinansiering, eftersom det är mindre troligt att långivare ser inmatningspremier som tillförlitliga intäkter.</w:t>
      </w:r>
    </w:p>
    <w:p w:rsidR="00884652" w:rsidRPr="005F370A" w:rsidRDefault="00884652" w:rsidP="001D09F5"/>
    <w:p w:rsidR="00A314D3" w:rsidRPr="005F370A" w:rsidRDefault="00A314D3" w:rsidP="001D09F5">
      <w:pPr>
        <w:pStyle w:val="Heading2"/>
        <w:keepNext/>
        <w:rPr>
          <w:b/>
        </w:rPr>
      </w:pPr>
      <w:bookmarkStart w:id="407" w:name="_Toc408506741"/>
      <w:bookmarkStart w:id="408" w:name="_Toc411238487"/>
      <w:r>
        <w:rPr>
          <w:b/>
        </w:rPr>
        <w:t>Utveckling och samordning av elnät för att ta hänsyn till förnybara energislags behov</w:t>
      </w:r>
      <w:bookmarkEnd w:id="407"/>
      <w:bookmarkEnd w:id="408"/>
      <w:r>
        <w:rPr>
          <w:b/>
        </w:rPr>
        <w:t xml:space="preserve"> </w:t>
      </w:r>
    </w:p>
    <w:p w:rsidR="00C240A9" w:rsidRPr="005F370A" w:rsidRDefault="00C240A9" w:rsidP="001D09F5">
      <w:pPr>
        <w:keepNext/>
      </w:pPr>
    </w:p>
    <w:p w:rsidR="00FC49E7" w:rsidRPr="005F370A" w:rsidRDefault="006F1FA7" w:rsidP="001D09F5">
      <w:r>
        <w:t xml:space="preserve">Gamla elnätssystem utformades när energiproduktionen var centraliserad och strömmen levererades i bara en riktning via högspänningsnät från stora kraftverk och därefter via nät med lägre spänning till konsumenterna. Elnäten behöver anpassas till spridda och fluktuerande förnybara energikällor, såsom vind-, sol- och tidvattenenergi. För att sådana energikällor ska kunna byggas ut krävs strukturella förändringar i infrastrukturen i kombination med bättre samordning av elmarknaderna och </w:t>
      </w:r>
      <w:r>
        <w:lastRenderedPageBreak/>
        <w:t xml:space="preserve">energiproduktionen, samt energiförvaltningssystem för export eller lagring av överskottsenergi. </w:t>
      </w:r>
      <w:r>
        <w:rPr>
          <w:b/>
        </w:rPr>
        <w:t>Samordning bland systemansvariga för överföringssystem</w:t>
      </w:r>
      <w:r>
        <w:t xml:space="preserve"> genom regionala samordningsinitiativ blir allt viktigare. Genom prognoser över energibehoven kan exempelvis Coreso i förväg informera systemansvariga för överföringssystem om förväntade elöverskott och elunderskott på nationell och regional nivå så att de bättre kan hantera de egna näten och ta itu med eventuella problem. Ett sätt att hantera avbrott i kraftförsörjningen från förnybara energislag är att man bygger ut </w:t>
      </w:r>
      <w:r>
        <w:rPr>
          <w:b/>
        </w:rPr>
        <w:t xml:space="preserve">hybridsystem </w:t>
      </w:r>
      <w:r>
        <w:t>som kombinerar flera olika energikällor med lagring och efterfrågehantering. Om de hanteras på rätt sätt kan resultatet bli "</w:t>
      </w:r>
      <w:r>
        <w:rPr>
          <w:b/>
        </w:rPr>
        <w:t>smarta nät</w:t>
      </w:r>
      <w:r>
        <w:t>" som levererar el på ett hållbart, ekonomiskt och säkert sätt. EESK-gruppen fick se ett fantastiskt exempel på ett sådant initiativ: "Nice Grid" i Frankrike syftar till att optimera energihushållningen och öka energiautonomin för 1 500 hushålls-, företags- och industrikunder genom att slå ihop lagring och efterfrågehantering och minska toppbelastningen med upp till 17 %.</w:t>
      </w:r>
    </w:p>
    <w:p w:rsidR="00A678D3" w:rsidRPr="005F370A" w:rsidRDefault="00A678D3" w:rsidP="001D09F5"/>
    <w:p w:rsidR="00340BF4" w:rsidRPr="005F370A" w:rsidRDefault="00DC3D46" w:rsidP="001D09F5">
      <w:pPr>
        <w:keepNext/>
      </w:pPr>
      <w:r>
        <w:rPr>
          <w:noProof/>
          <w:lang w:val="fr-BE" w:eastAsia="fr-BE" w:bidi="ar-SA"/>
        </w:rPr>
        <w:drawing>
          <wp:inline distT="0" distB="0" distL="0" distR="0" wp14:anchorId="6ACA3AD3" wp14:editId="6B3FB280">
            <wp:extent cx="4858385" cy="2886075"/>
            <wp:effectExtent l="0" t="0" r="0" b="9525"/>
            <wp:docPr id="9" name="Picture 29" descr="schema demonstrateur Nicegrid ca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hema demonstrateur Nicegrid carros"/>
                    <pic:cNvPicPr>
                      <a:picLocks noChangeAspect="1" noChangeArrowheads="1"/>
                    </pic:cNvPicPr>
                  </pic:nvPicPr>
                  <pic:blipFill>
                    <a:blip r:embed="rId22">
                      <a:extLst>
                        <a:ext uri="{28A0092B-C50C-407E-A947-70E740481C1C}">
                          <a14:useLocalDpi xmlns:a14="http://schemas.microsoft.com/office/drawing/2010/main" val="0"/>
                        </a:ext>
                      </a:extLst>
                    </a:blip>
                    <a:srcRect t="30383" b="10184"/>
                    <a:stretch>
                      <a:fillRect/>
                    </a:stretch>
                  </pic:blipFill>
                  <pic:spPr bwMode="auto">
                    <a:xfrm>
                      <a:off x="0" y="0"/>
                      <a:ext cx="4858385" cy="2886075"/>
                    </a:xfrm>
                    <a:prstGeom prst="rect">
                      <a:avLst/>
                    </a:prstGeom>
                    <a:noFill/>
                    <a:ln>
                      <a:noFill/>
                    </a:ln>
                  </pic:spPr>
                </pic:pic>
              </a:graphicData>
            </a:graphic>
          </wp:inline>
        </w:drawing>
      </w:r>
    </w:p>
    <w:p w:rsidR="00C079CF" w:rsidRPr="005F370A" w:rsidRDefault="004569F3" w:rsidP="001D09F5">
      <w:pPr>
        <w:rPr>
          <w:b/>
          <w:sz w:val="18"/>
        </w:rPr>
      </w:pPr>
      <w:r>
        <w:rPr>
          <w:b/>
          <w:sz w:val="18"/>
        </w:rPr>
        <w:t>Figur</w:t>
      </w:r>
      <w:r w:rsidRPr="005F370A">
        <w:rPr>
          <w:b/>
          <w:sz w:val="18"/>
        </w:rPr>
        <w:fldChar w:fldCharType="begin" w:fldLock="1"/>
      </w:r>
      <w:r w:rsidRPr="005F370A">
        <w:rPr>
          <w:b/>
          <w:sz w:val="18"/>
        </w:rPr>
        <w:instrText xml:space="preserve"> SEQ Figure \* ARABIC </w:instrText>
      </w:r>
      <w:r w:rsidRPr="005F370A">
        <w:rPr>
          <w:b/>
          <w:sz w:val="18"/>
        </w:rPr>
        <w:fldChar w:fldCharType="separate"/>
      </w:r>
      <w:r w:rsidR="00B56504" w:rsidRPr="005F370A">
        <w:rPr>
          <w:b/>
          <w:sz w:val="18"/>
        </w:rPr>
        <w:t>7</w:t>
      </w:r>
      <w:r w:rsidRPr="005F370A">
        <w:rPr>
          <w:b/>
          <w:sz w:val="18"/>
        </w:rPr>
        <w:fldChar w:fldCharType="end"/>
      </w:r>
      <w:r>
        <w:rPr>
          <w:b/>
          <w:sz w:val="18"/>
        </w:rPr>
        <w:t>: "Nice Grid"-arkitektur.</w:t>
      </w:r>
    </w:p>
    <w:p w:rsidR="00C079CF" w:rsidRPr="005F370A" w:rsidRDefault="00C079CF" w:rsidP="001D09F5">
      <w:pPr>
        <w:rPr>
          <w:sz w:val="18"/>
        </w:rPr>
      </w:pPr>
      <w:r>
        <w:rPr>
          <w:sz w:val="18"/>
        </w:rPr>
        <w:t>Källa: Nice Grid (2014).</w:t>
      </w:r>
    </w:p>
    <w:p w:rsidR="00635AD5" w:rsidRPr="005F370A" w:rsidRDefault="00635AD5" w:rsidP="001D09F5">
      <w:pPr>
        <w:rPr>
          <w:sz w:val="18"/>
        </w:rPr>
      </w:pPr>
    </w:p>
    <w:p w:rsidR="00862651" w:rsidRPr="005F370A" w:rsidRDefault="00862651" w:rsidP="001D09F5">
      <w:r>
        <w:t>Under besöket i Tyskland uppmärksammade studiegruppen vad den tyska federala nätmyndigheten sagt om decentraliserade produktionsstrukturer: "Det är uppenbart att omvandlingen av energisystemet lyckas bäst genom nära samarbete mellan alla involverade parter. [...] Vi bör välkomna metoder som maximerar energiförbrukningen vid källan. Detta har alltid varit grundprincipen för energiförsörjning eftersom nätförlusterna på så sätt minimeras."</w:t>
      </w:r>
      <w:r>
        <w:rPr>
          <w:rStyle w:val="FootnoteReference"/>
        </w:rPr>
        <w:footnoteReference w:id="21"/>
      </w:r>
    </w:p>
    <w:p w:rsidR="00491ED9" w:rsidRPr="005F370A" w:rsidRDefault="00491ED9" w:rsidP="001D09F5">
      <w:pPr>
        <w:keepNext/>
      </w:pPr>
      <w:bookmarkStart w:id="409" w:name="_Toc408506742"/>
    </w:p>
    <w:p w:rsidR="001373A9" w:rsidRPr="005F370A" w:rsidRDefault="0067287D" w:rsidP="001D09F5">
      <w:pPr>
        <w:pStyle w:val="Heading2"/>
        <w:keepNext/>
        <w:rPr>
          <w:b/>
        </w:rPr>
      </w:pPr>
      <w:bookmarkStart w:id="410" w:name="_Toc411238488"/>
      <w:r>
        <w:rPr>
          <w:b/>
        </w:rPr>
        <w:t>Energihushållning och energilagring</w:t>
      </w:r>
      <w:bookmarkEnd w:id="409"/>
      <w:bookmarkEnd w:id="410"/>
    </w:p>
    <w:p w:rsidR="00C240A9" w:rsidRPr="005F370A" w:rsidRDefault="00C240A9" w:rsidP="001D09F5">
      <w:pPr>
        <w:keepNext/>
      </w:pPr>
    </w:p>
    <w:p w:rsidR="0060380C" w:rsidRPr="005F370A" w:rsidRDefault="0067287D" w:rsidP="001D09F5">
      <w:r>
        <w:t xml:space="preserve">Avbrottsfrekvensen för vissa förnybara energislag är fortfarande ett problem i samband med utbudsstyrningen. Med den omfattande utbyggnaden av förnybar energi dyker det emellertid upp nya och innovativa lösningar. En kombination av förnybar elproduktion och värmeproduktion kan vara ett </w:t>
      </w:r>
      <w:r>
        <w:lastRenderedPageBreak/>
        <w:t xml:space="preserve">ypperligt tillfälle att skaffa välbehövlig lagringskapacitet, som skulle kunna utnyttjas då och då för att hantera svängningar i produktionen av förnybar energi. </w:t>
      </w:r>
      <w:r>
        <w:rPr>
          <w:b/>
        </w:rPr>
        <w:t>Kraft till värme</w:t>
      </w:r>
      <w:r>
        <w:t>, dvs. användning av "billig" överskottsel från förnybara källor via värmepumpar och varmvattenbehållare för uppvärmning eller avkylning, är redan ett realistiskt alternativ i fråga om ekonomi och energihushållning. Denna möjlighet diskuterades under besöket i Frankrike, och det finns projekt som håller på att genomföras i Tyskland.</w:t>
      </w:r>
    </w:p>
    <w:p w:rsidR="00D3759B" w:rsidRPr="005F370A" w:rsidRDefault="00D3759B" w:rsidP="001D09F5"/>
    <w:p w:rsidR="00B83B64" w:rsidRPr="005F370A" w:rsidRDefault="00D14FA2" w:rsidP="001D09F5">
      <w:pPr>
        <w:pStyle w:val="Heading1"/>
        <w:keepNext/>
        <w:rPr>
          <w:b/>
          <w:sz w:val="24"/>
        </w:rPr>
      </w:pPr>
      <w:bookmarkStart w:id="411" w:name="_Toc411238489"/>
      <w:r>
        <w:rPr>
          <w:b/>
          <w:sz w:val="24"/>
        </w:rPr>
        <w:t>Slutsatser</w:t>
      </w:r>
      <w:bookmarkEnd w:id="411"/>
    </w:p>
    <w:p w:rsidR="00E051E1" w:rsidRPr="005F370A" w:rsidRDefault="00E051E1" w:rsidP="001D09F5">
      <w:pPr>
        <w:keepNext/>
      </w:pPr>
      <w:bookmarkStart w:id="412" w:name="_Toc399171531"/>
      <w:bookmarkStart w:id="413" w:name="_Toc399171605"/>
      <w:bookmarkStart w:id="414" w:name="_Toc399171675"/>
      <w:bookmarkStart w:id="415" w:name="_Toc399171749"/>
      <w:bookmarkStart w:id="416" w:name="_Toc399171824"/>
      <w:bookmarkEnd w:id="412"/>
      <w:bookmarkEnd w:id="413"/>
      <w:bookmarkEnd w:id="414"/>
      <w:bookmarkEnd w:id="415"/>
      <w:bookmarkEnd w:id="416"/>
    </w:p>
    <w:p w:rsidR="00F1073F" w:rsidRPr="005F370A" w:rsidRDefault="00F1073F" w:rsidP="001D09F5">
      <w:r>
        <w:t>Under förutsättning att man har rätt regelmiljö har civilsamhället ett starkt intresse och stor potential att verkställa en stor del av övergången till en decentraliserad och hållbar energiproduktion. I alla länder som besöktes var civilsamhällets företrädare medvetna om affärsmöjligheterna och visade ett mycket stort intresse för att delta i produktionen av förnybar energi för att generera inkomster och behålla mervärdet i de lokala samhällena. Där det fanns gynnsamma policyramar tog sig småproducenter snabbt in på marknaden, blev den största drivkraften bakom utvecklingen av förnybara energislag och omvandlade det nationella energilandskapet. Projekt för förnybar energi utgjorde ofta kärnan i lokala initiativ med betydligt mer långtgående sociala, ekonomiska och miljörelaterade effekter än enbart energiproduktion genom att uppmuntra samarbete, social innovation, utbildning, bättre lokala tjänster och nya lokala arbetstillfällen. Medborgarnas acceptans av ny infrastruktur och tolerans för eventuella olägenheter ökar dessutom om de äger anläggningar för förnybar energi och får utdelning av energiproduktionen. Det civila samhällets enorma kollektiva kapacitet när det gäller investeringar, genomförande och innovation är viktiga resurser för omställningen till hållbar energi.</w:t>
      </w:r>
    </w:p>
    <w:p w:rsidR="00F1073F" w:rsidRPr="005F370A" w:rsidRDefault="00F1073F" w:rsidP="001D09F5"/>
    <w:p w:rsidR="00F1073F" w:rsidRPr="005F370A" w:rsidRDefault="00F1073F" w:rsidP="001D09F5">
      <w:r>
        <w:t>Ändå är det civila samhällets enorma kollektiva potential att påskynda omställningen till förnybar energi, liksom den decentraliserade energins förmåga att stimulera lokal och regional utveckling, till största delen fortfarande outnyttjad. I studien framkom en del utmärkta exempel på strategier för att delaktiggöra lokala samhällen, förenklade administrativa förfaranden, finansiella incitament och sätt att göra det lättare för små producenter av förnybar energi att få tillträde till elnätet och till marknader. Gruppen fann emellertid inte i någon medlemsstat en konsekvent regeringsstrategi med det uttryckliga syftet att göra småskalig produktion av förnybar energi möjlig för det civila samhället och att skapa lika villkor för detta. En vacklande politik och reformer som nyligen har genomförts i regelverken för förnybara energislag i alla de studerade länderna har tvärtom resulterat i ovisshet, en ovilja att göra nya investeringar och oro bland intressenterna när det gäller framtiden för småskalig energiproduktion. Där komplicerade och utdragna tillståndsförfaranden kombineras med ständigt ändrade stödordningar, regler för marknadstillträde som diskriminerar småproducenter och – i vissa fall – nya skatter och avgifter på förnybara energislag, hamnar små och medelstora investerare i ett avsevärt underläge jämfört med stora energiproducenter.</w:t>
      </w:r>
    </w:p>
    <w:p w:rsidR="00F1073F" w:rsidRPr="005F370A" w:rsidRDefault="00F1073F" w:rsidP="001D09F5"/>
    <w:p w:rsidR="00F1073F" w:rsidRPr="005F370A" w:rsidRDefault="00F1073F" w:rsidP="001D09F5">
      <w:r>
        <w:t xml:space="preserve">I EESK:s studie identifierades ett akut behov av att göra medborgarnas decentraliserade produktion av förnybar energi till ett uttryckligen prioriterat stödområde. De nationella, regionala och lokala myndigheterna bör fastställa mål för utveckling av småskalig energiproduktion, särskilt i syfte att integrera dem i de lokala planeringsramarna för förnybar energi. Stödmekanismerna måste behandla den småskaliga energiproduktionen separat. Bidrag, lån eller produktionsstöd bör utformas för att ge en stabil långsiktig ram för investeringar som garanterar en anständig, men inte överdriven, avkastning </w:t>
      </w:r>
      <w:r>
        <w:lastRenderedPageBreak/>
        <w:t>på investeringarna. Administrativa förfaranden måste vara enkla, snabba och ekonomiskt överkomliga för småskaliga energiproducenter. Vi rekommenderar att dessa förfaranden hanteras av en enda kontaktpunkt, som kan ge vägledning till potentiella investerare och ledsaga dem genom processens olika stadier (från planering till utbyggnad) och ha hand om allt nödvändigt pappersarbete.</w:t>
      </w:r>
    </w:p>
    <w:p w:rsidR="00F1073F" w:rsidRPr="005F370A" w:rsidRDefault="00F1073F" w:rsidP="001D09F5"/>
    <w:p w:rsidR="00653A8A" w:rsidRPr="005F370A" w:rsidRDefault="00F1073F" w:rsidP="001D09F5">
      <w:r>
        <w:t xml:space="preserve">Politiken för förnybar energi på EU-nivå och i medlemsstaterna bör utformas och genomföras i ständig dialog med det civila samhället för att skapa en gemensam syn, gemensamma mål, stöd till genomförandet och långsiktiga positiva effekter av en samarbetskultur och ömsesidigt förtroende. EESK:s europeiska energidialog skulle kunna vara till hjälp i detta avseende. Det är framför allt viktigt att det civila samhället kan delta i och får insyn i utarbetandet av medlemsstaternas nationella energihandlingsplaner för att uppnå klimat- och energimålen för 2030, samt i övervakningen och översynen av genomförandet. Strategier, finansieringsprogram och stödåtgärder på EU-nivå samt på nationell och regional nivå bör regelbundet övervakas och ses över, med det civila samhällets aktiva medverkan, för att se till att de bidrar till, och inte skadar, den småskaliga energiproduktionen. Särskilt införandet av omtvistade åtgärder (såsom auktioner) bör noga övervakas i syfte att kartlägga och snabbt avhjälpa eventuella olägenheter för den småskaliga energiproduktionen. </w:t>
      </w:r>
    </w:p>
    <w:p w:rsidR="00F1073F" w:rsidRPr="005F370A" w:rsidRDefault="00F1073F" w:rsidP="001D09F5"/>
    <w:p w:rsidR="00F1073F" w:rsidRPr="005F370A" w:rsidRDefault="00F1073F" w:rsidP="001D09F5">
      <w:r>
        <w:t>För att öka takten i utbyggnaden av den småskaliga energiproduktionen krävs ett paradigmskifte i nätplaneringen. En bättre nätförvaltning på olika geografiska nivåer och samordning bland systemansvariga för överföringsnät är en förutsättning för en framgångsrik och massiv utbyggnad av förnybara energislag. Det behövs enorma investeringar för att bygga ut, modernisera och anpassa nätet till de utmaningar som en decentraliserad och oregelbunden produktion medför. EU:s struktur- och sammanhållningsfonder bör öronmärka de medel som krävs för att uppnå klimat- och energimålen i Europa 2020-strategin och därigenom se till att utvecklingen när det gäller förnybara energislag inte bromsas av elnätets begränsningar.</w:t>
      </w:r>
    </w:p>
    <w:p w:rsidR="00F1073F" w:rsidRPr="005F370A" w:rsidRDefault="00F1073F" w:rsidP="001D09F5"/>
    <w:p w:rsidR="00F1073F" w:rsidRPr="005F370A" w:rsidRDefault="00F1073F" w:rsidP="001D09F5">
      <w:r>
        <w:t>Den allmänna energipolitiska debatten brukar domineras av prisfrågor och kan även präglas av populism. Det behövs en öppen och överskådlig allmän debatt om energikostnader och priser. Tydlig och utförlig information bör ges om kostnaderna för de subventioner som ges till förnybara energislag, fossila bränslen och kärnenergi, samt om de positiva effekterna av minskad energiimport och de miljö- och hälsorelaterade vinster som är svåra att värdera i pengar.</w:t>
      </w:r>
    </w:p>
    <w:p w:rsidR="00F1073F" w:rsidRPr="005F370A" w:rsidRDefault="00F1073F" w:rsidP="001D09F5">
      <w:pPr>
        <w:spacing w:line="240" w:lineRule="auto"/>
        <w:jc w:val="left"/>
        <w:rPr>
          <w:b/>
          <w:sz w:val="24"/>
        </w:rPr>
      </w:pPr>
    </w:p>
    <w:p w:rsidR="00C240A9" w:rsidRPr="005F370A" w:rsidRDefault="00C41848" w:rsidP="001D09F5">
      <w:r>
        <w:t xml:space="preserve">Även om energiomställningens nettoeffekt på sysselsättningen och hushållens inkomster förväntas bli positiv upplever sist men inte minst en del konventionella energiproducenter redan att de håller på att förlora marknadsandelar, vilket får konsekvenser för sysselsättningen inom dessa sektorer. Detta problem bör angripas omgående och proaktivt. Nationella strategier måste införas och noga införlivas med utbyggnaden av förnybar energi för att omställningen ska bli problemfri, för att få fram de nya yrkesfärdigheter som behövs och för att på ett fokuserat sätt angripa eventuella negativa sociala effekter på sysselsättningen och socialt svaga hushåll. Man måste ta itu med det verkliga problem som energifattigdom utgör genom konkreta och riktade åtgärder, men det får inte utnyttjas som ett argument för artificiellt låga energipriser (i t.ex. Bulgarien). Det verkliga problemet med att sysselsättning försvinner i de konventionella sektorerna (som i vissa fall inte nödvändigtvis har ett samband med en ökande andel förnybar energi) får inte användas som argument för att stoppa utvecklingen när det gäller decentraliserad produktion av förnybar energi (i t.ex. Polen). Regeringarna </w:t>
      </w:r>
      <w:r>
        <w:lastRenderedPageBreak/>
        <w:t>måste ta ansvar för de socioekonomiska effekterna av omställningen till en koldioxidsnål ekonomi som ytterst ska gynna alla delar av samhället.</w:t>
      </w:r>
    </w:p>
    <w:p w:rsidR="00C240A9" w:rsidRPr="005F370A" w:rsidRDefault="00C240A9" w:rsidP="001D09F5"/>
    <w:p w:rsidR="00C240A9" w:rsidRPr="005F370A" w:rsidRDefault="00C240A9" w:rsidP="001D09F5">
      <w:pPr>
        <w:jc w:val="center"/>
      </w:pPr>
      <w:r>
        <w:t>*</w:t>
      </w:r>
    </w:p>
    <w:p w:rsidR="00C240A9" w:rsidRPr="005F370A" w:rsidRDefault="00C240A9" w:rsidP="001D09F5">
      <w:pPr>
        <w:jc w:val="center"/>
      </w:pPr>
    </w:p>
    <w:p w:rsidR="00C240A9" w:rsidRPr="005F370A" w:rsidRDefault="00C240A9" w:rsidP="001D09F5">
      <w:pPr>
        <w:jc w:val="center"/>
      </w:pPr>
      <w:r>
        <w:t>*</w:t>
      </w:r>
      <w:r>
        <w:tab/>
        <w:t>*</w:t>
      </w:r>
    </w:p>
    <w:p w:rsidR="005619C6" w:rsidRPr="005F370A" w:rsidRDefault="005619C6" w:rsidP="001D09F5">
      <w:pPr>
        <w:keepNext/>
        <w:keepLines/>
      </w:pPr>
      <w:r>
        <w:br w:type="page"/>
      </w:r>
    </w:p>
    <w:p w:rsidR="00624B97" w:rsidRPr="005F370A" w:rsidRDefault="00624B97" w:rsidP="001D09F5">
      <w:pPr>
        <w:keepNext/>
        <w:ind w:left="360"/>
        <w:outlineLvl w:val="0"/>
        <w:rPr>
          <w:b/>
          <w:sz w:val="24"/>
        </w:rPr>
      </w:pPr>
      <w:bookmarkStart w:id="417" w:name="_Toc411238490"/>
      <w:r>
        <w:rPr>
          <w:b/>
          <w:sz w:val="24"/>
        </w:rPr>
        <w:lastRenderedPageBreak/>
        <w:t>Bilagor</w:t>
      </w:r>
      <w:bookmarkEnd w:id="417"/>
    </w:p>
    <w:p w:rsidR="0035732E" w:rsidRPr="006F39AC" w:rsidRDefault="0035732E" w:rsidP="006F39AC"/>
    <w:p w:rsidR="00906126" w:rsidRPr="005F370A" w:rsidRDefault="00624B97" w:rsidP="001D09F5">
      <w:pPr>
        <w:pStyle w:val="Heading2"/>
        <w:keepNext/>
        <w:numPr>
          <w:ilvl w:val="1"/>
          <w:numId w:val="11"/>
        </w:numPr>
        <w:rPr>
          <w:b/>
        </w:rPr>
      </w:pPr>
      <w:r>
        <w:rPr>
          <w:b/>
        </w:rPr>
        <w:t>Rapporter om besök i medlemsstaterna</w:t>
      </w:r>
    </w:p>
    <w:p w:rsidR="0031742A" w:rsidRPr="005F370A" w:rsidRDefault="0031742A" w:rsidP="001D09F5">
      <w:pPr>
        <w:rPr>
          <w:color w:val="1F497D"/>
        </w:rPr>
      </w:pPr>
      <w:r>
        <w:tab/>
        <w:t xml:space="preserve">Tillgängliga på </w:t>
      </w:r>
      <w:hyperlink r:id="rId23">
        <w:r>
          <w:rPr>
            <w:rStyle w:val="Hyperlink"/>
          </w:rPr>
          <w:t>www.eesc.europa.eu/red-study</w:t>
        </w:r>
      </w:hyperlink>
    </w:p>
    <w:p w:rsidR="0035732E" w:rsidRPr="005F370A" w:rsidRDefault="0035732E" w:rsidP="001D09F5">
      <w:pPr>
        <w:rPr>
          <w:color w:val="1F497D"/>
        </w:rPr>
      </w:pPr>
    </w:p>
    <w:p w:rsidR="00362C75" w:rsidRPr="005F370A" w:rsidRDefault="00362C75" w:rsidP="001D09F5">
      <w:pPr>
        <w:ind w:left="710"/>
      </w:pPr>
    </w:p>
    <w:p w:rsidR="00486D56" w:rsidRPr="005F370A" w:rsidRDefault="00624B97" w:rsidP="001D09F5">
      <w:pPr>
        <w:pStyle w:val="Heading2"/>
        <w:keepNext/>
        <w:numPr>
          <w:ilvl w:val="1"/>
          <w:numId w:val="11"/>
        </w:numPr>
        <w:rPr>
          <w:b/>
        </w:rPr>
      </w:pPr>
      <w:bookmarkStart w:id="418" w:name="_Toc399257231"/>
      <w:bookmarkStart w:id="419" w:name="_Toc408506755"/>
      <w:bookmarkStart w:id="420" w:name="_Toc411238492"/>
      <w:r>
        <w:rPr>
          <w:b/>
        </w:rPr>
        <w:t>Förteckning över EESK:s yttranden om förnybar energi</w:t>
      </w:r>
      <w:bookmarkEnd w:id="418"/>
      <w:bookmarkEnd w:id="419"/>
      <w:bookmarkEnd w:id="420"/>
    </w:p>
    <w:sectPr w:rsidR="00486D56" w:rsidRPr="005F370A" w:rsidSect="001D09F5">
      <w:footerReference w:type="default" r:id="rId24"/>
      <w:pgSz w:w="11907" w:h="16839" w:code="9"/>
      <w:pgMar w:top="1417" w:right="1417" w:bottom="1701" w:left="1417" w:header="1020" w:footer="124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ED8" w:rsidRDefault="00EF4ED8" w:rsidP="00960D3F">
      <w:r>
        <w:separator/>
      </w:r>
    </w:p>
  </w:endnote>
  <w:endnote w:type="continuationSeparator" w:id="0">
    <w:p w:rsidR="00EF4ED8" w:rsidRDefault="00EF4ED8" w:rsidP="00960D3F">
      <w:r>
        <w:continuationSeparator/>
      </w:r>
    </w:p>
  </w:endnote>
  <w:endnote w:type="continuationNotice" w:id="1">
    <w:p w:rsidR="00EF4ED8" w:rsidRDefault="00EF4E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D8" w:rsidRPr="001D09F5" w:rsidRDefault="00EF4ED8" w:rsidP="00823F07">
    <w:pPr>
      <w:pStyle w:val="Footer"/>
    </w:pPr>
    <w:r>
      <w:t xml:space="preserve">EESC-2014-04780-00-04-TCD-TRA (EN) </w:t>
    </w:r>
    <w:r w:rsidRPr="001D09F5">
      <w:fldChar w:fldCharType="begin"/>
    </w:r>
    <w:r w:rsidRPr="001D09F5">
      <w:instrText xml:space="preserve"> PAGE  \* Arabic  \* MERGEFORMAT </w:instrText>
    </w:r>
    <w:r w:rsidRPr="001D09F5">
      <w:fldChar w:fldCharType="separate"/>
    </w:r>
    <w:r w:rsidR="00056069">
      <w:rPr>
        <w:noProof/>
      </w:rPr>
      <w:t>32</w:t>
    </w:r>
    <w:r w:rsidRPr="001D09F5">
      <w:fldChar w:fldCharType="end"/>
    </w:r>
    <w:r>
      <w:t>/</w:t>
    </w:r>
    <w:r w:rsidRPr="001D09F5">
      <w:fldChar w:fldCharType="begin"/>
    </w:r>
    <w:r w:rsidRPr="001D09F5">
      <w:instrText xml:space="preserve"> = </w:instrText>
    </w:r>
    <w:r w:rsidR="00056069">
      <w:fldChar w:fldCharType="begin"/>
    </w:r>
    <w:r w:rsidR="00056069">
      <w:instrText xml:space="preserve"> NUMPAGES </w:instrText>
    </w:r>
    <w:r w:rsidR="00056069">
      <w:fldChar w:fldCharType="separate"/>
    </w:r>
    <w:r w:rsidR="00056069">
      <w:rPr>
        <w:noProof/>
      </w:rPr>
      <w:instrText>32</w:instrText>
    </w:r>
    <w:r w:rsidR="00056069">
      <w:rPr>
        <w:noProof/>
      </w:rPr>
      <w:fldChar w:fldCharType="end"/>
    </w:r>
    <w:r w:rsidRPr="001D09F5">
      <w:instrText xml:space="preserve"> </w:instrText>
    </w:r>
    <w:r w:rsidRPr="001D09F5">
      <w:fldChar w:fldCharType="separate"/>
    </w:r>
    <w:r w:rsidR="00056069">
      <w:rPr>
        <w:noProof/>
      </w:rPr>
      <w:t>32</w:t>
    </w:r>
    <w:r w:rsidRPr="001D09F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ED8" w:rsidRDefault="00EF4ED8" w:rsidP="00960D3F">
      <w:r>
        <w:separator/>
      </w:r>
    </w:p>
  </w:footnote>
  <w:footnote w:type="continuationSeparator" w:id="0">
    <w:p w:rsidR="00EF4ED8" w:rsidRDefault="00EF4ED8" w:rsidP="00960D3F">
      <w:r>
        <w:continuationSeparator/>
      </w:r>
    </w:p>
  </w:footnote>
  <w:footnote w:type="continuationNotice" w:id="1">
    <w:p w:rsidR="00EF4ED8" w:rsidRDefault="00EF4ED8">
      <w:pPr>
        <w:spacing w:line="240" w:lineRule="auto"/>
      </w:pPr>
    </w:p>
  </w:footnote>
  <w:footnote w:id="2">
    <w:p w:rsidR="00EF4ED8" w:rsidRPr="001D09F5" w:rsidRDefault="00EF4ED8" w:rsidP="001D09F5">
      <w:pPr>
        <w:pStyle w:val="FootnoteText"/>
      </w:pPr>
      <w:r>
        <w:rPr>
          <w:rStyle w:val="FootnoteReference"/>
        </w:rPr>
        <w:footnoteRef/>
      </w:r>
      <w:r>
        <w:rPr>
          <w:rStyle w:val="FootnoteReference"/>
        </w:rPr>
        <w:t xml:space="preserve"> </w:t>
      </w:r>
      <w:r>
        <w:tab/>
        <w:t>COM/2013/0175 final.</w:t>
      </w:r>
    </w:p>
  </w:footnote>
  <w:footnote w:id="3">
    <w:p w:rsidR="00EF4ED8" w:rsidRPr="001D09F5" w:rsidRDefault="00EF4ED8" w:rsidP="001D09F5">
      <w:pPr>
        <w:pStyle w:val="FootnoteText"/>
      </w:pPr>
      <w:r>
        <w:rPr>
          <w:rStyle w:val="FootnoteReference"/>
        </w:rPr>
        <w:footnoteRef/>
      </w:r>
      <w:r>
        <w:rPr>
          <w:rStyle w:val="FootnoteReference"/>
        </w:rPr>
        <w:t xml:space="preserve"> </w:t>
      </w:r>
      <w:r>
        <w:tab/>
        <w:t>COM(2013) 175.</w:t>
      </w:r>
    </w:p>
  </w:footnote>
  <w:footnote w:id="4">
    <w:p w:rsidR="00EF4ED8" w:rsidRPr="001D09F5" w:rsidRDefault="00EF4ED8" w:rsidP="001D09F5">
      <w:pPr>
        <w:pStyle w:val="FootnoteText"/>
      </w:pPr>
      <w:r>
        <w:rPr>
          <w:rStyle w:val="FootnoteReference"/>
        </w:rPr>
        <w:footnoteRef/>
      </w:r>
      <w:r>
        <w:rPr>
          <w:rStyle w:val="FootnoteReference"/>
        </w:rPr>
        <w:t xml:space="preserve"> </w:t>
      </w:r>
      <w:r>
        <w:tab/>
        <w:t>COM(2013) 175.</w:t>
      </w:r>
    </w:p>
  </w:footnote>
  <w:footnote w:id="5">
    <w:p w:rsidR="00EF4ED8" w:rsidRPr="001D09F5" w:rsidRDefault="00EF4ED8" w:rsidP="001D09F5">
      <w:pPr>
        <w:pStyle w:val="FootnoteText"/>
      </w:pPr>
      <w:r>
        <w:rPr>
          <w:rStyle w:val="FootnoteReference"/>
        </w:rPr>
        <w:footnoteRef/>
      </w:r>
      <w:r>
        <w:tab/>
        <w:t>Europaparlamentets och rådets direktiv 2009/28/EG av den 23 april 2009 om främjande av användningen av energi från förnybara energikällor och om ändring och ett senare upphävande av direktiven 2001/77/EG och 2003/30/EG.</w:t>
      </w:r>
    </w:p>
  </w:footnote>
  <w:footnote w:id="6">
    <w:p w:rsidR="00EF4ED8" w:rsidRPr="001D09F5" w:rsidRDefault="00EF4ED8" w:rsidP="001D09F5">
      <w:pPr>
        <w:pStyle w:val="FootnoteText"/>
      </w:pPr>
      <w:r>
        <w:rPr>
          <w:rStyle w:val="FootnoteReference"/>
        </w:rPr>
        <w:footnoteRef/>
      </w:r>
      <w:r>
        <w:rPr>
          <w:rStyle w:val="FootnoteReference"/>
        </w:rPr>
        <w:t xml:space="preserve"> </w:t>
      </w:r>
      <w:r>
        <w:tab/>
        <w:t>EESK:s yttrande om "En klimat- och energipolitisk ram för perioden 2020–2030" – (NAT/636).</w:t>
      </w:r>
    </w:p>
  </w:footnote>
  <w:footnote w:id="7">
    <w:p w:rsidR="00EF4ED8" w:rsidRPr="001D09F5" w:rsidRDefault="00EF4ED8" w:rsidP="001D09F5">
      <w:pPr>
        <w:pStyle w:val="FootnoteText"/>
      </w:pPr>
      <w:r>
        <w:rPr>
          <w:rStyle w:val="FootnoteReference"/>
        </w:rPr>
        <w:footnoteRef/>
      </w:r>
      <w:r>
        <w:rPr>
          <w:rStyle w:val="FootnoteReference"/>
        </w:rPr>
        <w:t xml:space="preserve"> </w:t>
      </w:r>
      <w:r>
        <w:tab/>
        <w:t>Eurostat (2014).</w:t>
      </w:r>
    </w:p>
  </w:footnote>
  <w:footnote w:id="8">
    <w:p w:rsidR="00EF4ED8" w:rsidRPr="001D09F5" w:rsidRDefault="00EF4ED8" w:rsidP="001D09F5">
      <w:pPr>
        <w:pStyle w:val="FootnoteText"/>
      </w:pPr>
      <w:r>
        <w:rPr>
          <w:rStyle w:val="FootnoteReference"/>
        </w:rPr>
        <w:footnoteRef/>
      </w:r>
      <w:r>
        <w:tab/>
        <w:t xml:space="preserve">Bland aktörerna fanns representanter för småföretag, universitetsvärlden, miljöorganisationer, lokala grupper, kooperativ samt lokala och regionala myndigheter. </w:t>
      </w:r>
    </w:p>
  </w:footnote>
  <w:footnote w:id="9">
    <w:p w:rsidR="00EF4ED8" w:rsidRPr="001D09F5" w:rsidRDefault="00EF4ED8" w:rsidP="001D09F5">
      <w:pPr>
        <w:pStyle w:val="FootnoteText"/>
      </w:pPr>
      <w:r>
        <w:rPr>
          <w:rStyle w:val="FootnoteReference"/>
        </w:rPr>
        <w:footnoteRef/>
      </w:r>
      <w:r>
        <w:rPr>
          <w:rStyle w:val="FootnoteReference"/>
        </w:rPr>
        <w:t xml:space="preserve"> </w:t>
      </w:r>
      <w:r>
        <w:tab/>
        <w:t xml:space="preserve">"Lokala initiativ för förnybar energi: positiva exempel, framgångsfaktorer och det civila samhällets roll", en debatt som hölls i november 2013. </w:t>
      </w:r>
      <w:hyperlink r:id="rId1">
        <w:r>
          <w:rPr>
            <w:rStyle w:val="Hyperlink"/>
          </w:rPr>
          <w:t>http://www.eesc.europa.eu/?i=portal.en.events-and-activities-local-renewable-energy</w:t>
        </w:r>
      </w:hyperlink>
      <w:r>
        <w:t>.</w:t>
      </w:r>
    </w:p>
  </w:footnote>
  <w:footnote w:id="10">
    <w:p w:rsidR="00EF4ED8" w:rsidRPr="001D09F5" w:rsidRDefault="00EF4ED8" w:rsidP="001D09F5">
      <w:pPr>
        <w:pStyle w:val="FootnoteText"/>
      </w:pPr>
      <w:r>
        <w:rPr>
          <w:rStyle w:val="FootnoteReference"/>
        </w:rPr>
        <w:footnoteRef/>
      </w:r>
      <w:r>
        <w:tab/>
        <w:t>Det gäller definitivt inte bara den förnybara energin. I kommissionens klimat och energipaket för 2030 anges att "kostnaderna för en övergång till en koldioxidsnål ekonomi inte skiljer sig nämnvärt från de kostnader som kommer att uppstå under alla omständigheter till följd av behovet av att förnya ett åldrande energisystem, ökande priser på fossila bränslen och efterlevnaden av dagens klimat- och energipolitik. Däremot förväntas en kraftig skiftning från bränsleutgifter till innovativ utrustning med stort mervärde, som kommer att främja investeringar i innovativa produkter och tjänster, skapa sysselsättning och tillväxt och förbättra unionens handelsbalans."</w:t>
      </w:r>
    </w:p>
  </w:footnote>
  <w:footnote w:id="11">
    <w:p w:rsidR="00EF4ED8" w:rsidRPr="001D09F5" w:rsidRDefault="00EF4ED8" w:rsidP="001D09F5">
      <w:pPr>
        <w:pStyle w:val="FootnoteText"/>
      </w:pPr>
      <w:r>
        <w:rPr>
          <w:rStyle w:val="FootnoteReference"/>
        </w:rPr>
        <w:footnoteRef/>
      </w:r>
      <w:r>
        <w:rPr>
          <w:rStyle w:val="FootnoteReference"/>
        </w:rPr>
        <w:t xml:space="preserve"> </w:t>
      </w:r>
      <w:r>
        <w:tab/>
        <w:t>Cirka 7 miljarder euro.</w:t>
      </w:r>
    </w:p>
  </w:footnote>
  <w:footnote w:id="12">
    <w:p w:rsidR="00EF4ED8" w:rsidRPr="001D09F5" w:rsidRDefault="00EF4ED8" w:rsidP="001D09F5">
      <w:pPr>
        <w:pStyle w:val="FootnoteText"/>
      </w:pPr>
      <w:r>
        <w:rPr>
          <w:rStyle w:val="FootnoteReference"/>
        </w:rPr>
        <w:footnoteRef/>
      </w:r>
      <w:r>
        <w:rPr>
          <w:rStyle w:val="FootnoteReference"/>
        </w:rPr>
        <w:t xml:space="preserve"> </w:t>
      </w:r>
      <w:r>
        <w:tab/>
        <w:t>Cirka 1,5 miljarder euro.</w:t>
      </w:r>
    </w:p>
  </w:footnote>
  <w:footnote w:id="13">
    <w:p w:rsidR="00EF4ED8" w:rsidRPr="001D09F5" w:rsidRDefault="00EF4ED8" w:rsidP="001D09F5">
      <w:pPr>
        <w:pStyle w:val="FootnoteText"/>
      </w:pPr>
      <w:r>
        <w:rPr>
          <w:rStyle w:val="FootnoteReference"/>
        </w:rPr>
        <w:footnoteRef/>
      </w:r>
      <w:r>
        <w:tab/>
        <w:t>I detta sammanhang bör man framhålla att producenter av fossila bränslen har tagit emot 523 miljarder dollar i stöd enbart under 2011.</w:t>
      </w:r>
    </w:p>
  </w:footnote>
  <w:footnote w:id="14">
    <w:p w:rsidR="00EF4ED8" w:rsidRPr="001D09F5" w:rsidRDefault="00EF4ED8" w:rsidP="001D09F5">
      <w:pPr>
        <w:pStyle w:val="FootnoteText"/>
      </w:pPr>
      <w:r>
        <w:rPr>
          <w:rStyle w:val="FootnoteReference"/>
        </w:rPr>
        <w:footnoteRef/>
      </w:r>
      <w:r>
        <w:rPr>
          <w:rStyle w:val="FootnoteReference"/>
        </w:rPr>
        <w:t xml:space="preserve"> </w:t>
      </w:r>
      <w:r>
        <w:tab/>
        <w:t>Vissa av de intervjuade aktörerna framhöll debatten (som fortfarande pågick vid tidpunkten för studiebesöken) om de två kärnreaktorerna i Storbritannien, Hinkley Point C. Europeiska kommissionen har sedan dess godkänt det stöd som diskuterades. Den framtida operatören, EDF, kommer under de närmaste 35 åren att få 10,9 cent för varje KWh el som produceras, med en anpassning till den årliga inflationstakten. Tidsramarna och nivån för detta stöd ligger långt över vad som gäller för det tyska inmatningspriset för vindenergi.</w:t>
      </w:r>
    </w:p>
  </w:footnote>
  <w:footnote w:id="15">
    <w:p w:rsidR="00EF4ED8" w:rsidRPr="001D09F5" w:rsidRDefault="00EF4ED8" w:rsidP="001D09F5">
      <w:pPr>
        <w:pStyle w:val="FootnoteText"/>
      </w:pPr>
      <w:r>
        <w:rPr>
          <w:rStyle w:val="FootnoteReference"/>
        </w:rPr>
        <w:footnoteRef/>
      </w:r>
      <w:r>
        <w:rPr>
          <w:rStyle w:val="FootnoteReference"/>
        </w:rPr>
        <w:t xml:space="preserve"> </w:t>
      </w:r>
      <w:r>
        <w:tab/>
        <w:t>COM(2014) 15.</w:t>
      </w:r>
    </w:p>
  </w:footnote>
  <w:footnote w:id="16">
    <w:p w:rsidR="00EF4ED8" w:rsidRPr="001D09F5" w:rsidRDefault="00EF4ED8" w:rsidP="001D09F5">
      <w:pPr>
        <w:pStyle w:val="FootnoteText"/>
      </w:pPr>
      <w:r>
        <w:rPr>
          <w:rStyle w:val="FootnoteReference"/>
        </w:rPr>
        <w:footnoteRef/>
      </w:r>
      <w:r>
        <w:rPr>
          <w:rStyle w:val="FootnoteReference"/>
        </w:rPr>
        <w:t xml:space="preserve"> </w:t>
      </w:r>
      <w:r>
        <w:tab/>
        <w:t>COM(2013) 175.</w:t>
      </w:r>
    </w:p>
  </w:footnote>
  <w:footnote w:id="17">
    <w:p w:rsidR="00EF4ED8" w:rsidRPr="001D09F5" w:rsidRDefault="00EF4ED8" w:rsidP="001D09F5">
      <w:pPr>
        <w:pStyle w:val="FootnoteText"/>
      </w:pPr>
      <w:r>
        <w:rPr>
          <w:rStyle w:val="FootnoteReference"/>
        </w:rPr>
        <w:footnoteRef/>
      </w:r>
      <w:r>
        <w:rPr>
          <w:rStyle w:val="FootnoteReference"/>
        </w:rPr>
        <w:t xml:space="preserve"> </w:t>
      </w:r>
      <w:r>
        <w:tab/>
        <w:t>I vissa fall, t.ex. i Tyskland och Polen, har de redan trätt i kraft.</w:t>
      </w:r>
    </w:p>
  </w:footnote>
  <w:footnote w:id="18">
    <w:p w:rsidR="00EF4ED8" w:rsidRPr="001D09F5" w:rsidRDefault="00EF4ED8" w:rsidP="001D09F5">
      <w:pPr>
        <w:pStyle w:val="FootnoteText"/>
      </w:pPr>
      <w:r>
        <w:rPr>
          <w:rStyle w:val="FootnoteReference"/>
        </w:rPr>
        <w:footnoteRef/>
      </w:r>
      <w:r>
        <w:rPr>
          <w:rStyle w:val="FootnoteReference"/>
        </w:rPr>
        <w:t xml:space="preserve"> </w:t>
      </w:r>
      <w:r>
        <w:tab/>
      </w:r>
      <w:hyperlink r:id="rId2">
        <w:r>
          <w:rPr>
            <w:rStyle w:val="Hyperlink"/>
          </w:rPr>
          <w:t>http://eur-lex.europa.eu/legal-content/EN/TXT/?uri=CELEX:52014XC0628%2801%29</w:t>
        </w:r>
      </w:hyperlink>
      <w:r>
        <w:t>.</w:t>
      </w:r>
    </w:p>
  </w:footnote>
  <w:footnote w:id="19">
    <w:p w:rsidR="00EF4ED8" w:rsidRPr="001D09F5" w:rsidRDefault="00EF4ED8" w:rsidP="001D09F5">
      <w:pPr>
        <w:pStyle w:val="FootnoteText"/>
      </w:pPr>
      <w:r>
        <w:rPr>
          <w:rStyle w:val="FootnoteReference"/>
        </w:rPr>
        <w:footnoteRef/>
      </w:r>
      <w:r>
        <w:tab/>
        <w:t>Medium-Term Renewable Energy Market Report 2014 – Market Analysis and Forecasts to 2020, Internationella energiorganet (ej översatt till svenska).</w:t>
      </w:r>
    </w:p>
  </w:footnote>
  <w:footnote w:id="20">
    <w:p w:rsidR="00EF4ED8" w:rsidRPr="001D09F5" w:rsidRDefault="00EF4ED8" w:rsidP="001D09F5">
      <w:pPr>
        <w:pStyle w:val="FootnoteText"/>
      </w:pPr>
      <w:r>
        <w:rPr>
          <w:rStyle w:val="FootnoteReference"/>
        </w:rPr>
        <w:footnoteRef/>
      </w:r>
      <w:r>
        <w:tab/>
        <w:t>EEG § 8 Anslutning "1) Nätoperatörer ska anslutas till nätet omedelbart och produktion av el från förnybara energikällor och gruvgas prioriteras, vid den nätanslutningspunkt som är lämplig i fråga om spänning och som ligger närmast anläggningen, såvida inte detta eller ett annat nät kan påvisas ha en i tekniskt eller ekonomiskt hänseende mer lämplig anslutningspunkt. Vid en bedömning av vilken anslutningspunkt som är mest lämplig i ekonomiskt hänseende ska hänsyn tas till de direkta kostnaderna för anslutning. Om en eller flera anläggningar med en kombinerad installerad kapacitet som understiger 30 kW ligger i ett område där det redan finns en nätanslutning ska nätanslutningspunkten i detta område anses vara den lämpligaste anslutningspunkten."</w:t>
      </w:r>
    </w:p>
  </w:footnote>
  <w:footnote w:id="21">
    <w:p w:rsidR="00EF4ED8" w:rsidRPr="001D09F5" w:rsidRDefault="00EF4ED8" w:rsidP="001D09F5">
      <w:pPr>
        <w:pStyle w:val="FootnoteText"/>
      </w:pPr>
      <w:r>
        <w:rPr>
          <w:rStyle w:val="FootnoteReference"/>
        </w:rPr>
        <w:footnoteRef/>
      </w:r>
      <w:r>
        <w:rPr>
          <w:rStyle w:val="FootnoteReference"/>
        </w:rPr>
        <w:t xml:space="preserve"> </w:t>
      </w:r>
      <w:r>
        <w:tab/>
      </w:r>
      <w:r>
        <w:rPr>
          <w:i/>
        </w:rPr>
        <w:t>Smart Grid and Smart Market: Keynote Paper of the Federal Grid Agency on the changing energy supply system</w:t>
      </w:r>
      <w:r>
        <w:t>,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282AE94"/>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rPr>
        <w:b w:val="0"/>
      </w:rPr>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3423A75"/>
    <w:multiLevelType w:val="singleLevel"/>
    <w:tmpl w:val="A9E89702"/>
    <w:lvl w:ilvl="0">
      <w:start w:val="6"/>
      <w:numFmt w:val="bullet"/>
      <w:lvlText w:val="-"/>
      <w:lvlJc w:val="left"/>
      <w:pPr>
        <w:ind w:left="1440" w:hanging="720"/>
      </w:pPr>
      <w:rPr>
        <w:rFonts w:ascii="Calibri" w:eastAsia="Calibri" w:hAnsi="Calibri" w:cs="Calibri" w:hint="default"/>
      </w:rPr>
    </w:lvl>
  </w:abstractNum>
  <w:abstractNum w:abstractNumId="2">
    <w:nsid w:val="05AA0B0D"/>
    <w:multiLevelType w:val="hybridMultilevel"/>
    <w:tmpl w:val="44526E4A"/>
    <w:lvl w:ilvl="0" w:tplc="08090001">
      <w:start w:val="1"/>
      <w:numFmt w:val="bullet"/>
      <w:lvlText w:val=""/>
      <w:lvlJc w:val="left"/>
      <w:pPr>
        <w:ind w:left="360" w:hanging="360"/>
      </w:pPr>
      <w:rPr>
        <w:rFonts w:ascii="Symbol" w:hAnsi="Symbol"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7B0185E"/>
    <w:multiLevelType w:val="singleLevel"/>
    <w:tmpl w:val="60480CAA"/>
    <w:lvl w:ilvl="0">
      <w:start w:val="1"/>
      <w:numFmt w:val="bullet"/>
      <w:lvlText w:val=""/>
      <w:lvlJc w:val="left"/>
      <w:pPr>
        <w:ind w:left="2204" w:hanging="360"/>
      </w:pPr>
      <w:rPr>
        <w:rFonts w:ascii="Wingdings" w:eastAsia="Times New Roman" w:hAnsi="Wingdings" w:cs="Segoe UI" w:hint="default"/>
      </w:rPr>
    </w:lvl>
  </w:abstractNum>
  <w:abstractNum w:abstractNumId="4">
    <w:nsid w:val="07F442C6"/>
    <w:multiLevelType w:val="singleLevel"/>
    <w:tmpl w:val="60480CAA"/>
    <w:lvl w:ilvl="0">
      <w:start w:val="1"/>
      <w:numFmt w:val="bullet"/>
      <w:lvlText w:val=""/>
      <w:lvlJc w:val="left"/>
      <w:pPr>
        <w:ind w:left="2204" w:hanging="360"/>
      </w:pPr>
      <w:rPr>
        <w:rFonts w:ascii="Wingdings" w:eastAsia="Times New Roman" w:hAnsi="Wingdings" w:cs="Segoe UI" w:hint="default"/>
      </w:rPr>
    </w:lvl>
  </w:abstractNum>
  <w:abstractNum w:abstractNumId="5">
    <w:nsid w:val="0C4F61BF"/>
    <w:multiLevelType w:val="hybridMultilevel"/>
    <w:tmpl w:val="7234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E95972"/>
    <w:multiLevelType w:val="singleLevel"/>
    <w:tmpl w:val="A9E89702"/>
    <w:lvl w:ilvl="0">
      <w:start w:val="6"/>
      <w:numFmt w:val="bullet"/>
      <w:lvlText w:val="-"/>
      <w:lvlJc w:val="left"/>
      <w:pPr>
        <w:ind w:left="1440" w:hanging="720"/>
      </w:pPr>
      <w:rPr>
        <w:rFonts w:ascii="Calibri" w:eastAsia="Calibri" w:hAnsi="Calibri" w:cs="Calibri" w:hint="default"/>
      </w:rPr>
    </w:lvl>
  </w:abstractNum>
  <w:abstractNum w:abstractNumId="7">
    <w:nsid w:val="0FC946FE"/>
    <w:multiLevelType w:val="hybridMultilevel"/>
    <w:tmpl w:val="A9E89702"/>
    <w:lvl w:ilvl="0" w:tplc="3B685C02">
      <w:start w:val="1"/>
      <w:numFmt w:val="bullet"/>
      <w:lvlText w:val=""/>
      <w:lvlJc w:val="left"/>
      <w:pPr>
        <w:ind w:left="360" w:hanging="360"/>
      </w:pPr>
      <w:rPr>
        <w:rFonts w:ascii="Wingdings" w:eastAsia="Times New Roman" w:hAnsi="Wingdings" w:cs="Segoe UI" w:hint="default"/>
      </w:rPr>
    </w:lvl>
    <w:lvl w:ilvl="1" w:tplc="C352BAB6">
      <w:start w:val="6"/>
      <w:numFmt w:val="bullet"/>
      <w:lvlText w:val="-"/>
      <w:lvlJc w:val="left"/>
      <w:pPr>
        <w:ind w:left="1440" w:hanging="720"/>
      </w:pPr>
      <w:rPr>
        <w:rFonts w:ascii="Calibri" w:eastAsia="Calibr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82C0882"/>
    <w:multiLevelType w:val="hybridMultilevel"/>
    <w:tmpl w:val="31AE6F26"/>
    <w:lvl w:ilvl="0" w:tplc="08090001">
      <w:start w:val="1"/>
      <w:numFmt w:val="bullet"/>
      <w:lvlText w:val=""/>
      <w:lvlJc w:val="left"/>
      <w:pPr>
        <w:ind w:left="360" w:hanging="360"/>
      </w:pPr>
      <w:rPr>
        <w:rFonts w:ascii="Symbol" w:hAnsi="Symbol"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9F57084"/>
    <w:multiLevelType w:val="hybridMultilevel"/>
    <w:tmpl w:val="AF2E074C"/>
    <w:lvl w:ilvl="0" w:tplc="080C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A875352"/>
    <w:multiLevelType w:val="singleLevel"/>
    <w:tmpl w:val="0C92914A"/>
    <w:lvl w:ilvl="0">
      <w:start w:val="1"/>
      <w:numFmt w:val="bullet"/>
      <w:lvlText w:val=""/>
      <w:lvlJc w:val="left"/>
      <w:pPr>
        <w:ind w:left="360" w:hanging="360"/>
      </w:pPr>
      <w:rPr>
        <w:rFonts w:ascii="Symbol" w:hAnsi="Symbol" w:hint="default"/>
      </w:rPr>
    </w:lvl>
  </w:abstractNum>
  <w:abstractNum w:abstractNumId="11">
    <w:nsid w:val="1C787059"/>
    <w:multiLevelType w:val="singleLevel"/>
    <w:tmpl w:val="A9E89702"/>
    <w:lvl w:ilvl="0">
      <w:start w:val="6"/>
      <w:numFmt w:val="bullet"/>
      <w:lvlText w:val="-"/>
      <w:lvlJc w:val="left"/>
      <w:pPr>
        <w:ind w:left="1440" w:hanging="720"/>
      </w:pPr>
      <w:rPr>
        <w:rFonts w:ascii="Calibri" w:eastAsia="Calibri" w:hAnsi="Calibri" w:cs="Calibri" w:hint="default"/>
      </w:rPr>
    </w:lvl>
  </w:abstractNum>
  <w:abstractNum w:abstractNumId="12">
    <w:nsid w:val="24254C40"/>
    <w:multiLevelType w:val="hybridMultilevel"/>
    <w:tmpl w:val="0B92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BF1096"/>
    <w:multiLevelType w:val="singleLevel"/>
    <w:tmpl w:val="335EF7C0"/>
    <w:lvl w:ilvl="0">
      <w:start w:val="1"/>
      <w:numFmt w:val="bullet"/>
      <w:lvlText w:val=""/>
      <w:lvlJc w:val="left"/>
      <w:pPr>
        <w:ind w:left="360" w:hanging="360"/>
      </w:pPr>
      <w:rPr>
        <w:rFonts w:ascii="Wingdings" w:eastAsia="Times New Roman" w:hAnsi="Wingdings" w:cs="Segoe UI" w:hint="default"/>
      </w:rPr>
    </w:lvl>
  </w:abstractNum>
  <w:abstractNum w:abstractNumId="14">
    <w:nsid w:val="3A2A161B"/>
    <w:multiLevelType w:val="multilevel"/>
    <w:tmpl w:val="C2667794"/>
    <w:lvl w:ilvl="0">
      <w:start w:val="1"/>
      <w:numFmt w:val="upperLetter"/>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F705AC2"/>
    <w:multiLevelType w:val="hybridMultilevel"/>
    <w:tmpl w:val="0C92914A"/>
    <w:lvl w:ilvl="0" w:tplc="080C0001">
      <w:start w:val="1"/>
      <w:numFmt w:val="bullet"/>
      <w:lvlText w:val=""/>
      <w:lvlJc w:val="left"/>
      <w:pPr>
        <w:ind w:left="360" w:hanging="360"/>
      </w:pPr>
      <w:rPr>
        <w:rFonts w:ascii="Symbol" w:hAnsi="Symbol"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8DD03EE"/>
    <w:multiLevelType w:val="singleLevel"/>
    <w:tmpl w:val="0C92914A"/>
    <w:lvl w:ilvl="0">
      <w:start w:val="1"/>
      <w:numFmt w:val="bullet"/>
      <w:lvlText w:val=""/>
      <w:lvlJc w:val="left"/>
      <w:pPr>
        <w:ind w:left="360" w:hanging="360"/>
      </w:pPr>
      <w:rPr>
        <w:rFonts w:ascii="Symbol" w:hAnsi="Symbol" w:hint="default"/>
      </w:rPr>
    </w:lvl>
  </w:abstractNum>
  <w:abstractNum w:abstractNumId="17">
    <w:nsid w:val="523D2E96"/>
    <w:multiLevelType w:val="singleLevel"/>
    <w:tmpl w:val="A9E89702"/>
    <w:lvl w:ilvl="0">
      <w:start w:val="6"/>
      <w:numFmt w:val="bullet"/>
      <w:lvlText w:val="-"/>
      <w:lvlJc w:val="left"/>
      <w:pPr>
        <w:ind w:left="1440" w:hanging="720"/>
      </w:pPr>
      <w:rPr>
        <w:rFonts w:ascii="Calibri" w:eastAsia="Calibri" w:hAnsi="Calibri" w:cs="Calibri" w:hint="default"/>
      </w:rPr>
    </w:lvl>
  </w:abstractNum>
  <w:abstractNum w:abstractNumId="18">
    <w:nsid w:val="550D1F02"/>
    <w:multiLevelType w:val="singleLevel"/>
    <w:tmpl w:val="7234D76C"/>
    <w:lvl w:ilvl="0">
      <w:start w:val="1"/>
      <w:numFmt w:val="bullet"/>
      <w:lvlText w:val=""/>
      <w:lvlJc w:val="left"/>
      <w:pPr>
        <w:ind w:left="720" w:hanging="360"/>
      </w:pPr>
      <w:rPr>
        <w:rFonts w:ascii="Symbol" w:hAnsi="Symbol" w:hint="default"/>
      </w:rPr>
    </w:lvl>
  </w:abstractNum>
  <w:abstractNum w:abstractNumId="19">
    <w:nsid w:val="5AA007B7"/>
    <w:multiLevelType w:val="hybridMultilevel"/>
    <w:tmpl w:val="20DE25A4"/>
    <w:lvl w:ilvl="0" w:tplc="48984CA0">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ABA6E12"/>
    <w:multiLevelType w:val="singleLevel"/>
    <w:tmpl w:val="60480CAA"/>
    <w:lvl w:ilvl="0">
      <w:start w:val="1"/>
      <w:numFmt w:val="bullet"/>
      <w:lvlText w:val=""/>
      <w:lvlJc w:val="left"/>
      <w:pPr>
        <w:ind w:left="2204" w:hanging="360"/>
      </w:pPr>
      <w:rPr>
        <w:rFonts w:ascii="Wingdings" w:eastAsia="Times New Roman" w:hAnsi="Wingdings" w:cs="Segoe UI" w:hint="default"/>
      </w:rPr>
    </w:lvl>
  </w:abstractNum>
  <w:abstractNum w:abstractNumId="21">
    <w:nsid w:val="5B5A4DF3"/>
    <w:multiLevelType w:val="singleLevel"/>
    <w:tmpl w:val="0C92914A"/>
    <w:lvl w:ilvl="0">
      <w:start w:val="1"/>
      <w:numFmt w:val="bullet"/>
      <w:lvlText w:val=""/>
      <w:lvlJc w:val="left"/>
      <w:pPr>
        <w:ind w:left="360" w:hanging="360"/>
      </w:pPr>
      <w:rPr>
        <w:rFonts w:ascii="Symbol" w:hAnsi="Symbol" w:hint="default"/>
      </w:rPr>
    </w:lvl>
  </w:abstractNum>
  <w:abstractNum w:abstractNumId="22">
    <w:nsid w:val="5DEC6F2E"/>
    <w:multiLevelType w:val="singleLevel"/>
    <w:tmpl w:val="60480CAA"/>
    <w:lvl w:ilvl="0">
      <w:start w:val="1"/>
      <w:numFmt w:val="bullet"/>
      <w:lvlText w:val=""/>
      <w:lvlJc w:val="left"/>
      <w:pPr>
        <w:ind w:left="2204" w:hanging="360"/>
      </w:pPr>
      <w:rPr>
        <w:rFonts w:ascii="Wingdings" w:eastAsia="Times New Roman" w:hAnsi="Wingdings" w:cs="Segoe UI" w:hint="default"/>
      </w:rPr>
    </w:lvl>
  </w:abstractNum>
  <w:abstractNum w:abstractNumId="23">
    <w:nsid w:val="5FF464E2"/>
    <w:multiLevelType w:val="singleLevel"/>
    <w:tmpl w:val="0C92914A"/>
    <w:lvl w:ilvl="0">
      <w:start w:val="1"/>
      <w:numFmt w:val="bullet"/>
      <w:lvlText w:val=""/>
      <w:lvlJc w:val="left"/>
      <w:pPr>
        <w:ind w:left="360" w:hanging="360"/>
      </w:pPr>
      <w:rPr>
        <w:rFonts w:ascii="Symbol" w:hAnsi="Symbol" w:hint="default"/>
      </w:rPr>
    </w:lvl>
  </w:abstractNum>
  <w:abstractNum w:abstractNumId="24">
    <w:nsid w:val="60502214"/>
    <w:multiLevelType w:val="hybridMultilevel"/>
    <w:tmpl w:val="29E6D926"/>
    <w:lvl w:ilvl="0" w:tplc="437A2658">
      <w:start w:val="1"/>
      <w:numFmt w:val="bullet"/>
      <w:lvlText w:val=""/>
      <w:lvlJc w:val="left"/>
      <w:pPr>
        <w:ind w:left="360" w:hanging="360"/>
      </w:pPr>
      <w:rPr>
        <w:rFonts w:ascii="Wingdings 3" w:eastAsia="Times New Roman" w:hAnsi="Wingdings 3" w:cs="Segoe UI" w:hint="default"/>
        <w:u w:val="none"/>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8527120"/>
    <w:multiLevelType w:val="hybridMultilevel"/>
    <w:tmpl w:val="52B68EFC"/>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741F46"/>
    <w:multiLevelType w:val="singleLevel"/>
    <w:tmpl w:val="7234D76C"/>
    <w:lvl w:ilvl="0">
      <w:start w:val="1"/>
      <w:numFmt w:val="bullet"/>
      <w:lvlText w:val=""/>
      <w:lvlJc w:val="left"/>
      <w:pPr>
        <w:ind w:left="720" w:hanging="360"/>
      </w:pPr>
      <w:rPr>
        <w:rFonts w:ascii="Symbol" w:hAnsi="Symbol" w:hint="default"/>
      </w:rPr>
    </w:lvl>
  </w:abstractNum>
  <w:abstractNum w:abstractNumId="27">
    <w:nsid w:val="708327AB"/>
    <w:multiLevelType w:val="singleLevel"/>
    <w:tmpl w:val="A9E89702"/>
    <w:lvl w:ilvl="0">
      <w:start w:val="6"/>
      <w:numFmt w:val="bullet"/>
      <w:lvlText w:val="-"/>
      <w:lvlJc w:val="left"/>
      <w:pPr>
        <w:ind w:left="1440" w:hanging="720"/>
      </w:pPr>
      <w:rPr>
        <w:rFonts w:ascii="Calibri" w:eastAsia="Calibri" w:hAnsi="Calibri" w:cs="Calibri" w:hint="default"/>
      </w:rPr>
    </w:lvl>
  </w:abstractNum>
  <w:abstractNum w:abstractNumId="28">
    <w:nsid w:val="7160310D"/>
    <w:multiLevelType w:val="hybridMultilevel"/>
    <w:tmpl w:val="3ED860F2"/>
    <w:lvl w:ilvl="0" w:tplc="4D7C07F2">
      <w:start w:val="1"/>
      <w:numFmt w:val="bullet"/>
      <w:lvlText w:val=""/>
      <w:lvlJc w:val="left"/>
      <w:pPr>
        <w:ind w:left="720" w:hanging="360"/>
      </w:pPr>
      <w:rPr>
        <w:rFonts w:ascii="Symbol" w:hAnsi="Symbol" w:hint="default"/>
      </w:rPr>
    </w:lvl>
    <w:lvl w:ilvl="1" w:tplc="4D7C07F2">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73211C12"/>
    <w:multiLevelType w:val="singleLevel"/>
    <w:tmpl w:val="60480CAA"/>
    <w:lvl w:ilvl="0">
      <w:start w:val="1"/>
      <w:numFmt w:val="bullet"/>
      <w:lvlText w:val=""/>
      <w:lvlJc w:val="left"/>
      <w:pPr>
        <w:ind w:left="2204" w:hanging="360"/>
      </w:pPr>
      <w:rPr>
        <w:rFonts w:ascii="Wingdings" w:eastAsia="Times New Roman" w:hAnsi="Wingdings" w:cs="Segoe UI" w:hint="default"/>
      </w:rPr>
    </w:lvl>
  </w:abstractNum>
  <w:abstractNum w:abstractNumId="30">
    <w:nsid w:val="741C33D2"/>
    <w:multiLevelType w:val="singleLevel"/>
    <w:tmpl w:val="A9E89702"/>
    <w:lvl w:ilvl="0">
      <w:start w:val="6"/>
      <w:numFmt w:val="bullet"/>
      <w:lvlText w:val="-"/>
      <w:lvlJc w:val="left"/>
      <w:pPr>
        <w:ind w:left="1440" w:hanging="720"/>
      </w:pPr>
      <w:rPr>
        <w:rFonts w:ascii="Calibri" w:eastAsia="Calibri" w:hAnsi="Calibri" w:cs="Calibri" w:hint="default"/>
      </w:rPr>
    </w:lvl>
  </w:abstractNum>
  <w:abstractNum w:abstractNumId="31">
    <w:nsid w:val="78F46A97"/>
    <w:multiLevelType w:val="hybridMultilevel"/>
    <w:tmpl w:val="60480CAA"/>
    <w:lvl w:ilvl="0" w:tplc="B92A32BC">
      <w:start w:val="1"/>
      <w:numFmt w:val="bullet"/>
      <w:lvlText w:val=""/>
      <w:lvlJc w:val="left"/>
      <w:pPr>
        <w:ind w:left="2204" w:hanging="360"/>
      </w:pPr>
      <w:rPr>
        <w:rFonts w:ascii="Wingdings" w:eastAsia="Times New Roman" w:hAnsi="Wingdings"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3"/>
  </w:num>
  <w:num w:numId="4">
    <w:abstractNumId w:val="31"/>
  </w:num>
  <w:num w:numId="5">
    <w:abstractNumId w:val="5"/>
  </w:num>
  <w:num w:numId="6">
    <w:abstractNumId w:val="8"/>
  </w:num>
  <w:num w:numId="7">
    <w:abstractNumId w:val="7"/>
  </w:num>
  <w:num w:numId="8">
    <w:abstractNumId w:val="2"/>
  </w:num>
  <w:num w:numId="9">
    <w:abstractNumId w:val="28"/>
  </w:num>
  <w:num w:numId="10">
    <w:abstractNumId w:val="24"/>
  </w:num>
  <w:num w:numId="11">
    <w:abstractNumId w:val="14"/>
  </w:num>
  <w:num w:numId="12">
    <w:abstractNumId w:val="25"/>
  </w:num>
  <w:num w:numId="13">
    <w:abstractNumId w:val="15"/>
  </w:num>
  <w:num w:numId="14">
    <w:abstractNumId w:val="9"/>
  </w:num>
  <w:num w:numId="15">
    <w:abstractNumId w:val="12"/>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9"/>
  </w:num>
  <w:num w:numId="19">
    <w:abstractNumId w:val="22"/>
  </w:num>
  <w:num w:numId="20">
    <w:abstractNumId w:val="20"/>
  </w:num>
  <w:num w:numId="21">
    <w:abstractNumId w:val="29"/>
  </w:num>
  <w:num w:numId="22">
    <w:abstractNumId w:val="3"/>
  </w:num>
  <w:num w:numId="23">
    <w:abstractNumId w:val="4"/>
  </w:num>
  <w:num w:numId="24">
    <w:abstractNumId w:val="6"/>
  </w:num>
  <w:num w:numId="25">
    <w:abstractNumId w:val="11"/>
  </w:num>
  <w:num w:numId="26">
    <w:abstractNumId w:val="1"/>
  </w:num>
  <w:num w:numId="27">
    <w:abstractNumId w:val="27"/>
  </w:num>
  <w:num w:numId="28">
    <w:abstractNumId w:val="30"/>
  </w:num>
  <w:num w:numId="29">
    <w:abstractNumId w:val="17"/>
  </w:num>
  <w:num w:numId="30">
    <w:abstractNumId w:val="16"/>
  </w:num>
  <w:num w:numId="31">
    <w:abstractNumId w:val="21"/>
  </w:num>
  <w:num w:numId="32">
    <w:abstractNumId w:val="10"/>
  </w:num>
  <w:num w:numId="33">
    <w:abstractNumId w:val="23"/>
  </w:num>
  <w:num w:numId="34">
    <w:abstractNumId w:val="18"/>
  </w:num>
  <w:num w:numId="35">
    <w:abstractNumId w:val="26"/>
  </w:num>
  <w:num w:numId="36">
    <w:abstractNumId w:val="19"/>
  </w:num>
  <w:num w:numId="37">
    <w:abstractNumId w:val="19"/>
  </w:num>
  <w:num w:numId="38">
    <w:abstractNumId w:val="19"/>
  </w:num>
  <w:num w:numId="39">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7649"/>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59B"/>
    <w:rsid w:val="0000373E"/>
    <w:rsid w:val="000038F0"/>
    <w:rsid w:val="00003D0B"/>
    <w:rsid w:val="000052A4"/>
    <w:rsid w:val="00005A2C"/>
    <w:rsid w:val="00005DE8"/>
    <w:rsid w:val="00007570"/>
    <w:rsid w:val="00010520"/>
    <w:rsid w:val="00010759"/>
    <w:rsid w:val="00013D04"/>
    <w:rsid w:val="00014DE5"/>
    <w:rsid w:val="00014F2A"/>
    <w:rsid w:val="000160A2"/>
    <w:rsid w:val="0001650D"/>
    <w:rsid w:val="00016EFE"/>
    <w:rsid w:val="00017803"/>
    <w:rsid w:val="00023097"/>
    <w:rsid w:val="00024E0D"/>
    <w:rsid w:val="00024F07"/>
    <w:rsid w:val="00025B07"/>
    <w:rsid w:val="00027834"/>
    <w:rsid w:val="0002791D"/>
    <w:rsid w:val="000302B5"/>
    <w:rsid w:val="00030F5F"/>
    <w:rsid w:val="00032F43"/>
    <w:rsid w:val="000339D3"/>
    <w:rsid w:val="00035914"/>
    <w:rsid w:val="00035C94"/>
    <w:rsid w:val="00035FA2"/>
    <w:rsid w:val="0003644A"/>
    <w:rsid w:val="00040B9D"/>
    <w:rsid w:val="00041DCA"/>
    <w:rsid w:val="00042F1C"/>
    <w:rsid w:val="0004421E"/>
    <w:rsid w:val="0004660A"/>
    <w:rsid w:val="00047900"/>
    <w:rsid w:val="00047C0A"/>
    <w:rsid w:val="00051F89"/>
    <w:rsid w:val="00052BA8"/>
    <w:rsid w:val="00052EFC"/>
    <w:rsid w:val="00054F9F"/>
    <w:rsid w:val="0005540B"/>
    <w:rsid w:val="00055B78"/>
    <w:rsid w:val="00055C8A"/>
    <w:rsid w:val="00056069"/>
    <w:rsid w:val="00056FC6"/>
    <w:rsid w:val="00060A81"/>
    <w:rsid w:val="00060AE3"/>
    <w:rsid w:val="000632AD"/>
    <w:rsid w:val="00064C6C"/>
    <w:rsid w:val="00065566"/>
    <w:rsid w:val="000660AE"/>
    <w:rsid w:val="00066D7F"/>
    <w:rsid w:val="0007054E"/>
    <w:rsid w:val="0007081A"/>
    <w:rsid w:val="0007156E"/>
    <w:rsid w:val="00071C08"/>
    <w:rsid w:val="00071C80"/>
    <w:rsid w:val="00072C71"/>
    <w:rsid w:val="00072D63"/>
    <w:rsid w:val="00073774"/>
    <w:rsid w:val="00073CB5"/>
    <w:rsid w:val="0007763E"/>
    <w:rsid w:val="0008162E"/>
    <w:rsid w:val="000819E0"/>
    <w:rsid w:val="00081E47"/>
    <w:rsid w:val="00083A59"/>
    <w:rsid w:val="000857B8"/>
    <w:rsid w:val="00085A39"/>
    <w:rsid w:val="000861F7"/>
    <w:rsid w:val="00086991"/>
    <w:rsid w:val="00091B7E"/>
    <w:rsid w:val="00093123"/>
    <w:rsid w:val="00094EC2"/>
    <w:rsid w:val="000959F1"/>
    <w:rsid w:val="00095F6F"/>
    <w:rsid w:val="000A125B"/>
    <w:rsid w:val="000A1D4A"/>
    <w:rsid w:val="000A1D4D"/>
    <w:rsid w:val="000A2060"/>
    <w:rsid w:val="000A23C1"/>
    <w:rsid w:val="000A2740"/>
    <w:rsid w:val="000A4D93"/>
    <w:rsid w:val="000A5C2D"/>
    <w:rsid w:val="000A5D78"/>
    <w:rsid w:val="000B3016"/>
    <w:rsid w:val="000B4BD1"/>
    <w:rsid w:val="000B65B2"/>
    <w:rsid w:val="000B6B3F"/>
    <w:rsid w:val="000B72CB"/>
    <w:rsid w:val="000B7AF7"/>
    <w:rsid w:val="000B7E38"/>
    <w:rsid w:val="000C0D5C"/>
    <w:rsid w:val="000C3836"/>
    <w:rsid w:val="000C3C53"/>
    <w:rsid w:val="000C3D98"/>
    <w:rsid w:val="000C5097"/>
    <w:rsid w:val="000C7C4A"/>
    <w:rsid w:val="000D1F82"/>
    <w:rsid w:val="000D5CF0"/>
    <w:rsid w:val="000D68F0"/>
    <w:rsid w:val="000D6C59"/>
    <w:rsid w:val="000E0CFE"/>
    <w:rsid w:val="000E0E7C"/>
    <w:rsid w:val="000E1FBF"/>
    <w:rsid w:val="000E463C"/>
    <w:rsid w:val="000E5613"/>
    <w:rsid w:val="000E577C"/>
    <w:rsid w:val="000E6170"/>
    <w:rsid w:val="000E77A0"/>
    <w:rsid w:val="000E7A2E"/>
    <w:rsid w:val="000F02DC"/>
    <w:rsid w:val="000F0557"/>
    <w:rsid w:val="000F12BD"/>
    <w:rsid w:val="000F18B0"/>
    <w:rsid w:val="000F2B89"/>
    <w:rsid w:val="000F32D7"/>
    <w:rsid w:val="000F340A"/>
    <w:rsid w:val="000F3C0F"/>
    <w:rsid w:val="000F47C7"/>
    <w:rsid w:val="000F4BE7"/>
    <w:rsid w:val="000F5E25"/>
    <w:rsid w:val="000F665E"/>
    <w:rsid w:val="000F7159"/>
    <w:rsid w:val="000F7DFC"/>
    <w:rsid w:val="00100A74"/>
    <w:rsid w:val="00100AD3"/>
    <w:rsid w:val="00101CBF"/>
    <w:rsid w:val="001020DB"/>
    <w:rsid w:val="00104237"/>
    <w:rsid w:val="00105A4D"/>
    <w:rsid w:val="00106A62"/>
    <w:rsid w:val="0010759F"/>
    <w:rsid w:val="001079B5"/>
    <w:rsid w:val="00107BCA"/>
    <w:rsid w:val="0011096B"/>
    <w:rsid w:val="00110F1F"/>
    <w:rsid w:val="001112B3"/>
    <w:rsid w:val="001119ED"/>
    <w:rsid w:val="00112FD4"/>
    <w:rsid w:val="00113379"/>
    <w:rsid w:val="00113C96"/>
    <w:rsid w:val="00114FB5"/>
    <w:rsid w:val="0011579E"/>
    <w:rsid w:val="00116072"/>
    <w:rsid w:val="001178DF"/>
    <w:rsid w:val="0012071F"/>
    <w:rsid w:val="00120837"/>
    <w:rsid w:val="0012117C"/>
    <w:rsid w:val="00121D5F"/>
    <w:rsid w:val="00121FE8"/>
    <w:rsid w:val="00122E5F"/>
    <w:rsid w:val="00124A58"/>
    <w:rsid w:val="00124FB7"/>
    <w:rsid w:val="00125F39"/>
    <w:rsid w:val="001263B2"/>
    <w:rsid w:val="00127675"/>
    <w:rsid w:val="00132461"/>
    <w:rsid w:val="00132CBA"/>
    <w:rsid w:val="001349F9"/>
    <w:rsid w:val="0013525A"/>
    <w:rsid w:val="00136E1F"/>
    <w:rsid w:val="001373A9"/>
    <w:rsid w:val="0013763F"/>
    <w:rsid w:val="00137DE4"/>
    <w:rsid w:val="001408E9"/>
    <w:rsid w:val="001408FE"/>
    <w:rsid w:val="00140D90"/>
    <w:rsid w:val="00141017"/>
    <w:rsid w:val="00141406"/>
    <w:rsid w:val="00141689"/>
    <w:rsid w:val="00142122"/>
    <w:rsid w:val="001438DA"/>
    <w:rsid w:val="001442EA"/>
    <w:rsid w:val="00146516"/>
    <w:rsid w:val="00146BD1"/>
    <w:rsid w:val="0015018D"/>
    <w:rsid w:val="00150B02"/>
    <w:rsid w:val="00151306"/>
    <w:rsid w:val="001528FC"/>
    <w:rsid w:val="00152C48"/>
    <w:rsid w:val="00152C81"/>
    <w:rsid w:val="001531C0"/>
    <w:rsid w:val="001534D9"/>
    <w:rsid w:val="001537F0"/>
    <w:rsid w:val="0015392A"/>
    <w:rsid w:val="0015575D"/>
    <w:rsid w:val="00160297"/>
    <w:rsid w:val="00160849"/>
    <w:rsid w:val="00161DBA"/>
    <w:rsid w:val="00162E27"/>
    <w:rsid w:val="001646DB"/>
    <w:rsid w:val="0016498A"/>
    <w:rsid w:val="00167852"/>
    <w:rsid w:val="00167879"/>
    <w:rsid w:val="00170616"/>
    <w:rsid w:val="001716BA"/>
    <w:rsid w:val="00171B08"/>
    <w:rsid w:val="00176F7A"/>
    <w:rsid w:val="00180CDA"/>
    <w:rsid w:val="00180EC1"/>
    <w:rsid w:val="001844AB"/>
    <w:rsid w:val="00184D21"/>
    <w:rsid w:val="00185026"/>
    <w:rsid w:val="001872BF"/>
    <w:rsid w:val="00187D76"/>
    <w:rsid w:val="00191020"/>
    <w:rsid w:val="00191311"/>
    <w:rsid w:val="001952F0"/>
    <w:rsid w:val="00195C6A"/>
    <w:rsid w:val="00196A5F"/>
    <w:rsid w:val="00196C54"/>
    <w:rsid w:val="00196DE7"/>
    <w:rsid w:val="00197155"/>
    <w:rsid w:val="001A0336"/>
    <w:rsid w:val="001A0618"/>
    <w:rsid w:val="001A0B7F"/>
    <w:rsid w:val="001A2082"/>
    <w:rsid w:val="001A3232"/>
    <w:rsid w:val="001A3BB9"/>
    <w:rsid w:val="001A3CBB"/>
    <w:rsid w:val="001A41C5"/>
    <w:rsid w:val="001A48AE"/>
    <w:rsid w:val="001A529F"/>
    <w:rsid w:val="001A5A58"/>
    <w:rsid w:val="001A698D"/>
    <w:rsid w:val="001B0604"/>
    <w:rsid w:val="001B078F"/>
    <w:rsid w:val="001B0A93"/>
    <w:rsid w:val="001B134B"/>
    <w:rsid w:val="001B1B9E"/>
    <w:rsid w:val="001B1F4C"/>
    <w:rsid w:val="001B35CB"/>
    <w:rsid w:val="001B3FF3"/>
    <w:rsid w:val="001B51BB"/>
    <w:rsid w:val="001B5524"/>
    <w:rsid w:val="001B5AF5"/>
    <w:rsid w:val="001B5BAB"/>
    <w:rsid w:val="001B5D89"/>
    <w:rsid w:val="001B63B2"/>
    <w:rsid w:val="001C064C"/>
    <w:rsid w:val="001C33CE"/>
    <w:rsid w:val="001C3FA6"/>
    <w:rsid w:val="001C6008"/>
    <w:rsid w:val="001D09F5"/>
    <w:rsid w:val="001D2B15"/>
    <w:rsid w:val="001D4C10"/>
    <w:rsid w:val="001D53AF"/>
    <w:rsid w:val="001D5647"/>
    <w:rsid w:val="001D5ED1"/>
    <w:rsid w:val="001E05DC"/>
    <w:rsid w:val="001E0E82"/>
    <w:rsid w:val="001E2E81"/>
    <w:rsid w:val="001E3634"/>
    <w:rsid w:val="001E42C0"/>
    <w:rsid w:val="001E4B1D"/>
    <w:rsid w:val="001E5A9A"/>
    <w:rsid w:val="001E5BA4"/>
    <w:rsid w:val="001F2642"/>
    <w:rsid w:val="001F31E0"/>
    <w:rsid w:val="001F491D"/>
    <w:rsid w:val="001F6785"/>
    <w:rsid w:val="002003CC"/>
    <w:rsid w:val="00202402"/>
    <w:rsid w:val="00202599"/>
    <w:rsid w:val="002040A8"/>
    <w:rsid w:val="0020591A"/>
    <w:rsid w:val="002078D7"/>
    <w:rsid w:val="00212044"/>
    <w:rsid w:val="00212B7A"/>
    <w:rsid w:val="00213E37"/>
    <w:rsid w:val="002178C1"/>
    <w:rsid w:val="00220795"/>
    <w:rsid w:val="00220D72"/>
    <w:rsid w:val="0022121B"/>
    <w:rsid w:val="0022164E"/>
    <w:rsid w:val="002229CA"/>
    <w:rsid w:val="00223443"/>
    <w:rsid w:val="00223849"/>
    <w:rsid w:val="00224077"/>
    <w:rsid w:val="00225099"/>
    <w:rsid w:val="00225124"/>
    <w:rsid w:val="002273D1"/>
    <w:rsid w:val="00227A14"/>
    <w:rsid w:val="00227F12"/>
    <w:rsid w:val="002312EA"/>
    <w:rsid w:val="002333D9"/>
    <w:rsid w:val="00234837"/>
    <w:rsid w:val="00235212"/>
    <w:rsid w:val="002352AC"/>
    <w:rsid w:val="00243CEA"/>
    <w:rsid w:val="0024537E"/>
    <w:rsid w:val="00247BEC"/>
    <w:rsid w:val="00251748"/>
    <w:rsid w:val="002537E1"/>
    <w:rsid w:val="00254F59"/>
    <w:rsid w:val="002573FA"/>
    <w:rsid w:val="00263450"/>
    <w:rsid w:val="00263717"/>
    <w:rsid w:val="00264119"/>
    <w:rsid w:val="00265955"/>
    <w:rsid w:val="002677BD"/>
    <w:rsid w:val="002702DD"/>
    <w:rsid w:val="00270D83"/>
    <w:rsid w:val="00270FB1"/>
    <w:rsid w:val="0027132E"/>
    <w:rsid w:val="00271331"/>
    <w:rsid w:val="002715F5"/>
    <w:rsid w:val="00271E40"/>
    <w:rsid w:val="002759A1"/>
    <w:rsid w:val="00275BDE"/>
    <w:rsid w:val="00276E44"/>
    <w:rsid w:val="00282406"/>
    <w:rsid w:val="00282F2D"/>
    <w:rsid w:val="00283929"/>
    <w:rsid w:val="002843A4"/>
    <w:rsid w:val="002863F0"/>
    <w:rsid w:val="0028668A"/>
    <w:rsid w:val="00287CAD"/>
    <w:rsid w:val="002913C7"/>
    <w:rsid w:val="002913E9"/>
    <w:rsid w:val="00291A86"/>
    <w:rsid w:val="00292F6A"/>
    <w:rsid w:val="00293777"/>
    <w:rsid w:val="0029402B"/>
    <w:rsid w:val="002951FD"/>
    <w:rsid w:val="00296752"/>
    <w:rsid w:val="0029679E"/>
    <w:rsid w:val="00296BB5"/>
    <w:rsid w:val="00296E3D"/>
    <w:rsid w:val="002A0225"/>
    <w:rsid w:val="002A2AC8"/>
    <w:rsid w:val="002A4BB7"/>
    <w:rsid w:val="002A7A3D"/>
    <w:rsid w:val="002B2FE5"/>
    <w:rsid w:val="002B4675"/>
    <w:rsid w:val="002B5D59"/>
    <w:rsid w:val="002B6CE7"/>
    <w:rsid w:val="002B7CC6"/>
    <w:rsid w:val="002C289F"/>
    <w:rsid w:val="002C4074"/>
    <w:rsid w:val="002C520D"/>
    <w:rsid w:val="002C5C02"/>
    <w:rsid w:val="002C75D5"/>
    <w:rsid w:val="002D154F"/>
    <w:rsid w:val="002D1914"/>
    <w:rsid w:val="002D1B67"/>
    <w:rsid w:val="002D259B"/>
    <w:rsid w:val="002D2A25"/>
    <w:rsid w:val="002D2A3D"/>
    <w:rsid w:val="002D2F1A"/>
    <w:rsid w:val="002D387A"/>
    <w:rsid w:val="002D3D91"/>
    <w:rsid w:val="002D545A"/>
    <w:rsid w:val="002D5B65"/>
    <w:rsid w:val="002D5FCD"/>
    <w:rsid w:val="002D60D9"/>
    <w:rsid w:val="002D6D52"/>
    <w:rsid w:val="002E0ED2"/>
    <w:rsid w:val="002E2F51"/>
    <w:rsid w:val="002E344F"/>
    <w:rsid w:val="002E5AEB"/>
    <w:rsid w:val="002F06D2"/>
    <w:rsid w:val="002F14A7"/>
    <w:rsid w:val="002F1FBD"/>
    <w:rsid w:val="002F2403"/>
    <w:rsid w:val="002F2632"/>
    <w:rsid w:val="002F2C89"/>
    <w:rsid w:val="002F33AE"/>
    <w:rsid w:val="002F37FD"/>
    <w:rsid w:val="002F3854"/>
    <w:rsid w:val="002F4DBF"/>
    <w:rsid w:val="002F5843"/>
    <w:rsid w:val="002F6246"/>
    <w:rsid w:val="002F7560"/>
    <w:rsid w:val="002F7F26"/>
    <w:rsid w:val="0030005E"/>
    <w:rsid w:val="0030121C"/>
    <w:rsid w:val="003054DA"/>
    <w:rsid w:val="00305C57"/>
    <w:rsid w:val="00306FB4"/>
    <w:rsid w:val="003104AD"/>
    <w:rsid w:val="00313EA2"/>
    <w:rsid w:val="0031428D"/>
    <w:rsid w:val="003155EC"/>
    <w:rsid w:val="00315EAB"/>
    <w:rsid w:val="00316298"/>
    <w:rsid w:val="0031742A"/>
    <w:rsid w:val="00317520"/>
    <w:rsid w:val="00317FC0"/>
    <w:rsid w:val="00320589"/>
    <w:rsid w:val="003218CA"/>
    <w:rsid w:val="0032222A"/>
    <w:rsid w:val="00322594"/>
    <w:rsid w:val="00323D40"/>
    <w:rsid w:val="003240F4"/>
    <w:rsid w:val="00324744"/>
    <w:rsid w:val="0032568E"/>
    <w:rsid w:val="00325C4D"/>
    <w:rsid w:val="00325EA4"/>
    <w:rsid w:val="003266BA"/>
    <w:rsid w:val="00326990"/>
    <w:rsid w:val="00326C9D"/>
    <w:rsid w:val="003272C5"/>
    <w:rsid w:val="00327B70"/>
    <w:rsid w:val="003326EE"/>
    <w:rsid w:val="00332EF9"/>
    <w:rsid w:val="00333E48"/>
    <w:rsid w:val="00334484"/>
    <w:rsid w:val="0033481B"/>
    <w:rsid w:val="00335B70"/>
    <w:rsid w:val="00335F2E"/>
    <w:rsid w:val="00336E1F"/>
    <w:rsid w:val="0033797E"/>
    <w:rsid w:val="00340813"/>
    <w:rsid w:val="00340BF4"/>
    <w:rsid w:val="0034146A"/>
    <w:rsid w:val="00341BC6"/>
    <w:rsid w:val="00342225"/>
    <w:rsid w:val="00344FDE"/>
    <w:rsid w:val="003457A7"/>
    <w:rsid w:val="00345AE7"/>
    <w:rsid w:val="00346024"/>
    <w:rsid w:val="00346985"/>
    <w:rsid w:val="00347074"/>
    <w:rsid w:val="00347E28"/>
    <w:rsid w:val="003510E9"/>
    <w:rsid w:val="003526A7"/>
    <w:rsid w:val="00353551"/>
    <w:rsid w:val="003535FA"/>
    <w:rsid w:val="00354DA8"/>
    <w:rsid w:val="00354FB5"/>
    <w:rsid w:val="0035597F"/>
    <w:rsid w:val="00355DE9"/>
    <w:rsid w:val="003569A5"/>
    <w:rsid w:val="00356F7E"/>
    <w:rsid w:val="0035732E"/>
    <w:rsid w:val="00362C75"/>
    <w:rsid w:val="00366300"/>
    <w:rsid w:val="00371252"/>
    <w:rsid w:val="003761DC"/>
    <w:rsid w:val="0037761D"/>
    <w:rsid w:val="003809C6"/>
    <w:rsid w:val="00380D7D"/>
    <w:rsid w:val="00382694"/>
    <w:rsid w:val="00383D5B"/>
    <w:rsid w:val="00385520"/>
    <w:rsid w:val="00385812"/>
    <w:rsid w:val="00387F18"/>
    <w:rsid w:val="00391FBC"/>
    <w:rsid w:val="0039236B"/>
    <w:rsid w:val="00392BBE"/>
    <w:rsid w:val="00395105"/>
    <w:rsid w:val="00395ABE"/>
    <w:rsid w:val="0039746F"/>
    <w:rsid w:val="003A03FC"/>
    <w:rsid w:val="003A1125"/>
    <w:rsid w:val="003A192E"/>
    <w:rsid w:val="003A1B5F"/>
    <w:rsid w:val="003A2AF9"/>
    <w:rsid w:val="003B0461"/>
    <w:rsid w:val="003B0525"/>
    <w:rsid w:val="003B0599"/>
    <w:rsid w:val="003B2155"/>
    <w:rsid w:val="003B427B"/>
    <w:rsid w:val="003B57A3"/>
    <w:rsid w:val="003B653B"/>
    <w:rsid w:val="003C0595"/>
    <w:rsid w:val="003C3379"/>
    <w:rsid w:val="003C3A45"/>
    <w:rsid w:val="003C75E0"/>
    <w:rsid w:val="003D2496"/>
    <w:rsid w:val="003D2AF0"/>
    <w:rsid w:val="003D44F6"/>
    <w:rsid w:val="003D68A2"/>
    <w:rsid w:val="003D69E1"/>
    <w:rsid w:val="003D6C55"/>
    <w:rsid w:val="003D73DC"/>
    <w:rsid w:val="003E034A"/>
    <w:rsid w:val="003E04F8"/>
    <w:rsid w:val="003E3940"/>
    <w:rsid w:val="003E516E"/>
    <w:rsid w:val="003E58DA"/>
    <w:rsid w:val="003E653F"/>
    <w:rsid w:val="003E6AEB"/>
    <w:rsid w:val="003E6D14"/>
    <w:rsid w:val="003E6EB6"/>
    <w:rsid w:val="003E7061"/>
    <w:rsid w:val="003F4A4B"/>
    <w:rsid w:val="003F5DB4"/>
    <w:rsid w:val="003F63ED"/>
    <w:rsid w:val="003F7E89"/>
    <w:rsid w:val="00401508"/>
    <w:rsid w:val="0040242D"/>
    <w:rsid w:val="0040309E"/>
    <w:rsid w:val="0040337A"/>
    <w:rsid w:val="00404A81"/>
    <w:rsid w:val="0040534E"/>
    <w:rsid w:val="00405CA9"/>
    <w:rsid w:val="00406564"/>
    <w:rsid w:val="004121CF"/>
    <w:rsid w:val="00412D92"/>
    <w:rsid w:val="00416018"/>
    <w:rsid w:val="0041610C"/>
    <w:rsid w:val="00416BC6"/>
    <w:rsid w:val="0041742B"/>
    <w:rsid w:val="004218B0"/>
    <w:rsid w:val="004229DB"/>
    <w:rsid w:val="004229FE"/>
    <w:rsid w:val="004247C1"/>
    <w:rsid w:val="00424F07"/>
    <w:rsid w:val="00425B08"/>
    <w:rsid w:val="00427725"/>
    <w:rsid w:val="004307DD"/>
    <w:rsid w:val="004316DC"/>
    <w:rsid w:val="00432625"/>
    <w:rsid w:val="0043268E"/>
    <w:rsid w:val="00432BB6"/>
    <w:rsid w:val="00433278"/>
    <w:rsid w:val="004345E0"/>
    <w:rsid w:val="00434A57"/>
    <w:rsid w:val="004356A4"/>
    <w:rsid w:val="00435BF4"/>
    <w:rsid w:val="00436D8E"/>
    <w:rsid w:val="00437AB0"/>
    <w:rsid w:val="00437BBB"/>
    <w:rsid w:val="004401F1"/>
    <w:rsid w:val="004410D9"/>
    <w:rsid w:val="00444DF3"/>
    <w:rsid w:val="00445F00"/>
    <w:rsid w:val="004464E2"/>
    <w:rsid w:val="00446609"/>
    <w:rsid w:val="00446729"/>
    <w:rsid w:val="00446858"/>
    <w:rsid w:val="004473E7"/>
    <w:rsid w:val="00447B06"/>
    <w:rsid w:val="004518D7"/>
    <w:rsid w:val="00453991"/>
    <w:rsid w:val="0045524B"/>
    <w:rsid w:val="004560FD"/>
    <w:rsid w:val="004568B3"/>
    <w:rsid w:val="004569F3"/>
    <w:rsid w:val="00456A8C"/>
    <w:rsid w:val="004573AF"/>
    <w:rsid w:val="00461E58"/>
    <w:rsid w:val="00462CEB"/>
    <w:rsid w:val="004637BA"/>
    <w:rsid w:val="00464DB4"/>
    <w:rsid w:val="0046608A"/>
    <w:rsid w:val="00466589"/>
    <w:rsid w:val="00466851"/>
    <w:rsid w:val="00467487"/>
    <w:rsid w:val="00470423"/>
    <w:rsid w:val="0047060A"/>
    <w:rsid w:val="00474A79"/>
    <w:rsid w:val="00474E33"/>
    <w:rsid w:val="0047520E"/>
    <w:rsid w:val="00475ADD"/>
    <w:rsid w:val="004807B4"/>
    <w:rsid w:val="00482192"/>
    <w:rsid w:val="00482583"/>
    <w:rsid w:val="0048384C"/>
    <w:rsid w:val="00484885"/>
    <w:rsid w:val="00485039"/>
    <w:rsid w:val="00486D56"/>
    <w:rsid w:val="0048734F"/>
    <w:rsid w:val="004879A8"/>
    <w:rsid w:val="00491152"/>
    <w:rsid w:val="00491AA5"/>
    <w:rsid w:val="00491ED9"/>
    <w:rsid w:val="0049398C"/>
    <w:rsid w:val="00494BB0"/>
    <w:rsid w:val="00495A26"/>
    <w:rsid w:val="00495F0B"/>
    <w:rsid w:val="004A0FA3"/>
    <w:rsid w:val="004A39F2"/>
    <w:rsid w:val="004A3CA5"/>
    <w:rsid w:val="004A42D2"/>
    <w:rsid w:val="004A4396"/>
    <w:rsid w:val="004B59F7"/>
    <w:rsid w:val="004B5FCB"/>
    <w:rsid w:val="004B6E59"/>
    <w:rsid w:val="004B71C7"/>
    <w:rsid w:val="004C0259"/>
    <w:rsid w:val="004C28DF"/>
    <w:rsid w:val="004C3059"/>
    <w:rsid w:val="004C32D3"/>
    <w:rsid w:val="004C6304"/>
    <w:rsid w:val="004C65DB"/>
    <w:rsid w:val="004D074E"/>
    <w:rsid w:val="004D31A4"/>
    <w:rsid w:val="004D415A"/>
    <w:rsid w:val="004D44AF"/>
    <w:rsid w:val="004D60EC"/>
    <w:rsid w:val="004D62A9"/>
    <w:rsid w:val="004D71C6"/>
    <w:rsid w:val="004D7208"/>
    <w:rsid w:val="004E0951"/>
    <w:rsid w:val="004E09C0"/>
    <w:rsid w:val="004E0B0E"/>
    <w:rsid w:val="004E1BE6"/>
    <w:rsid w:val="004E2D2E"/>
    <w:rsid w:val="004E5946"/>
    <w:rsid w:val="004F02C0"/>
    <w:rsid w:val="004F231F"/>
    <w:rsid w:val="004F59F7"/>
    <w:rsid w:val="004F649B"/>
    <w:rsid w:val="004F7337"/>
    <w:rsid w:val="004F73F3"/>
    <w:rsid w:val="00500B58"/>
    <w:rsid w:val="00500BEC"/>
    <w:rsid w:val="00501A48"/>
    <w:rsid w:val="00501C30"/>
    <w:rsid w:val="005026EE"/>
    <w:rsid w:val="00504DFE"/>
    <w:rsid w:val="0050636F"/>
    <w:rsid w:val="005074A8"/>
    <w:rsid w:val="00507C98"/>
    <w:rsid w:val="00510160"/>
    <w:rsid w:val="00510865"/>
    <w:rsid w:val="00511026"/>
    <w:rsid w:val="00511298"/>
    <w:rsid w:val="00512871"/>
    <w:rsid w:val="00512FBF"/>
    <w:rsid w:val="00513019"/>
    <w:rsid w:val="00513D39"/>
    <w:rsid w:val="00515B15"/>
    <w:rsid w:val="00515B8B"/>
    <w:rsid w:val="005160E3"/>
    <w:rsid w:val="0051670C"/>
    <w:rsid w:val="00520ED9"/>
    <w:rsid w:val="00522310"/>
    <w:rsid w:val="005226A4"/>
    <w:rsid w:val="005230E8"/>
    <w:rsid w:val="00523E73"/>
    <w:rsid w:val="00524DDC"/>
    <w:rsid w:val="00525110"/>
    <w:rsid w:val="0052687B"/>
    <w:rsid w:val="00527F19"/>
    <w:rsid w:val="005303BB"/>
    <w:rsid w:val="00530BDE"/>
    <w:rsid w:val="00531238"/>
    <w:rsid w:val="00531E5D"/>
    <w:rsid w:val="00532800"/>
    <w:rsid w:val="00532AB4"/>
    <w:rsid w:val="00533726"/>
    <w:rsid w:val="0053380C"/>
    <w:rsid w:val="00536308"/>
    <w:rsid w:val="00537622"/>
    <w:rsid w:val="00540429"/>
    <w:rsid w:val="005411C4"/>
    <w:rsid w:val="00542AC8"/>
    <w:rsid w:val="00542C3C"/>
    <w:rsid w:val="00543A3F"/>
    <w:rsid w:val="00543F53"/>
    <w:rsid w:val="00544061"/>
    <w:rsid w:val="005445C4"/>
    <w:rsid w:val="00545C13"/>
    <w:rsid w:val="0054668B"/>
    <w:rsid w:val="00547EDB"/>
    <w:rsid w:val="00551D6E"/>
    <w:rsid w:val="0055410C"/>
    <w:rsid w:val="005554F5"/>
    <w:rsid w:val="00555831"/>
    <w:rsid w:val="00557455"/>
    <w:rsid w:val="005619C6"/>
    <w:rsid w:val="005622BF"/>
    <w:rsid w:val="0056299A"/>
    <w:rsid w:val="00562B21"/>
    <w:rsid w:val="00562FA5"/>
    <w:rsid w:val="0056348D"/>
    <w:rsid w:val="00564D5D"/>
    <w:rsid w:val="005653D2"/>
    <w:rsid w:val="00565E00"/>
    <w:rsid w:val="00566785"/>
    <w:rsid w:val="00566B8D"/>
    <w:rsid w:val="00566E68"/>
    <w:rsid w:val="00572F96"/>
    <w:rsid w:val="00573621"/>
    <w:rsid w:val="00575116"/>
    <w:rsid w:val="00575B23"/>
    <w:rsid w:val="00577F96"/>
    <w:rsid w:val="005805E9"/>
    <w:rsid w:val="005830CD"/>
    <w:rsid w:val="0058363B"/>
    <w:rsid w:val="0058387E"/>
    <w:rsid w:val="00583DC0"/>
    <w:rsid w:val="00583F61"/>
    <w:rsid w:val="00584597"/>
    <w:rsid w:val="00584C1C"/>
    <w:rsid w:val="00586586"/>
    <w:rsid w:val="00591416"/>
    <w:rsid w:val="005925CA"/>
    <w:rsid w:val="005933DA"/>
    <w:rsid w:val="00593EE7"/>
    <w:rsid w:val="0059669E"/>
    <w:rsid w:val="00596A13"/>
    <w:rsid w:val="005A2B4A"/>
    <w:rsid w:val="005A3B94"/>
    <w:rsid w:val="005A4AD9"/>
    <w:rsid w:val="005A589E"/>
    <w:rsid w:val="005A66BD"/>
    <w:rsid w:val="005A6DA3"/>
    <w:rsid w:val="005A75B8"/>
    <w:rsid w:val="005B1373"/>
    <w:rsid w:val="005B272B"/>
    <w:rsid w:val="005B40C2"/>
    <w:rsid w:val="005B479D"/>
    <w:rsid w:val="005B5720"/>
    <w:rsid w:val="005B58C1"/>
    <w:rsid w:val="005B6CA4"/>
    <w:rsid w:val="005B7891"/>
    <w:rsid w:val="005C0D37"/>
    <w:rsid w:val="005C0F89"/>
    <w:rsid w:val="005C12CB"/>
    <w:rsid w:val="005C36EF"/>
    <w:rsid w:val="005C53A0"/>
    <w:rsid w:val="005C5A51"/>
    <w:rsid w:val="005C65C6"/>
    <w:rsid w:val="005C66B9"/>
    <w:rsid w:val="005D1345"/>
    <w:rsid w:val="005D22B0"/>
    <w:rsid w:val="005D26AC"/>
    <w:rsid w:val="005D3206"/>
    <w:rsid w:val="005D3D69"/>
    <w:rsid w:val="005D4580"/>
    <w:rsid w:val="005D489B"/>
    <w:rsid w:val="005D4B2E"/>
    <w:rsid w:val="005D4E43"/>
    <w:rsid w:val="005D5115"/>
    <w:rsid w:val="005D6633"/>
    <w:rsid w:val="005D684E"/>
    <w:rsid w:val="005D6E17"/>
    <w:rsid w:val="005D6FDA"/>
    <w:rsid w:val="005D73E9"/>
    <w:rsid w:val="005D7694"/>
    <w:rsid w:val="005E0F86"/>
    <w:rsid w:val="005E30A5"/>
    <w:rsid w:val="005E58A8"/>
    <w:rsid w:val="005E7942"/>
    <w:rsid w:val="005F0715"/>
    <w:rsid w:val="005F075D"/>
    <w:rsid w:val="005F1E01"/>
    <w:rsid w:val="005F2635"/>
    <w:rsid w:val="005F370A"/>
    <w:rsid w:val="005F4123"/>
    <w:rsid w:val="005F49D6"/>
    <w:rsid w:val="00600B54"/>
    <w:rsid w:val="0060380C"/>
    <w:rsid w:val="00603C78"/>
    <w:rsid w:val="00604B39"/>
    <w:rsid w:val="00605AA7"/>
    <w:rsid w:val="00606B8B"/>
    <w:rsid w:val="00607DD7"/>
    <w:rsid w:val="0061198F"/>
    <w:rsid w:val="006123D7"/>
    <w:rsid w:val="00612EF6"/>
    <w:rsid w:val="00612F1D"/>
    <w:rsid w:val="00615D7B"/>
    <w:rsid w:val="006166E5"/>
    <w:rsid w:val="006208B5"/>
    <w:rsid w:val="006212C2"/>
    <w:rsid w:val="0062210D"/>
    <w:rsid w:val="006229BC"/>
    <w:rsid w:val="006241E5"/>
    <w:rsid w:val="0062439E"/>
    <w:rsid w:val="00624871"/>
    <w:rsid w:val="00624AE1"/>
    <w:rsid w:val="00624AFF"/>
    <w:rsid w:val="00624B97"/>
    <w:rsid w:val="00624C19"/>
    <w:rsid w:val="00625B30"/>
    <w:rsid w:val="00626DAC"/>
    <w:rsid w:val="00627EE7"/>
    <w:rsid w:val="00631386"/>
    <w:rsid w:val="00632FA0"/>
    <w:rsid w:val="0063341F"/>
    <w:rsid w:val="0063439F"/>
    <w:rsid w:val="00635AD5"/>
    <w:rsid w:val="00636AAE"/>
    <w:rsid w:val="00636F47"/>
    <w:rsid w:val="00640034"/>
    <w:rsid w:val="00640385"/>
    <w:rsid w:val="00646AB0"/>
    <w:rsid w:val="00646E1E"/>
    <w:rsid w:val="00650B6D"/>
    <w:rsid w:val="00650D43"/>
    <w:rsid w:val="00653A8A"/>
    <w:rsid w:val="00656AF7"/>
    <w:rsid w:val="00657947"/>
    <w:rsid w:val="0066040F"/>
    <w:rsid w:val="00660DF9"/>
    <w:rsid w:val="00662559"/>
    <w:rsid w:val="0066351C"/>
    <w:rsid w:val="00663964"/>
    <w:rsid w:val="00664656"/>
    <w:rsid w:val="0066489D"/>
    <w:rsid w:val="00665275"/>
    <w:rsid w:val="00665A0C"/>
    <w:rsid w:val="00665DFB"/>
    <w:rsid w:val="0067053B"/>
    <w:rsid w:val="00670DB1"/>
    <w:rsid w:val="00670F39"/>
    <w:rsid w:val="00670F6B"/>
    <w:rsid w:val="0067287D"/>
    <w:rsid w:val="0067327D"/>
    <w:rsid w:val="00673283"/>
    <w:rsid w:val="006745A8"/>
    <w:rsid w:val="0067758E"/>
    <w:rsid w:val="00681128"/>
    <w:rsid w:val="006816C3"/>
    <w:rsid w:val="00683A90"/>
    <w:rsid w:val="00684E25"/>
    <w:rsid w:val="00685588"/>
    <w:rsid w:val="006859FB"/>
    <w:rsid w:val="00690921"/>
    <w:rsid w:val="006917A6"/>
    <w:rsid w:val="00692729"/>
    <w:rsid w:val="00693E31"/>
    <w:rsid w:val="006941B9"/>
    <w:rsid w:val="006941EA"/>
    <w:rsid w:val="0069609A"/>
    <w:rsid w:val="006A1322"/>
    <w:rsid w:val="006A1F8F"/>
    <w:rsid w:val="006A22FB"/>
    <w:rsid w:val="006A3D1D"/>
    <w:rsid w:val="006A5860"/>
    <w:rsid w:val="006A5D3C"/>
    <w:rsid w:val="006A6997"/>
    <w:rsid w:val="006B1DF4"/>
    <w:rsid w:val="006B2A86"/>
    <w:rsid w:val="006B2C8D"/>
    <w:rsid w:val="006B4E5F"/>
    <w:rsid w:val="006B601C"/>
    <w:rsid w:val="006B6C99"/>
    <w:rsid w:val="006B72EC"/>
    <w:rsid w:val="006B79B9"/>
    <w:rsid w:val="006C1095"/>
    <w:rsid w:val="006C1151"/>
    <w:rsid w:val="006C448B"/>
    <w:rsid w:val="006C46E3"/>
    <w:rsid w:val="006C558E"/>
    <w:rsid w:val="006C7D83"/>
    <w:rsid w:val="006C7DB6"/>
    <w:rsid w:val="006D1349"/>
    <w:rsid w:val="006D238F"/>
    <w:rsid w:val="006D2D47"/>
    <w:rsid w:val="006D47A1"/>
    <w:rsid w:val="006D5B30"/>
    <w:rsid w:val="006D60BC"/>
    <w:rsid w:val="006D6D47"/>
    <w:rsid w:val="006D76B3"/>
    <w:rsid w:val="006E1247"/>
    <w:rsid w:val="006E1636"/>
    <w:rsid w:val="006E3D38"/>
    <w:rsid w:val="006E47A2"/>
    <w:rsid w:val="006E4CF6"/>
    <w:rsid w:val="006E777C"/>
    <w:rsid w:val="006F1F1F"/>
    <w:rsid w:val="006F1FA7"/>
    <w:rsid w:val="006F24A6"/>
    <w:rsid w:val="006F39AC"/>
    <w:rsid w:val="006F4768"/>
    <w:rsid w:val="006F5CD3"/>
    <w:rsid w:val="006F5F2C"/>
    <w:rsid w:val="006F6423"/>
    <w:rsid w:val="006F7213"/>
    <w:rsid w:val="007000DD"/>
    <w:rsid w:val="0070032E"/>
    <w:rsid w:val="0070109E"/>
    <w:rsid w:val="00701784"/>
    <w:rsid w:val="007026E9"/>
    <w:rsid w:val="00704A45"/>
    <w:rsid w:val="0071019D"/>
    <w:rsid w:val="00710B72"/>
    <w:rsid w:val="00711184"/>
    <w:rsid w:val="00711DE9"/>
    <w:rsid w:val="00712BEB"/>
    <w:rsid w:val="00712F85"/>
    <w:rsid w:val="00713428"/>
    <w:rsid w:val="007140E4"/>
    <w:rsid w:val="0071441B"/>
    <w:rsid w:val="00714B35"/>
    <w:rsid w:val="00715B8B"/>
    <w:rsid w:val="007171DD"/>
    <w:rsid w:val="007177D5"/>
    <w:rsid w:val="007214E8"/>
    <w:rsid w:val="00721DF9"/>
    <w:rsid w:val="00721E7E"/>
    <w:rsid w:val="00722F9F"/>
    <w:rsid w:val="00725273"/>
    <w:rsid w:val="007253D4"/>
    <w:rsid w:val="0072586F"/>
    <w:rsid w:val="00726FFE"/>
    <w:rsid w:val="00727948"/>
    <w:rsid w:val="0073101D"/>
    <w:rsid w:val="0073372C"/>
    <w:rsid w:val="00734321"/>
    <w:rsid w:val="00734ABD"/>
    <w:rsid w:val="00735265"/>
    <w:rsid w:val="00737263"/>
    <w:rsid w:val="007403AA"/>
    <w:rsid w:val="007404D0"/>
    <w:rsid w:val="007409E1"/>
    <w:rsid w:val="007418E3"/>
    <w:rsid w:val="00743BBB"/>
    <w:rsid w:val="00743DA5"/>
    <w:rsid w:val="00743ECC"/>
    <w:rsid w:val="00744027"/>
    <w:rsid w:val="007442D8"/>
    <w:rsid w:val="00744CA5"/>
    <w:rsid w:val="007451F5"/>
    <w:rsid w:val="00747488"/>
    <w:rsid w:val="0074763B"/>
    <w:rsid w:val="0074789B"/>
    <w:rsid w:val="00750733"/>
    <w:rsid w:val="007509A7"/>
    <w:rsid w:val="00750E3E"/>
    <w:rsid w:val="00751F68"/>
    <w:rsid w:val="00755AE2"/>
    <w:rsid w:val="00755C3F"/>
    <w:rsid w:val="00755E58"/>
    <w:rsid w:val="007568C1"/>
    <w:rsid w:val="00756A52"/>
    <w:rsid w:val="0076161D"/>
    <w:rsid w:val="007623B8"/>
    <w:rsid w:val="00763765"/>
    <w:rsid w:val="00763804"/>
    <w:rsid w:val="00763BFC"/>
    <w:rsid w:val="0076449B"/>
    <w:rsid w:val="00764DB2"/>
    <w:rsid w:val="00764EA5"/>
    <w:rsid w:val="00765741"/>
    <w:rsid w:val="007664DA"/>
    <w:rsid w:val="00766FE2"/>
    <w:rsid w:val="00767774"/>
    <w:rsid w:val="00767E51"/>
    <w:rsid w:val="00771C42"/>
    <w:rsid w:val="00772265"/>
    <w:rsid w:val="00772FC4"/>
    <w:rsid w:val="00774C6E"/>
    <w:rsid w:val="007761F8"/>
    <w:rsid w:val="00776441"/>
    <w:rsid w:val="007766A9"/>
    <w:rsid w:val="007778D7"/>
    <w:rsid w:val="00777A02"/>
    <w:rsid w:val="00780B86"/>
    <w:rsid w:val="00782D6B"/>
    <w:rsid w:val="00783513"/>
    <w:rsid w:val="00785D2B"/>
    <w:rsid w:val="00790C9C"/>
    <w:rsid w:val="00790E15"/>
    <w:rsid w:val="0079354B"/>
    <w:rsid w:val="00794477"/>
    <w:rsid w:val="00794569"/>
    <w:rsid w:val="00794EA2"/>
    <w:rsid w:val="0079508F"/>
    <w:rsid w:val="00795772"/>
    <w:rsid w:val="00795B16"/>
    <w:rsid w:val="00796525"/>
    <w:rsid w:val="007A1199"/>
    <w:rsid w:val="007A16CD"/>
    <w:rsid w:val="007A1733"/>
    <w:rsid w:val="007A20DD"/>
    <w:rsid w:val="007A3CCF"/>
    <w:rsid w:val="007A3ED6"/>
    <w:rsid w:val="007A3F9E"/>
    <w:rsid w:val="007A49D3"/>
    <w:rsid w:val="007A633D"/>
    <w:rsid w:val="007A7BA7"/>
    <w:rsid w:val="007A7D5E"/>
    <w:rsid w:val="007B0D91"/>
    <w:rsid w:val="007B397D"/>
    <w:rsid w:val="007B46C7"/>
    <w:rsid w:val="007B4AF7"/>
    <w:rsid w:val="007B52BC"/>
    <w:rsid w:val="007C30F8"/>
    <w:rsid w:val="007C3615"/>
    <w:rsid w:val="007C38F8"/>
    <w:rsid w:val="007C4DC2"/>
    <w:rsid w:val="007C4F4D"/>
    <w:rsid w:val="007C5365"/>
    <w:rsid w:val="007C53AA"/>
    <w:rsid w:val="007C59D0"/>
    <w:rsid w:val="007C75FE"/>
    <w:rsid w:val="007C7C5C"/>
    <w:rsid w:val="007D2B39"/>
    <w:rsid w:val="007D429F"/>
    <w:rsid w:val="007D4CFA"/>
    <w:rsid w:val="007D6BBF"/>
    <w:rsid w:val="007D7195"/>
    <w:rsid w:val="007E0A7E"/>
    <w:rsid w:val="007E0B79"/>
    <w:rsid w:val="007E0CA6"/>
    <w:rsid w:val="007E1A20"/>
    <w:rsid w:val="007E1A59"/>
    <w:rsid w:val="007E2361"/>
    <w:rsid w:val="007E285A"/>
    <w:rsid w:val="007E316A"/>
    <w:rsid w:val="007E34A0"/>
    <w:rsid w:val="007E517F"/>
    <w:rsid w:val="007E5873"/>
    <w:rsid w:val="007E5B00"/>
    <w:rsid w:val="007E5D67"/>
    <w:rsid w:val="007E630A"/>
    <w:rsid w:val="007E7A90"/>
    <w:rsid w:val="007F0E9E"/>
    <w:rsid w:val="007F1FB4"/>
    <w:rsid w:val="007F4114"/>
    <w:rsid w:val="007F586D"/>
    <w:rsid w:val="00800762"/>
    <w:rsid w:val="008017E5"/>
    <w:rsid w:val="00802102"/>
    <w:rsid w:val="00802B9C"/>
    <w:rsid w:val="00802E8C"/>
    <w:rsid w:val="00803269"/>
    <w:rsid w:val="00807AB2"/>
    <w:rsid w:val="00810F38"/>
    <w:rsid w:val="0081176D"/>
    <w:rsid w:val="0081275E"/>
    <w:rsid w:val="00813F9F"/>
    <w:rsid w:val="008149BD"/>
    <w:rsid w:val="00814DF9"/>
    <w:rsid w:val="00815528"/>
    <w:rsid w:val="008159F2"/>
    <w:rsid w:val="00815CA0"/>
    <w:rsid w:val="00815D54"/>
    <w:rsid w:val="00815FD9"/>
    <w:rsid w:val="0081699E"/>
    <w:rsid w:val="00817AF9"/>
    <w:rsid w:val="008201D6"/>
    <w:rsid w:val="00820B50"/>
    <w:rsid w:val="00820D1B"/>
    <w:rsid w:val="00821207"/>
    <w:rsid w:val="00821991"/>
    <w:rsid w:val="00821ACA"/>
    <w:rsid w:val="00823647"/>
    <w:rsid w:val="00823F07"/>
    <w:rsid w:val="00824BD9"/>
    <w:rsid w:val="0082617E"/>
    <w:rsid w:val="00827DC7"/>
    <w:rsid w:val="0083039D"/>
    <w:rsid w:val="008306D4"/>
    <w:rsid w:val="00831616"/>
    <w:rsid w:val="008321BF"/>
    <w:rsid w:val="008329C1"/>
    <w:rsid w:val="00832BFA"/>
    <w:rsid w:val="00837464"/>
    <w:rsid w:val="00837D89"/>
    <w:rsid w:val="0084205F"/>
    <w:rsid w:val="0084371C"/>
    <w:rsid w:val="00843C09"/>
    <w:rsid w:val="0084432A"/>
    <w:rsid w:val="008450D1"/>
    <w:rsid w:val="0084515C"/>
    <w:rsid w:val="00850099"/>
    <w:rsid w:val="00851DC0"/>
    <w:rsid w:val="00851DCD"/>
    <w:rsid w:val="00851FFA"/>
    <w:rsid w:val="00852B1B"/>
    <w:rsid w:val="00853130"/>
    <w:rsid w:val="00853889"/>
    <w:rsid w:val="00854AAC"/>
    <w:rsid w:val="00855C17"/>
    <w:rsid w:val="0085626C"/>
    <w:rsid w:val="00857CD8"/>
    <w:rsid w:val="008605F1"/>
    <w:rsid w:val="00861285"/>
    <w:rsid w:val="00861968"/>
    <w:rsid w:val="0086214A"/>
    <w:rsid w:val="00862651"/>
    <w:rsid w:val="0086335F"/>
    <w:rsid w:val="0086349B"/>
    <w:rsid w:val="00866F21"/>
    <w:rsid w:val="00867345"/>
    <w:rsid w:val="00867EEA"/>
    <w:rsid w:val="00870719"/>
    <w:rsid w:val="00870835"/>
    <w:rsid w:val="00870962"/>
    <w:rsid w:val="008719BD"/>
    <w:rsid w:val="008719F7"/>
    <w:rsid w:val="00871F09"/>
    <w:rsid w:val="00874AD0"/>
    <w:rsid w:val="00874FB0"/>
    <w:rsid w:val="00876329"/>
    <w:rsid w:val="008764F1"/>
    <w:rsid w:val="00881760"/>
    <w:rsid w:val="00881C72"/>
    <w:rsid w:val="008820D4"/>
    <w:rsid w:val="00882614"/>
    <w:rsid w:val="00884652"/>
    <w:rsid w:val="008847C4"/>
    <w:rsid w:val="00884D5B"/>
    <w:rsid w:val="00886194"/>
    <w:rsid w:val="008865F0"/>
    <w:rsid w:val="00887653"/>
    <w:rsid w:val="00887722"/>
    <w:rsid w:val="00887748"/>
    <w:rsid w:val="00887D80"/>
    <w:rsid w:val="0089181E"/>
    <w:rsid w:val="00893ACB"/>
    <w:rsid w:val="00894515"/>
    <w:rsid w:val="0089535E"/>
    <w:rsid w:val="008963CD"/>
    <w:rsid w:val="00896B84"/>
    <w:rsid w:val="00897F08"/>
    <w:rsid w:val="008A0874"/>
    <w:rsid w:val="008A0F60"/>
    <w:rsid w:val="008A1346"/>
    <w:rsid w:val="008A2FDF"/>
    <w:rsid w:val="008A3D13"/>
    <w:rsid w:val="008A417F"/>
    <w:rsid w:val="008A4B88"/>
    <w:rsid w:val="008A5044"/>
    <w:rsid w:val="008A59CA"/>
    <w:rsid w:val="008A5BDF"/>
    <w:rsid w:val="008A6A3C"/>
    <w:rsid w:val="008A7752"/>
    <w:rsid w:val="008B0628"/>
    <w:rsid w:val="008B0EBA"/>
    <w:rsid w:val="008B0F1C"/>
    <w:rsid w:val="008B2610"/>
    <w:rsid w:val="008B596C"/>
    <w:rsid w:val="008B5E16"/>
    <w:rsid w:val="008B70BE"/>
    <w:rsid w:val="008C0317"/>
    <w:rsid w:val="008C1C0D"/>
    <w:rsid w:val="008C1FC5"/>
    <w:rsid w:val="008C2563"/>
    <w:rsid w:val="008C3E85"/>
    <w:rsid w:val="008C414F"/>
    <w:rsid w:val="008C4E81"/>
    <w:rsid w:val="008C4EDA"/>
    <w:rsid w:val="008C505D"/>
    <w:rsid w:val="008C5D2F"/>
    <w:rsid w:val="008C775A"/>
    <w:rsid w:val="008C7D4C"/>
    <w:rsid w:val="008C7F57"/>
    <w:rsid w:val="008D15E3"/>
    <w:rsid w:val="008D2A4C"/>
    <w:rsid w:val="008D397E"/>
    <w:rsid w:val="008D3A91"/>
    <w:rsid w:val="008D4360"/>
    <w:rsid w:val="008D4B61"/>
    <w:rsid w:val="008D52F4"/>
    <w:rsid w:val="008D72AF"/>
    <w:rsid w:val="008D7DCC"/>
    <w:rsid w:val="008E0056"/>
    <w:rsid w:val="008E0473"/>
    <w:rsid w:val="008E0F5F"/>
    <w:rsid w:val="008E1133"/>
    <w:rsid w:val="008E1C86"/>
    <w:rsid w:val="008E5F46"/>
    <w:rsid w:val="008E60BE"/>
    <w:rsid w:val="008E74CE"/>
    <w:rsid w:val="008E7A1E"/>
    <w:rsid w:val="008F01BB"/>
    <w:rsid w:val="008F1389"/>
    <w:rsid w:val="008F1982"/>
    <w:rsid w:val="008F2615"/>
    <w:rsid w:val="008F5404"/>
    <w:rsid w:val="008F63DA"/>
    <w:rsid w:val="008F6E65"/>
    <w:rsid w:val="008F70EB"/>
    <w:rsid w:val="008F76DC"/>
    <w:rsid w:val="008F7B4C"/>
    <w:rsid w:val="00900029"/>
    <w:rsid w:val="00900F59"/>
    <w:rsid w:val="009020D1"/>
    <w:rsid w:val="0090290F"/>
    <w:rsid w:val="00902A7F"/>
    <w:rsid w:val="00903E95"/>
    <w:rsid w:val="00905347"/>
    <w:rsid w:val="00905FCB"/>
    <w:rsid w:val="00906126"/>
    <w:rsid w:val="00907688"/>
    <w:rsid w:val="00907EBF"/>
    <w:rsid w:val="009123F1"/>
    <w:rsid w:val="00914358"/>
    <w:rsid w:val="009156FE"/>
    <w:rsid w:val="00915DB9"/>
    <w:rsid w:val="00915ECB"/>
    <w:rsid w:val="00916E40"/>
    <w:rsid w:val="00916FDB"/>
    <w:rsid w:val="0091765D"/>
    <w:rsid w:val="00917B11"/>
    <w:rsid w:val="00920AFE"/>
    <w:rsid w:val="009213AD"/>
    <w:rsid w:val="00922845"/>
    <w:rsid w:val="00925874"/>
    <w:rsid w:val="00926692"/>
    <w:rsid w:val="00926DAC"/>
    <w:rsid w:val="00927341"/>
    <w:rsid w:val="0093128F"/>
    <w:rsid w:val="009312B0"/>
    <w:rsid w:val="00932FE0"/>
    <w:rsid w:val="0093375A"/>
    <w:rsid w:val="00933999"/>
    <w:rsid w:val="00934124"/>
    <w:rsid w:val="0093477A"/>
    <w:rsid w:val="00937879"/>
    <w:rsid w:val="00943993"/>
    <w:rsid w:val="00943D5E"/>
    <w:rsid w:val="00944B0A"/>
    <w:rsid w:val="00946EDB"/>
    <w:rsid w:val="0095006D"/>
    <w:rsid w:val="00952381"/>
    <w:rsid w:val="00953AFD"/>
    <w:rsid w:val="00954010"/>
    <w:rsid w:val="009546F4"/>
    <w:rsid w:val="0095554A"/>
    <w:rsid w:val="009556B3"/>
    <w:rsid w:val="00955EC6"/>
    <w:rsid w:val="009569C4"/>
    <w:rsid w:val="00957542"/>
    <w:rsid w:val="00960601"/>
    <w:rsid w:val="00960897"/>
    <w:rsid w:val="00960D3F"/>
    <w:rsid w:val="009614A3"/>
    <w:rsid w:val="00961908"/>
    <w:rsid w:val="00961C9A"/>
    <w:rsid w:val="009676F5"/>
    <w:rsid w:val="00971042"/>
    <w:rsid w:val="009723B7"/>
    <w:rsid w:val="00974891"/>
    <w:rsid w:val="009753A1"/>
    <w:rsid w:val="0097653B"/>
    <w:rsid w:val="00976B72"/>
    <w:rsid w:val="00977586"/>
    <w:rsid w:val="00977C80"/>
    <w:rsid w:val="00977DA1"/>
    <w:rsid w:val="009812E8"/>
    <w:rsid w:val="00981836"/>
    <w:rsid w:val="0098211B"/>
    <w:rsid w:val="00984EE7"/>
    <w:rsid w:val="009867A8"/>
    <w:rsid w:val="00986C50"/>
    <w:rsid w:val="00987807"/>
    <w:rsid w:val="00987912"/>
    <w:rsid w:val="00987C99"/>
    <w:rsid w:val="00990500"/>
    <w:rsid w:val="00990537"/>
    <w:rsid w:val="00990B27"/>
    <w:rsid w:val="00990FD6"/>
    <w:rsid w:val="00991899"/>
    <w:rsid w:val="009922B9"/>
    <w:rsid w:val="009929E4"/>
    <w:rsid w:val="00993384"/>
    <w:rsid w:val="00993391"/>
    <w:rsid w:val="009A05BD"/>
    <w:rsid w:val="009A05CC"/>
    <w:rsid w:val="009A17DF"/>
    <w:rsid w:val="009A1CDA"/>
    <w:rsid w:val="009A46DC"/>
    <w:rsid w:val="009A552D"/>
    <w:rsid w:val="009A5736"/>
    <w:rsid w:val="009A6695"/>
    <w:rsid w:val="009A7379"/>
    <w:rsid w:val="009A76B0"/>
    <w:rsid w:val="009A7BC1"/>
    <w:rsid w:val="009B22F6"/>
    <w:rsid w:val="009B28F5"/>
    <w:rsid w:val="009B2BDD"/>
    <w:rsid w:val="009B4CE6"/>
    <w:rsid w:val="009B5725"/>
    <w:rsid w:val="009B5E8A"/>
    <w:rsid w:val="009B670B"/>
    <w:rsid w:val="009C192F"/>
    <w:rsid w:val="009C36C3"/>
    <w:rsid w:val="009C3B82"/>
    <w:rsid w:val="009C47B4"/>
    <w:rsid w:val="009C658D"/>
    <w:rsid w:val="009C6E05"/>
    <w:rsid w:val="009C7F06"/>
    <w:rsid w:val="009D31D2"/>
    <w:rsid w:val="009D3F08"/>
    <w:rsid w:val="009D4326"/>
    <w:rsid w:val="009D466C"/>
    <w:rsid w:val="009D46D5"/>
    <w:rsid w:val="009D60B9"/>
    <w:rsid w:val="009D6964"/>
    <w:rsid w:val="009E0462"/>
    <w:rsid w:val="009E0668"/>
    <w:rsid w:val="009E1322"/>
    <w:rsid w:val="009E2DF2"/>
    <w:rsid w:val="009E4071"/>
    <w:rsid w:val="009E532F"/>
    <w:rsid w:val="009E56BF"/>
    <w:rsid w:val="009E5F41"/>
    <w:rsid w:val="009E696E"/>
    <w:rsid w:val="009E6B89"/>
    <w:rsid w:val="009E72B3"/>
    <w:rsid w:val="009F02BD"/>
    <w:rsid w:val="009F0858"/>
    <w:rsid w:val="009F1128"/>
    <w:rsid w:val="009F2617"/>
    <w:rsid w:val="009F31FA"/>
    <w:rsid w:val="009F324F"/>
    <w:rsid w:val="009F42DF"/>
    <w:rsid w:val="009F559E"/>
    <w:rsid w:val="009F5BDC"/>
    <w:rsid w:val="00A00561"/>
    <w:rsid w:val="00A01259"/>
    <w:rsid w:val="00A029ED"/>
    <w:rsid w:val="00A02AAB"/>
    <w:rsid w:val="00A0322E"/>
    <w:rsid w:val="00A03981"/>
    <w:rsid w:val="00A05A32"/>
    <w:rsid w:val="00A05F9E"/>
    <w:rsid w:val="00A06187"/>
    <w:rsid w:val="00A07079"/>
    <w:rsid w:val="00A115F5"/>
    <w:rsid w:val="00A11DCD"/>
    <w:rsid w:val="00A11F0D"/>
    <w:rsid w:val="00A137D0"/>
    <w:rsid w:val="00A145D9"/>
    <w:rsid w:val="00A14A01"/>
    <w:rsid w:val="00A15335"/>
    <w:rsid w:val="00A16C59"/>
    <w:rsid w:val="00A17231"/>
    <w:rsid w:val="00A17775"/>
    <w:rsid w:val="00A2016E"/>
    <w:rsid w:val="00A202F7"/>
    <w:rsid w:val="00A207FE"/>
    <w:rsid w:val="00A21482"/>
    <w:rsid w:val="00A22809"/>
    <w:rsid w:val="00A22B44"/>
    <w:rsid w:val="00A22FC7"/>
    <w:rsid w:val="00A2311D"/>
    <w:rsid w:val="00A252AD"/>
    <w:rsid w:val="00A2692F"/>
    <w:rsid w:val="00A27B7B"/>
    <w:rsid w:val="00A27FE5"/>
    <w:rsid w:val="00A305E4"/>
    <w:rsid w:val="00A30CD7"/>
    <w:rsid w:val="00A314D3"/>
    <w:rsid w:val="00A31E05"/>
    <w:rsid w:val="00A3489D"/>
    <w:rsid w:val="00A34BD9"/>
    <w:rsid w:val="00A36B3C"/>
    <w:rsid w:val="00A36EA2"/>
    <w:rsid w:val="00A3742C"/>
    <w:rsid w:val="00A43672"/>
    <w:rsid w:val="00A43715"/>
    <w:rsid w:val="00A43B48"/>
    <w:rsid w:val="00A44091"/>
    <w:rsid w:val="00A4640C"/>
    <w:rsid w:val="00A479A7"/>
    <w:rsid w:val="00A518FB"/>
    <w:rsid w:val="00A5306E"/>
    <w:rsid w:val="00A609BB"/>
    <w:rsid w:val="00A62A45"/>
    <w:rsid w:val="00A62C9A"/>
    <w:rsid w:val="00A631DE"/>
    <w:rsid w:val="00A63C02"/>
    <w:rsid w:val="00A64AF9"/>
    <w:rsid w:val="00A6516F"/>
    <w:rsid w:val="00A6528E"/>
    <w:rsid w:val="00A658F8"/>
    <w:rsid w:val="00A66D88"/>
    <w:rsid w:val="00A678D3"/>
    <w:rsid w:val="00A705A2"/>
    <w:rsid w:val="00A7071F"/>
    <w:rsid w:val="00A7559A"/>
    <w:rsid w:val="00A7582D"/>
    <w:rsid w:val="00A75A96"/>
    <w:rsid w:val="00A762DA"/>
    <w:rsid w:val="00A76DD5"/>
    <w:rsid w:val="00A77BFD"/>
    <w:rsid w:val="00A809C0"/>
    <w:rsid w:val="00A81343"/>
    <w:rsid w:val="00A81F08"/>
    <w:rsid w:val="00A83EAC"/>
    <w:rsid w:val="00A8554C"/>
    <w:rsid w:val="00A85ADC"/>
    <w:rsid w:val="00A86C38"/>
    <w:rsid w:val="00A87985"/>
    <w:rsid w:val="00A87A56"/>
    <w:rsid w:val="00A90881"/>
    <w:rsid w:val="00A9094C"/>
    <w:rsid w:val="00A921D1"/>
    <w:rsid w:val="00A932DE"/>
    <w:rsid w:val="00A9412E"/>
    <w:rsid w:val="00A941EF"/>
    <w:rsid w:val="00A94208"/>
    <w:rsid w:val="00A96235"/>
    <w:rsid w:val="00A9623F"/>
    <w:rsid w:val="00A96B1B"/>
    <w:rsid w:val="00A9712A"/>
    <w:rsid w:val="00A97AA6"/>
    <w:rsid w:val="00AA1196"/>
    <w:rsid w:val="00AA14E1"/>
    <w:rsid w:val="00AA2234"/>
    <w:rsid w:val="00AA2B06"/>
    <w:rsid w:val="00AA3ADD"/>
    <w:rsid w:val="00AA594B"/>
    <w:rsid w:val="00AA5F9F"/>
    <w:rsid w:val="00AA63CB"/>
    <w:rsid w:val="00AA784C"/>
    <w:rsid w:val="00AB2219"/>
    <w:rsid w:val="00AB2D6E"/>
    <w:rsid w:val="00AB2D80"/>
    <w:rsid w:val="00AB2FC3"/>
    <w:rsid w:val="00AB3AB6"/>
    <w:rsid w:val="00AB3E75"/>
    <w:rsid w:val="00AB3F5A"/>
    <w:rsid w:val="00AB49FD"/>
    <w:rsid w:val="00AB55AD"/>
    <w:rsid w:val="00AB5608"/>
    <w:rsid w:val="00AB59D4"/>
    <w:rsid w:val="00AB5AA1"/>
    <w:rsid w:val="00AB6218"/>
    <w:rsid w:val="00AB65F7"/>
    <w:rsid w:val="00AB7028"/>
    <w:rsid w:val="00AB77C3"/>
    <w:rsid w:val="00AC1760"/>
    <w:rsid w:val="00AC1DCD"/>
    <w:rsid w:val="00AC2855"/>
    <w:rsid w:val="00AC2E57"/>
    <w:rsid w:val="00AC3D3C"/>
    <w:rsid w:val="00AC4008"/>
    <w:rsid w:val="00AC6A7D"/>
    <w:rsid w:val="00AC6C21"/>
    <w:rsid w:val="00AD0165"/>
    <w:rsid w:val="00AD0D72"/>
    <w:rsid w:val="00AD1B94"/>
    <w:rsid w:val="00AD2728"/>
    <w:rsid w:val="00AD48B4"/>
    <w:rsid w:val="00AD537A"/>
    <w:rsid w:val="00AD5F89"/>
    <w:rsid w:val="00AD7148"/>
    <w:rsid w:val="00AE0863"/>
    <w:rsid w:val="00AE2620"/>
    <w:rsid w:val="00AE4242"/>
    <w:rsid w:val="00AE4DA8"/>
    <w:rsid w:val="00AE52C2"/>
    <w:rsid w:val="00AE582D"/>
    <w:rsid w:val="00AE7197"/>
    <w:rsid w:val="00AE7443"/>
    <w:rsid w:val="00AE7996"/>
    <w:rsid w:val="00AE7B6C"/>
    <w:rsid w:val="00AF188E"/>
    <w:rsid w:val="00AF2017"/>
    <w:rsid w:val="00AF30D2"/>
    <w:rsid w:val="00B00BFD"/>
    <w:rsid w:val="00B00D38"/>
    <w:rsid w:val="00B02F2D"/>
    <w:rsid w:val="00B0375A"/>
    <w:rsid w:val="00B03B4F"/>
    <w:rsid w:val="00B05626"/>
    <w:rsid w:val="00B0721D"/>
    <w:rsid w:val="00B1191C"/>
    <w:rsid w:val="00B12462"/>
    <w:rsid w:val="00B137BE"/>
    <w:rsid w:val="00B137C2"/>
    <w:rsid w:val="00B16378"/>
    <w:rsid w:val="00B1658A"/>
    <w:rsid w:val="00B20B20"/>
    <w:rsid w:val="00B211D8"/>
    <w:rsid w:val="00B213E6"/>
    <w:rsid w:val="00B22604"/>
    <w:rsid w:val="00B227FF"/>
    <w:rsid w:val="00B22DA2"/>
    <w:rsid w:val="00B242B5"/>
    <w:rsid w:val="00B24A94"/>
    <w:rsid w:val="00B24AC5"/>
    <w:rsid w:val="00B26680"/>
    <w:rsid w:val="00B26A12"/>
    <w:rsid w:val="00B30004"/>
    <w:rsid w:val="00B30728"/>
    <w:rsid w:val="00B325EE"/>
    <w:rsid w:val="00B33498"/>
    <w:rsid w:val="00B342DE"/>
    <w:rsid w:val="00B34DB1"/>
    <w:rsid w:val="00B357DE"/>
    <w:rsid w:val="00B35BEC"/>
    <w:rsid w:val="00B3614C"/>
    <w:rsid w:val="00B42799"/>
    <w:rsid w:val="00B42DD3"/>
    <w:rsid w:val="00B44231"/>
    <w:rsid w:val="00B451F5"/>
    <w:rsid w:val="00B45C61"/>
    <w:rsid w:val="00B4747D"/>
    <w:rsid w:val="00B51249"/>
    <w:rsid w:val="00B531B3"/>
    <w:rsid w:val="00B54262"/>
    <w:rsid w:val="00B558FD"/>
    <w:rsid w:val="00B56504"/>
    <w:rsid w:val="00B57917"/>
    <w:rsid w:val="00B6088D"/>
    <w:rsid w:val="00B632C3"/>
    <w:rsid w:val="00B641EA"/>
    <w:rsid w:val="00B70D6F"/>
    <w:rsid w:val="00B74A2D"/>
    <w:rsid w:val="00B74B3B"/>
    <w:rsid w:val="00B7715A"/>
    <w:rsid w:val="00B77595"/>
    <w:rsid w:val="00B804BA"/>
    <w:rsid w:val="00B81527"/>
    <w:rsid w:val="00B820D6"/>
    <w:rsid w:val="00B82DC5"/>
    <w:rsid w:val="00B83B64"/>
    <w:rsid w:val="00B83F00"/>
    <w:rsid w:val="00B85EC5"/>
    <w:rsid w:val="00B91BD2"/>
    <w:rsid w:val="00B936B3"/>
    <w:rsid w:val="00B93C6A"/>
    <w:rsid w:val="00B960D2"/>
    <w:rsid w:val="00B975A3"/>
    <w:rsid w:val="00B97922"/>
    <w:rsid w:val="00B97C36"/>
    <w:rsid w:val="00BA1099"/>
    <w:rsid w:val="00BA18F3"/>
    <w:rsid w:val="00BA230F"/>
    <w:rsid w:val="00BA2CEC"/>
    <w:rsid w:val="00BA2F6B"/>
    <w:rsid w:val="00BA37A3"/>
    <w:rsid w:val="00BA46DE"/>
    <w:rsid w:val="00BA4D44"/>
    <w:rsid w:val="00BA5C0F"/>
    <w:rsid w:val="00BA625D"/>
    <w:rsid w:val="00BA67C9"/>
    <w:rsid w:val="00BA69D1"/>
    <w:rsid w:val="00BA78BF"/>
    <w:rsid w:val="00BB01E9"/>
    <w:rsid w:val="00BB046F"/>
    <w:rsid w:val="00BB0F1E"/>
    <w:rsid w:val="00BB3EA9"/>
    <w:rsid w:val="00BB4427"/>
    <w:rsid w:val="00BB491C"/>
    <w:rsid w:val="00BB5694"/>
    <w:rsid w:val="00BB65D6"/>
    <w:rsid w:val="00BB6782"/>
    <w:rsid w:val="00BB7F05"/>
    <w:rsid w:val="00BC1B96"/>
    <w:rsid w:val="00BC2894"/>
    <w:rsid w:val="00BC3EC8"/>
    <w:rsid w:val="00BC45E0"/>
    <w:rsid w:val="00BC4D55"/>
    <w:rsid w:val="00BC5BF0"/>
    <w:rsid w:val="00BC655B"/>
    <w:rsid w:val="00BC7988"/>
    <w:rsid w:val="00BD251A"/>
    <w:rsid w:val="00BD2D60"/>
    <w:rsid w:val="00BD318B"/>
    <w:rsid w:val="00BD56C0"/>
    <w:rsid w:val="00BD7E52"/>
    <w:rsid w:val="00BE2066"/>
    <w:rsid w:val="00BE2BB3"/>
    <w:rsid w:val="00BE63FE"/>
    <w:rsid w:val="00BE7378"/>
    <w:rsid w:val="00BF0125"/>
    <w:rsid w:val="00BF0126"/>
    <w:rsid w:val="00BF01AC"/>
    <w:rsid w:val="00BF1B40"/>
    <w:rsid w:val="00BF26A0"/>
    <w:rsid w:val="00BF4238"/>
    <w:rsid w:val="00BF5B60"/>
    <w:rsid w:val="00BF5EDF"/>
    <w:rsid w:val="00BF6333"/>
    <w:rsid w:val="00BF6784"/>
    <w:rsid w:val="00BF751E"/>
    <w:rsid w:val="00BF7CFF"/>
    <w:rsid w:val="00C00BB9"/>
    <w:rsid w:val="00C01D67"/>
    <w:rsid w:val="00C02940"/>
    <w:rsid w:val="00C037FA"/>
    <w:rsid w:val="00C03937"/>
    <w:rsid w:val="00C03C78"/>
    <w:rsid w:val="00C0467E"/>
    <w:rsid w:val="00C047DB"/>
    <w:rsid w:val="00C04C39"/>
    <w:rsid w:val="00C0524B"/>
    <w:rsid w:val="00C06C10"/>
    <w:rsid w:val="00C07755"/>
    <w:rsid w:val="00C079CF"/>
    <w:rsid w:val="00C07D51"/>
    <w:rsid w:val="00C121C2"/>
    <w:rsid w:val="00C12665"/>
    <w:rsid w:val="00C12B73"/>
    <w:rsid w:val="00C14D9A"/>
    <w:rsid w:val="00C15A10"/>
    <w:rsid w:val="00C15A62"/>
    <w:rsid w:val="00C15D3B"/>
    <w:rsid w:val="00C1715D"/>
    <w:rsid w:val="00C20CE4"/>
    <w:rsid w:val="00C21285"/>
    <w:rsid w:val="00C222AE"/>
    <w:rsid w:val="00C22BA5"/>
    <w:rsid w:val="00C240A9"/>
    <w:rsid w:val="00C24223"/>
    <w:rsid w:val="00C250E0"/>
    <w:rsid w:val="00C25E11"/>
    <w:rsid w:val="00C30924"/>
    <w:rsid w:val="00C310A8"/>
    <w:rsid w:val="00C325B0"/>
    <w:rsid w:val="00C3312F"/>
    <w:rsid w:val="00C335B4"/>
    <w:rsid w:val="00C33D60"/>
    <w:rsid w:val="00C34BF0"/>
    <w:rsid w:val="00C361D6"/>
    <w:rsid w:val="00C3692E"/>
    <w:rsid w:val="00C36DD3"/>
    <w:rsid w:val="00C3750C"/>
    <w:rsid w:val="00C3797E"/>
    <w:rsid w:val="00C4025F"/>
    <w:rsid w:val="00C40829"/>
    <w:rsid w:val="00C41653"/>
    <w:rsid w:val="00C41848"/>
    <w:rsid w:val="00C4255F"/>
    <w:rsid w:val="00C43D20"/>
    <w:rsid w:val="00C4463A"/>
    <w:rsid w:val="00C44BEB"/>
    <w:rsid w:val="00C44F3C"/>
    <w:rsid w:val="00C45A7A"/>
    <w:rsid w:val="00C46EF1"/>
    <w:rsid w:val="00C47ADF"/>
    <w:rsid w:val="00C501F3"/>
    <w:rsid w:val="00C51034"/>
    <w:rsid w:val="00C5267F"/>
    <w:rsid w:val="00C52F0D"/>
    <w:rsid w:val="00C54714"/>
    <w:rsid w:val="00C56301"/>
    <w:rsid w:val="00C57A72"/>
    <w:rsid w:val="00C57EFA"/>
    <w:rsid w:val="00C60590"/>
    <w:rsid w:val="00C6082A"/>
    <w:rsid w:val="00C60A16"/>
    <w:rsid w:val="00C61830"/>
    <w:rsid w:val="00C61DFE"/>
    <w:rsid w:val="00C6430C"/>
    <w:rsid w:val="00C67353"/>
    <w:rsid w:val="00C67CB6"/>
    <w:rsid w:val="00C70E0E"/>
    <w:rsid w:val="00C70E16"/>
    <w:rsid w:val="00C70EE6"/>
    <w:rsid w:val="00C715CE"/>
    <w:rsid w:val="00C71AAF"/>
    <w:rsid w:val="00C72706"/>
    <w:rsid w:val="00C729B5"/>
    <w:rsid w:val="00C72DF2"/>
    <w:rsid w:val="00C73282"/>
    <w:rsid w:val="00C76EFC"/>
    <w:rsid w:val="00C7710A"/>
    <w:rsid w:val="00C7717C"/>
    <w:rsid w:val="00C80247"/>
    <w:rsid w:val="00C81260"/>
    <w:rsid w:val="00C818E2"/>
    <w:rsid w:val="00C81E93"/>
    <w:rsid w:val="00C82745"/>
    <w:rsid w:val="00C8298C"/>
    <w:rsid w:val="00C82A08"/>
    <w:rsid w:val="00C83DAD"/>
    <w:rsid w:val="00C841F3"/>
    <w:rsid w:val="00C84F87"/>
    <w:rsid w:val="00C8625A"/>
    <w:rsid w:val="00C86874"/>
    <w:rsid w:val="00C86B43"/>
    <w:rsid w:val="00C8787D"/>
    <w:rsid w:val="00C87E3A"/>
    <w:rsid w:val="00C922E3"/>
    <w:rsid w:val="00C93B18"/>
    <w:rsid w:val="00C95307"/>
    <w:rsid w:val="00C96C4A"/>
    <w:rsid w:val="00C97121"/>
    <w:rsid w:val="00C97A7B"/>
    <w:rsid w:val="00C97EB8"/>
    <w:rsid w:val="00CA09CE"/>
    <w:rsid w:val="00CA10C3"/>
    <w:rsid w:val="00CA1573"/>
    <w:rsid w:val="00CA1EA4"/>
    <w:rsid w:val="00CA2AA9"/>
    <w:rsid w:val="00CA5451"/>
    <w:rsid w:val="00CA5887"/>
    <w:rsid w:val="00CA62FE"/>
    <w:rsid w:val="00CA6417"/>
    <w:rsid w:val="00CA742E"/>
    <w:rsid w:val="00CA7847"/>
    <w:rsid w:val="00CA7F50"/>
    <w:rsid w:val="00CB0124"/>
    <w:rsid w:val="00CB0E07"/>
    <w:rsid w:val="00CB3E01"/>
    <w:rsid w:val="00CB4646"/>
    <w:rsid w:val="00CB4A73"/>
    <w:rsid w:val="00CB637B"/>
    <w:rsid w:val="00CB717A"/>
    <w:rsid w:val="00CC07A7"/>
    <w:rsid w:val="00CC339F"/>
    <w:rsid w:val="00CC3484"/>
    <w:rsid w:val="00CC3797"/>
    <w:rsid w:val="00CC3AA3"/>
    <w:rsid w:val="00CC3CDC"/>
    <w:rsid w:val="00CC49F4"/>
    <w:rsid w:val="00CC5E71"/>
    <w:rsid w:val="00CC5F80"/>
    <w:rsid w:val="00CC63D1"/>
    <w:rsid w:val="00CD05D7"/>
    <w:rsid w:val="00CD12C2"/>
    <w:rsid w:val="00CD1CAA"/>
    <w:rsid w:val="00CD1EFB"/>
    <w:rsid w:val="00CD3D2E"/>
    <w:rsid w:val="00CD44A4"/>
    <w:rsid w:val="00CD4A5B"/>
    <w:rsid w:val="00CD598E"/>
    <w:rsid w:val="00CE08D7"/>
    <w:rsid w:val="00CE3E80"/>
    <w:rsid w:val="00CF09BA"/>
    <w:rsid w:val="00CF1889"/>
    <w:rsid w:val="00CF2501"/>
    <w:rsid w:val="00CF3071"/>
    <w:rsid w:val="00CF36E8"/>
    <w:rsid w:val="00CF6780"/>
    <w:rsid w:val="00CF709A"/>
    <w:rsid w:val="00CF7C80"/>
    <w:rsid w:val="00CF7F4B"/>
    <w:rsid w:val="00D006A9"/>
    <w:rsid w:val="00D01291"/>
    <w:rsid w:val="00D01AED"/>
    <w:rsid w:val="00D030B1"/>
    <w:rsid w:val="00D0453C"/>
    <w:rsid w:val="00D0502B"/>
    <w:rsid w:val="00D06BBD"/>
    <w:rsid w:val="00D07356"/>
    <w:rsid w:val="00D101EE"/>
    <w:rsid w:val="00D11141"/>
    <w:rsid w:val="00D13DD3"/>
    <w:rsid w:val="00D146EE"/>
    <w:rsid w:val="00D14FA2"/>
    <w:rsid w:val="00D15AEA"/>
    <w:rsid w:val="00D16EF9"/>
    <w:rsid w:val="00D17352"/>
    <w:rsid w:val="00D20E1B"/>
    <w:rsid w:val="00D22421"/>
    <w:rsid w:val="00D23D10"/>
    <w:rsid w:val="00D23D98"/>
    <w:rsid w:val="00D2472C"/>
    <w:rsid w:val="00D25D87"/>
    <w:rsid w:val="00D26242"/>
    <w:rsid w:val="00D266B6"/>
    <w:rsid w:val="00D271AD"/>
    <w:rsid w:val="00D3152F"/>
    <w:rsid w:val="00D32154"/>
    <w:rsid w:val="00D36ED0"/>
    <w:rsid w:val="00D3759B"/>
    <w:rsid w:val="00D4159D"/>
    <w:rsid w:val="00D419BC"/>
    <w:rsid w:val="00D4297F"/>
    <w:rsid w:val="00D4331E"/>
    <w:rsid w:val="00D45B62"/>
    <w:rsid w:val="00D46DFD"/>
    <w:rsid w:val="00D52E95"/>
    <w:rsid w:val="00D5574F"/>
    <w:rsid w:val="00D57417"/>
    <w:rsid w:val="00D57DD1"/>
    <w:rsid w:val="00D60AA9"/>
    <w:rsid w:val="00D620C3"/>
    <w:rsid w:val="00D62559"/>
    <w:rsid w:val="00D6422C"/>
    <w:rsid w:val="00D66A66"/>
    <w:rsid w:val="00D66DFE"/>
    <w:rsid w:val="00D6777A"/>
    <w:rsid w:val="00D7250B"/>
    <w:rsid w:val="00D7543F"/>
    <w:rsid w:val="00D77458"/>
    <w:rsid w:val="00D77FDC"/>
    <w:rsid w:val="00D8048E"/>
    <w:rsid w:val="00D826F5"/>
    <w:rsid w:val="00D828DD"/>
    <w:rsid w:val="00D83B16"/>
    <w:rsid w:val="00D8441B"/>
    <w:rsid w:val="00D865B5"/>
    <w:rsid w:val="00D867ED"/>
    <w:rsid w:val="00D9061A"/>
    <w:rsid w:val="00D90E26"/>
    <w:rsid w:val="00D91394"/>
    <w:rsid w:val="00D91662"/>
    <w:rsid w:val="00D91B3F"/>
    <w:rsid w:val="00D9652E"/>
    <w:rsid w:val="00D9657A"/>
    <w:rsid w:val="00D96ABD"/>
    <w:rsid w:val="00D973CF"/>
    <w:rsid w:val="00D97F28"/>
    <w:rsid w:val="00DA0AC0"/>
    <w:rsid w:val="00DA3BA0"/>
    <w:rsid w:val="00DA5D49"/>
    <w:rsid w:val="00DA7C7D"/>
    <w:rsid w:val="00DB25FC"/>
    <w:rsid w:val="00DB2C39"/>
    <w:rsid w:val="00DB40C1"/>
    <w:rsid w:val="00DB4718"/>
    <w:rsid w:val="00DB4BA5"/>
    <w:rsid w:val="00DB5BC4"/>
    <w:rsid w:val="00DB5D9A"/>
    <w:rsid w:val="00DB60DA"/>
    <w:rsid w:val="00DB6869"/>
    <w:rsid w:val="00DB6905"/>
    <w:rsid w:val="00DB6E93"/>
    <w:rsid w:val="00DC12AA"/>
    <w:rsid w:val="00DC1DA3"/>
    <w:rsid w:val="00DC2A38"/>
    <w:rsid w:val="00DC3D46"/>
    <w:rsid w:val="00DC41B0"/>
    <w:rsid w:val="00DC46D2"/>
    <w:rsid w:val="00DD04E3"/>
    <w:rsid w:val="00DD29E2"/>
    <w:rsid w:val="00DD5FAD"/>
    <w:rsid w:val="00DD65A9"/>
    <w:rsid w:val="00DE0091"/>
    <w:rsid w:val="00DE14CC"/>
    <w:rsid w:val="00DE28D1"/>
    <w:rsid w:val="00DE49DA"/>
    <w:rsid w:val="00DE64A0"/>
    <w:rsid w:val="00DE6618"/>
    <w:rsid w:val="00DE6662"/>
    <w:rsid w:val="00DE7624"/>
    <w:rsid w:val="00DF2462"/>
    <w:rsid w:val="00DF283C"/>
    <w:rsid w:val="00DF5F3B"/>
    <w:rsid w:val="00DF7C88"/>
    <w:rsid w:val="00E003B3"/>
    <w:rsid w:val="00E009A6"/>
    <w:rsid w:val="00E00D58"/>
    <w:rsid w:val="00E01E3E"/>
    <w:rsid w:val="00E0276E"/>
    <w:rsid w:val="00E03FD9"/>
    <w:rsid w:val="00E045FF"/>
    <w:rsid w:val="00E04B0C"/>
    <w:rsid w:val="00E051E1"/>
    <w:rsid w:val="00E05DF5"/>
    <w:rsid w:val="00E068CF"/>
    <w:rsid w:val="00E07D1D"/>
    <w:rsid w:val="00E11063"/>
    <w:rsid w:val="00E11832"/>
    <w:rsid w:val="00E11A8B"/>
    <w:rsid w:val="00E12735"/>
    <w:rsid w:val="00E1292D"/>
    <w:rsid w:val="00E13DA1"/>
    <w:rsid w:val="00E1404F"/>
    <w:rsid w:val="00E15466"/>
    <w:rsid w:val="00E15A67"/>
    <w:rsid w:val="00E15D03"/>
    <w:rsid w:val="00E15E9B"/>
    <w:rsid w:val="00E164C8"/>
    <w:rsid w:val="00E20596"/>
    <w:rsid w:val="00E20F03"/>
    <w:rsid w:val="00E21C02"/>
    <w:rsid w:val="00E2223A"/>
    <w:rsid w:val="00E2240E"/>
    <w:rsid w:val="00E22FF7"/>
    <w:rsid w:val="00E24BDD"/>
    <w:rsid w:val="00E25ED6"/>
    <w:rsid w:val="00E27C90"/>
    <w:rsid w:val="00E311EA"/>
    <w:rsid w:val="00E31A44"/>
    <w:rsid w:val="00E323CC"/>
    <w:rsid w:val="00E33263"/>
    <w:rsid w:val="00E339BD"/>
    <w:rsid w:val="00E36221"/>
    <w:rsid w:val="00E36C2D"/>
    <w:rsid w:val="00E36E5E"/>
    <w:rsid w:val="00E3716E"/>
    <w:rsid w:val="00E435DF"/>
    <w:rsid w:val="00E44AC4"/>
    <w:rsid w:val="00E45B67"/>
    <w:rsid w:val="00E45B90"/>
    <w:rsid w:val="00E46350"/>
    <w:rsid w:val="00E464A8"/>
    <w:rsid w:val="00E46CF8"/>
    <w:rsid w:val="00E51D96"/>
    <w:rsid w:val="00E5221C"/>
    <w:rsid w:val="00E52988"/>
    <w:rsid w:val="00E53440"/>
    <w:rsid w:val="00E555D4"/>
    <w:rsid w:val="00E57A61"/>
    <w:rsid w:val="00E60212"/>
    <w:rsid w:val="00E607D4"/>
    <w:rsid w:val="00E63531"/>
    <w:rsid w:val="00E63ACE"/>
    <w:rsid w:val="00E63E7E"/>
    <w:rsid w:val="00E64CA9"/>
    <w:rsid w:val="00E64D64"/>
    <w:rsid w:val="00E661FE"/>
    <w:rsid w:val="00E675A3"/>
    <w:rsid w:val="00E70BD0"/>
    <w:rsid w:val="00E72D96"/>
    <w:rsid w:val="00E73649"/>
    <w:rsid w:val="00E741E9"/>
    <w:rsid w:val="00E75001"/>
    <w:rsid w:val="00E75CFF"/>
    <w:rsid w:val="00E768E6"/>
    <w:rsid w:val="00E80200"/>
    <w:rsid w:val="00E85BFA"/>
    <w:rsid w:val="00E91053"/>
    <w:rsid w:val="00E914F8"/>
    <w:rsid w:val="00E91AF2"/>
    <w:rsid w:val="00E93BED"/>
    <w:rsid w:val="00E95015"/>
    <w:rsid w:val="00E952BF"/>
    <w:rsid w:val="00E969E4"/>
    <w:rsid w:val="00EA038E"/>
    <w:rsid w:val="00EA1754"/>
    <w:rsid w:val="00EA2405"/>
    <w:rsid w:val="00EA2C55"/>
    <w:rsid w:val="00EA3C36"/>
    <w:rsid w:val="00EA4643"/>
    <w:rsid w:val="00EA7381"/>
    <w:rsid w:val="00EB1668"/>
    <w:rsid w:val="00EB47AF"/>
    <w:rsid w:val="00EB6902"/>
    <w:rsid w:val="00EB73EC"/>
    <w:rsid w:val="00EC0772"/>
    <w:rsid w:val="00EC2374"/>
    <w:rsid w:val="00EC3575"/>
    <w:rsid w:val="00EC6B0B"/>
    <w:rsid w:val="00EC7A06"/>
    <w:rsid w:val="00ED07B0"/>
    <w:rsid w:val="00ED0BBA"/>
    <w:rsid w:val="00ED2557"/>
    <w:rsid w:val="00ED2572"/>
    <w:rsid w:val="00ED287C"/>
    <w:rsid w:val="00ED4EFE"/>
    <w:rsid w:val="00ED5A6B"/>
    <w:rsid w:val="00ED6C07"/>
    <w:rsid w:val="00ED7648"/>
    <w:rsid w:val="00EE021F"/>
    <w:rsid w:val="00EE0839"/>
    <w:rsid w:val="00EE2357"/>
    <w:rsid w:val="00EE2AB1"/>
    <w:rsid w:val="00EE2C6F"/>
    <w:rsid w:val="00EE3B35"/>
    <w:rsid w:val="00EE578B"/>
    <w:rsid w:val="00EE5A71"/>
    <w:rsid w:val="00EE6A51"/>
    <w:rsid w:val="00EE726E"/>
    <w:rsid w:val="00EE7636"/>
    <w:rsid w:val="00EE783F"/>
    <w:rsid w:val="00EF08AE"/>
    <w:rsid w:val="00EF267F"/>
    <w:rsid w:val="00EF2F44"/>
    <w:rsid w:val="00EF4326"/>
    <w:rsid w:val="00EF4ED8"/>
    <w:rsid w:val="00F0101B"/>
    <w:rsid w:val="00F01CF8"/>
    <w:rsid w:val="00F022E1"/>
    <w:rsid w:val="00F03C88"/>
    <w:rsid w:val="00F046DE"/>
    <w:rsid w:val="00F04A7A"/>
    <w:rsid w:val="00F04EA8"/>
    <w:rsid w:val="00F05A62"/>
    <w:rsid w:val="00F0788A"/>
    <w:rsid w:val="00F07A80"/>
    <w:rsid w:val="00F1073F"/>
    <w:rsid w:val="00F1094E"/>
    <w:rsid w:val="00F10E7C"/>
    <w:rsid w:val="00F112A7"/>
    <w:rsid w:val="00F12183"/>
    <w:rsid w:val="00F13646"/>
    <w:rsid w:val="00F13D83"/>
    <w:rsid w:val="00F1439B"/>
    <w:rsid w:val="00F14BD2"/>
    <w:rsid w:val="00F162A5"/>
    <w:rsid w:val="00F16396"/>
    <w:rsid w:val="00F1758D"/>
    <w:rsid w:val="00F1782D"/>
    <w:rsid w:val="00F17BA1"/>
    <w:rsid w:val="00F20068"/>
    <w:rsid w:val="00F20350"/>
    <w:rsid w:val="00F2369F"/>
    <w:rsid w:val="00F264C4"/>
    <w:rsid w:val="00F30B78"/>
    <w:rsid w:val="00F30DF8"/>
    <w:rsid w:val="00F30E89"/>
    <w:rsid w:val="00F31B0F"/>
    <w:rsid w:val="00F324EC"/>
    <w:rsid w:val="00F337C6"/>
    <w:rsid w:val="00F3481E"/>
    <w:rsid w:val="00F360CF"/>
    <w:rsid w:val="00F42B25"/>
    <w:rsid w:val="00F44C7B"/>
    <w:rsid w:val="00F44FF0"/>
    <w:rsid w:val="00F453D2"/>
    <w:rsid w:val="00F47C71"/>
    <w:rsid w:val="00F50E3E"/>
    <w:rsid w:val="00F51E6D"/>
    <w:rsid w:val="00F52444"/>
    <w:rsid w:val="00F53D2B"/>
    <w:rsid w:val="00F54166"/>
    <w:rsid w:val="00F54384"/>
    <w:rsid w:val="00F54B85"/>
    <w:rsid w:val="00F55714"/>
    <w:rsid w:val="00F56987"/>
    <w:rsid w:val="00F57C49"/>
    <w:rsid w:val="00F6075E"/>
    <w:rsid w:val="00F6138C"/>
    <w:rsid w:val="00F62C04"/>
    <w:rsid w:val="00F64607"/>
    <w:rsid w:val="00F65463"/>
    <w:rsid w:val="00F71482"/>
    <w:rsid w:val="00F74727"/>
    <w:rsid w:val="00F74D91"/>
    <w:rsid w:val="00F7597F"/>
    <w:rsid w:val="00F765E5"/>
    <w:rsid w:val="00F80469"/>
    <w:rsid w:val="00F806F9"/>
    <w:rsid w:val="00F813BD"/>
    <w:rsid w:val="00F815D0"/>
    <w:rsid w:val="00F8231B"/>
    <w:rsid w:val="00F83D01"/>
    <w:rsid w:val="00F83D76"/>
    <w:rsid w:val="00F846DB"/>
    <w:rsid w:val="00F84709"/>
    <w:rsid w:val="00F8729E"/>
    <w:rsid w:val="00F879A8"/>
    <w:rsid w:val="00F87CBF"/>
    <w:rsid w:val="00F87E4C"/>
    <w:rsid w:val="00F90054"/>
    <w:rsid w:val="00F909CB"/>
    <w:rsid w:val="00F91647"/>
    <w:rsid w:val="00F91676"/>
    <w:rsid w:val="00F919CC"/>
    <w:rsid w:val="00F919E3"/>
    <w:rsid w:val="00F92FB7"/>
    <w:rsid w:val="00F94BE7"/>
    <w:rsid w:val="00F94CC4"/>
    <w:rsid w:val="00FA06B8"/>
    <w:rsid w:val="00FA16BC"/>
    <w:rsid w:val="00FA18A4"/>
    <w:rsid w:val="00FA19C9"/>
    <w:rsid w:val="00FA1B2C"/>
    <w:rsid w:val="00FA23E7"/>
    <w:rsid w:val="00FA2F37"/>
    <w:rsid w:val="00FA41CD"/>
    <w:rsid w:val="00FA5AA7"/>
    <w:rsid w:val="00FA7356"/>
    <w:rsid w:val="00FB1414"/>
    <w:rsid w:val="00FB20FF"/>
    <w:rsid w:val="00FB217A"/>
    <w:rsid w:val="00FB4273"/>
    <w:rsid w:val="00FB49FB"/>
    <w:rsid w:val="00FB745E"/>
    <w:rsid w:val="00FB7E47"/>
    <w:rsid w:val="00FC0086"/>
    <w:rsid w:val="00FC0B14"/>
    <w:rsid w:val="00FC1FE1"/>
    <w:rsid w:val="00FC2A4A"/>
    <w:rsid w:val="00FC3C8B"/>
    <w:rsid w:val="00FC49E7"/>
    <w:rsid w:val="00FC527A"/>
    <w:rsid w:val="00FC665B"/>
    <w:rsid w:val="00FC712C"/>
    <w:rsid w:val="00FD05B0"/>
    <w:rsid w:val="00FD0B48"/>
    <w:rsid w:val="00FD1DD4"/>
    <w:rsid w:val="00FD21B4"/>
    <w:rsid w:val="00FD2E82"/>
    <w:rsid w:val="00FD3502"/>
    <w:rsid w:val="00FD37D1"/>
    <w:rsid w:val="00FD4324"/>
    <w:rsid w:val="00FD49A6"/>
    <w:rsid w:val="00FD6810"/>
    <w:rsid w:val="00FD6869"/>
    <w:rsid w:val="00FD7BE3"/>
    <w:rsid w:val="00FD7DCE"/>
    <w:rsid w:val="00FD7DFA"/>
    <w:rsid w:val="00FE198F"/>
    <w:rsid w:val="00FE3E12"/>
    <w:rsid w:val="00FE4CFE"/>
    <w:rsid w:val="00FE4E64"/>
    <w:rsid w:val="00FE6D1E"/>
    <w:rsid w:val="00FE752B"/>
    <w:rsid w:val="00FF147B"/>
    <w:rsid w:val="00FF1677"/>
    <w:rsid w:val="00FF1CD7"/>
    <w:rsid w:val="00FF1E9D"/>
    <w:rsid w:val="00FF2AA8"/>
    <w:rsid w:val="00FF44C9"/>
    <w:rsid w:val="00FF4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sv-SE"/>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qFormat="1"/>
    <w:lsdException w:name="footer"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70A"/>
    <w:pPr>
      <w:spacing w:line="288" w:lineRule="auto"/>
      <w:jc w:val="both"/>
    </w:pPr>
    <w:rPr>
      <w:sz w:val="22"/>
      <w:szCs w:val="22"/>
    </w:rPr>
  </w:style>
  <w:style w:type="paragraph" w:styleId="Heading1">
    <w:name w:val="heading 1"/>
    <w:basedOn w:val="Normal"/>
    <w:next w:val="Normal"/>
    <w:link w:val="Heading1Char"/>
    <w:qFormat/>
    <w:rsid w:val="005F370A"/>
    <w:pPr>
      <w:numPr>
        <w:numId w:val="1"/>
      </w:numPr>
      <w:ind w:left="720" w:hanging="720"/>
      <w:outlineLvl w:val="0"/>
    </w:pPr>
    <w:rPr>
      <w:kern w:val="28"/>
    </w:rPr>
  </w:style>
  <w:style w:type="paragraph" w:styleId="Heading2">
    <w:name w:val="heading 2"/>
    <w:basedOn w:val="Normal"/>
    <w:next w:val="Normal"/>
    <w:link w:val="Heading2Char"/>
    <w:qFormat/>
    <w:rsid w:val="005F370A"/>
    <w:pPr>
      <w:numPr>
        <w:ilvl w:val="1"/>
        <w:numId w:val="1"/>
      </w:numPr>
      <w:ind w:left="720" w:hanging="720"/>
      <w:outlineLvl w:val="1"/>
    </w:pPr>
  </w:style>
  <w:style w:type="paragraph" w:styleId="Heading3">
    <w:name w:val="heading 3"/>
    <w:basedOn w:val="Normal"/>
    <w:next w:val="Normal"/>
    <w:qFormat/>
    <w:rsid w:val="005F370A"/>
    <w:pPr>
      <w:numPr>
        <w:ilvl w:val="2"/>
        <w:numId w:val="1"/>
      </w:numPr>
      <w:ind w:left="720" w:hanging="720"/>
      <w:outlineLvl w:val="2"/>
    </w:pPr>
  </w:style>
  <w:style w:type="paragraph" w:styleId="Heading4">
    <w:name w:val="heading 4"/>
    <w:basedOn w:val="Normal"/>
    <w:next w:val="Normal"/>
    <w:qFormat/>
    <w:rsid w:val="005F370A"/>
    <w:pPr>
      <w:numPr>
        <w:ilvl w:val="3"/>
        <w:numId w:val="1"/>
      </w:numPr>
      <w:ind w:left="720" w:hanging="720"/>
      <w:outlineLvl w:val="3"/>
    </w:pPr>
  </w:style>
  <w:style w:type="paragraph" w:styleId="Heading5">
    <w:name w:val="heading 5"/>
    <w:basedOn w:val="Normal"/>
    <w:next w:val="Normal"/>
    <w:qFormat/>
    <w:rsid w:val="005F370A"/>
    <w:pPr>
      <w:numPr>
        <w:ilvl w:val="4"/>
        <w:numId w:val="1"/>
      </w:numPr>
      <w:ind w:left="720" w:hanging="720"/>
      <w:outlineLvl w:val="4"/>
    </w:pPr>
  </w:style>
  <w:style w:type="paragraph" w:styleId="Heading6">
    <w:name w:val="heading 6"/>
    <w:basedOn w:val="Normal"/>
    <w:next w:val="Normal"/>
    <w:qFormat/>
    <w:rsid w:val="005F370A"/>
    <w:pPr>
      <w:numPr>
        <w:ilvl w:val="5"/>
        <w:numId w:val="1"/>
      </w:numPr>
      <w:ind w:left="720" w:hanging="720"/>
      <w:outlineLvl w:val="5"/>
    </w:pPr>
  </w:style>
  <w:style w:type="paragraph" w:styleId="Heading7">
    <w:name w:val="heading 7"/>
    <w:basedOn w:val="Normal"/>
    <w:next w:val="Normal"/>
    <w:qFormat/>
    <w:rsid w:val="005F370A"/>
    <w:pPr>
      <w:numPr>
        <w:ilvl w:val="6"/>
        <w:numId w:val="1"/>
      </w:numPr>
      <w:ind w:left="720" w:hanging="720"/>
      <w:outlineLvl w:val="6"/>
    </w:pPr>
  </w:style>
  <w:style w:type="paragraph" w:styleId="Heading8">
    <w:name w:val="heading 8"/>
    <w:basedOn w:val="Normal"/>
    <w:next w:val="Normal"/>
    <w:qFormat/>
    <w:rsid w:val="005F370A"/>
    <w:pPr>
      <w:numPr>
        <w:ilvl w:val="7"/>
        <w:numId w:val="1"/>
      </w:numPr>
      <w:ind w:left="720" w:hanging="720"/>
      <w:outlineLvl w:val="7"/>
    </w:pPr>
  </w:style>
  <w:style w:type="paragraph" w:styleId="Heading9">
    <w:name w:val="heading 9"/>
    <w:basedOn w:val="Normal"/>
    <w:next w:val="Normal"/>
    <w:qFormat/>
    <w:rsid w:val="005F370A"/>
    <w:pPr>
      <w:numPr>
        <w:ilvl w:val="8"/>
        <w:numId w:val="1"/>
      </w:numPr>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59F1"/>
    <w:rPr>
      <w:kern w:val="28"/>
      <w:sz w:val="22"/>
      <w:szCs w:val="22"/>
      <w:lang w:val="sv-SE" w:eastAsia="sv-SE"/>
    </w:rPr>
  </w:style>
  <w:style w:type="character" w:customStyle="1" w:styleId="Heading2Char">
    <w:name w:val="Heading 2 Char"/>
    <w:link w:val="Heading2"/>
    <w:rsid w:val="000959F1"/>
    <w:rPr>
      <w:sz w:val="22"/>
      <w:szCs w:val="22"/>
      <w:lang w:val="sv-SE" w:eastAsia="sv-SE"/>
    </w:rPr>
  </w:style>
  <w:style w:type="paragraph" w:styleId="Footer">
    <w:name w:val="footer"/>
    <w:basedOn w:val="Normal"/>
    <w:qFormat/>
    <w:rsid w:val="005F370A"/>
  </w:style>
  <w:style w:type="paragraph" w:styleId="FootnoteText">
    <w:name w:val="footnote text"/>
    <w:basedOn w:val="Normal"/>
    <w:link w:val="FootnoteTextChar"/>
    <w:qFormat/>
    <w:rsid w:val="005F370A"/>
    <w:pPr>
      <w:keepLines/>
      <w:spacing w:after="60" w:line="240" w:lineRule="auto"/>
      <w:ind w:left="720" w:hanging="720"/>
    </w:pPr>
    <w:rPr>
      <w:sz w:val="16"/>
    </w:rPr>
  </w:style>
  <w:style w:type="character" w:customStyle="1" w:styleId="FootnoteTextChar">
    <w:name w:val="Footnote Text Char"/>
    <w:link w:val="FootnoteText"/>
    <w:rsid w:val="007F4114"/>
    <w:rPr>
      <w:sz w:val="16"/>
      <w:szCs w:val="22"/>
      <w:lang w:val="sv-SE" w:eastAsia="sv-SE"/>
    </w:rPr>
  </w:style>
  <w:style w:type="paragraph" w:styleId="Header">
    <w:name w:val="header"/>
    <w:basedOn w:val="Normal"/>
    <w:qFormat/>
    <w:rsid w:val="005F370A"/>
  </w:style>
  <w:style w:type="character" w:styleId="FootnoteReference">
    <w:name w:val="footnote reference"/>
    <w:basedOn w:val="DefaultParagraphFont"/>
    <w:unhideWhenUsed/>
    <w:qFormat/>
    <w:rsid w:val="005F370A"/>
    <w:rPr>
      <w:sz w:val="24"/>
      <w:vertAlign w:val="superscript"/>
    </w:rPr>
  </w:style>
  <w:style w:type="character" w:styleId="Hyperlink">
    <w:name w:val="Hyperlink"/>
    <w:uiPriority w:val="99"/>
    <w:unhideWhenUsed/>
    <w:rsid w:val="00501A48"/>
    <w:rPr>
      <w:color w:val="0000FF"/>
      <w:u w:val="single"/>
    </w:rPr>
  </w:style>
  <w:style w:type="paragraph" w:styleId="ListParagraph">
    <w:name w:val="List Paragraph"/>
    <w:basedOn w:val="Normal"/>
    <w:link w:val="ListParagraphChar"/>
    <w:uiPriority w:val="34"/>
    <w:qFormat/>
    <w:rsid w:val="00802B9C"/>
    <w:pPr>
      <w:numPr>
        <w:numId w:val="2"/>
      </w:numPr>
      <w:contextualSpacing/>
      <w:jc w:val="left"/>
    </w:pPr>
    <w:rPr>
      <w:sz w:val="18"/>
    </w:rPr>
  </w:style>
  <w:style w:type="character" w:customStyle="1" w:styleId="ListParagraphChar">
    <w:name w:val="List Paragraph Char"/>
    <w:link w:val="ListParagraph"/>
    <w:uiPriority w:val="34"/>
    <w:rsid w:val="00296BB5"/>
    <w:rPr>
      <w:sz w:val="18"/>
      <w:szCs w:val="22"/>
      <w:lang w:val="sv-SE" w:eastAsia="sv-SE"/>
    </w:rPr>
  </w:style>
  <w:style w:type="table" w:styleId="TableGrid">
    <w:name w:val="Table Grid"/>
    <w:basedOn w:val="TableNormal"/>
    <w:rsid w:val="00482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44027"/>
    <w:rPr>
      <w:rFonts w:ascii="Segoe UI" w:hAnsi="Segoe UI" w:cs="Segoe UI"/>
      <w:szCs w:val="18"/>
    </w:rPr>
  </w:style>
  <w:style w:type="character" w:styleId="FollowedHyperlink">
    <w:name w:val="FollowedHyperlink"/>
    <w:semiHidden/>
    <w:unhideWhenUsed/>
    <w:rsid w:val="0035732E"/>
    <w:rPr>
      <w:color w:val="800080"/>
      <w:u w:val="single"/>
    </w:rPr>
  </w:style>
  <w:style w:type="paragraph" w:customStyle="1" w:styleId="quotes">
    <w:name w:val="quotes"/>
    <w:basedOn w:val="Normal"/>
    <w:next w:val="Normal"/>
    <w:rsid w:val="005F370A"/>
    <w:pPr>
      <w:ind w:left="720"/>
    </w:pPr>
    <w:rPr>
      <w:i/>
    </w:rPr>
  </w:style>
  <w:style w:type="paragraph" w:styleId="BalloonText">
    <w:name w:val="Balloon Text"/>
    <w:basedOn w:val="Normal"/>
    <w:link w:val="BalloonTextChar"/>
    <w:semiHidden/>
    <w:unhideWhenUsed/>
    <w:rsid w:val="006F39A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F39AC"/>
    <w:rPr>
      <w:rFonts w:ascii="Tahoma" w:hAnsi="Tahoma" w:cs="Tahoma"/>
      <w:sz w:val="16"/>
      <w:szCs w:val="16"/>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sv-SE"/>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qFormat="1"/>
    <w:lsdException w:name="footer"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70A"/>
    <w:pPr>
      <w:spacing w:line="288" w:lineRule="auto"/>
      <w:jc w:val="both"/>
    </w:pPr>
    <w:rPr>
      <w:sz w:val="22"/>
      <w:szCs w:val="22"/>
    </w:rPr>
  </w:style>
  <w:style w:type="paragraph" w:styleId="Heading1">
    <w:name w:val="heading 1"/>
    <w:basedOn w:val="Normal"/>
    <w:next w:val="Normal"/>
    <w:link w:val="Heading1Char"/>
    <w:qFormat/>
    <w:rsid w:val="005F370A"/>
    <w:pPr>
      <w:numPr>
        <w:numId w:val="1"/>
      </w:numPr>
      <w:ind w:left="720" w:hanging="720"/>
      <w:outlineLvl w:val="0"/>
    </w:pPr>
    <w:rPr>
      <w:kern w:val="28"/>
    </w:rPr>
  </w:style>
  <w:style w:type="paragraph" w:styleId="Heading2">
    <w:name w:val="heading 2"/>
    <w:basedOn w:val="Normal"/>
    <w:next w:val="Normal"/>
    <w:link w:val="Heading2Char"/>
    <w:qFormat/>
    <w:rsid w:val="005F370A"/>
    <w:pPr>
      <w:numPr>
        <w:ilvl w:val="1"/>
        <w:numId w:val="1"/>
      </w:numPr>
      <w:ind w:left="720" w:hanging="720"/>
      <w:outlineLvl w:val="1"/>
    </w:pPr>
  </w:style>
  <w:style w:type="paragraph" w:styleId="Heading3">
    <w:name w:val="heading 3"/>
    <w:basedOn w:val="Normal"/>
    <w:next w:val="Normal"/>
    <w:qFormat/>
    <w:rsid w:val="005F370A"/>
    <w:pPr>
      <w:numPr>
        <w:ilvl w:val="2"/>
        <w:numId w:val="1"/>
      </w:numPr>
      <w:ind w:left="720" w:hanging="720"/>
      <w:outlineLvl w:val="2"/>
    </w:pPr>
  </w:style>
  <w:style w:type="paragraph" w:styleId="Heading4">
    <w:name w:val="heading 4"/>
    <w:basedOn w:val="Normal"/>
    <w:next w:val="Normal"/>
    <w:qFormat/>
    <w:rsid w:val="005F370A"/>
    <w:pPr>
      <w:numPr>
        <w:ilvl w:val="3"/>
        <w:numId w:val="1"/>
      </w:numPr>
      <w:ind w:left="720" w:hanging="720"/>
      <w:outlineLvl w:val="3"/>
    </w:pPr>
  </w:style>
  <w:style w:type="paragraph" w:styleId="Heading5">
    <w:name w:val="heading 5"/>
    <w:basedOn w:val="Normal"/>
    <w:next w:val="Normal"/>
    <w:qFormat/>
    <w:rsid w:val="005F370A"/>
    <w:pPr>
      <w:numPr>
        <w:ilvl w:val="4"/>
        <w:numId w:val="1"/>
      </w:numPr>
      <w:ind w:left="720" w:hanging="720"/>
      <w:outlineLvl w:val="4"/>
    </w:pPr>
  </w:style>
  <w:style w:type="paragraph" w:styleId="Heading6">
    <w:name w:val="heading 6"/>
    <w:basedOn w:val="Normal"/>
    <w:next w:val="Normal"/>
    <w:qFormat/>
    <w:rsid w:val="005F370A"/>
    <w:pPr>
      <w:numPr>
        <w:ilvl w:val="5"/>
        <w:numId w:val="1"/>
      </w:numPr>
      <w:ind w:left="720" w:hanging="720"/>
      <w:outlineLvl w:val="5"/>
    </w:pPr>
  </w:style>
  <w:style w:type="paragraph" w:styleId="Heading7">
    <w:name w:val="heading 7"/>
    <w:basedOn w:val="Normal"/>
    <w:next w:val="Normal"/>
    <w:qFormat/>
    <w:rsid w:val="005F370A"/>
    <w:pPr>
      <w:numPr>
        <w:ilvl w:val="6"/>
        <w:numId w:val="1"/>
      </w:numPr>
      <w:ind w:left="720" w:hanging="720"/>
      <w:outlineLvl w:val="6"/>
    </w:pPr>
  </w:style>
  <w:style w:type="paragraph" w:styleId="Heading8">
    <w:name w:val="heading 8"/>
    <w:basedOn w:val="Normal"/>
    <w:next w:val="Normal"/>
    <w:qFormat/>
    <w:rsid w:val="005F370A"/>
    <w:pPr>
      <w:numPr>
        <w:ilvl w:val="7"/>
        <w:numId w:val="1"/>
      </w:numPr>
      <w:ind w:left="720" w:hanging="720"/>
      <w:outlineLvl w:val="7"/>
    </w:pPr>
  </w:style>
  <w:style w:type="paragraph" w:styleId="Heading9">
    <w:name w:val="heading 9"/>
    <w:basedOn w:val="Normal"/>
    <w:next w:val="Normal"/>
    <w:qFormat/>
    <w:rsid w:val="005F370A"/>
    <w:pPr>
      <w:numPr>
        <w:ilvl w:val="8"/>
        <w:numId w:val="1"/>
      </w:numPr>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59F1"/>
    <w:rPr>
      <w:kern w:val="28"/>
      <w:sz w:val="22"/>
      <w:szCs w:val="22"/>
      <w:lang w:val="sv-SE" w:eastAsia="sv-SE"/>
    </w:rPr>
  </w:style>
  <w:style w:type="character" w:customStyle="1" w:styleId="Heading2Char">
    <w:name w:val="Heading 2 Char"/>
    <w:link w:val="Heading2"/>
    <w:rsid w:val="000959F1"/>
    <w:rPr>
      <w:sz w:val="22"/>
      <w:szCs w:val="22"/>
      <w:lang w:val="sv-SE" w:eastAsia="sv-SE"/>
    </w:rPr>
  </w:style>
  <w:style w:type="paragraph" w:styleId="Footer">
    <w:name w:val="footer"/>
    <w:basedOn w:val="Normal"/>
    <w:qFormat/>
    <w:rsid w:val="005F370A"/>
  </w:style>
  <w:style w:type="paragraph" w:styleId="FootnoteText">
    <w:name w:val="footnote text"/>
    <w:basedOn w:val="Normal"/>
    <w:link w:val="FootnoteTextChar"/>
    <w:qFormat/>
    <w:rsid w:val="005F370A"/>
    <w:pPr>
      <w:keepLines/>
      <w:spacing w:after="60" w:line="240" w:lineRule="auto"/>
      <w:ind w:left="720" w:hanging="720"/>
    </w:pPr>
    <w:rPr>
      <w:sz w:val="16"/>
    </w:rPr>
  </w:style>
  <w:style w:type="character" w:customStyle="1" w:styleId="FootnoteTextChar">
    <w:name w:val="Footnote Text Char"/>
    <w:link w:val="FootnoteText"/>
    <w:rsid w:val="007F4114"/>
    <w:rPr>
      <w:sz w:val="16"/>
      <w:szCs w:val="22"/>
      <w:lang w:val="sv-SE" w:eastAsia="sv-SE"/>
    </w:rPr>
  </w:style>
  <w:style w:type="paragraph" w:styleId="Header">
    <w:name w:val="header"/>
    <w:basedOn w:val="Normal"/>
    <w:qFormat/>
    <w:rsid w:val="005F370A"/>
  </w:style>
  <w:style w:type="character" w:styleId="FootnoteReference">
    <w:name w:val="footnote reference"/>
    <w:basedOn w:val="DefaultParagraphFont"/>
    <w:unhideWhenUsed/>
    <w:qFormat/>
    <w:rsid w:val="005F370A"/>
    <w:rPr>
      <w:sz w:val="24"/>
      <w:vertAlign w:val="superscript"/>
    </w:rPr>
  </w:style>
  <w:style w:type="character" w:styleId="Hyperlink">
    <w:name w:val="Hyperlink"/>
    <w:uiPriority w:val="99"/>
    <w:unhideWhenUsed/>
    <w:rsid w:val="00501A48"/>
    <w:rPr>
      <w:color w:val="0000FF"/>
      <w:u w:val="single"/>
    </w:rPr>
  </w:style>
  <w:style w:type="paragraph" w:styleId="ListParagraph">
    <w:name w:val="List Paragraph"/>
    <w:basedOn w:val="Normal"/>
    <w:link w:val="ListParagraphChar"/>
    <w:uiPriority w:val="34"/>
    <w:qFormat/>
    <w:rsid w:val="00802B9C"/>
    <w:pPr>
      <w:numPr>
        <w:numId w:val="2"/>
      </w:numPr>
      <w:contextualSpacing/>
      <w:jc w:val="left"/>
    </w:pPr>
    <w:rPr>
      <w:sz w:val="18"/>
    </w:rPr>
  </w:style>
  <w:style w:type="character" w:customStyle="1" w:styleId="ListParagraphChar">
    <w:name w:val="List Paragraph Char"/>
    <w:link w:val="ListParagraph"/>
    <w:uiPriority w:val="34"/>
    <w:rsid w:val="00296BB5"/>
    <w:rPr>
      <w:sz w:val="18"/>
      <w:szCs w:val="22"/>
      <w:lang w:val="sv-SE" w:eastAsia="sv-SE"/>
    </w:rPr>
  </w:style>
  <w:style w:type="table" w:styleId="TableGrid">
    <w:name w:val="Table Grid"/>
    <w:basedOn w:val="TableNormal"/>
    <w:rsid w:val="00482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44027"/>
    <w:rPr>
      <w:rFonts w:ascii="Segoe UI" w:hAnsi="Segoe UI" w:cs="Segoe UI"/>
      <w:szCs w:val="18"/>
    </w:rPr>
  </w:style>
  <w:style w:type="character" w:styleId="FollowedHyperlink">
    <w:name w:val="FollowedHyperlink"/>
    <w:semiHidden/>
    <w:unhideWhenUsed/>
    <w:rsid w:val="0035732E"/>
    <w:rPr>
      <w:color w:val="800080"/>
      <w:u w:val="single"/>
    </w:rPr>
  </w:style>
  <w:style w:type="paragraph" w:customStyle="1" w:styleId="quotes">
    <w:name w:val="quotes"/>
    <w:basedOn w:val="Normal"/>
    <w:next w:val="Normal"/>
    <w:rsid w:val="005F370A"/>
    <w:pPr>
      <w:ind w:left="720"/>
    </w:pPr>
    <w:rPr>
      <w:i/>
    </w:rPr>
  </w:style>
  <w:style w:type="paragraph" w:styleId="BalloonText">
    <w:name w:val="Balloon Text"/>
    <w:basedOn w:val="Normal"/>
    <w:link w:val="BalloonTextChar"/>
    <w:semiHidden/>
    <w:unhideWhenUsed/>
    <w:rsid w:val="006F39A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F39AC"/>
    <w:rPr>
      <w:rFonts w:ascii="Tahoma" w:hAnsi="Tahoma" w:cs="Tahoma"/>
      <w:sz w:val="16"/>
      <w:szCs w:val="16"/>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8958">
      <w:bodyDiv w:val="1"/>
      <w:marLeft w:val="0"/>
      <w:marRight w:val="0"/>
      <w:marTop w:val="0"/>
      <w:marBottom w:val="0"/>
      <w:divBdr>
        <w:top w:val="none" w:sz="0" w:space="0" w:color="auto"/>
        <w:left w:val="none" w:sz="0" w:space="0" w:color="auto"/>
        <w:bottom w:val="none" w:sz="0" w:space="0" w:color="auto"/>
        <w:right w:val="none" w:sz="0" w:space="0" w:color="auto"/>
      </w:divBdr>
      <w:divsChild>
        <w:div w:id="989599072">
          <w:marLeft w:val="0"/>
          <w:marRight w:val="0"/>
          <w:marTop w:val="0"/>
          <w:marBottom w:val="0"/>
          <w:divBdr>
            <w:top w:val="none" w:sz="0" w:space="0" w:color="auto"/>
            <w:left w:val="none" w:sz="0" w:space="0" w:color="auto"/>
            <w:bottom w:val="none" w:sz="0" w:space="0" w:color="auto"/>
            <w:right w:val="none" w:sz="0" w:space="0" w:color="auto"/>
          </w:divBdr>
        </w:div>
        <w:div w:id="1565526820">
          <w:marLeft w:val="0"/>
          <w:marRight w:val="0"/>
          <w:marTop w:val="0"/>
          <w:marBottom w:val="0"/>
          <w:divBdr>
            <w:top w:val="none" w:sz="0" w:space="0" w:color="auto"/>
            <w:left w:val="none" w:sz="0" w:space="0" w:color="auto"/>
            <w:bottom w:val="none" w:sz="0" w:space="0" w:color="auto"/>
            <w:right w:val="none" w:sz="0" w:space="0" w:color="auto"/>
          </w:divBdr>
        </w:div>
        <w:div w:id="1981612767">
          <w:marLeft w:val="0"/>
          <w:marRight w:val="0"/>
          <w:marTop w:val="0"/>
          <w:marBottom w:val="0"/>
          <w:divBdr>
            <w:top w:val="none" w:sz="0" w:space="0" w:color="auto"/>
            <w:left w:val="none" w:sz="0" w:space="0" w:color="auto"/>
            <w:bottom w:val="none" w:sz="0" w:space="0" w:color="auto"/>
            <w:right w:val="none" w:sz="0" w:space="0" w:color="auto"/>
          </w:divBdr>
        </w:div>
      </w:divsChild>
    </w:div>
    <w:div w:id="69929525">
      <w:bodyDiv w:val="1"/>
      <w:marLeft w:val="0"/>
      <w:marRight w:val="0"/>
      <w:marTop w:val="0"/>
      <w:marBottom w:val="0"/>
      <w:divBdr>
        <w:top w:val="none" w:sz="0" w:space="0" w:color="auto"/>
        <w:left w:val="none" w:sz="0" w:space="0" w:color="auto"/>
        <w:bottom w:val="none" w:sz="0" w:space="0" w:color="auto"/>
        <w:right w:val="none" w:sz="0" w:space="0" w:color="auto"/>
      </w:divBdr>
    </w:div>
    <w:div w:id="169613180">
      <w:bodyDiv w:val="1"/>
      <w:marLeft w:val="0"/>
      <w:marRight w:val="0"/>
      <w:marTop w:val="0"/>
      <w:marBottom w:val="0"/>
      <w:divBdr>
        <w:top w:val="none" w:sz="0" w:space="0" w:color="auto"/>
        <w:left w:val="none" w:sz="0" w:space="0" w:color="auto"/>
        <w:bottom w:val="none" w:sz="0" w:space="0" w:color="auto"/>
        <w:right w:val="none" w:sz="0" w:space="0" w:color="auto"/>
      </w:divBdr>
    </w:div>
    <w:div w:id="210311303">
      <w:bodyDiv w:val="1"/>
      <w:marLeft w:val="0"/>
      <w:marRight w:val="0"/>
      <w:marTop w:val="0"/>
      <w:marBottom w:val="0"/>
      <w:divBdr>
        <w:top w:val="none" w:sz="0" w:space="0" w:color="auto"/>
        <w:left w:val="none" w:sz="0" w:space="0" w:color="auto"/>
        <w:bottom w:val="none" w:sz="0" w:space="0" w:color="auto"/>
        <w:right w:val="none" w:sz="0" w:space="0" w:color="auto"/>
      </w:divBdr>
    </w:div>
    <w:div w:id="294482900">
      <w:bodyDiv w:val="1"/>
      <w:marLeft w:val="0"/>
      <w:marRight w:val="0"/>
      <w:marTop w:val="0"/>
      <w:marBottom w:val="0"/>
      <w:divBdr>
        <w:top w:val="none" w:sz="0" w:space="0" w:color="auto"/>
        <w:left w:val="none" w:sz="0" w:space="0" w:color="auto"/>
        <w:bottom w:val="none" w:sz="0" w:space="0" w:color="auto"/>
        <w:right w:val="none" w:sz="0" w:space="0" w:color="auto"/>
      </w:divBdr>
    </w:div>
    <w:div w:id="461770026">
      <w:bodyDiv w:val="1"/>
      <w:marLeft w:val="0"/>
      <w:marRight w:val="0"/>
      <w:marTop w:val="0"/>
      <w:marBottom w:val="0"/>
      <w:divBdr>
        <w:top w:val="none" w:sz="0" w:space="0" w:color="auto"/>
        <w:left w:val="none" w:sz="0" w:space="0" w:color="auto"/>
        <w:bottom w:val="none" w:sz="0" w:space="0" w:color="auto"/>
        <w:right w:val="none" w:sz="0" w:space="0" w:color="auto"/>
      </w:divBdr>
    </w:div>
    <w:div w:id="850148726">
      <w:bodyDiv w:val="1"/>
      <w:marLeft w:val="0"/>
      <w:marRight w:val="0"/>
      <w:marTop w:val="0"/>
      <w:marBottom w:val="0"/>
      <w:divBdr>
        <w:top w:val="none" w:sz="0" w:space="0" w:color="auto"/>
        <w:left w:val="none" w:sz="0" w:space="0" w:color="auto"/>
        <w:bottom w:val="none" w:sz="0" w:space="0" w:color="auto"/>
        <w:right w:val="none" w:sz="0" w:space="0" w:color="auto"/>
      </w:divBdr>
    </w:div>
    <w:div w:id="855967055">
      <w:bodyDiv w:val="1"/>
      <w:marLeft w:val="0"/>
      <w:marRight w:val="0"/>
      <w:marTop w:val="0"/>
      <w:marBottom w:val="0"/>
      <w:divBdr>
        <w:top w:val="none" w:sz="0" w:space="0" w:color="auto"/>
        <w:left w:val="none" w:sz="0" w:space="0" w:color="auto"/>
        <w:bottom w:val="none" w:sz="0" w:space="0" w:color="auto"/>
        <w:right w:val="none" w:sz="0" w:space="0" w:color="auto"/>
      </w:divBdr>
    </w:div>
    <w:div w:id="1007247986">
      <w:bodyDiv w:val="1"/>
      <w:marLeft w:val="0"/>
      <w:marRight w:val="0"/>
      <w:marTop w:val="0"/>
      <w:marBottom w:val="0"/>
      <w:divBdr>
        <w:top w:val="none" w:sz="0" w:space="0" w:color="auto"/>
        <w:left w:val="none" w:sz="0" w:space="0" w:color="auto"/>
        <w:bottom w:val="none" w:sz="0" w:space="0" w:color="auto"/>
        <w:right w:val="none" w:sz="0" w:space="0" w:color="auto"/>
      </w:divBdr>
      <w:divsChild>
        <w:div w:id="59642785">
          <w:marLeft w:val="0"/>
          <w:marRight w:val="0"/>
          <w:marTop w:val="0"/>
          <w:marBottom w:val="0"/>
          <w:divBdr>
            <w:top w:val="none" w:sz="0" w:space="0" w:color="auto"/>
            <w:left w:val="none" w:sz="0" w:space="0" w:color="auto"/>
            <w:bottom w:val="none" w:sz="0" w:space="0" w:color="auto"/>
            <w:right w:val="none" w:sz="0" w:space="0" w:color="auto"/>
          </w:divBdr>
        </w:div>
        <w:div w:id="651757228">
          <w:marLeft w:val="0"/>
          <w:marRight w:val="0"/>
          <w:marTop w:val="0"/>
          <w:marBottom w:val="0"/>
          <w:divBdr>
            <w:top w:val="none" w:sz="0" w:space="0" w:color="auto"/>
            <w:left w:val="none" w:sz="0" w:space="0" w:color="auto"/>
            <w:bottom w:val="none" w:sz="0" w:space="0" w:color="auto"/>
            <w:right w:val="none" w:sz="0" w:space="0" w:color="auto"/>
          </w:divBdr>
        </w:div>
        <w:div w:id="985742801">
          <w:marLeft w:val="0"/>
          <w:marRight w:val="0"/>
          <w:marTop w:val="0"/>
          <w:marBottom w:val="0"/>
          <w:divBdr>
            <w:top w:val="none" w:sz="0" w:space="0" w:color="auto"/>
            <w:left w:val="none" w:sz="0" w:space="0" w:color="auto"/>
            <w:bottom w:val="none" w:sz="0" w:space="0" w:color="auto"/>
            <w:right w:val="none" w:sz="0" w:space="0" w:color="auto"/>
          </w:divBdr>
        </w:div>
        <w:div w:id="1350260266">
          <w:marLeft w:val="0"/>
          <w:marRight w:val="0"/>
          <w:marTop w:val="0"/>
          <w:marBottom w:val="0"/>
          <w:divBdr>
            <w:top w:val="none" w:sz="0" w:space="0" w:color="auto"/>
            <w:left w:val="none" w:sz="0" w:space="0" w:color="auto"/>
            <w:bottom w:val="none" w:sz="0" w:space="0" w:color="auto"/>
            <w:right w:val="none" w:sz="0" w:space="0" w:color="auto"/>
          </w:divBdr>
        </w:div>
        <w:div w:id="1989627007">
          <w:marLeft w:val="0"/>
          <w:marRight w:val="0"/>
          <w:marTop w:val="0"/>
          <w:marBottom w:val="0"/>
          <w:divBdr>
            <w:top w:val="none" w:sz="0" w:space="0" w:color="auto"/>
            <w:left w:val="none" w:sz="0" w:space="0" w:color="auto"/>
            <w:bottom w:val="none" w:sz="0" w:space="0" w:color="auto"/>
            <w:right w:val="none" w:sz="0" w:space="0" w:color="auto"/>
          </w:divBdr>
        </w:div>
      </w:divsChild>
    </w:div>
    <w:div w:id="1038239251">
      <w:bodyDiv w:val="1"/>
      <w:marLeft w:val="0"/>
      <w:marRight w:val="0"/>
      <w:marTop w:val="0"/>
      <w:marBottom w:val="0"/>
      <w:divBdr>
        <w:top w:val="none" w:sz="0" w:space="0" w:color="auto"/>
        <w:left w:val="none" w:sz="0" w:space="0" w:color="auto"/>
        <w:bottom w:val="none" w:sz="0" w:space="0" w:color="auto"/>
        <w:right w:val="none" w:sz="0" w:space="0" w:color="auto"/>
      </w:divBdr>
    </w:div>
    <w:div w:id="1236739533">
      <w:bodyDiv w:val="1"/>
      <w:marLeft w:val="0"/>
      <w:marRight w:val="0"/>
      <w:marTop w:val="0"/>
      <w:marBottom w:val="0"/>
      <w:divBdr>
        <w:top w:val="none" w:sz="0" w:space="0" w:color="auto"/>
        <w:left w:val="none" w:sz="0" w:space="0" w:color="auto"/>
        <w:bottom w:val="none" w:sz="0" w:space="0" w:color="auto"/>
        <w:right w:val="none" w:sz="0" w:space="0" w:color="auto"/>
      </w:divBdr>
      <w:divsChild>
        <w:div w:id="3560815">
          <w:marLeft w:val="0"/>
          <w:marRight w:val="0"/>
          <w:marTop w:val="0"/>
          <w:marBottom w:val="0"/>
          <w:divBdr>
            <w:top w:val="none" w:sz="0" w:space="0" w:color="auto"/>
            <w:left w:val="none" w:sz="0" w:space="0" w:color="auto"/>
            <w:bottom w:val="none" w:sz="0" w:space="0" w:color="auto"/>
            <w:right w:val="none" w:sz="0" w:space="0" w:color="auto"/>
          </w:divBdr>
        </w:div>
        <w:div w:id="49694138">
          <w:marLeft w:val="0"/>
          <w:marRight w:val="0"/>
          <w:marTop w:val="0"/>
          <w:marBottom w:val="0"/>
          <w:divBdr>
            <w:top w:val="none" w:sz="0" w:space="0" w:color="auto"/>
            <w:left w:val="none" w:sz="0" w:space="0" w:color="auto"/>
            <w:bottom w:val="none" w:sz="0" w:space="0" w:color="auto"/>
            <w:right w:val="none" w:sz="0" w:space="0" w:color="auto"/>
          </w:divBdr>
        </w:div>
        <w:div w:id="156652325">
          <w:marLeft w:val="0"/>
          <w:marRight w:val="0"/>
          <w:marTop w:val="0"/>
          <w:marBottom w:val="0"/>
          <w:divBdr>
            <w:top w:val="none" w:sz="0" w:space="0" w:color="auto"/>
            <w:left w:val="none" w:sz="0" w:space="0" w:color="auto"/>
            <w:bottom w:val="none" w:sz="0" w:space="0" w:color="auto"/>
            <w:right w:val="none" w:sz="0" w:space="0" w:color="auto"/>
          </w:divBdr>
        </w:div>
        <w:div w:id="346174223">
          <w:marLeft w:val="0"/>
          <w:marRight w:val="0"/>
          <w:marTop w:val="0"/>
          <w:marBottom w:val="0"/>
          <w:divBdr>
            <w:top w:val="none" w:sz="0" w:space="0" w:color="auto"/>
            <w:left w:val="none" w:sz="0" w:space="0" w:color="auto"/>
            <w:bottom w:val="none" w:sz="0" w:space="0" w:color="auto"/>
            <w:right w:val="none" w:sz="0" w:space="0" w:color="auto"/>
          </w:divBdr>
        </w:div>
        <w:div w:id="683939547">
          <w:marLeft w:val="0"/>
          <w:marRight w:val="0"/>
          <w:marTop w:val="0"/>
          <w:marBottom w:val="0"/>
          <w:divBdr>
            <w:top w:val="none" w:sz="0" w:space="0" w:color="auto"/>
            <w:left w:val="none" w:sz="0" w:space="0" w:color="auto"/>
            <w:bottom w:val="none" w:sz="0" w:space="0" w:color="auto"/>
            <w:right w:val="none" w:sz="0" w:space="0" w:color="auto"/>
          </w:divBdr>
        </w:div>
        <w:div w:id="801969389">
          <w:marLeft w:val="0"/>
          <w:marRight w:val="0"/>
          <w:marTop w:val="0"/>
          <w:marBottom w:val="0"/>
          <w:divBdr>
            <w:top w:val="none" w:sz="0" w:space="0" w:color="auto"/>
            <w:left w:val="none" w:sz="0" w:space="0" w:color="auto"/>
            <w:bottom w:val="none" w:sz="0" w:space="0" w:color="auto"/>
            <w:right w:val="none" w:sz="0" w:space="0" w:color="auto"/>
          </w:divBdr>
        </w:div>
        <w:div w:id="1264340589">
          <w:marLeft w:val="0"/>
          <w:marRight w:val="0"/>
          <w:marTop w:val="0"/>
          <w:marBottom w:val="0"/>
          <w:divBdr>
            <w:top w:val="none" w:sz="0" w:space="0" w:color="auto"/>
            <w:left w:val="none" w:sz="0" w:space="0" w:color="auto"/>
            <w:bottom w:val="none" w:sz="0" w:space="0" w:color="auto"/>
            <w:right w:val="none" w:sz="0" w:space="0" w:color="auto"/>
          </w:divBdr>
        </w:div>
        <w:div w:id="1313145015">
          <w:marLeft w:val="0"/>
          <w:marRight w:val="0"/>
          <w:marTop w:val="0"/>
          <w:marBottom w:val="0"/>
          <w:divBdr>
            <w:top w:val="none" w:sz="0" w:space="0" w:color="auto"/>
            <w:left w:val="none" w:sz="0" w:space="0" w:color="auto"/>
            <w:bottom w:val="none" w:sz="0" w:space="0" w:color="auto"/>
            <w:right w:val="none" w:sz="0" w:space="0" w:color="auto"/>
          </w:divBdr>
        </w:div>
        <w:div w:id="1435977708">
          <w:marLeft w:val="0"/>
          <w:marRight w:val="0"/>
          <w:marTop w:val="0"/>
          <w:marBottom w:val="0"/>
          <w:divBdr>
            <w:top w:val="none" w:sz="0" w:space="0" w:color="auto"/>
            <w:left w:val="none" w:sz="0" w:space="0" w:color="auto"/>
            <w:bottom w:val="none" w:sz="0" w:space="0" w:color="auto"/>
            <w:right w:val="none" w:sz="0" w:space="0" w:color="auto"/>
          </w:divBdr>
        </w:div>
        <w:div w:id="1450778843">
          <w:marLeft w:val="0"/>
          <w:marRight w:val="0"/>
          <w:marTop w:val="0"/>
          <w:marBottom w:val="0"/>
          <w:divBdr>
            <w:top w:val="none" w:sz="0" w:space="0" w:color="auto"/>
            <w:left w:val="none" w:sz="0" w:space="0" w:color="auto"/>
            <w:bottom w:val="none" w:sz="0" w:space="0" w:color="auto"/>
            <w:right w:val="none" w:sz="0" w:space="0" w:color="auto"/>
          </w:divBdr>
        </w:div>
        <w:div w:id="1647319918">
          <w:marLeft w:val="0"/>
          <w:marRight w:val="0"/>
          <w:marTop w:val="0"/>
          <w:marBottom w:val="0"/>
          <w:divBdr>
            <w:top w:val="none" w:sz="0" w:space="0" w:color="auto"/>
            <w:left w:val="none" w:sz="0" w:space="0" w:color="auto"/>
            <w:bottom w:val="none" w:sz="0" w:space="0" w:color="auto"/>
            <w:right w:val="none" w:sz="0" w:space="0" w:color="auto"/>
          </w:divBdr>
        </w:div>
        <w:div w:id="1647584793">
          <w:marLeft w:val="0"/>
          <w:marRight w:val="0"/>
          <w:marTop w:val="0"/>
          <w:marBottom w:val="0"/>
          <w:divBdr>
            <w:top w:val="none" w:sz="0" w:space="0" w:color="auto"/>
            <w:left w:val="none" w:sz="0" w:space="0" w:color="auto"/>
            <w:bottom w:val="none" w:sz="0" w:space="0" w:color="auto"/>
            <w:right w:val="none" w:sz="0" w:space="0" w:color="auto"/>
          </w:divBdr>
        </w:div>
        <w:div w:id="1769037738">
          <w:marLeft w:val="0"/>
          <w:marRight w:val="0"/>
          <w:marTop w:val="0"/>
          <w:marBottom w:val="0"/>
          <w:divBdr>
            <w:top w:val="none" w:sz="0" w:space="0" w:color="auto"/>
            <w:left w:val="none" w:sz="0" w:space="0" w:color="auto"/>
            <w:bottom w:val="none" w:sz="0" w:space="0" w:color="auto"/>
            <w:right w:val="none" w:sz="0" w:space="0" w:color="auto"/>
          </w:divBdr>
        </w:div>
        <w:div w:id="1967854169">
          <w:marLeft w:val="0"/>
          <w:marRight w:val="0"/>
          <w:marTop w:val="0"/>
          <w:marBottom w:val="0"/>
          <w:divBdr>
            <w:top w:val="none" w:sz="0" w:space="0" w:color="auto"/>
            <w:left w:val="none" w:sz="0" w:space="0" w:color="auto"/>
            <w:bottom w:val="none" w:sz="0" w:space="0" w:color="auto"/>
            <w:right w:val="none" w:sz="0" w:space="0" w:color="auto"/>
          </w:divBdr>
        </w:div>
      </w:divsChild>
    </w:div>
    <w:div w:id="1382947337">
      <w:bodyDiv w:val="1"/>
      <w:marLeft w:val="0"/>
      <w:marRight w:val="0"/>
      <w:marTop w:val="0"/>
      <w:marBottom w:val="0"/>
      <w:divBdr>
        <w:top w:val="none" w:sz="0" w:space="0" w:color="auto"/>
        <w:left w:val="none" w:sz="0" w:space="0" w:color="auto"/>
        <w:bottom w:val="none" w:sz="0" w:space="0" w:color="auto"/>
        <w:right w:val="none" w:sz="0" w:space="0" w:color="auto"/>
      </w:divBdr>
      <w:divsChild>
        <w:div w:id="317463895">
          <w:marLeft w:val="0"/>
          <w:marRight w:val="0"/>
          <w:marTop w:val="0"/>
          <w:marBottom w:val="0"/>
          <w:divBdr>
            <w:top w:val="none" w:sz="0" w:space="0" w:color="auto"/>
            <w:left w:val="none" w:sz="0" w:space="0" w:color="auto"/>
            <w:bottom w:val="none" w:sz="0" w:space="0" w:color="auto"/>
            <w:right w:val="none" w:sz="0" w:space="0" w:color="auto"/>
          </w:divBdr>
        </w:div>
        <w:div w:id="541358764">
          <w:marLeft w:val="0"/>
          <w:marRight w:val="0"/>
          <w:marTop w:val="0"/>
          <w:marBottom w:val="0"/>
          <w:divBdr>
            <w:top w:val="none" w:sz="0" w:space="0" w:color="auto"/>
            <w:left w:val="none" w:sz="0" w:space="0" w:color="auto"/>
            <w:bottom w:val="none" w:sz="0" w:space="0" w:color="auto"/>
            <w:right w:val="none" w:sz="0" w:space="0" w:color="auto"/>
          </w:divBdr>
        </w:div>
        <w:div w:id="801653146">
          <w:marLeft w:val="0"/>
          <w:marRight w:val="0"/>
          <w:marTop w:val="0"/>
          <w:marBottom w:val="0"/>
          <w:divBdr>
            <w:top w:val="none" w:sz="0" w:space="0" w:color="auto"/>
            <w:left w:val="none" w:sz="0" w:space="0" w:color="auto"/>
            <w:bottom w:val="none" w:sz="0" w:space="0" w:color="auto"/>
            <w:right w:val="none" w:sz="0" w:space="0" w:color="auto"/>
          </w:divBdr>
        </w:div>
        <w:div w:id="1008796466">
          <w:marLeft w:val="0"/>
          <w:marRight w:val="0"/>
          <w:marTop w:val="0"/>
          <w:marBottom w:val="0"/>
          <w:divBdr>
            <w:top w:val="none" w:sz="0" w:space="0" w:color="auto"/>
            <w:left w:val="none" w:sz="0" w:space="0" w:color="auto"/>
            <w:bottom w:val="none" w:sz="0" w:space="0" w:color="auto"/>
            <w:right w:val="none" w:sz="0" w:space="0" w:color="auto"/>
          </w:divBdr>
        </w:div>
      </w:divsChild>
    </w:div>
    <w:div w:id="1400323945">
      <w:bodyDiv w:val="1"/>
      <w:marLeft w:val="0"/>
      <w:marRight w:val="0"/>
      <w:marTop w:val="0"/>
      <w:marBottom w:val="0"/>
      <w:divBdr>
        <w:top w:val="none" w:sz="0" w:space="0" w:color="auto"/>
        <w:left w:val="none" w:sz="0" w:space="0" w:color="auto"/>
        <w:bottom w:val="none" w:sz="0" w:space="0" w:color="auto"/>
        <w:right w:val="none" w:sz="0" w:space="0" w:color="auto"/>
      </w:divBdr>
    </w:div>
    <w:div w:id="1452431026">
      <w:bodyDiv w:val="1"/>
      <w:marLeft w:val="0"/>
      <w:marRight w:val="0"/>
      <w:marTop w:val="0"/>
      <w:marBottom w:val="0"/>
      <w:divBdr>
        <w:top w:val="none" w:sz="0" w:space="0" w:color="auto"/>
        <w:left w:val="none" w:sz="0" w:space="0" w:color="auto"/>
        <w:bottom w:val="none" w:sz="0" w:space="0" w:color="auto"/>
        <w:right w:val="none" w:sz="0" w:space="0" w:color="auto"/>
      </w:divBdr>
      <w:divsChild>
        <w:div w:id="441651163">
          <w:marLeft w:val="0"/>
          <w:marRight w:val="0"/>
          <w:marTop w:val="0"/>
          <w:marBottom w:val="0"/>
          <w:divBdr>
            <w:top w:val="none" w:sz="0" w:space="0" w:color="auto"/>
            <w:left w:val="none" w:sz="0" w:space="0" w:color="auto"/>
            <w:bottom w:val="none" w:sz="0" w:space="0" w:color="auto"/>
            <w:right w:val="none" w:sz="0" w:space="0" w:color="auto"/>
          </w:divBdr>
        </w:div>
        <w:div w:id="1046025075">
          <w:marLeft w:val="0"/>
          <w:marRight w:val="0"/>
          <w:marTop w:val="0"/>
          <w:marBottom w:val="0"/>
          <w:divBdr>
            <w:top w:val="none" w:sz="0" w:space="0" w:color="auto"/>
            <w:left w:val="none" w:sz="0" w:space="0" w:color="auto"/>
            <w:bottom w:val="none" w:sz="0" w:space="0" w:color="auto"/>
            <w:right w:val="none" w:sz="0" w:space="0" w:color="auto"/>
          </w:divBdr>
        </w:div>
        <w:div w:id="1085689717">
          <w:marLeft w:val="0"/>
          <w:marRight w:val="0"/>
          <w:marTop w:val="0"/>
          <w:marBottom w:val="0"/>
          <w:divBdr>
            <w:top w:val="none" w:sz="0" w:space="0" w:color="auto"/>
            <w:left w:val="none" w:sz="0" w:space="0" w:color="auto"/>
            <w:bottom w:val="none" w:sz="0" w:space="0" w:color="auto"/>
            <w:right w:val="none" w:sz="0" w:space="0" w:color="auto"/>
          </w:divBdr>
        </w:div>
        <w:div w:id="1690645763">
          <w:marLeft w:val="0"/>
          <w:marRight w:val="0"/>
          <w:marTop w:val="0"/>
          <w:marBottom w:val="0"/>
          <w:divBdr>
            <w:top w:val="none" w:sz="0" w:space="0" w:color="auto"/>
            <w:left w:val="none" w:sz="0" w:space="0" w:color="auto"/>
            <w:bottom w:val="none" w:sz="0" w:space="0" w:color="auto"/>
            <w:right w:val="none" w:sz="0" w:space="0" w:color="auto"/>
          </w:divBdr>
        </w:div>
      </w:divsChild>
    </w:div>
    <w:div w:id="1678262338">
      <w:bodyDiv w:val="1"/>
      <w:marLeft w:val="0"/>
      <w:marRight w:val="0"/>
      <w:marTop w:val="0"/>
      <w:marBottom w:val="0"/>
      <w:divBdr>
        <w:top w:val="none" w:sz="0" w:space="0" w:color="auto"/>
        <w:left w:val="none" w:sz="0" w:space="0" w:color="auto"/>
        <w:bottom w:val="none" w:sz="0" w:space="0" w:color="auto"/>
        <w:right w:val="none" w:sz="0" w:space="0" w:color="auto"/>
      </w:divBdr>
    </w:div>
    <w:div w:id="1865942284">
      <w:bodyDiv w:val="1"/>
      <w:marLeft w:val="0"/>
      <w:marRight w:val="0"/>
      <w:marTop w:val="0"/>
      <w:marBottom w:val="0"/>
      <w:divBdr>
        <w:top w:val="none" w:sz="0" w:space="0" w:color="auto"/>
        <w:left w:val="none" w:sz="0" w:space="0" w:color="auto"/>
        <w:bottom w:val="none" w:sz="0" w:space="0" w:color="auto"/>
        <w:right w:val="none" w:sz="0" w:space="0" w:color="auto"/>
      </w:divBdr>
    </w:div>
    <w:div w:id="190390213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www.eesc.europa.eu/red-study" TargetMode="Externa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gal-content/EN/TXT/?uri=CELEX:52014XC0628(01)" TargetMode="External"/><Relationship Id="rId1" Type="http://schemas.openxmlformats.org/officeDocument/2006/relationships/hyperlink" Target="http://www.eesc.europa.eu/?i=portal.en.events-and-activities-local-renewable-energ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word2010\Templates\Global\Styl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dlc_DocId xmlns="949ff7b9-ac16-4cac-b916-60a333a9bf9d">Q4AU5J5HWUN2-7-7298</_dlc_DocId>
    <_dlc_DocIdUrl xmlns="949ff7b9-ac16-4cac-b916-60a333a9bf9d">
      <Url>http://dm/EESC/2014/_layouts/DocIdRedir.aspx?ID=Q4AU5J5HWUN2-7-7298</Url>
      <Description>Q4AU5J5HWUN2-7-7298</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TCD</TermName>
          <TermId xmlns="http://schemas.microsoft.com/office/infopath/2007/PartnerControls">cd9d6eb6-3f4f-424a-b2d1-57c9d450eaaf</TermId>
        </TermInfo>
      </Terms>
    </DocumentType_0>
    <Procedure xmlns="949ff7b9-ac16-4cac-b916-60a333a9bf9d"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ProductionDate xmlns="949ff7b9-ac16-4cac-b916-60a333a9bf9d">2015-02-10T12:00:00+00:00</ProductionDate>
    <DocumentNumber xmlns="949ff7b9-ac16-4cac-b916-60a333a9bf9d">4780</DocumentNumber>
    <FicheYear xmlns="949ff7b9-ac16-4cac-b916-60a333a9bf9d">2015</FicheYear>
    <DossierNumber xmlns="949ff7b9-ac16-4cac-b916-60a333a9bf9d"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MeetingDate xmlns="949ff7b9-ac16-4cac-b916-60a333a9bf9d">2015-01-21T12:00:00+00:00</MeetingDate>
    <DocumentLanguage_0 xmlns="http://schemas.microsoft.com/sharepoint/v3/fields">
      <Terms xmlns="http://schemas.microsoft.com/office/infopath/2007/PartnerControls">
        <TermInfo xmlns="http://schemas.microsoft.com/office/infopath/2007/PartnerControls">
          <TermName xmlns="http://schemas.microsoft.com/office/infopath/2007/PartnerControls">SV</TermName>
          <TermId xmlns="http://schemas.microsoft.com/office/infopath/2007/PartnerControls">c2ed69e7-a339-43d7-8f22-d93680a92aa0</TermId>
        </TermInfo>
      </Terms>
    </DocumentLanguage_0>
    <TaxCatchAll xmlns="949ff7b9-ac16-4cac-b916-60a333a9bf9d">
      <Value>93</Value>
      <Value>38</Value>
      <Value>37</Value>
      <Value>35</Value>
      <Value>34</Value>
      <Value>33</Value>
      <Value>32</Value>
      <Value>31</Value>
      <Value>30</Value>
      <Value>29</Value>
      <Value>28</Value>
      <Value>27</Value>
      <Value>25</Value>
      <Value>24</Value>
      <Value>23</Value>
      <Value>22</Value>
      <Value>21</Value>
      <Value>19</Value>
      <Value>18</Value>
      <Value>12</Value>
      <Value>10</Value>
      <Value>9</Value>
      <Value>6</Value>
      <Value>5</Value>
      <Value>4</Value>
      <Value>3</Value>
      <Value>2</Value>
      <Value>1</Value>
    </TaxCatchAll>
    <Rapporteur xmlns="949ff7b9-ac16-4cac-b916-60a333a9bf9d" xsi:nil="true"/>
    <DocumentYear xmlns="949ff7b9-ac16-4cac-b916-60a333a9bf9d">2014</DocumentYear>
    <FicheNumber xmlns="949ff7b9-ac16-4cac-b916-60a333a9bf9d">1342</FicheNumber>
    <DocumentPart xmlns="949ff7b9-ac16-4cac-b916-60a333a9bf9d">0</DocumentPart>
    <AdoptionDate xmlns="949ff7b9-ac16-4cac-b916-60a333a9bf9d" xsi:nil="true"/>
    <RequestingService xmlns="949ff7b9-ac16-4cac-b916-60a333a9bf9d">Agriculture, développement rural et environnement</RequestingService>
    <MeetingName_0 xmlns="http://schemas.microsoft.com/sharepoint/v3/fields">
      <Terms xmlns="http://schemas.microsoft.com/office/infopath/2007/PartnerControls">
        <TermInfo xmlns="http://schemas.microsoft.com/office/infopath/2007/PartnerControls">
          <TermName xmlns="http://schemas.microsoft.com/office/infopath/2007/PartnerControls">SPL-CES</TermName>
          <TermId xmlns="http://schemas.microsoft.com/office/infopath/2007/PartnerControls">32d8cb1f-c9ec-4365-95c7-8385a18618ac</TermId>
        </TermInfo>
      </Terms>
    </MeetingName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FI</TermName>
          <TermId xmlns="http://schemas.microsoft.com/office/infopath/2007/PartnerControls">87606a43-d45f-42d6-b8c9-e1a3457db5b7</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SV</TermName>
          <TermId xmlns="http://schemas.microsoft.com/office/infopath/2007/PartnerControls">c2ed69e7-a339-43d7-8f22-d93680a92aa0</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HR</TermName>
          <TermId xmlns="http://schemas.microsoft.com/office/infopath/2007/PartnerControls">2f555653-ed1a-4fe6-8362-9082d95989e5</TermId>
        </TermInfo>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SK</TermName>
          <TermId xmlns="http://schemas.microsoft.com/office/infopath/2007/PartnerControls">46d9fce0-ef79-4f71-b89b-cd6aa82426b8</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s>
    </AvailableTranslations_0>
    <MeetingNumber xmlns="fc331741-2a19-47d6-917e-2aa3ec78eda3">504</MeetingNumber>
    <DossierName_0 xmlns="http://schemas.microsoft.com/sharepoint/v3/fields">
      <Terms xmlns="http://schemas.microsoft.com/office/infopath/2007/PartnerControls"/>
    </DossierName_0>
    <DocumentVersion xmlns="949ff7b9-ac16-4cac-b916-60a333a9bf9d">4</DocumentVersion>
  </documentManagement>
</p:properties>
</file>

<file path=customXml/item5.xml><?xml version="1.0" encoding="utf-8"?>
<ct:contentTypeSchema xmlns:ct="http://schemas.microsoft.com/office/2006/metadata/contentType" xmlns:ma="http://schemas.microsoft.com/office/2006/metadata/properties/metaAttributes" ct:_="" ma:_="" ma:contentTypeName="DM Document" ma:contentTypeID="0x010100EA97B91038054C99906057A708A1480A0018D25216E8A3B845A7A963091613675C" ma:contentTypeVersion="5" ma:contentTypeDescription="Defines the documents for Document Manager V2" ma:contentTypeScope="" ma:versionID="3f4c6e58edcb4248017afbfeee3c614d">
  <xsd:schema xmlns:xsd="http://www.w3.org/2001/XMLSchema" xmlns:xs="http://www.w3.org/2001/XMLSchema" xmlns:p="http://schemas.microsoft.com/office/2006/metadata/properties" xmlns:ns2="949ff7b9-ac16-4cac-b916-60a333a9bf9d" xmlns:ns3="http://schemas.microsoft.com/sharepoint/v3/fields" xmlns:ns4="fc331741-2a19-47d6-917e-2aa3ec78eda3" targetNamespace="http://schemas.microsoft.com/office/2006/metadata/properties" ma:root="true" ma:fieldsID="de9510e3d21207e74687dd0c4c5496bc" ns2:_="" ns3:_="" ns4:_="">
    <xsd:import namespace="949ff7b9-ac16-4cac-b916-60a333a9bf9d"/>
    <xsd:import namespace="http://schemas.microsoft.com/sharepoint/v3/fields"/>
    <xsd:import namespace="fc331741-2a19-47d6-917e-2aa3ec78eda3"/>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Rapporteur" minOccurs="0"/>
                <xsd:element ref="ns2:RequestingService" minOccurs="0"/>
                <xsd:element ref="ns2:DocumentNumber" minOccurs="0"/>
                <xsd:element ref="ns2:AdoptionDate" minOccurs="0"/>
                <xsd:element ref="ns2:DossierNumber" minOccurs="0"/>
                <xsd:element ref="ns3:Confidentiality_0" minOccurs="0"/>
                <xsd:element ref="ns2:TaxCatchAll" minOccurs="0"/>
                <xsd:element ref="ns2:TaxCatchAllLabel" minOccurs="0"/>
                <xsd:element ref="ns2:FicheNumber" minOccurs="0"/>
                <xsd:element ref="ns2:Procedure" minOccurs="0"/>
                <xsd:element ref="ns2:DocumentPart" minOccurs="0"/>
                <xsd:element ref="ns3:DossierName_0" minOccurs="0"/>
                <xsd:element ref="ns3:DocumentType_0" minOccurs="0"/>
                <xsd:element ref="ns3:DocumentStatus_0" minOccurs="0"/>
                <xsd:element ref="ns3:AvailableTranslations_0" minOccurs="0"/>
                <xsd:element ref="ns2:FicheYear" minOccurs="0"/>
                <xsd:element ref="ns3:DocumentSource_0" minOccurs="0"/>
                <xsd:element ref="ns3:OriginalLanguage_0" minOccurs="0"/>
                <xsd:element ref="ns2:DocumentYear"/>
                <xsd:element ref="ns2:MeetingDate" minOccurs="0"/>
                <xsd:element ref="ns2:DocumentVersion" minOccurs="0"/>
                <xsd:element ref="ns4:MeetingNumber" minOccurs="0"/>
                <xsd:element ref="ns3:MeetingName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ff7b9-ac16-4cac-b916-60a333a9bf9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Rapporteur" ma:index="14" nillable="true" ma:displayName="Rapporteur" ma:internalName="Rapporteur" ma:readOnly="false">
      <xsd:simpleType>
        <xsd:restriction base="dms:Text"/>
      </xsd:simpleType>
    </xsd:element>
    <xsd:element name="RequestingService" ma:index="15" nillable="true" ma:displayName="Requesting Service" ma:internalName="RequestingService" ma:readOnly="false">
      <xsd:simpleType>
        <xsd:restriction base="dms:Text"/>
      </xsd:simpleType>
    </xsd:element>
    <xsd:element name="DocumentNumber" ma:index="16" nillable="true" ma:displayName="Document Number" ma:indexed="true" ma:internalName="DocumentNumber" ma:readOnly="false">
      <xsd:simpleType>
        <xsd:restriction base="dms:Unknown"/>
      </xsd:simpleType>
    </xsd:element>
    <xsd:element name="AdoptionDate" ma:index="17" nillable="true" ma:displayName="Adoption Date" ma:format="DateOnly" ma:internalName="AdoptionDate" ma:readOnly="false">
      <xsd:simpleType>
        <xsd:restriction base="dms:DateTime"/>
      </xsd:simpleType>
    </xsd:element>
    <xsd:element name="DossierNumber" ma:index="18" nillable="true" ma:displayName="Dossier Number" ma:internalName="DossierNumber" ma:readOnly="false">
      <xsd:simpleType>
        <xsd:restriction base="dms:Unknown"/>
      </xsd:simpleType>
    </xsd:element>
    <xsd:element name="TaxCatchAll" ma:index="20" nillable="true" ma:displayName="Taxonomy Catch All Column" ma:hidden="true" ma:list="{3de8a310-458d-4626-b67f-b7f3c0b5774d}" ma:internalName="TaxCatchAll" ma:showField="CatchAllData" ma:web="949ff7b9-ac16-4cac-b916-60a333a9bf9d">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3de8a310-458d-4626-b67f-b7f3c0b5774d}" ma:internalName="TaxCatchAllLabel" ma:readOnly="true" ma:showField="CatchAllDataLabel" ma:web="949ff7b9-ac16-4cac-b916-60a333a9bf9d">
      <xsd:complexType>
        <xsd:complexContent>
          <xsd:extension base="dms:MultiChoiceLookup">
            <xsd:sequence>
              <xsd:element name="Value" type="dms:Lookup" maxOccurs="unbounded" minOccurs="0" nillable="true"/>
            </xsd:sequence>
          </xsd:extension>
        </xsd:complexContent>
      </xsd:complexType>
    </xsd:element>
    <xsd:element name="FicheNumber" ma:index="23" nillable="true" ma:displayName="Fiche Number" ma:internalName="FicheNumber" ma:readOnly="false">
      <xsd:simpleType>
        <xsd:restriction base="dms:Unknown"/>
      </xsd:simpleType>
    </xsd:element>
    <xsd:element name="Procedure" ma:index="24" nillable="true" ma:displayName="Procedure" ma:internalName="Procedure" ma:readOnly="false">
      <xsd:simpleType>
        <xsd:restriction base="dms:Text"/>
      </xsd:simpleType>
    </xsd:element>
    <xsd:element name="DocumentPart" ma:index="25" nillable="true" ma:displayName="Document Part" ma:internalName="DocumentPart" ma:readOnly="false">
      <xsd:simpleType>
        <xsd:restriction base="dms:Unknown"/>
      </xsd:simpleType>
    </xsd:element>
    <xsd:element name="FicheYear" ma:index="34" nillable="true" ma:displayName="Fiche Year" ma:internalName="FicheYear" ma:readOnly="false">
      <xsd:simpleType>
        <xsd:restriction base="dms:Unknown"/>
      </xsd:simpleType>
    </xsd:element>
    <xsd:element name="DocumentYear" ma:index="39" ma:displayName="Document Year" ma:internalName="DocumentYear" ma:readOnly="false">
      <xsd:simpleType>
        <xsd:restriction base="dms:Unknown"/>
      </xsd:simpleType>
    </xsd:element>
    <xsd:element name="MeetingDate" ma:index="40" nillable="true" ma:displayName="Meeting Date" ma:format="DateOnly" ma:internalName="MeetingDate" ma:readOnly="false">
      <xsd:simpleType>
        <xsd:restriction base="dms:DateTime"/>
      </xsd:simpleType>
    </xsd:element>
    <xsd:element name="DocumentVersion" ma:index="41" nillable="true" ma:displayName="Document Version" ma:internalName="DocumentVersion"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readOnly="false" ma:fieldId="{ee5c4bfe-2b62-4831-9131-22edf8f3665c}" ma:sspId="5eb6ff32-25da-4603-a073-4ef4c01e5f0e" ma:termSetId="11d040ac-3a9a-4d4c-b9cf-922342a701d6" ma:anchorId="00000000-0000-0000-0000-000000000000" ma:open="false" ma:isKeyword="false">
      <xsd:complexType>
        <xsd:sequence>
          <xsd:element ref="pc:Terms" minOccurs="0" maxOccurs="1"/>
        </xsd:sequence>
      </xsd:complexType>
    </xsd:element>
    <xsd:element name="DossierName_0" ma:index="26" nillable="true" ma:taxonomy="true" ma:internalName="DossierName_0" ma:taxonomyFieldName="DossierName" ma:displayName="Dossier Name" ma:readOnly="false" ma:fieldId="{ee5cf7da-503b-4593-8db2-4f0e09c901fd}" ma:sspId="5eb6ff32-25da-4603-a073-4ef4c01e5f0e" ma:termSetId="2b392f04-1222-4352-87c1-6fd60ec33b64" ma:anchorId="00000000-0000-0000-0000-000000000000" ma:open="false" ma:isKeyword="false">
      <xsd:complexType>
        <xsd:sequence>
          <xsd:element ref="pc:Terms" minOccurs="0" maxOccurs="1"/>
        </xsd:sequence>
      </xsd:complexType>
    </xsd:element>
    <xsd:element name="DocumentType_0" ma:index="28" nillable="true" ma:taxonomy="true" ma:internalName="DocumentType_0" ma:taxonomyFieldName="DocumentType" ma:displayName="Document Type" ma:indexed="true" ma:readOnly="false" ma:fieldId="{ee5cf431-2d10-41e6-bd88-1b6bd5b84f5f}" ma:sspId="5eb6ff32-25da-4603-a073-4ef4c01e5f0e" ma:termSetId="67a76952-94e0-437b-9a60-5085083dde02" ma:anchorId="00000000-0000-0000-0000-000000000000" ma:open="false" ma:isKeyword="false">
      <xsd:complexType>
        <xsd:sequence>
          <xsd:element ref="pc:Terms" minOccurs="0" maxOccurs="1"/>
        </xsd:sequence>
      </xsd:complexType>
    </xsd:element>
    <xsd:element name="DocumentStatus_0" ma:index="30" nillable="true" ma:taxonomy="true" ma:internalName="DocumentStatus_0" ma:taxonomyFieldName="DocumentStatus" ma:displayName="Document Status" ma:readOnly="false" ma:fieldId="{ee5cab93-ac4d-4e2f-b298-e5342324388c}" ma:sspId="5eb6ff32-25da-4603-a073-4ef4c01e5f0e" ma:termSetId="54b85ca4-9023-4cbf-8e96-81af7735228f" ma:anchorId="00000000-0000-0000-0000-000000000000" ma:open="false" ma:isKeyword="false">
      <xsd:complexType>
        <xsd:sequence>
          <xsd:element ref="pc:Terms" minOccurs="0" maxOccurs="1"/>
        </xsd:sequence>
      </xsd:complexType>
    </xsd:element>
    <xsd:element name="AvailableTranslations_0" ma:index="32" nillable="true" ma:taxonomy="true" ma:internalName="AvailableTranslations_0" ma:taxonomyFieldName="AvailableTranslations" ma:displayName="Available Translations" ma:readOnly="false" ma:fieldId="{ee5c7c01-1a65-4138-aa64-80e01e34d799}"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DocumentSource_0" ma:index="35" ma:taxonomy="true" ma:internalName="DocumentSource_0" ma:taxonomyFieldName="DocumentSource" ma:displayName="Document Source" ma:readOnly="false" ma:fieldId="{ee5c1c29-f257-4aae-8e5e-529c0040e17a}" ma:sspId="5eb6ff32-25da-4603-a073-4ef4c01e5f0e" ma:termSetId="ca143256-a90d-4d26-b249-02646b17c0c5" ma:anchorId="00000000-0000-0000-0000-000000000000" ma:open="false" ma:isKeyword="false">
      <xsd:complexType>
        <xsd:sequence>
          <xsd:element ref="pc:Terms" minOccurs="0" maxOccurs="1"/>
        </xsd:sequence>
      </xsd:complexType>
    </xsd:element>
    <xsd:element name="OriginalLanguage_0" ma:index="37" nillable="true" ma:taxonomy="true" ma:internalName="OriginalLanguage_0" ma:taxonomyFieldName="OriginalLanguage" ma:displayName="Original Language" ma:readOnly="false" ma:fieldId="{ee5ce750-ff6c-4875-8192-ef11fb51efba}"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MeetingName_0" ma:index="43" nillable="true" ma:taxonomy="true" ma:internalName="MeetingName_0" ma:taxonomyFieldName="MeetingName" ma:displayName="Meeting Name" ma:indexed="true" ma:readOnly="false" ma:fieldId="{ee5c9b55-8403-4f9e-a156-b6ce5b7b9456}" ma:sspId="5eb6ff32-25da-4603-a073-4ef4c01e5f0e" ma:termSetId="a04e9634-de73-4a41-8cb5-e1efdb89060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331741-2a19-47d6-917e-2aa3ec78eda3" elementFormDefault="qualified">
    <xsd:import namespace="http://schemas.microsoft.com/office/2006/documentManagement/types"/>
    <xsd:import namespace="http://schemas.microsoft.com/office/infopath/2007/PartnerControls"/>
    <xsd:element name="MeetingNumber" ma:index="42" nillable="true" ma:displayName="Meeting Number" ma:decimals="0" ma:indexed="true" ma:internalName="MeetingNumber"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EF6C3-F48B-4C0A-948C-47470D236639}">
  <ds:schemaRefs>
    <ds:schemaRef ds:uri="http://schemas.microsoft.com/sharepoint/v3/contenttype/forms"/>
  </ds:schemaRefs>
</ds:datastoreItem>
</file>

<file path=customXml/itemProps2.xml><?xml version="1.0" encoding="utf-8"?>
<ds:datastoreItem xmlns:ds="http://schemas.openxmlformats.org/officeDocument/2006/customXml" ds:itemID="{741FA9D4-877C-487F-8EBA-0BF7199AECC7}">
  <ds:schemaRefs>
    <ds:schemaRef ds:uri="http://schemas.microsoft.com/sharepoint/events"/>
  </ds:schemaRefs>
</ds:datastoreItem>
</file>

<file path=customXml/itemProps3.xml><?xml version="1.0" encoding="utf-8"?>
<ds:datastoreItem xmlns:ds="http://schemas.openxmlformats.org/officeDocument/2006/customXml" ds:itemID="{BFDCE3DD-7318-4AC7-9447-896B4D6AEEAC}">
  <ds:schemaRefs>
    <ds:schemaRef ds:uri="http://schemas.microsoft.com/office/2006/metadata/longProperties"/>
  </ds:schemaRefs>
</ds:datastoreItem>
</file>

<file path=customXml/itemProps4.xml><?xml version="1.0" encoding="utf-8"?>
<ds:datastoreItem xmlns:ds="http://schemas.openxmlformats.org/officeDocument/2006/customXml" ds:itemID="{262960B9-8C5A-44B6-BE4F-BE27305FD3CB}">
  <ds:schemaRefs>
    <ds:schemaRef ds:uri="http://purl.org/dc/dcmitype/"/>
    <ds:schemaRef ds:uri="http://purl.org/dc/terms/"/>
    <ds:schemaRef ds:uri="http://schemas.openxmlformats.org/package/2006/metadata/core-properties"/>
    <ds:schemaRef ds:uri="http://www.w3.org/XML/1998/namespace"/>
    <ds:schemaRef ds:uri="949ff7b9-ac16-4cac-b916-60a333a9bf9d"/>
    <ds:schemaRef ds:uri="http://schemas.microsoft.com/office/2006/documentManagement/types"/>
    <ds:schemaRef ds:uri="http://schemas.microsoft.com/office/2006/metadata/properties"/>
    <ds:schemaRef ds:uri="http://purl.org/dc/elements/1.1/"/>
    <ds:schemaRef ds:uri="http://schemas.microsoft.com/sharepoint/v3/fields"/>
    <ds:schemaRef ds:uri="http://schemas.microsoft.com/office/infopath/2007/PartnerControls"/>
    <ds:schemaRef ds:uri="fc331741-2a19-47d6-917e-2aa3ec78eda3"/>
  </ds:schemaRefs>
</ds:datastoreItem>
</file>

<file path=customXml/itemProps5.xml><?xml version="1.0" encoding="utf-8"?>
<ds:datastoreItem xmlns:ds="http://schemas.openxmlformats.org/officeDocument/2006/customXml" ds:itemID="{C23B9423-FB4B-4095-8942-90DF7BF73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ff7b9-ac16-4cac-b916-60a333a9bf9d"/>
    <ds:schemaRef ds:uri="http://schemas.microsoft.com/sharepoint/v3/fields"/>
    <ds:schemaRef ds:uri="fc331741-2a19-47d6-917e-2aa3ec78e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B5F9525-A7BE-4A8A-A1F8-3AB64EDE6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TotalTime>
  <Pages>32</Pages>
  <Words>12199</Words>
  <Characters>67095</Characters>
  <Application>Microsoft Office Word</Application>
  <DocSecurity>0</DocSecurity>
  <Lines>559</Lines>
  <Paragraphs>158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NYA VÄGVAL FÖR FRAMTIDENS ENERGI: CIVILSAMHÄLLET SOM NYCKELAKTÖR FÖR OMSTÄLLNINGEN TILL FÖRNYBAR ENERGI</vt:lpstr>
      <vt:lpstr/>
    </vt:vector>
  </TitlesOfParts>
  <Company>CESE-CdR</Company>
  <LinksUpToDate>false</LinksUpToDate>
  <CharactersWithSpaces>79136</CharactersWithSpaces>
  <SharedDoc>false</SharedDoc>
  <HLinks>
    <vt:vector size="216" baseType="variant">
      <vt:variant>
        <vt:i4>7995514</vt:i4>
      </vt:variant>
      <vt:variant>
        <vt:i4>237</vt:i4>
      </vt:variant>
      <vt:variant>
        <vt:i4>0</vt:i4>
      </vt:variant>
      <vt:variant>
        <vt:i4>5</vt:i4>
      </vt:variant>
      <vt:variant>
        <vt:lpwstr>http://www.eesc.europa.eu/red-study</vt:lpwstr>
      </vt:variant>
      <vt:variant>
        <vt:lpwstr/>
      </vt:variant>
      <vt:variant>
        <vt:i4>1376306</vt:i4>
      </vt:variant>
      <vt:variant>
        <vt:i4>206</vt:i4>
      </vt:variant>
      <vt:variant>
        <vt:i4>0</vt:i4>
      </vt:variant>
      <vt:variant>
        <vt:i4>5</vt:i4>
      </vt:variant>
      <vt:variant>
        <vt:lpwstr/>
      </vt:variant>
      <vt:variant>
        <vt:lpwstr>_Toc411238492</vt:lpwstr>
      </vt:variant>
      <vt:variant>
        <vt:i4>1376306</vt:i4>
      </vt:variant>
      <vt:variant>
        <vt:i4>200</vt:i4>
      </vt:variant>
      <vt:variant>
        <vt:i4>0</vt:i4>
      </vt:variant>
      <vt:variant>
        <vt:i4>5</vt:i4>
      </vt:variant>
      <vt:variant>
        <vt:lpwstr/>
      </vt:variant>
      <vt:variant>
        <vt:lpwstr>_Toc411238491</vt:lpwstr>
      </vt:variant>
      <vt:variant>
        <vt:i4>1376306</vt:i4>
      </vt:variant>
      <vt:variant>
        <vt:i4>194</vt:i4>
      </vt:variant>
      <vt:variant>
        <vt:i4>0</vt:i4>
      </vt:variant>
      <vt:variant>
        <vt:i4>5</vt:i4>
      </vt:variant>
      <vt:variant>
        <vt:lpwstr/>
      </vt:variant>
      <vt:variant>
        <vt:lpwstr>_Toc411238490</vt:lpwstr>
      </vt:variant>
      <vt:variant>
        <vt:i4>1310770</vt:i4>
      </vt:variant>
      <vt:variant>
        <vt:i4>188</vt:i4>
      </vt:variant>
      <vt:variant>
        <vt:i4>0</vt:i4>
      </vt:variant>
      <vt:variant>
        <vt:i4>5</vt:i4>
      </vt:variant>
      <vt:variant>
        <vt:lpwstr/>
      </vt:variant>
      <vt:variant>
        <vt:lpwstr>_Toc411238489</vt:lpwstr>
      </vt:variant>
      <vt:variant>
        <vt:i4>1310770</vt:i4>
      </vt:variant>
      <vt:variant>
        <vt:i4>182</vt:i4>
      </vt:variant>
      <vt:variant>
        <vt:i4>0</vt:i4>
      </vt:variant>
      <vt:variant>
        <vt:i4>5</vt:i4>
      </vt:variant>
      <vt:variant>
        <vt:lpwstr/>
      </vt:variant>
      <vt:variant>
        <vt:lpwstr>_Toc411238488</vt:lpwstr>
      </vt:variant>
      <vt:variant>
        <vt:i4>1310770</vt:i4>
      </vt:variant>
      <vt:variant>
        <vt:i4>176</vt:i4>
      </vt:variant>
      <vt:variant>
        <vt:i4>0</vt:i4>
      </vt:variant>
      <vt:variant>
        <vt:i4>5</vt:i4>
      </vt:variant>
      <vt:variant>
        <vt:lpwstr/>
      </vt:variant>
      <vt:variant>
        <vt:lpwstr>_Toc411238487</vt:lpwstr>
      </vt:variant>
      <vt:variant>
        <vt:i4>1310770</vt:i4>
      </vt:variant>
      <vt:variant>
        <vt:i4>170</vt:i4>
      </vt:variant>
      <vt:variant>
        <vt:i4>0</vt:i4>
      </vt:variant>
      <vt:variant>
        <vt:i4>5</vt:i4>
      </vt:variant>
      <vt:variant>
        <vt:lpwstr/>
      </vt:variant>
      <vt:variant>
        <vt:lpwstr>_Toc411238486</vt:lpwstr>
      </vt:variant>
      <vt:variant>
        <vt:i4>1310770</vt:i4>
      </vt:variant>
      <vt:variant>
        <vt:i4>164</vt:i4>
      </vt:variant>
      <vt:variant>
        <vt:i4>0</vt:i4>
      </vt:variant>
      <vt:variant>
        <vt:i4>5</vt:i4>
      </vt:variant>
      <vt:variant>
        <vt:lpwstr/>
      </vt:variant>
      <vt:variant>
        <vt:lpwstr>_Toc411238485</vt:lpwstr>
      </vt:variant>
      <vt:variant>
        <vt:i4>1310770</vt:i4>
      </vt:variant>
      <vt:variant>
        <vt:i4>158</vt:i4>
      </vt:variant>
      <vt:variant>
        <vt:i4>0</vt:i4>
      </vt:variant>
      <vt:variant>
        <vt:i4>5</vt:i4>
      </vt:variant>
      <vt:variant>
        <vt:lpwstr/>
      </vt:variant>
      <vt:variant>
        <vt:lpwstr>_Toc411238484</vt:lpwstr>
      </vt:variant>
      <vt:variant>
        <vt:i4>1310770</vt:i4>
      </vt:variant>
      <vt:variant>
        <vt:i4>152</vt:i4>
      </vt:variant>
      <vt:variant>
        <vt:i4>0</vt:i4>
      </vt:variant>
      <vt:variant>
        <vt:i4>5</vt:i4>
      </vt:variant>
      <vt:variant>
        <vt:lpwstr/>
      </vt:variant>
      <vt:variant>
        <vt:lpwstr>_Toc411238483</vt:lpwstr>
      </vt:variant>
      <vt:variant>
        <vt:i4>1310770</vt:i4>
      </vt:variant>
      <vt:variant>
        <vt:i4>146</vt:i4>
      </vt:variant>
      <vt:variant>
        <vt:i4>0</vt:i4>
      </vt:variant>
      <vt:variant>
        <vt:i4>5</vt:i4>
      </vt:variant>
      <vt:variant>
        <vt:lpwstr/>
      </vt:variant>
      <vt:variant>
        <vt:lpwstr>_Toc411238482</vt:lpwstr>
      </vt:variant>
      <vt:variant>
        <vt:i4>1310770</vt:i4>
      </vt:variant>
      <vt:variant>
        <vt:i4>140</vt:i4>
      </vt:variant>
      <vt:variant>
        <vt:i4>0</vt:i4>
      </vt:variant>
      <vt:variant>
        <vt:i4>5</vt:i4>
      </vt:variant>
      <vt:variant>
        <vt:lpwstr/>
      </vt:variant>
      <vt:variant>
        <vt:lpwstr>_Toc411238481</vt:lpwstr>
      </vt:variant>
      <vt:variant>
        <vt:i4>1310770</vt:i4>
      </vt:variant>
      <vt:variant>
        <vt:i4>134</vt:i4>
      </vt:variant>
      <vt:variant>
        <vt:i4>0</vt:i4>
      </vt:variant>
      <vt:variant>
        <vt:i4>5</vt:i4>
      </vt:variant>
      <vt:variant>
        <vt:lpwstr/>
      </vt:variant>
      <vt:variant>
        <vt:lpwstr>_Toc411238480</vt:lpwstr>
      </vt:variant>
      <vt:variant>
        <vt:i4>1769522</vt:i4>
      </vt:variant>
      <vt:variant>
        <vt:i4>128</vt:i4>
      </vt:variant>
      <vt:variant>
        <vt:i4>0</vt:i4>
      </vt:variant>
      <vt:variant>
        <vt:i4>5</vt:i4>
      </vt:variant>
      <vt:variant>
        <vt:lpwstr/>
      </vt:variant>
      <vt:variant>
        <vt:lpwstr>_Toc411238479</vt:lpwstr>
      </vt:variant>
      <vt:variant>
        <vt:i4>1769522</vt:i4>
      </vt:variant>
      <vt:variant>
        <vt:i4>122</vt:i4>
      </vt:variant>
      <vt:variant>
        <vt:i4>0</vt:i4>
      </vt:variant>
      <vt:variant>
        <vt:i4>5</vt:i4>
      </vt:variant>
      <vt:variant>
        <vt:lpwstr/>
      </vt:variant>
      <vt:variant>
        <vt:lpwstr>_Toc411238478</vt:lpwstr>
      </vt:variant>
      <vt:variant>
        <vt:i4>1769522</vt:i4>
      </vt:variant>
      <vt:variant>
        <vt:i4>116</vt:i4>
      </vt:variant>
      <vt:variant>
        <vt:i4>0</vt:i4>
      </vt:variant>
      <vt:variant>
        <vt:i4>5</vt:i4>
      </vt:variant>
      <vt:variant>
        <vt:lpwstr/>
      </vt:variant>
      <vt:variant>
        <vt:lpwstr>_Toc411238477</vt:lpwstr>
      </vt:variant>
      <vt:variant>
        <vt:i4>1769522</vt:i4>
      </vt:variant>
      <vt:variant>
        <vt:i4>110</vt:i4>
      </vt:variant>
      <vt:variant>
        <vt:i4>0</vt:i4>
      </vt:variant>
      <vt:variant>
        <vt:i4>5</vt:i4>
      </vt:variant>
      <vt:variant>
        <vt:lpwstr/>
      </vt:variant>
      <vt:variant>
        <vt:lpwstr>_Toc411238476</vt:lpwstr>
      </vt:variant>
      <vt:variant>
        <vt:i4>1769522</vt:i4>
      </vt:variant>
      <vt:variant>
        <vt:i4>104</vt:i4>
      </vt:variant>
      <vt:variant>
        <vt:i4>0</vt:i4>
      </vt:variant>
      <vt:variant>
        <vt:i4>5</vt:i4>
      </vt:variant>
      <vt:variant>
        <vt:lpwstr/>
      </vt:variant>
      <vt:variant>
        <vt:lpwstr>_Toc411238475</vt:lpwstr>
      </vt:variant>
      <vt:variant>
        <vt:i4>1769522</vt:i4>
      </vt:variant>
      <vt:variant>
        <vt:i4>98</vt:i4>
      </vt:variant>
      <vt:variant>
        <vt:i4>0</vt:i4>
      </vt:variant>
      <vt:variant>
        <vt:i4>5</vt:i4>
      </vt:variant>
      <vt:variant>
        <vt:lpwstr/>
      </vt:variant>
      <vt:variant>
        <vt:lpwstr>_Toc411238474</vt:lpwstr>
      </vt:variant>
      <vt:variant>
        <vt:i4>1769522</vt:i4>
      </vt:variant>
      <vt:variant>
        <vt:i4>92</vt:i4>
      </vt:variant>
      <vt:variant>
        <vt:i4>0</vt:i4>
      </vt:variant>
      <vt:variant>
        <vt:i4>5</vt:i4>
      </vt:variant>
      <vt:variant>
        <vt:lpwstr/>
      </vt:variant>
      <vt:variant>
        <vt:lpwstr>_Toc411238473</vt:lpwstr>
      </vt:variant>
      <vt:variant>
        <vt:i4>1769522</vt:i4>
      </vt:variant>
      <vt:variant>
        <vt:i4>86</vt:i4>
      </vt:variant>
      <vt:variant>
        <vt:i4>0</vt:i4>
      </vt:variant>
      <vt:variant>
        <vt:i4>5</vt:i4>
      </vt:variant>
      <vt:variant>
        <vt:lpwstr/>
      </vt:variant>
      <vt:variant>
        <vt:lpwstr>_Toc411238472</vt:lpwstr>
      </vt:variant>
      <vt:variant>
        <vt:i4>1769522</vt:i4>
      </vt:variant>
      <vt:variant>
        <vt:i4>80</vt:i4>
      </vt:variant>
      <vt:variant>
        <vt:i4>0</vt:i4>
      </vt:variant>
      <vt:variant>
        <vt:i4>5</vt:i4>
      </vt:variant>
      <vt:variant>
        <vt:lpwstr/>
      </vt:variant>
      <vt:variant>
        <vt:lpwstr>_Toc411238471</vt:lpwstr>
      </vt:variant>
      <vt:variant>
        <vt:i4>1769522</vt:i4>
      </vt:variant>
      <vt:variant>
        <vt:i4>74</vt:i4>
      </vt:variant>
      <vt:variant>
        <vt:i4>0</vt:i4>
      </vt:variant>
      <vt:variant>
        <vt:i4>5</vt:i4>
      </vt:variant>
      <vt:variant>
        <vt:lpwstr/>
      </vt:variant>
      <vt:variant>
        <vt:lpwstr>_Toc411238470</vt:lpwstr>
      </vt:variant>
      <vt:variant>
        <vt:i4>1703986</vt:i4>
      </vt:variant>
      <vt:variant>
        <vt:i4>68</vt:i4>
      </vt:variant>
      <vt:variant>
        <vt:i4>0</vt:i4>
      </vt:variant>
      <vt:variant>
        <vt:i4>5</vt:i4>
      </vt:variant>
      <vt:variant>
        <vt:lpwstr/>
      </vt:variant>
      <vt:variant>
        <vt:lpwstr>_Toc411238469</vt:lpwstr>
      </vt:variant>
      <vt:variant>
        <vt:i4>1703986</vt:i4>
      </vt:variant>
      <vt:variant>
        <vt:i4>62</vt:i4>
      </vt:variant>
      <vt:variant>
        <vt:i4>0</vt:i4>
      </vt:variant>
      <vt:variant>
        <vt:i4>5</vt:i4>
      </vt:variant>
      <vt:variant>
        <vt:lpwstr/>
      </vt:variant>
      <vt:variant>
        <vt:lpwstr>_Toc411238468</vt:lpwstr>
      </vt:variant>
      <vt:variant>
        <vt:i4>1703986</vt:i4>
      </vt:variant>
      <vt:variant>
        <vt:i4>56</vt:i4>
      </vt:variant>
      <vt:variant>
        <vt:i4>0</vt:i4>
      </vt:variant>
      <vt:variant>
        <vt:i4>5</vt:i4>
      </vt:variant>
      <vt:variant>
        <vt:lpwstr/>
      </vt:variant>
      <vt:variant>
        <vt:lpwstr>_Toc411238467</vt:lpwstr>
      </vt:variant>
      <vt:variant>
        <vt:i4>1703986</vt:i4>
      </vt:variant>
      <vt:variant>
        <vt:i4>50</vt:i4>
      </vt:variant>
      <vt:variant>
        <vt:i4>0</vt:i4>
      </vt:variant>
      <vt:variant>
        <vt:i4>5</vt:i4>
      </vt:variant>
      <vt:variant>
        <vt:lpwstr/>
      </vt:variant>
      <vt:variant>
        <vt:lpwstr>_Toc411238466</vt:lpwstr>
      </vt:variant>
      <vt:variant>
        <vt:i4>1703986</vt:i4>
      </vt:variant>
      <vt:variant>
        <vt:i4>44</vt:i4>
      </vt:variant>
      <vt:variant>
        <vt:i4>0</vt:i4>
      </vt:variant>
      <vt:variant>
        <vt:i4>5</vt:i4>
      </vt:variant>
      <vt:variant>
        <vt:lpwstr/>
      </vt:variant>
      <vt:variant>
        <vt:lpwstr>_Toc411238465</vt:lpwstr>
      </vt:variant>
      <vt:variant>
        <vt:i4>1703986</vt:i4>
      </vt:variant>
      <vt:variant>
        <vt:i4>38</vt:i4>
      </vt:variant>
      <vt:variant>
        <vt:i4>0</vt:i4>
      </vt:variant>
      <vt:variant>
        <vt:i4>5</vt:i4>
      </vt:variant>
      <vt:variant>
        <vt:lpwstr/>
      </vt:variant>
      <vt:variant>
        <vt:lpwstr>_Toc411238464</vt:lpwstr>
      </vt:variant>
      <vt:variant>
        <vt:i4>1703986</vt:i4>
      </vt:variant>
      <vt:variant>
        <vt:i4>32</vt:i4>
      </vt:variant>
      <vt:variant>
        <vt:i4>0</vt:i4>
      </vt:variant>
      <vt:variant>
        <vt:i4>5</vt:i4>
      </vt:variant>
      <vt:variant>
        <vt:lpwstr/>
      </vt:variant>
      <vt:variant>
        <vt:lpwstr>_Toc411238463</vt:lpwstr>
      </vt:variant>
      <vt:variant>
        <vt:i4>1703986</vt:i4>
      </vt:variant>
      <vt:variant>
        <vt:i4>26</vt:i4>
      </vt:variant>
      <vt:variant>
        <vt:i4>0</vt:i4>
      </vt:variant>
      <vt:variant>
        <vt:i4>5</vt:i4>
      </vt:variant>
      <vt:variant>
        <vt:lpwstr/>
      </vt:variant>
      <vt:variant>
        <vt:lpwstr>_Toc411238462</vt:lpwstr>
      </vt:variant>
      <vt:variant>
        <vt:i4>1703986</vt:i4>
      </vt:variant>
      <vt:variant>
        <vt:i4>20</vt:i4>
      </vt:variant>
      <vt:variant>
        <vt:i4>0</vt:i4>
      </vt:variant>
      <vt:variant>
        <vt:i4>5</vt:i4>
      </vt:variant>
      <vt:variant>
        <vt:lpwstr/>
      </vt:variant>
      <vt:variant>
        <vt:lpwstr>_Toc411238461</vt:lpwstr>
      </vt:variant>
      <vt:variant>
        <vt:i4>1703986</vt:i4>
      </vt:variant>
      <vt:variant>
        <vt:i4>14</vt:i4>
      </vt:variant>
      <vt:variant>
        <vt:i4>0</vt:i4>
      </vt:variant>
      <vt:variant>
        <vt:i4>5</vt:i4>
      </vt:variant>
      <vt:variant>
        <vt:lpwstr/>
      </vt:variant>
      <vt:variant>
        <vt:lpwstr>_Toc411238460</vt:lpwstr>
      </vt:variant>
      <vt:variant>
        <vt:i4>1638450</vt:i4>
      </vt:variant>
      <vt:variant>
        <vt:i4>8</vt:i4>
      </vt:variant>
      <vt:variant>
        <vt:i4>0</vt:i4>
      </vt:variant>
      <vt:variant>
        <vt:i4>5</vt:i4>
      </vt:variant>
      <vt:variant>
        <vt:lpwstr/>
      </vt:variant>
      <vt:variant>
        <vt:lpwstr>_Toc411238459</vt:lpwstr>
      </vt:variant>
      <vt:variant>
        <vt:i4>1638450</vt:i4>
      </vt:variant>
      <vt:variant>
        <vt:i4>2</vt:i4>
      </vt:variant>
      <vt:variant>
        <vt:i4>0</vt:i4>
      </vt:variant>
      <vt:variant>
        <vt:i4>5</vt:i4>
      </vt:variant>
      <vt:variant>
        <vt:lpwstr/>
      </vt:variant>
      <vt:variant>
        <vt:lpwstr>_Toc411238458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NYA VÄGVAL FÖR FRAMTIDENS ENERGI: CIVILSAMHÄLLET SOM NYCKELAKTÖR FÖR OMSTÄLLNINGEN TILL FÖRNYBAR ENERGI</dc:title>
  <dc:subject>Miscellaneous consultative docs.</dc:subject>
  <dc:creator>Rayka Hauser</dc:creator>
  <cp:keywords>EESC-2014-04780-00-02-TCD-TRA-EN</cp:keywords>
  <dc:description>Rapporteur: -_x000d_
Original language: EN_x000d_
Date of document: 12/01/2015_x000d_
Date of meeting: _x000d_
External documents: -_x000d_
Administrator responsible: Hauser Rayka, telephone: + 2 546 8678_x000d_
_x000d_
Abstract:</dc:description>
  <cp:lastModifiedBy>Graziella Dilkinska</cp:lastModifiedBy>
  <cp:revision>2</cp:revision>
  <cp:lastPrinted>2015-01-23T09:32:00Z</cp:lastPrinted>
  <dcterms:created xsi:type="dcterms:W3CDTF">2015-02-10T16:24:00Z</dcterms:created>
  <dcterms:modified xsi:type="dcterms:W3CDTF">2015-02-10T16:24:00Z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0x010100EA97B91038054C99906057A708A1480A0018D25216E8A3B845A7A963091613675C</vt:lpwstr>
  </property>
  <property fmtid="{D5CDD505-2E9C-101B-9397-08002B2CF9AE}" pid="3" name="MeetingDateAsText">
    <vt:lpwstr>02/10/2014 00:00:00</vt:lpwstr>
  </property>
  <property fmtid="{D5CDD505-2E9C-101B-9397-08002B2CF9AE}" pid="4" name="DocumentPartAsText">
    <vt:lpwstr>00</vt:lpwstr>
  </property>
  <property fmtid="{D5CDD505-2E9C-101B-9397-08002B2CF9AE}" pid="5" name="DocumentVersionAsText">
    <vt:lpwstr>02</vt:lpwstr>
  </property>
  <property fmtid="{D5CDD505-2E9C-101B-9397-08002B2CF9AE}" pid="6" name="SecurityGroupsAsXml">
    <vt:lpwstr/>
  </property>
  <property fmtid="{D5CDD505-2E9C-101B-9397-08002B2CF9AE}" pid="7" name="DossierNameAsText">
    <vt:lpwstr/>
  </property>
  <property fmtid="{D5CDD505-2E9C-101B-9397-08002B2CF9AE}" pid="8" name="DocumentLanguageAsText">
    <vt:lpwstr>EN</vt:lpwstr>
  </property>
  <property fmtid="{D5CDD505-2E9C-101B-9397-08002B2CF9AE}" pid="9" name="DocumentStatusAsText">
    <vt:lpwstr>TRA</vt:lpwstr>
  </property>
  <property fmtid="{D5CDD505-2E9C-101B-9397-08002B2CF9AE}" pid="10" name="DocumentNumberAsText">
    <vt:lpwstr>4780</vt:lpwstr>
  </property>
  <property fmtid="{D5CDD505-2E9C-101B-9397-08002B2CF9AE}" pid="11" name="RequestingServiceAsText">
    <vt:lpwstr>Unité NAT</vt:lpwstr>
  </property>
  <property fmtid="{D5CDD505-2E9C-101B-9397-08002B2CF9AE}" pid="12" name="ProcedureAsText">
    <vt:lpwstr/>
  </property>
  <property fmtid="{D5CDD505-2E9C-101B-9397-08002B2CF9AE}" pid="13" name="DossierNumberAsText">
    <vt:lpwstr/>
  </property>
  <property fmtid="{D5CDD505-2E9C-101B-9397-08002B2CF9AE}" pid="14" name="RapporteurAsText">
    <vt:lpwstr/>
  </property>
  <property fmtid="{D5CDD505-2E9C-101B-9397-08002B2CF9AE}" pid="15" name="FicheNumberAsText">
    <vt:lpwstr>165</vt:lpwstr>
  </property>
  <property fmtid="{D5CDD505-2E9C-101B-9397-08002B2CF9AE}" pid="16" name="FicheYearAsText">
    <vt:lpwstr>2015</vt:lpwstr>
  </property>
  <property fmtid="{D5CDD505-2E9C-101B-9397-08002B2CF9AE}" pid="17" name="AdoptionDateAsText">
    <vt:lpwstr>2015-01-22</vt:lpwstr>
  </property>
  <property fmtid="{D5CDD505-2E9C-101B-9397-08002B2CF9AE}" pid="18" name="ProductionDateAsText">
    <vt:lpwstr>2015-01-12</vt:lpwstr>
  </property>
  <property fmtid="{D5CDD505-2E9C-101B-9397-08002B2CF9AE}" pid="19" name="OriginalLanguageAsText">
    <vt:lpwstr>EN</vt:lpwstr>
  </property>
  <property fmtid="{D5CDD505-2E9C-101B-9397-08002B2CF9AE}" pid="20" name="DocumentSourceAsText">
    <vt:lpwstr>CES</vt:lpwstr>
  </property>
  <property fmtid="{D5CDD505-2E9C-101B-9397-08002B2CF9AE}" pid="21" name="DocumentTypeAsText">
    <vt:lpwstr>TCD</vt:lpwstr>
  </property>
  <property fmtid="{D5CDD505-2E9C-101B-9397-08002B2CF9AE}" pid="22" name="DocumentYearAsText">
    <vt:lpwstr>2014</vt:lpwstr>
  </property>
  <property fmtid="{D5CDD505-2E9C-101B-9397-08002B2CF9AE}" pid="23" name="ConfidentialityAsText">
    <vt:lpwstr>Unrestricted</vt:lpwstr>
  </property>
  <property fmtid="{D5CDD505-2E9C-101B-9397-08002B2CF9AE}" pid="24" name="_dlc_DocId">
    <vt:lpwstr>Q4AU5J5HWUN2-7-6990</vt:lpwstr>
  </property>
  <property fmtid="{D5CDD505-2E9C-101B-9397-08002B2CF9AE}" pid="25" name="_dlc_DocIdItemGuid">
    <vt:lpwstr>f0ca01b3-6f06-4623-897c-5e6919da6953</vt:lpwstr>
  </property>
  <property fmtid="{D5CDD505-2E9C-101B-9397-08002B2CF9AE}" pid="26" name="_dlc_DocIdUrl">
    <vt:lpwstr>http://dm/EESC/2014/_layouts/DocIdRedir.aspx?ID=Q4AU5J5HWUN2-7-6990, Q4AU5J5HWUN2-7-6990</vt:lpwstr>
  </property>
  <property fmtid="{D5CDD505-2E9C-101B-9397-08002B2CF9AE}" pid="27" name="DocumentType_0">
    <vt:lpwstr>TCD|cd9d6eb6-3f4f-424a-b2d1-57c9d450eaaf</vt:lpwstr>
  </property>
  <property fmtid="{D5CDD505-2E9C-101B-9397-08002B2CF9AE}" pid="28" name="Procedure">
    <vt:lpwstr/>
  </property>
  <property fmtid="{D5CDD505-2E9C-101B-9397-08002B2CF9AE}" pid="29" name="AvailableTranslations">
    <vt:lpwstr>6;#EN|f2175f21-25d7-44a3-96da-d6a61b075e1b;#12;#DE|f6b31e5a-26fa-4935-b661-318e46daf27e;#19;#IT|0774613c-01ed-4e5d-a25d-11d2388de825;#21;#EL|6d4f4d51-af9b-4650-94b4-4276bee85c91;#25;#FI|87606a43-d45f-42d6-b8c9-e1a3457db5b7;#30;#BG|1a1b3951-7821-4e6a-85f5-</vt:lpwstr>
  </property>
  <property fmtid="{D5CDD505-2E9C-101B-9397-08002B2CF9AE}" pid="30" name="DocumentSource_0">
    <vt:lpwstr>EESC|422833ec-8d7e-4e65-8e4e-8bed07ffb729</vt:lpwstr>
  </property>
  <property fmtid="{D5CDD505-2E9C-101B-9397-08002B2CF9AE}" pid="31" name="DossierName_0">
    <vt:lpwstr/>
  </property>
  <property fmtid="{D5CDD505-2E9C-101B-9397-08002B2CF9AE}" pid="32" name="Rapporteur">
    <vt:lpwstr/>
  </property>
  <property fmtid="{D5CDD505-2E9C-101B-9397-08002B2CF9AE}" pid="33" name="ProductionDate">
    <vt:lpwstr>2015-01-12T13:00:00Z</vt:lpwstr>
  </property>
  <property fmtid="{D5CDD505-2E9C-101B-9397-08002B2CF9AE}" pid="34" name="DocumentNumber">
    <vt:lpwstr>4780</vt:lpwstr>
  </property>
  <property fmtid="{D5CDD505-2E9C-101B-9397-08002B2CF9AE}" pid="35" name="FicheYear">
    <vt:lpwstr>2015</vt:lpwstr>
  </property>
  <property fmtid="{D5CDD505-2E9C-101B-9397-08002B2CF9AE}" pid="36" name="OriginalLanguage">
    <vt:lpwstr>6;#EN|f2175f21-25d7-44a3-96da-d6a61b075e1b</vt:lpwstr>
  </property>
  <property fmtid="{D5CDD505-2E9C-101B-9397-08002B2CF9AE}" pid="37" name="DocumentLanguage">
    <vt:lpwstr>27;#SV|c2ed69e7-a339-43d7-8f22-d93680a92aa0</vt:lpwstr>
  </property>
  <property fmtid="{D5CDD505-2E9C-101B-9397-08002B2CF9AE}" pid="38" name="DocumentStatus_0">
    <vt:lpwstr>TRA|150d2a88-1431-44e6-a8ca-0bb753ab8672</vt:lpwstr>
  </property>
  <property fmtid="{D5CDD505-2E9C-101B-9397-08002B2CF9AE}" pid="39" name="DocumentYear">
    <vt:lpwstr>2014</vt:lpwstr>
  </property>
  <property fmtid="{D5CDD505-2E9C-101B-9397-08002B2CF9AE}" pid="40" name="FicheNumber">
    <vt:lpwstr>165</vt:lpwstr>
  </property>
  <property fmtid="{D5CDD505-2E9C-101B-9397-08002B2CF9AE}" pid="41" name="MeetingDate">
    <vt:lpwstr>2014-10-02T14:00:00Z</vt:lpwstr>
  </property>
  <property fmtid="{D5CDD505-2E9C-101B-9397-08002B2CF9AE}" pid="42" name="OriginalLanguage_0">
    <vt:lpwstr>EN|f2175f21-25d7-44a3-96da-d6a61b075e1b</vt:lpwstr>
  </property>
  <property fmtid="{D5CDD505-2E9C-101B-9397-08002B2CF9AE}" pid="43" name="DocumentVersion">
    <vt:lpwstr>2</vt:lpwstr>
  </property>
  <property fmtid="{D5CDD505-2E9C-101B-9397-08002B2CF9AE}" pid="44" name="AvailableTranslations_0">
    <vt:lpwstr>EN|f2175f21-25d7-44a3-96da-d6a61b075e1b</vt:lpwstr>
  </property>
  <property fmtid="{D5CDD505-2E9C-101B-9397-08002B2CF9AE}" pid="45" name="DocumentLanguage_0">
    <vt:lpwstr>EN|f2175f21-25d7-44a3-96da-d6a61b075e1b</vt:lpwstr>
  </property>
  <property fmtid="{D5CDD505-2E9C-101B-9397-08002B2CF9AE}" pid="46" name="TaxCatchAll">
    <vt:lpwstr>6;#EN|f2175f21-25d7-44a3-96da-d6a61b075e1b;#5;#Unrestricted|826e22d7-d029-4ec0-a450-0c28ff673572;#3;#TCD|cd9d6eb6-3f4f-424a-b2d1-57c9d450eaaf;#2;#TRA|150d2a88-1431-44e6-a8ca-0bb753ab8672;#1;#EESC|422833ec-8d7e-4e65-8e4e-8bed07ffb729</vt:lpwstr>
  </property>
  <property fmtid="{D5CDD505-2E9C-101B-9397-08002B2CF9AE}" pid="47" name="DocumentSource">
    <vt:lpwstr>1;#EESC|422833ec-8d7e-4e65-8e4e-8bed07ffb729</vt:lpwstr>
  </property>
  <property fmtid="{D5CDD505-2E9C-101B-9397-08002B2CF9AE}" pid="48" name="DocumentStatus">
    <vt:lpwstr>2;#TRA|150d2a88-1431-44e6-a8ca-0bb753ab8672</vt:lpwstr>
  </property>
  <property fmtid="{D5CDD505-2E9C-101B-9397-08002B2CF9AE}" pid="49" name="DocumentType">
    <vt:lpwstr>3;#TCD|cd9d6eb6-3f4f-424a-b2d1-57c9d450eaaf</vt:lpwstr>
  </property>
  <property fmtid="{D5CDD505-2E9C-101B-9397-08002B2CF9AE}" pid="50" name="DocumentPart">
    <vt:lpwstr>0</vt:lpwstr>
  </property>
  <property fmtid="{D5CDD505-2E9C-101B-9397-08002B2CF9AE}" pid="51" name="DossierName">
    <vt:lpwstr/>
  </property>
  <property fmtid="{D5CDD505-2E9C-101B-9397-08002B2CF9AE}" pid="52" name="RequestingService">
    <vt:lpwstr>Unité NAT</vt:lpwstr>
  </property>
  <property fmtid="{D5CDD505-2E9C-101B-9397-08002B2CF9AE}" pid="53" name="Confidentiality">
    <vt:lpwstr>5;#Unrestricted|826e22d7-d029-4ec0-a450-0c28ff673572</vt:lpwstr>
  </property>
  <property fmtid="{D5CDD505-2E9C-101B-9397-08002B2CF9AE}" pid="54" name="Confidentiality_0">
    <vt:lpwstr>Unrestricted|826e22d7-d029-4ec0-a450-0c28ff673572</vt:lpwstr>
  </property>
  <property fmtid="{D5CDD505-2E9C-101B-9397-08002B2CF9AE}" pid="55" name="MeetingName_0">
    <vt:lpwstr/>
  </property>
  <property fmtid="{D5CDD505-2E9C-101B-9397-08002B2CF9AE}" pid="56" name="MeetingName">
    <vt:lpwstr>93;#SPL-CES|32d8cb1f-c9ec-4365-95c7-8385a18618ac</vt:lpwstr>
  </property>
  <property fmtid="{D5CDD505-2E9C-101B-9397-08002B2CF9AE}" pid="57" name="AdoptionDate">
    <vt:lpwstr>2015-01-22T13:00:00Z</vt:lpwstr>
  </property>
  <property fmtid="{D5CDD505-2E9C-101B-9397-08002B2CF9AE}" pid="58" name="Pref_formatted">
    <vt:bool>true</vt:bool>
  </property>
  <property fmtid="{D5CDD505-2E9C-101B-9397-08002B2CF9AE}" pid="59" name="Pref_Date">
    <vt:lpwstr>10/02/2015, 10/02/2015, 12/01/2015, 12/01/2015, 12/01/2015</vt:lpwstr>
  </property>
  <property fmtid="{D5CDD505-2E9C-101B-9397-08002B2CF9AE}" pid="60" name="Pref_Time">
    <vt:lpwstr>12/06/36, 11/44/07, 14/30/27, 13/32/26, 13:00:17</vt:lpwstr>
  </property>
  <property fmtid="{D5CDD505-2E9C-101B-9397-08002B2CF9AE}" pid="61" name="Pref_User">
    <vt:lpwstr>mkop, ymur, tvoc, sphil, ymur</vt:lpwstr>
  </property>
  <property fmtid="{D5CDD505-2E9C-101B-9397-08002B2CF9AE}" pid="62" name="Pref_FileName">
    <vt:lpwstr>EESC-2014-04780-00-04-TCD-TRA-EN-CRR.docx, EESC-2014-04780-00-04-TCD-CRR-EN.doc, EESC-2014-04780-00-02-TCD-ORI.doc, EESC-2014-04780-00-02-TCD-TRA-EN-CRR.doc, EESC-2014-04780-00-02-TCD-CRR-EN.doc</vt:lpwstr>
  </property>
  <property fmtid="{D5CDD505-2E9C-101B-9397-08002B2CF9AE}" pid="63" name="StyleCheckSum">
    <vt:lpwstr>54340_C75212_P422_L80</vt:lpwstr>
  </property>
</Properties>
</file>