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D13" w:rsidRPr="007C2F91" w:rsidRDefault="00193A76" w:rsidP="00DA3BBB">
      <w:pPr>
        <w:rPr>
          <w:b/>
          <w:bCs/>
        </w:rPr>
      </w:pPr>
      <w:bookmarkStart w:id="0" w:name="_Ref395175107"/>
      <w:bookmarkStart w:id="1" w:name="_GoBack"/>
      <w:bookmarkEnd w:id="1"/>
      <w:r>
        <w:rPr>
          <w:b/>
          <w:noProof/>
          <w:lang w:val="fr-BE" w:eastAsia="fr-BE" w:bidi="ar-SA"/>
        </w:rPr>
        <w:drawing>
          <wp:inline distT="0" distB="0" distL="0" distR="0">
            <wp:extent cx="5848350" cy="2108200"/>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2108200"/>
                    </a:xfrm>
                    <a:prstGeom prst="rect">
                      <a:avLst/>
                    </a:prstGeom>
                    <a:noFill/>
                    <a:ln>
                      <a:noFill/>
                    </a:ln>
                  </pic:spPr>
                </pic:pic>
              </a:graphicData>
            </a:graphic>
          </wp:inline>
        </w:drawing>
      </w:r>
    </w:p>
    <w:p w:rsidR="00FE752B" w:rsidRPr="007C2F91" w:rsidRDefault="00FE752B" w:rsidP="00DA3BBB">
      <w:pPr>
        <w:jc w:val="center"/>
        <w:rPr>
          <w:b/>
          <w:sz w:val="24"/>
        </w:rPr>
      </w:pPr>
    </w:p>
    <w:p w:rsidR="005A6DA3" w:rsidRPr="007C2F91" w:rsidRDefault="00CB0124" w:rsidP="00DA3BBB">
      <w:pPr>
        <w:jc w:val="center"/>
        <w:rPr>
          <w:b/>
          <w:sz w:val="24"/>
        </w:rPr>
      </w:pPr>
      <w:r w:rsidRPr="007C2F91">
        <w:rPr>
          <w:b/>
          <w:sz w:val="28"/>
          <w:szCs w:val="28"/>
        </w:rPr>
        <w:t>EN NY FREMTID PÅ ENERGIOMRÅDET:</w:t>
      </w:r>
      <w:r w:rsidRPr="007C2F91">
        <w:rPr>
          <w:b/>
          <w:sz w:val="28"/>
          <w:szCs w:val="28"/>
        </w:rPr>
        <w:br/>
      </w:r>
      <w:r w:rsidRPr="007C2F91">
        <w:rPr>
          <w:b/>
          <w:sz w:val="24"/>
        </w:rPr>
        <w:t>CIVILSAMFUNDET SOM HOVEDAKTØR INDEN FOR PRODUKTION AF VEDVARENDE ENERGI</w:t>
      </w:r>
    </w:p>
    <w:p w:rsidR="00FE752B" w:rsidRPr="007C2F91" w:rsidRDefault="00FE752B" w:rsidP="00DA3BBB">
      <w:pPr>
        <w:jc w:val="center"/>
        <w:rPr>
          <w:rFonts w:ascii="Segoe UI" w:hAnsi="Segoe UI" w:cs="Segoe UI"/>
          <w:sz w:val="24"/>
        </w:rPr>
      </w:pPr>
    </w:p>
    <w:p w:rsidR="00032F43" w:rsidRPr="007C2F91" w:rsidRDefault="005A6DA3" w:rsidP="00DA3BBB">
      <w:pPr>
        <w:jc w:val="center"/>
        <w:rPr>
          <w:sz w:val="24"/>
        </w:rPr>
      </w:pPr>
      <w:r w:rsidRPr="007C2F91">
        <w:rPr>
          <w:sz w:val="24"/>
        </w:rPr>
        <w:t>EØSU-undersøgelse af civilsamfundets rolle i forbi</w:t>
      </w:r>
      <w:r w:rsidR="009C1382" w:rsidRPr="007C2F91">
        <w:rPr>
          <w:sz w:val="24"/>
        </w:rPr>
        <w:t>ndelse med gennemførelsen af EU</w:t>
      </w:r>
      <w:r w:rsidR="009C1382" w:rsidRPr="007C2F91">
        <w:rPr>
          <w:sz w:val="24"/>
        </w:rPr>
        <w:noBreakHyphen/>
      </w:r>
      <w:r w:rsidRPr="007C2F91">
        <w:rPr>
          <w:sz w:val="24"/>
        </w:rPr>
        <w:t>direktivet om vedvarende energi</w:t>
      </w:r>
    </w:p>
    <w:p w:rsidR="0071019D" w:rsidRPr="007C2F91" w:rsidRDefault="0071019D"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5A6DA3" w:rsidRPr="007C2F91" w:rsidRDefault="0071019D" w:rsidP="00DA3BBB">
      <w:pPr>
        <w:jc w:val="center"/>
        <w:rPr>
          <w:sz w:val="24"/>
        </w:rPr>
      </w:pPr>
      <w:r w:rsidRPr="007C2F91">
        <w:rPr>
          <w:sz w:val="24"/>
        </w:rPr>
        <w:t xml:space="preserve">ENDELIG RAPPORT </w:t>
      </w:r>
    </w:p>
    <w:p w:rsidR="005A6DA3" w:rsidRPr="007C2F91" w:rsidRDefault="005A6DA3" w:rsidP="00DA3BBB">
      <w:pPr>
        <w:jc w:val="center"/>
        <w:rPr>
          <w:rFonts w:ascii="Segoe UI" w:hAnsi="Segoe UI" w:cs="Segoe UI"/>
          <w:sz w:val="24"/>
        </w:rPr>
      </w:pPr>
    </w:p>
    <w:p w:rsidR="00FE752B" w:rsidRPr="007C2F91" w:rsidRDefault="00193A76" w:rsidP="00DA3BBB">
      <w:pPr>
        <w:jc w:val="center"/>
        <w:rPr>
          <w:rFonts w:ascii="Segoe UI" w:hAnsi="Segoe UI" w:cs="Segoe UI"/>
          <w:sz w:val="24"/>
        </w:rPr>
      </w:pPr>
      <w:r>
        <w:rPr>
          <w:rFonts w:ascii="Segoe UI" w:hAnsi="Segoe UI" w:cs="Segoe UI"/>
          <w:noProof/>
          <w:lang w:val="fr-BE" w:eastAsia="fr-BE" w:bidi="ar-SA"/>
        </w:rPr>
        <mc:AlternateContent>
          <mc:Choice Requires="wps">
            <w:drawing>
              <wp:anchor distT="0" distB="0" distL="114300" distR="114300" simplePos="0" relativeHeight="251658240" behindDoc="1" locked="0" layoutInCell="0" allowOverlap="1">
                <wp:simplePos x="0" y="0"/>
                <wp:positionH relativeFrom="page">
                  <wp:posOffset>6769100</wp:posOffset>
                </wp:positionH>
                <wp:positionV relativeFrom="page">
                  <wp:posOffset>10081260</wp:posOffset>
                </wp:positionV>
                <wp:extent cx="647700" cy="396240"/>
                <wp:effectExtent l="0" t="0" r="0" b="381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BB6" w:rsidRPr="00260E65" w:rsidRDefault="00432BB6">
                            <w:pPr>
                              <w:jc w:val="center"/>
                              <w:rPr>
                                <w:rFonts w:ascii="Arial" w:hAnsi="Arial" w:cs="Arial"/>
                                <w:b/>
                                <w:bCs/>
                                <w:sz w:val="48"/>
                              </w:rPr>
                            </w:pPr>
                            <w:r>
                              <w:rPr>
                                <w:rFonts w:ascii="Arial" w:hAnsi="Arial"/>
                                <w:b/>
                                <w:sz w:val="4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ZXN2iLYCAAC6&#10;BQAADgAAAAAAAAAAAAAAAAAuAgAAZHJzL2Uyb0RvYy54bWxQSwECLQAUAAYACAAAACEA61QxWt4A&#10;AAAPAQAADwAAAAAAAAAAAAAAAAAQBQAAZHJzL2Rvd25yZXYueG1sUEsFBgAAAAAEAAQA8wAAABsG&#10;AAAAAA==&#10;" o:allowincell="f" filled="f" stroked="f">
                <v:textbox>
                  <w:txbxContent>
                    <w:p w:rsidR="00432BB6" w:rsidRPr="00260E65" w:rsidRDefault="00432BB6">
                      <w:pPr>
                        <w:jc w:val="center"/>
                        <w:rPr>
                          <w:rFonts w:ascii="Arial" w:hAnsi="Arial" w:cs="Arial"/>
                          <w:b/>
                          <w:bCs/>
                          <w:sz w:val="48"/>
                        </w:rPr>
                      </w:pPr>
                      <w:r>
                        <w:rPr>
                          <w:rFonts w:ascii="Arial" w:hAnsi="Arial"/>
                          <w:b/>
                          <w:sz w:val="48"/>
                        </w:rPr>
                        <w:t>DA</w:t>
                      </w:r>
                    </w:p>
                  </w:txbxContent>
                </v:textbox>
                <w10:wrap anchorx="page" anchory="page"/>
              </v:shape>
            </w:pict>
          </mc:Fallback>
        </mc:AlternateContent>
      </w: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FE752B" w:rsidRPr="007C2F91" w:rsidRDefault="00FE752B" w:rsidP="00DA3BBB">
      <w:pPr>
        <w:jc w:val="center"/>
        <w:rPr>
          <w:rFonts w:ascii="Segoe UI" w:hAnsi="Segoe UI" w:cs="Segoe UI"/>
          <w:sz w:val="24"/>
        </w:rPr>
      </w:pPr>
    </w:p>
    <w:p w:rsidR="0071019D" w:rsidRPr="007C2F91" w:rsidRDefault="005A6DA3" w:rsidP="00DA3BBB">
      <w:pPr>
        <w:jc w:val="left"/>
        <w:rPr>
          <w:i/>
          <w:sz w:val="24"/>
        </w:rPr>
      </w:pPr>
      <w:r w:rsidRPr="007C2F91">
        <w:rPr>
          <w:i/>
          <w:sz w:val="24"/>
        </w:rPr>
        <w:t>(januar 2015)</w:t>
      </w:r>
    </w:p>
    <w:p w:rsidR="00CC5F80" w:rsidRPr="007C2F91" w:rsidRDefault="005A6DA3" w:rsidP="00DA3BBB">
      <w:r w:rsidRPr="007C2F91">
        <w:br w:type="page"/>
      </w:r>
      <w:r w:rsidRPr="007C2F91">
        <w:lastRenderedPageBreak/>
        <w:t xml:space="preserve">Denne undersøgelse blev udført af et hold på ni medlemmer af EØSU's Observatorium for Bæredygtig Udvikling (SDO) og </w:t>
      </w:r>
      <w:proofErr w:type="spellStart"/>
      <w:r w:rsidRPr="007C2F91">
        <w:t>EØSU's</w:t>
      </w:r>
      <w:proofErr w:type="spellEnd"/>
      <w:r w:rsidRPr="007C2F91">
        <w:t xml:space="preserve"> Faglige Sektion for Transport, Energi, Infrastruktur og Informationssamfundet (TEN):</w:t>
      </w:r>
    </w:p>
    <w:p w:rsidR="007B46C7" w:rsidRPr="007C2F91" w:rsidRDefault="007B46C7" w:rsidP="00DA3BBB"/>
    <w:p w:rsidR="00CC5F80" w:rsidRPr="007C2F91" w:rsidRDefault="00CC5F80" w:rsidP="00DA3BBB">
      <w:pPr>
        <w:pStyle w:val="ListParagraph"/>
        <w:numPr>
          <w:ilvl w:val="0"/>
          <w:numId w:val="5"/>
        </w:numPr>
        <w:jc w:val="both"/>
        <w:rPr>
          <w:sz w:val="22"/>
          <w:szCs w:val="22"/>
        </w:rPr>
      </w:pPr>
      <w:r w:rsidRPr="007C2F91">
        <w:rPr>
          <w:sz w:val="22"/>
          <w:szCs w:val="22"/>
        </w:rPr>
        <w:t xml:space="preserve">en kernegruppe på tre medlemmer, som ledede arbejdet og besøgte de seks medlemsstater: </w:t>
      </w:r>
      <w:proofErr w:type="spellStart"/>
      <w:r w:rsidRPr="007C2F91">
        <w:rPr>
          <w:sz w:val="22"/>
          <w:szCs w:val="22"/>
        </w:rPr>
        <w:t>Lutz</w:t>
      </w:r>
      <w:proofErr w:type="spellEnd"/>
      <w:r w:rsidRPr="007C2F91">
        <w:rPr>
          <w:sz w:val="22"/>
          <w:szCs w:val="22"/>
        </w:rPr>
        <w:t xml:space="preserve"> Ribbe (overordnet koordinator), Isabel </w:t>
      </w:r>
      <w:proofErr w:type="spellStart"/>
      <w:r w:rsidRPr="007C2F91">
        <w:rPr>
          <w:sz w:val="22"/>
          <w:szCs w:val="22"/>
        </w:rPr>
        <w:t>Caño</w:t>
      </w:r>
      <w:proofErr w:type="spellEnd"/>
      <w:r w:rsidRPr="007C2F91">
        <w:rPr>
          <w:sz w:val="22"/>
          <w:szCs w:val="22"/>
        </w:rPr>
        <w:t xml:space="preserve"> </w:t>
      </w:r>
      <w:proofErr w:type="spellStart"/>
      <w:r w:rsidRPr="007C2F91">
        <w:rPr>
          <w:sz w:val="22"/>
          <w:szCs w:val="22"/>
        </w:rPr>
        <w:t>Aguilar</w:t>
      </w:r>
      <w:proofErr w:type="spellEnd"/>
      <w:r w:rsidRPr="007C2F91">
        <w:rPr>
          <w:sz w:val="22"/>
          <w:szCs w:val="22"/>
        </w:rPr>
        <w:t xml:space="preserve"> og Brenda King, og</w:t>
      </w:r>
    </w:p>
    <w:p w:rsidR="00CC5F80" w:rsidRPr="007C2F91" w:rsidRDefault="00CC5F80" w:rsidP="00DA3BBB">
      <w:pPr>
        <w:pStyle w:val="ListParagraph"/>
        <w:numPr>
          <w:ilvl w:val="0"/>
          <w:numId w:val="5"/>
        </w:numPr>
        <w:jc w:val="both"/>
        <w:rPr>
          <w:sz w:val="22"/>
          <w:szCs w:val="22"/>
        </w:rPr>
      </w:pPr>
      <w:r w:rsidRPr="007C2F91">
        <w:rPr>
          <w:sz w:val="22"/>
          <w:szCs w:val="22"/>
        </w:rPr>
        <w:t xml:space="preserve">en udvidet gruppe på seks medlemmer, som hjalp med gennemførelsen af casestudier i udvalgte medlemsstater: Andrzej </w:t>
      </w:r>
      <w:proofErr w:type="spellStart"/>
      <w:r w:rsidRPr="007C2F91">
        <w:rPr>
          <w:sz w:val="22"/>
          <w:szCs w:val="22"/>
        </w:rPr>
        <w:t>Chwiluk</w:t>
      </w:r>
      <w:proofErr w:type="spellEnd"/>
      <w:r w:rsidRPr="007C2F91">
        <w:rPr>
          <w:sz w:val="22"/>
          <w:szCs w:val="22"/>
        </w:rPr>
        <w:t xml:space="preserve"> (Polen), Pierre-Jean </w:t>
      </w:r>
      <w:proofErr w:type="spellStart"/>
      <w:r w:rsidRPr="007C2F91">
        <w:rPr>
          <w:sz w:val="22"/>
          <w:szCs w:val="22"/>
        </w:rPr>
        <w:t>Coulon</w:t>
      </w:r>
      <w:proofErr w:type="spellEnd"/>
      <w:r w:rsidRPr="007C2F91">
        <w:rPr>
          <w:sz w:val="22"/>
          <w:szCs w:val="22"/>
        </w:rPr>
        <w:t xml:space="preserve"> (Frankrig), Tom Jones (Det Forenede Kongerige), Vitas </w:t>
      </w:r>
      <w:proofErr w:type="spellStart"/>
      <w:r w:rsidRPr="007C2F91">
        <w:rPr>
          <w:sz w:val="22"/>
          <w:szCs w:val="22"/>
        </w:rPr>
        <w:t>Mačiulis</w:t>
      </w:r>
      <w:proofErr w:type="spellEnd"/>
      <w:r w:rsidRPr="007C2F91">
        <w:rPr>
          <w:sz w:val="22"/>
          <w:szCs w:val="22"/>
        </w:rPr>
        <w:t xml:space="preserve"> (Litauen), Georgi</w:t>
      </w:r>
      <w:r w:rsidR="003F4305" w:rsidRPr="007C2F91">
        <w:rPr>
          <w:sz w:val="22"/>
          <w:szCs w:val="22"/>
        </w:rPr>
        <w:t xml:space="preserve"> </w:t>
      </w:r>
      <w:proofErr w:type="spellStart"/>
      <w:r w:rsidR="003F4305" w:rsidRPr="007C2F91">
        <w:rPr>
          <w:sz w:val="22"/>
          <w:szCs w:val="22"/>
        </w:rPr>
        <w:t>Stoev</w:t>
      </w:r>
      <w:proofErr w:type="spellEnd"/>
      <w:r w:rsidR="003F4305" w:rsidRPr="007C2F91">
        <w:rPr>
          <w:sz w:val="22"/>
          <w:szCs w:val="22"/>
        </w:rPr>
        <w:t xml:space="preserve"> (Bulgarien) og Frank van </w:t>
      </w:r>
      <w:proofErr w:type="spellStart"/>
      <w:r w:rsidRPr="007C2F91">
        <w:rPr>
          <w:sz w:val="22"/>
          <w:szCs w:val="22"/>
        </w:rPr>
        <w:t>Oorschot</w:t>
      </w:r>
      <w:proofErr w:type="spellEnd"/>
      <w:r w:rsidRPr="007C2F91">
        <w:rPr>
          <w:sz w:val="22"/>
          <w:szCs w:val="22"/>
        </w:rPr>
        <w:t xml:space="preserve"> (Nederlandene). </w:t>
      </w:r>
    </w:p>
    <w:p w:rsidR="004229DB" w:rsidRPr="007C2F91" w:rsidRDefault="004229DB" w:rsidP="00DA3BBB">
      <w:pPr>
        <w:rPr>
          <w:rFonts w:ascii="Segoe UI" w:hAnsi="Segoe UI" w:cs="Segoe UI"/>
        </w:rPr>
      </w:pPr>
    </w:p>
    <w:p w:rsidR="00CC5F80" w:rsidRPr="007C2F91" w:rsidRDefault="000F3C0F" w:rsidP="00DA3BBB">
      <w:r w:rsidRPr="007C2F91">
        <w:t>Sekretariatet for Observatoriet for Bæredygtig Udvikling (Rayka Hauser og Nuno Quental) ydede løbende bistand i forbindelse med tilrettelæggelsen af casestudierne og udarbejdelsen af denne rapport.</w:t>
      </w:r>
    </w:p>
    <w:p w:rsidR="00CC5F80" w:rsidRPr="007C2F91" w:rsidRDefault="00CC5F80" w:rsidP="00DA3BBB">
      <w:pPr>
        <w:jc w:val="left"/>
        <w:rPr>
          <w:b/>
        </w:rPr>
      </w:pPr>
    </w:p>
    <w:p w:rsidR="007C4DC2" w:rsidRPr="007C2F91" w:rsidRDefault="007140E4" w:rsidP="00DA3BBB">
      <w:r w:rsidRPr="007C2F91">
        <w:t>EØSU's undersøgelseshold ønsker især at takke rådet for bæredygtig udvikling i den franske region Provence-Alpes-Côte-</w:t>
      </w:r>
      <w:proofErr w:type="spellStart"/>
      <w:r w:rsidRPr="007C2F91">
        <w:t>d'Azur</w:t>
      </w:r>
      <w:proofErr w:type="spellEnd"/>
      <w:r w:rsidRPr="007C2F91">
        <w:t xml:space="preserve"> (PACA), den walisiske regering, de polske minearbejderes fagforening, EU-repræsentationerne i Tyskland, Bulgarien, Polen og Wales samt de mange civilsamfundsorganisationer, sammenslutninger af bæredygtige energiproducenter, kooperativer, lokale initiativer og sociale virksomheder samt myndigheder på nationalt, regionalt og lokalt plan i de besøgte lande. De bidrog alle til tilrettelæggelsen af undersøgelsen, deltog aktivt i debatterne, viste entusiasme med hensyn til at fremme udbredelsen af decentral vedvarende energi og gav uvurderligt input på grundlag af deres forskellige synspunkter til udformningen af konklusionerne af denne undersøgelse.</w:t>
      </w:r>
    </w:p>
    <w:p w:rsidR="007C4DC2" w:rsidRPr="007C2F91" w:rsidRDefault="007C4DC2" w:rsidP="00407D2E"/>
    <w:p w:rsidR="00F71482" w:rsidRPr="007C2F91" w:rsidRDefault="00C95307" w:rsidP="00407D2E">
      <w:pPr>
        <w:rPr>
          <w:b/>
          <w:sz w:val="24"/>
        </w:rPr>
      </w:pPr>
      <w:r w:rsidRPr="007C2F91">
        <w:t xml:space="preserve">Denne rapport præsenterer først og fremmest den værdifulde feedback, som undersøgelsesholdet fik fra en lang række interessenter i forbindelse med besøgene og diskussionerne. </w:t>
      </w:r>
      <w:r w:rsidRPr="007C2F91">
        <w:br w:type="page"/>
      </w:r>
      <w:r w:rsidRPr="007C2F91">
        <w:rPr>
          <w:b/>
          <w:sz w:val="24"/>
        </w:rPr>
        <w:lastRenderedPageBreak/>
        <w:t>Indholdsfortegnelse</w:t>
      </w:r>
    </w:p>
    <w:p w:rsidR="00DC05ED" w:rsidRPr="007C2F91" w:rsidRDefault="00DE28D1" w:rsidP="00D80DB8">
      <w:pPr>
        <w:pStyle w:val="TOC1"/>
        <w:spacing w:line="240" w:lineRule="auto"/>
        <w:rPr>
          <w:rFonts w:ascii="Times New Roman" w:hAnsi="Times New Roman" w:cs="Times New Roman"/>
          <w:noProof/>
          <w:lang w:bidi="ar-SA"/>
        </w:rPr>
      </w:pPr>
      <w:r w:rsidRPr="007C2F91">
        <w:rPr>
          <w:rFonts w:ascii="Times New Roman" w:hAnsi="Times New Roman" w:cs="Times New Roman"/>
        </w:rPr>
        <w:fldChar w:fldCharType="begin"/>
      </w:r>
      <w:r w:rsidR="00F71482" w:rsidRPr="007C2F91">
        <w:rPr>
          <w:rFonts w:ascii="Times New Roman" w:hAnsi="Times New Roman" w:cs="Times New Roman"/>
        </w:rPr>
        <w:instrText xml:space="preserve"> TOC \o "1-3" \h \z \u </w:instrText>
      </w:r>
      <w:r w:rsidRPr="007C2F91">
        <w:rPr>
          <w:rFonts w:ascii="Times New Roman" w:hAnsi="Times New Roman" w:cs="Times New Roman"/>
        </w:rPr>
        <w:fldChar w:fldCharType="separate"/>
      </w:r>
      <w:hyperlink w:anchor="_Toc409432207" w:history="1">
        <w:r w:rsidR="00DC05ED" w:rsidRPr="007C2F91">
          <w:rPr>
            <w:rStyle w:val="Hyperlink"/>
            <w:rFonts w:ascii="Times New Roman" w:hAnsi="Times New Roman" w:cs="Times New Roman"/>
            <w:noProof/>
          </w:rPr>
          <w:t>1.</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Resumé af hovedkonklusionerne og de vigtigste anbefalinger</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_Toc409432207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5</w:t>
        </w:r>
        <w:r w:rsidR="00DC05ED" w:rsidRPr="007C2F91">
          <w:rPr>
            <w:rFonts w:ascii="Times New Roman" w:hAnsi="Times New Roman" w:cs="Times New Roman"/>
            <w:noProof/>
            <w:webHidden/>
          </w:rPr>
          <w:fldChar w:fldCharType="end"/>
        </w:r>
      </w:hyperlink>
    </w:p>
    <w:p w:rsidR="00DC05ED" w:rsidRPr="007C2F91" w:rsidRDefault="00403E1B" w:rsidP="00D80DB8">
      <w:pPr>
        <w:pStyle w:val="TOC2"/>
        <w:spacing w:line="240" w:lineRule="auto"/>
        <w:rPr>
          <w:noProof/>
          <w:lang w:bidi="ar-SA"/>
        </w:rPr>
      </w:pPr>
      <w:hyperlink w:anchor="_Toc409432208" w:history="1">
        <w:r w:rsidR="00DC05ED" w:rsidRPr="007C2F91">
          <w:rPr>
            <w:rStyle w:val="Hyperlink"/>
            <w:noProof/>
          </w:rPr>
          <w:t>1.1</w:t>
        </w:r>
        <w:r w:rsidR="00DC05ED" w:rsidRPr="007C2F91">
          <w:rPr>
            <w:noProof/>
            <w:lang w:bidi="ar-SA"/>
          </w:rPr>
          <w:tab/>
        </w:r>
        <w:r w:rsidR="00DC05ED" w:rsidRPr="007C2F91">
          <w:rPr>
            <w:rStyle w:val="Hyperlink"/>
            <w:noProof/>
          </w:rPr>
          <w:t>Hovedkonklusioner</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_Toc409432208 \h </w:instrText>
        </w:r>
        <w:r w:rsidR="00DC05ED" w:rsidRPr="007C2F91">
          <w:rPr>
            <w:noProof/>
            <w:webHidden/>
          </w:rPr>
        </w:r>
        <w:r w:rsidR="00DC05ED" w:rsidRPr="007C2F91">
          <w:rPr>
            <w:noProof/>
            <w:webHidden/>
          </w:rPr>
          <w:fldChar w:fldCharType="separate"/>
        </w:r>
        <w:r w:rsidR="00A822F5">
          <w:rPr>
            <w:noProof/>
            <w:webHidden/>
          </w:rPr>
          <w:t>5</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09" w:history="1">
        <w:r w:rsidR="00DC05ED" w:rsidRPr="007C2F91">
          <w:rPr>
            <w:rStyle w:val="Hyperlink"/>
            <w:noProof/>
          </w:rPr>
          <w:t>1.1.1</w:t>
        </w:r>
        <w:r w:rsidR="00DC05ED" w:rsidRPr="007C2F91">
          <w:rPr>
            <w:noProof/>
            <w:lang w:bidi="ar-SA"/>
          </w:rPr>
          <w:tab/>
        </w:r>
        <w:r w:rsidR="00DC05ED" w:rsidRPr="007C2F91">
          <w:rPr>
            <w:rStyle w:val="Hyperlink"/>
            <w:noProof/>
          </w:rPr>
          <w:t>En chance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_Toc409432209 \h </w:instrText>
        </w:r>
        <w:r w:rsidR="00DC05ED" w:rsidRPr="007C2F91">
          <w:rPr>
            <w:noProof/>
            <w:webHidden/>
          </w:rPr>
        </w:r>
        <w:r w:rsidR="00DC05ED" w:rsidRPr="007C2F91">
          <w:rPr>
            <w:noProof/>
            <w:webHidden/>
          </w:rPr>
          <w:fldChar w:fldCharType="separate"/>
        </w:r>
        <w:r w:rsidR="00A822F5">
          <w:rPr>
            <w:noProof/>
            <w:webHidden/>
          </w:rPr>
          <w:t>5</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0" w:history="1">
        <w:r w:rsidR="00DC05ED" w:rsidRPr="007C2F91">
          <w:rPr>
            <w:rStyle w:val="Hyperlink"/>
            <w:noProof/>
          </w:rPr>
          <w:t>1.1.2</w:t>
        </w:r>
        <w:r w:rsidR="00DC05ED" w:rsidRPr="007C2F91">
          <w:rPr>
            <w:noProof/>
            <w:lang w:bidi="ar-SA"/>
          </w:rPr>
          <w:tab/>
        </w:r>
        <w:r w:rsidR="00DC05ED" w:rsidRPr="007C2F91">
          <w:rPr>
            <w:rStyle w:val="Hyperlink"/>
            <w:noProof/>
          </w:rPr>
          <w:t>Frustration</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_Toc409432210 \h </w:instrText>
        </w:r>
        <w:r w:rsidR="00DC05ED" w:rsidRPr="007C2F91">
          <w:rPr>
            <w:noProof/>
            <w:webHidden/>
          </w:rPr>
        </w:r>
        <w:r w:rsidR="00DC05ED" w:rsidRPr="007C2F91">
          <w:rPr>
            <w:noProof/>
            <w:webHidden/>
          </w:rPr>
          <w:fldChar w:fldCharType="separate"/>
        </w:r>
        <w:r w:rsidR="00A822F5">
          <w:rPr>
            <w:noProof/>
            <w:webHidden/>
          </w:rPr>
          <w:t>5</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1" w:history="1">
        <w:r w:rsidR="00DC05ED" w:rsidRPr="007C2F91">
          <w:rPr>
            <w:rStyle w:val="Hyperlink"/>
            <w:noProof/>
          </w:rPr>
          <w:t>1.1.3</w:t>
        </w:r>
        <w:r w:rsidR="00DC05ED" w:rsidRPr="007C2F91">
          <w:rPr>
            <w:noProof/>
            <w:lang w:bidi="ar-SA"/>
          </w:rPr>
          <w:tab/>
        </w:r>
        <w:r w:rsidR="00DC05ED" w:rsidRPr="007C2F91">
          <w:rPr>
            <w:rStyle w:val="Hyperlink"/>
            <w:noProof/>
          </w:rPr>
          <w:t>Gode argumenter for vedvarende borgerenergi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_Toc409432211 \h </w:instrText>
        </w:r>
        <w:r w:rsidR="00DC05ED" w:rsidRPr="007C2F91">
          <w:rPr>
            <w:noProof/>
            <w:webHidden/>
          </w:rPr>
        </w:r>
        <w:r w:rsidR="00DC05ED" w:rsidRPr="007C2F91">
          <w:rPr>
            <w:noProof/>
            <w:webHidden/>
          </w:rPr>
          <w:fldChar w:fldCharType="separate"/>
        </w:r>
        <w:r w:rsidR="00A822F5">
          <w:rPr>
            <w:noProof/>
            <w:webHidden/>
          </w:rPr>
          <w:t>5</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2" w:history="1">
        <w:r w:rsidR="00DC05ED" w:rsidRPr="007C2F91">
          <w:rPr>
            <w:rStyle w:val="Hyperlink"/>
            <w:noProof/>
          </w:rPr>
          <w:t>1.1.4</w:t>
        </w:r>
        <w:r w:rsidR="00DC05ED" w:rsidRPr="007C2F91">
          <w:rPr>
            <w:noProof/>
            <w:lang w:bidi="ar-SA"/>
          </w:rPr>
          <w:tab/>
        </w:r>
        <w:r w:rsidR="00DC05ED" w:rsidRPr="007C2F91">
          <w:rPr>
            <w:rStyle w:val="Hyperlink"/>
            <w:noProof/>
          </w:rPr>
          <w:t>Et enormt, stort set uudnyttet potentiale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_Toc409432212 \h </w:instrText>
        </w:r>
        <w:r w:rsidR="00DC05ED" w:rsidRPr="007C2F91">
          <w:rPr>
            <w:noProof/>
            <w:webHidden/>
          </w:rPr>
        </w:r>
        <w:r w:rsidR="00DC05ED" w:rsidRPr="007C2F91">
          <w:rPr>
            <w:noProof/>
            <w:webHidden/>
          </w:rPr>
          <w:fldChar w:fldCharType="separate"/>
        </w:r>
        <w:r w:rsidR="00A822F5">
          <w:rPr>
            <w:noProof/>
            <w:webHidden/>
          </w:rPr>
          <w:t>6</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13" w:history="1">
        <w:r w:rsidR="00DC05ED" w:rsidRPr="007C2F91">
          <w:rPr>
            <w:rStyle w:val="Hyperlink"/>
            <w:noProof/>
          </w:rPr>
          <w:t>1.2</w:t>
        </w:r>
        <w:r w:rsidR="00DC05ED" w:rsidRPr="007C2F91">
          <w:rPr>
            <w:noProof/>
            <w:lang w:bidi="ar-SA"/>
          </w:rPr>
          <w:tab/>
        </w:r>
        <w:r w:rsidR="00DC05ED" w:rsidRPr="007C2F91">
          <w:rPr>
            <w:rStyle w:val="Hyperlink"/>
            <w:noProof/>
          </w:rPr>
          <w:t>Vigtigste anbefalinger</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_Toc409432213 \h </w:instrText>
        </w:r>
        <w:r w:rsidR="00DC05ED" w:rsidRPr="007C2F91">
          <w:rPr>
            <w:noProof/>
            <w:webHidden/>
          </w:rPr>
        </w:r>
        <w:r w:rsidR="00DC05ED" w:rsidRPr="007C2F91">
          <w:rPr>
            <w:noProof/>
            <w:webHidden/>
          </w:rPr>
          <w:fldChar w:fldCharType="separate"/>
        </w:r>
        <w:r w:rsidR="00A822F5">
          <w:rPr>
            <w:noProof/>
            <w:webHidden/>
          </w:rPr>
          <w:t>6</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4" w:history="1">
        <w:r w:rsidR="00DC05ED" w:rsidRPr="007C2F91">
          <w:rPr>
            <w:rStyle w:val="Hyperlink"/>
            <w:noProof/>
          </w:rPr>
          <w:t>1.2.1</w:t>
        </w:r>
        <w:r w:rsidR="00DC05ED" w:rsidRPr="007C2F91">
          <w:rPr>
            <w:noProof/>
            <w:lang w:bidi="ar-SA"/>
          </w:rPr>
          <w:tab/>
        </w:r>
        <w:r w:rsidR="00DC05ED" w:rsidRPr="007C2F91">
          <w:rPr>
            <w:rStyle w:val="Hyperlink"/>
            <w:noProof/>
          </w:rPr>
          <w:t>Etablering af lige vilkår for vedvarende 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_Toc409432214 \h </w:instrText>
        </w:r>
        <w:r w:rsidR="00DC05ED" w:rsidRPr="007C2F91">
          <w:rPr>
            <w:noProof/>
            <w:webHidden/>
          </w:rPr>
        </w:r>
        <w:r w:rsidR="00DC05ED" w:rsidRPr="007C2F91">
          <w:rPr>
            <w:noProof/>
            <w:webHidden/>
          </w:rPr>
          <w:fldChar w:fldCharType="separate"/>
        </w:r>
        <w:r w:rsidR="00A822F5">
          <w:rPr>
            <w:noProof/>
            <w:webHidden/>
          </w:rPr>
          <w:t>6</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5" w:history="1">
        <w:r w:rsidR="00DC05ED" w:rsidRPr="007C2F91">
          <w:rPr>
            <w:rStyle w:val="Hyperlink"/>
            <w:noProof/>
          </w:rPr>
          <w:t>1.2.2</w:t>
        </w:r>
        <w:r w:rsidR="00DC05ED" w:rsidRPr="007C2F91">
          <w:rPr>
            <w:noProof/>
            <w:lang w:bidi="ar-SA"/>
          </w:rPr>
          <w:tab/>
        </w:r>
        <w:r w:rsidR="00DC05ED" w:rsidRPr="007C2F91">
          <w:rPr>
            <w:rStyle w:val="Hyperlink"/>
            <w:noProof/>
          </w:rPr>
          <w:t>Decentral vedvarende borgerenergi en politisk prioritet</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_Toc409432215 \h </w:instrText>
        </w:r>
        <w:r w:rsidR="00DC05ED" w:rsidRPr="007C2F91">
          <w:rPr>
            <w:noProof/>
            <w:webHidden/>
          </w:rPr>
        </w:r>
        <w:r w:rsidR="00DC05ED" w:rsidRPr="007C2F91">
          <w:rPr>
            <w:noProof/>
            <w:webHidden/>
          </w:rPr>
          <w:fldChar w:fldCharType="separate"/>
        </w:r>
        <w:r w:rsidR="00A822F5">
          <w:rPr>
            <w:noProof/>
            <w:webHidden/>
          </w:rPr>
          <w:t>6</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6" w:history="1">
        <w:r w:rsidR="00DC05ED" w:rsidRPr="007C2F91">
          <w:rPr>
            <w:rStyle w:val="Hyperlink"/>
            <w:noProof/>
          </w:rPr>
          <w:t>1.2.3</w:t>
        </w:r>
        <w:r w:rsidR="00DC05ED" w:rsidRPr="007C2F91">
          <w:rPr>
            <w:noProof/>
            <w:lang w:bidi="ar-SA"/>
          </w:rPr>
          <w:tab/>
        </w:r>
        <w:r w:rsidR="00DC05ED" w:rsidRPr="007C2F91">
          <w:rPr>
            <w:rStyle w:val="Hyperlink"/>
            <w:noProof/>
          </w:rPr>
          <w:t>Etablering af stabile politiske rammer til fremme af vedvarende borgerenergi: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_Toc409432216 \h </w:instrText>
        </w:r>
        <w:r w:rsidR="00DC05ED" w:rsidRPr="007C2F91">
          <w:rPr>
            <w:noProof/>
            <w:webHidden/>
          </w:rPr>
        </w:r>
        <w:r w:rsidR="00DC05ED" w:rsidRPr="007C2F91">
          <w:rPr>
            <w:noProof/>
            <w:webHidden/>
          </w:rPr>
          <w:fldChar w:fldCharType="separate"/>
        </w:r>
        <w:r w:rsidR="00A822F5">
          <w:rPr>
            <w:noProof/>
            <w:webHidden/>
          </w:rPr>
          <w:t>6</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7" w:history="1">
        <w:r w:rsidR="00DC05ED" w:rsidRPr="007C2F91">
          <w:rPr>
            <w:rStyle w:val="Hyperlink"/>
            <w:noProof/>
          </w:rPr>
          <w:t>1.2.4</w:t>
        </w:r>
        <w:r w:rsidR="00DC05ED" w:rsidRPr="007C2F91">
          <w:rPr>
            <w:noProof/>
            <w:lang w:bidi="ar-SA"/>
          </w:rPr>
          <w:tab/>
        </w:r>
        <w:r w:rsidR="00DC05ED" w:rsidRPr="007C2F91">
          <w:rPr>
            <w:rStyle w:val="Hyperlink"/>
            <w:noProof/>
          </w:rPr>
          <w:t>En aktiv civilsamfundsdialog om energipolitikken</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_Toc409432217 \h </w:instrText>
        </w:r>
        <w:r w:rsidR="00DC05ED" w:rsidRPr="007C2F91">
          <w:rPr>
            <w:noProof/>
            <w:webHidden/>
          </w:rPr>
        </w:r>
        <w:r w:rsidR="00DC05ED" w:rsidRPr="007C2F91">
          <w:rPr>
            <w:noProof/>
            <w:webHidden/>
          </w:rPr>
          <w:fldChar w:fldCharType="separate"/>
        </w:r>
        <w:r w:rsidR="00A822F5">
          <w:rPr>
            <w:noProof/>
            <w:webHidden/>
          </w:rPr>
          <w:t>7</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8" w:history="1">
        <w:r w:rsidR="00DC05ED" w:rsidRPr="007C2F91">
          <w:rPr>
            <w:rStyle w:val="Hyperlink"/>
            <w:noProof/>
          </w:rPr>
          <w:t>1.2.5</w:t>
        </w:r>
        <w:r w:rsidR="00DC05ED" w:rsidRPr="007C2F91">
          <w:rPr>
            <w:noProof/>
            <w:lang w:bidi="ar-SA"/>
          </w:rPr>
          <w:tab/>
        </w:r>
        <w:r w:rsidR="00DC05ED" w:rsidRPr="007C2F91">
          <w:rPr>
            <w:rStyle w:val="Hyperlink"/>
            <w:noProof/>
          </w:rPr>
          <w:t>Lancering af en åben dialog om energipriser, omkostninger og fordele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_Toc409432218 \h </w:instrText>
        </w:r>
        <w:r w:rsidR="00DC05ED" w:rsidRPr="007C2F91">
          <w:rPr>
            <w:noProof/>
            <w:webHidden/>
          </w:rPr>
        </w:r>
        <w:r w:rsidR="00DC05ED" w:rsidRPr="007C2F91">
          <w:rPr>
            <w:noProof/>
            <w:webHidden/>
          </w:rPr>
          <w:fldChar w:fldCharType="separate"/>
        </w:r>
        <w:r w:rsidR="00A822F5">
          <w:rPr>
            <w:noProof/>
            <w:webHidden/>
          </w:rPr>
          <w:t>7</w:t>
        </w:r>
        <w:r w:rsidR="00DC05ED" w:rsidRPr="007C2F91">
          <w:rPr>
            <w:noProof/>
            <w:webHidden/>
          </w:rPr>
          <w:fldChar w:fldCharType="end"/>
        </w:r>
      </w:hyperlink>
    </w:p>
    <w:p w:rsidR="00DC05ED" w:rsidRPr="007C2F91" w:rsidRDefault="00403E1B" w:rsidP="00D80DB8">
      <w:pPr>
        <w:pStyle w:val="TOC3"/>
        <w:tabs>
          <w:tab w:val="left" w:pos="1100"/>
          <w:tab w:val="right" w:leader="dot" w:pos="9063"/>
        </w:tabs>
        <w:spacing w:line="240" w:lineRule="auto"/>
        <w:rPr>
          <w:noProof/>
          <w:lang w:bidi="ar-SA"/>
        </w:rPr>
      </w:pPr>
      <w:hyperlink w:anchor="_Toc409432219" w:history="1">
        <w:r w:rsidR="00DC05ED" w:rsidRPr="007C2F91">
          <w:rPr>
            <w:rStyle w:val="Hyperlink"/>
            <w:noProof/>
          </w:rPr>
          <w:t>1.2.6</w:t>
        </w:r>
        <w:r w:rsidR="00DC05ED" w:rsidRPr="007C2F91">
          <w:rPr>
            <w:noProof/>
            <w:lang w:bidi="ar-SA"/>
          </w:rPr>
          <w:tab/>
        </w:r>
        <w:r w:rsidR="00DC05ED" w:rsidRPr="007C2F91">
          <w:rPr>
            <w:rStyle w:val="Hyperlink"/>
            <w:noProof/>
          </w:rPr>
          <w:t>Håndtering af de sociale konsekvenser af energiomstillingen</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_Toc409432219 \h </w:instrText>
        </w:r>
        <w:r w:rsidR="00DC05ED" w:rsidRPr="007C2F91">
          <w:rPr>
            <w:noProof/>
            <w:webHidden/>
          </w:rPr>
        </w:r>
        <w:r w:rsidR="00DC05ED" w:rsidRPr="007C2F91">
          <w:rPr>
            <w:noProof/>
            <w:webHidden/>
          </w:rPr>
          <w:fldChar w:fldCharType="separate"/>
        </w:r>
        <w:r w:rsidR="00A822F5">
          <w:rPr>
            <w:noProof/>
            <w:webHidden/>
          </w:rPr>
          <w:t>8</w:t>
        </w:r>
        <w:r w:rsidR="00DC05ED" w:rsidRPr="007C2F91">
          <w:rPr>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20" w:history="1">
        <w:r w:rsidR="00DC05ED" w:rsidRPr="007C2F91">
          <w:rPr>
            <w:rStyle w:val="Hyperlink"/>
            <w:rFonts w:ascii="Times New Roman" w:hAnsi="Times New Roman" w:cs="Times New Roman"/>
            <w:noProof/>
          </w:rPr>
          <w:t>2.</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Indledning</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_Toc409432220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8</w:t>
        </w:r>
        <w:r w:rsidR="00DC05ED" w:rsidRPr="007C2F91">
          <w:rPr>
            <w:rFonts w:ascii="Times New Roman" w:hAnsi="Times New Roman" w:cs="Times New Roman"/>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21" w:history="1">
        <w:r w:rsidR="00DC05ED" w:rsidRPr="007C2F91">
          <w:rPr>
            <w:rStyle w:val="Hyperlink"/>
            <w:rFonts w:ascii="Times New Roman" w:hAnsi="Times New Roman" w:cs="Times New Roman"/>
            <w:noProof/>
          </w:rPr>
          <w:t>3.</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Undersøgelsens tilgang</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_Toc409432221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10</w:t>
        </w:r>
        <w:r w:rsidR="00DC05ED" w:rsidRPr="007C2F91">
          <w:rPr>
            <w:rFonts w:ascii="Times New Roman" w:hAnsi="Times New Roman" w:cs="Times New Roman"/>
            <w:noProof/>
            <w:webHidden/>
          </w:rPr>
          <w:fldChar w:fldCharType="end"/>
        </w:r>
      </w:hyperlink>
    </w:p>
    <w:p w:rsidR="00DC05ED" w:rsidRPr="007C2F91" w:rsidRDefault="00403E1B" w:rsidP="00D80DB8">
      <w:pPr>
        <w:pStyle w:val="TOC2"/>
        <w:spacing w:line="240" w:lineRule="auto"/>
        <w:rPr>
          <w:noProof/>
          <w:lang w:bidi="ar-SA"/>
        </w:rPr>
      </w:pPr>
      <w:hyperlink w:anchor="_Toc409432222" w:history="1">
        <w:r w:rsidR="00DC05ED" w:rsidRPr="007C2F91">
          <w:rPr>
            <w:rStyle w:val="Hyperlink"/>
            <w:noProof/>
          </w:rPr>
          <w:t>3.1</w:t>
        </w:r>
        <w:r w:rsidR="00DC05ED" w:rsidRPr="007C2F91">
          <w:rPr>
            <w:noProof/>
            <w:lang w:bidi="ar-SA"/>
          </w:rPr>
          <w:tab/>
        </w:r>
        <w:r w:rsidR="00DC05ED" w:rsidRPr="007C2F91">
          <w:rPr>
            <w:rStyle w:val="Hyperlink"/>
            <w:noProof/>
          </w:rPr>
          <w:t>Mål</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_Toc409432222 \h </w:instrText>
        </w:r>
        <w:r w:rsidR="00DC05ED" w:rsidRPr="007C2F91">
          <w:rPr>
            <w:noProof/>
            <w:webHidden/>
          </w:rPr>
        </w:r>
        <w:r w:rsidR="00DC05ED" w:rsidRPr="007C2F91">
          <w:rPr>
            <w:noProof/>
            <w:webHidden/>
          </w:rPr>
          <w:fldChar w:fldCharType="separate"/>
        </w:r>
        <w:r w:rsidR="00A822F5">
          <w:rPr>
            <w:noProof/>
            <w:webHidden/>
          </w:rPr>
          <w:t>10</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23" w:history="1">
        <w:r w:rsidR="00DC05ED" w:rsidRPr="007C2F91">
          <w:rPr>
            <w:rStyle w:val="Hyperlink"/>
            <w:noProof/>
          </w:rPr>
          <w:t>3.2</w:t>
        </w:r>
        <w:r w:rsidR="00DC05ED" w:rsidRPr="007C2F91">
          <w:rPr>
            <w:noProof/>
            <w:lang w:bidi="ar-SA"/>
          </w:rPr>
          <w:tab/>
        </w:r>
        <w:r w:rsidR="00DC05ED" w:rsidRPr="007C2F91">
          <w:rPr>
            <w:rStyle w:val="Hyperlink"/>
            <w:noProof/>
          </w:rPr>
          <w:t>Metode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_Toc409432223 \h </w:instrText>
        </w:r>
        <w:r w:rsidR="00DC05ED" w:rsidRPr="007C2F91">
          <w:rPr>
            <w:noProof/>
            <w:webHidden/>
          </w:rPr>
        </w:r>
        <w:r w:rsidR="00DC05ED" w:rsidRPr="007C2F91">
          <w:rPr>
            <w:noProof/>
            <w:webHidden/>
          </w:rPr>
          <w:fldChar w:fldCharType="separate"/>
        </w:r>
        <w:r w:rsidR="00A822F5">
          <w:rPr>
            <w:noProof/>
            <w:webHidden/>
          </w:rPr>
          <w:t>11</w:t>
        </w:r>
        <w:r w:rsidR="00DC05ED" w:rsidRPr="007C2F91">
          <w:rPr>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24" w:history="1">
        <w:r w:rsidR="00DC05ED" w:rsidRPr="007C2F91">
          <w:rPr>
            <w:rStyle w:val="Hyperlink"/>
            <w:rFonts w:ascii="Times New Roman" w:hAnsi="Times New Roman" w:cs="Times New Roman"/>
            <w:noProof/>
          </w:rPr>
          <w:t>4.</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Fremskridt inden for vedvarende energi i EU: et øjebliksbillede</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_Toc409432224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12</w:t>
        </w:r>
        <w:r w:rsidR="00DC05ED" w:rsidRPr="007C2F91">
          <w:rPr>
            <w:rFonts w:ascii="Times New Roman" w:hAnsi="Times New Roman" w:cs="Times New Roman"/>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25" w:history="1">
        <w:r w:rsidR="00DC05ED" w:rsidRPr="007C2F91">
          <w:rPr>
            <w:rStyle w:val="Hyperlink"/>
            <w:rFonts w:ascii="Times New Roman" w:hAnsi="Times New Roman" w:cs="Times New Roman"/>
            <w:noProof/>
          </w:rPr>
          <w:t>5.</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Gode argumenter for inddragelse af civilsamfundet og for vedvarende borgerenergi</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_Toc409432225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13</w:t>
        </w:r>
        <w:r w:rsidR="00DC05ED" w:rsidRPr="007C2F91">
          <w:rPr>
            <w:rFonts w:ascii="Times New Roman" w:hAnsi="Times New Roman" w:cs="Times New Roman"/>
            <w:noProof/>
            <w:webHidden/>
          </w:rPr>
          <w:fldChar w:fldCharType="end"/>
        </w:r>
      </w:hyperlink>
    </w:p>
    <w:p w:rsidR="00DC05ED" w:rsidRPr="007C2F91" w:rsidRDefault="00403E1B" w:rsidP="00D80DB8">
      <w:pPr>
        <w:pStyle w:val="TOC2"/>
        <w:spacing w:line="240" w:lineRule="auto"/>
        <w:rPr>
          <w:noProof/>
          <w:lang w:bidi="ar-SA"/>
        </w:rPr>
      </w:pPr>
      <w:hyperlink w:anchor="_Toc409432226" w:history="1">
        <w:r w:rsidR="00DC05ED" w:rsidRPr="007C2F91">
          <w:rPr>
            <w:rStyle w:val="Hyperlink"/>
            <w:noProof/>
          </w:rPr>
          <w:t>5.3</w:t>
        </w:r>
        <w:r w:rsidR="00DC05ED" w:rsidRPr="007C2F91">
          <w:rPr>
            <w:noProof/>
            <w:lang w:bidi="ar-SA"/>
          </w:rPr>
          <w:tab/>
        </w:r>
        <w:r w:rsidR="00DC05ED" w:rsidRPr="007C2F91">
          <w:rPr>
            <w:rStyle w:val="Hyperlink"/>
            <w:noProof/>
          </w:rPr>
          <w:t>Borgerenergi frigør midler, som er nødvendige til omstillingen til vedvarende 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_Toc409432226 \h </w:instrText>
        </w:r>
        <w:r w:rsidR="00DC05ED" w:rsidRPr="007C2F91">
          <w:rPr>
            <w:noProof/>
            <w:webHidden/>
          </w:rPr>
        </w:r>
        <w:r w:rsidR="00DC05ED" w:rsidRPr="007C2F91">
          <w:rPr>
            <w:noProof/>
            <w:webHidden/>
          </w:rPr>
          <w:fldChar w:fldCharType="separate"/>
        </w:r>
        <w:r w:rsidR="00A822F5">
          <w:rPr>
            <w:noProof/>
            <w:webHidden/>
          </w:rPr>
          <w:t>15</w:t>
        </w:r>
        <w:r w:rsidR="00DC05ED" w:rsidRPr="007C2F91">
          <w:rPr>
            <w:noProof/>
            <w:webHidden/>
          </w:rPr>
          <w:fldChar w:fldCharType="end"/>
        </w:r>
      </w:hyperlink>
    </w:p>
    <w:p w:rsidR="00DC05ED" w:rsidRPr="007C2F91" w:rsidRDefault="00403E1B" w:rsidP="00D80DB8">
      <w:pPr>
        <w:pStyle w:val="TOC2"/>
        <w:spacing w:line="240" w:lineRule="auto"/>
        <w:ind w:left="709" w:hanging="425"/>
        <w:rPr>
          <w:noProof/>
          <w:lang w:bidi="ar-SA"/>
        </w:rPr>
      </w:pPr>
      <w:hyperlink w:anchor="_Toc409432227" w:history="1">
        <w:r w:rsidR="00DC05ED" w:rsidRPr="007C2F91">
          <w:rPr>
            <w:rStyle w:val="Hyperlink"/>
            <w:noProof/>
          </w:rPr>
          <w:t>5.4</w:t>
        </w:r>
        <w:r w:rsidR="00DC05ED" w:rsidRPr="007C2F91">
          <w:rPr>
            <w:noProof/>
            <w:lang w:bidi="ar-SA"/>
          </w:rPr>
          <w:tab/>
        </w:r>
        <w:r w:rsidR="00DC05ED" w:rsidRPr="007C2F91">
          <w:rPr>
            <w:rStyle w:val="Hyperlink"/>
            <w:noProof/>
          </w:rPr>
          <w:t xml:space="preserve">Vedvarende borgerenergi fremmer udviklingen af lokalsamfund og </w:t>
        </w:r>
        <w:r w:rsidR="009C2916" w:rsidRPr="007C2F91">
          <w:rPr>
            <w:rStyle w:val="Hyperlink"/>
            <w:noProof/>
          </w:rPr>
          <w:br/>
        </w:r>
        <w:r w:rsidR="00DC05ED" w:rsidRPr="007C2F91">
          <w:rPr>
            <w:rStyle w:val="Hyperlink"/>
            <w:noProof/>
          </w:rPr>
          <w:t>bekæmper energifattigdom</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_Toc409432227 \h </w:instrText>
        </w:r>
        <w:r w:rsidR="00DC05ED" w:rsidRPr="007C2F91">
          <w:rPr>
            <w:noProof/>
            <w:webHidden/>
          </w:rPr>
        </w:r>
        <w:r w:rsidR="00DC05ED" w:rsidRPr="007C2F91">
          <w:rPr>
            <w:noProof/>
            <w:webHidden/>
          </w:rPr>
          <w:fldChar w:fldCharType="separate"/>
        </w:r>
        <w:r w:rsidR="00A822F5">
          <w:rPr>
            <w:noProof/>
            <w:webHidden/>
          </w:rPr>
          <w:t>16</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28" w:history="1">
        <w:r w:rsidR="00DC05ED" w:rsidRPr="007C2F91">
          <w:rPr>
            <w:rStyle w:val="Hyperlink"/>
            <w:noProof/>
          </w:rPr>
          <w:t>5.5</w:t>
        </w:r>
        <w:r w:rsidR="00DC05ED" w:rsidRPr="007C2F91">
          <w:rPr>
            <w:noProof/>
            <w:lang w:bidi="ar-SA"/>
          </w:rPr>
          <w:tab/>
        </w:r>
        <w:r w:rsidR="00DC05ED" w:rsidRPr="007C2F91">
          <w:rPr>
            <w:rStyle w:val="Hyperlink"/>
            <w:noProof/>
          </w:rPr>
          <w:t xml:space="preserve">Produktion af vedvarende borgerenergi er en nettokilde til beskæftigelse og </w:t>
        </w:r>
        <w:r w:rsidR="009C2916" w:rsidRPr="007C2F91">
          <w:rPr>
            <w:rStyle w:val="Hyperlink"/>
            <w:noProof/>
          </w:rPr>
          <w:br/>
        </w:r>
        <w:r w:rsidR="009C2916" w:rsidRPr="007C2F91">
          <w:rPr>
            <w:rStyle w:val="Hyperlink"/>
            <w:noProof/>
          </w:rPr>
          <w:tab/>
        </w:r>
        <w:r w:rsidR="00DC05ED" w:rsidRPr="007C2F91">
          <w:rPr>
            <w:rStyle w:val="Hyperlink"/>
            <w:noProof/>
          </w:rPr>
          <w:t>økonomisk vækst</w:t>
        </w:r>
        <w:r w:rsidR="003F4305" w:rsidRPr="007C2F91">
          <w:rPr>
            <w:noProof/>
            <w:webHidden/>
          </w:rPr>
          <w:tab/>
        </w:r>
        <w:r w:rsidR="00DC05ED" w:rsidRPr="007C2F91">
          <w:rPr>
            <w:noProof/>
            <w:webHidden/>
          </w:rPr>
          <w:fldChar w:fldCharType="begin"/>
        </w:r>
        <w:r w:rsidR="00DC05ED" w:rsidRPr="007C2F91">
          <w:rPr>
            <w:noProof/>
            <w:webHidden/>
          </w:rPr>
          <w:instrText xml:space="preserve"> PAGEREF _Toc409432228 \h </w:instrText>
        </w:r>
        <w:r w:rsidR="00DC05ED" w:rsidRPr="007C2F91">
          <w:rPr>
            <w:noProof/>
            <w:webHidden/>
          </w:rPr>
        </w:r>
        <w:r w:rsidR="00DC05ED" w:rsidRPr="007C2F91">
          <w:rPr>
            <w:noProof/>
            <w:webHidden/>
          </w:rPr>
          <w:fldChar w:fldCharType="separate"/>
        </w:r>
        <w:r w:rsidR="00A822F5">
          <w:rPr>
            <w:noProof/>
            <w:webHidden/>
          </w:rPr>
          <w:t>18</w:t>
        </w:r>
        <w:r w:rsidR="00DC05ED" w:rsidRPr="007C2F91">
          <w:rPr>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29" w:history="1">
        <w:r w:rsidR="00DC05ED" w:rsidRPr="007C2F91">
          <w:rPr>
            <w:rStyle w:val="Hyperlink"/>
            <w:rFonts w:ascii="Times New Roman" w:hAnsi="Times New Roman" w:cs="Times New Roman"/>
            <w:noProof/>
          </w:rPr>
          <w:t>6.</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Debatten om vedvarende energipriser og -omkostninger</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_Toc409432229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18</w:t>
        </w:r>
        <w:r w:rsidR="00DC05ED" w:rsidRPr="007C2F91">
          <w:rPr>
            <w:rFonts w:ascii="Times New Roman" w:hAnsi="Times New Roman" w:cs="Times New Roman"/>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30" w:history="1">
        <w:r w:rsidR="00DC05ED" w:rsidRPr="007C2F91">
          <w:rPr>
            <w:rStyle w:val="Hyperlink"/>
            <w:rFonts w:ascii="Times New Roman" w:hAnsi="Times New Roman" w:cs="Times New Roman"/>
            <w:noProof/>
          </w:rPr>
          <w:t>7.</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Hvilke forudsætninger er nødvendige for at udvikle potentialet i borgerenergi?</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_Toc409432230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20</w:t>
        </w:r>
        <w:r w:rsidR="00DC05ED" w:rsidRPr="007C2F91">
          <w:rPr>
            <w:rFonts w:ascii="Times New Roman" w:hAnsi="Times New Roman" w:cs="Times New Roman"/>
            <w:noProof/>
            <w:webHidden/>
          </w:rPr>
          <w:fldChar w:fldCharType="end"/>
        </w:r>
      </w:hyperlink>
    </w:p>
    <w:p w:rsidR="00DC05ED" w:rsidRPr="007C2F91" w:rsidRDefault="00403E1B" w:rsidP="00D80DB8">
      <w:pPr>
        <w:pStyle w:val="TOC2"/>
        <w:spacing w:line="240" w:lineRule="auto"/>
        <w:rPr>
          <w:noProof/>
          <w:lang w:bidi="ar-SA"/>
        </w:rPr>
      </w:pPr>
      <w:hyperlink w:anchor="_Toc409432231" w:history="1">
        <w:r w:rsidR="00DC05ED" w:rsidRPr="007C2F91">
          <w:rPr>
            <w:rStyle w:val="Hyperlink"/>
            <w:noProof/>
          </w:rPr>
          <w:t>7.2</w:t>
        </w:r>
        <w:r w:rsidR="00DC05ED" w:rsidRPr="007C2F91">
          <w:rPr>
            <w:noProof/>
            <w:lang w:bidi="ar-SA"/>
          </w:rPr>
          <w:tab/>
        </w:r>
        <w:r w:rsidR="00DC05ED" w:rsidRPr="007C2F91">
          <w:rPr>
            <w:rStyle w:val="Hyperlink"/>
            <w:noProof/>
          </w:rPr>
          <w:t>En stabil og sammenhængende politisk ramme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_Toc409432231 \h </w:instrText>
        </w:r>
        <w:r w:rsidR="00DC05ED" w:rsidRPr="007C2F91">
          <w:rPr>
            <w:noProof/>
            <w:webHidden/>
          </w:rPr>
        </w:r>
        <w:r w:rsidR="00DC05ED" w:rsidRPr="007C2F91">
          <w:rPr>
            <w:noProof/>
            <w:webHidden/>
          </w:rPr>
          <w:fldChar w:fldCharType="separate"/>
        </w:r>
        <w:r w:rsidR="00A822F5">
          <w:rPr>
            <w:noProof/>
            <w:webHidden/>
          </w:rPr>
          <w:t>21</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2" w:history="1">
        <w:r w:rsidR="00DC05ED" w:rsidRPr="007C2F91">
          <w:rPr>
            <w:rStyle w:val="Hyperlink"/>
            <w:noProof/>
          </w:rPr>
          <w:t>7.3</w:t>
        </w:r>
        <w:r w:rsidR="00DC05ED" w:rsidRPr="007C2F91">
          <w:rPr>
            <w:noProof/>
            <w:lang w:bidi="ar-SA"/>
          </w:rPr>
          <w:tab/>
        </w:r>
        <w:r w:rsidR="00DC05ED" w:rsidRPr="007C2F91">
          <w:rPr>
            <w:rStyle w:val="Hyperlink"/>
            <w:noProof/>
          </w:rPr>
          <w:t>En transparent og inkluderende politikudformningsproces</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_Toc409432232 \h </w:instrText>
        </w:r>
        <w:r w:rsidR="00DC05ED" w:rsidRPr="007C2F91">
          <w:rPr>
            <w:noProof/>
            <w:webHidden/>
          </w:rPr>
        </w:r>
        <w:r w:rsidR="00DC05ED" w:rsidRPr="007C2F91">
          <w:rPr>
            <w:noProof/>
            <w:webHidden/>
          </w:rPr>
          <w:fldChar w:fldCharType="separate"/>
        </w:r>
        <w:r w:rsidR="00A822F5">
          <w:rPr>
            <w:noProof/>
            <w:webHidden/>
          </w:rPr>
          <w:t>22</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3" w:history="1">
        <w:r w:rsidR="00DC05ED" w:rsidRPr="007C2F91">
          <w:rPr>
            <w:rStyle w:val="Hyperlink"/>
            <w:noProof/>
          </w:rPr>
          <w:t>7.4</w:t>
        </w:r>
        <w:r w:rsidR="00DC05ED" w:rsidRPr="007C2F91">
          <w:rPr>
            <w:noProof/>
            <w:lang w:bidi="ar-SA"/>
          </w:rPr>
          <w:tab/>
        </w:r>
        <w:r w:rsidR="00DC05ED" w:rsidRPr="007C2F91">
          <w:rPr>
            <w:rStyle w:val="Hyperlink"/>
            <w:noProof/>
          </w:rPr>
          <w:t>Enkle og gennemsigtige administrative procedurer</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_Toc409432233 \h </w:instrText>
        </w:r>
        <w:r w:rsidR="00DC05ED" w:rsidRPr="007C2F91">
          <w:rPr>
            <w:noProof/>
            <w:webHidden/>
          </w:rPr>
        </w:r>
        <w:r w:rsidR="00DC05ED" w:rsidRPr="007C2F91">
          <w:rPr>
            <w:noProof/>
            <w:webHidden/>
          </w:rPr>
          <w:fldChar w:fldCharType="separate"/>
        </w:r>
        <w:r w:rsidR="00A822F5">
          <w:rPr>
            <w:noProof/>
            <w:webHidden/>
          </w:rPr>
          <w:t>22</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4" w:history="1">
        <w:r w:rsidR="00DC05ED" w:rsidRPr="007C2F91">
          <w:rPr>
            <w:rStyle w:val="Hyperlink"/>
            <w:noProof/>
          </w:rPr>
          <w:t>7.5</w:t>
        </w:r>
        <w:r w:rsidR="00DC05ED" w:rsidRPr="007C2F91">
          <w:rPr>
            <w:noProof/>
            <w:lang w:bidi="ar-SA"/>
          </w:rPr>
          <w:tab/>
        </w:r>
        <w:r w:rsidR="00DC05ED" w:rsidRPr="007C2F91">
          <w:rPr>
            <w:rStyle w:val="Hyperlink"/>
            <w:noProof/>
          </w:rPr>
          <w:t>Støtteordninger tilpasset behovene for decentral vedvarende borgerenergi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_Toc409432234 \h </w:instrText>
        </w:r>
        <w:r w:rsidR="00DC05ED" w:rsidRPr="007C2F91">
          <w:rPr>
            <w:noProof/>
            <w:webHidden/>
          </w:rPr>
        </w:r>
        <w:r w:rsidR="00DC05ED" w:rsidRPr="007C2F91">
          <w:rPr>
            <w:noProof/>
            <w:webHidden/>
          </w:rPr>
          <w:fldChar w:fldCharType="separate"/>
        </w:r>
        <w:r w:rsidR="00A822F5">
          <w:rPr>
            <w:noProof/>
            <w:webHidden/>
          </w:rPr>
          <w:t>23</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5" w:history="1">
        <w:r w:rsidR="00DC05ED" w:rsidRPr="007C2F91">
          <w:rPr>
            <w:rStyle w:val="Hyperlink"/>
            <w:noProof/>
          </w:rPr>
          <w:t>7.6</w:t>
        </w:r>
        <w:r w:rsidR="00DC05ED" w:rsidRPr="007C2F91">
          <w:rPr>
            <w:noProof/>
            <w:lang w:bidi="ar-SA"/>
          </w:rPr>
          <w:tab/>
        </w:r>
        <w:r w:rsidR="00DC05ED" w:rsidRPr="007C2F91">
          <w:rPr>
            <w:rStyle w:val="Hyperlink"/>
            <w:noProof/>
          </w:rPr>
          <w:t>Fjernelse af hindringerne for vedvarende borgerenergi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_Toc409432235 \h </w:instrText>
        </w:r>
        <w:r w:rsidR="00DC05ED" w:rsidRPr="007C2F91">
          <w:rPr>
            <w:noProof/>
            <w:webHidden/>
          </w:rPr>
        </w:r>
        <w:r w:rsidR="00DC05ED" w:rsidRPr="007C2F91">
          <w:rPr>
            <w:noProof/>
            <w:webHidden/>
          </w:rPr>
          <w:fldChar w:fldCharType="separate"/>
        </w:r>
        <w:r w:rsidR="00A822F5">
          <w:rPr>
            <w:noProof/>
            <w:webHidden/>
          </w:rPr>
          <w:t>25</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6" w:history="1">
        <w:r w:rsidR="00DC05ED" w:rsidRPr="007C2F91">
          <w:rPr>
            <w:rStyle w:val="Hyperlink"/>
            <w:noProof/>
          </w:rPr>
          <w:t>7.7</w:t>
        </w:r>
        <w:r w:rsidR="00DC05ED" w:rsidRPr="007C2F91">
          <w:rPr>
            <w:noProof/>
            <w:lang w:bidi="ar-SA"/>
          </w:rPr>
          <w:tab/>
        </w:r>
        <w:r w:rsidR="00DC05ED" w:rsidRPr="007C2F91">
          <w:rPr>
            <w:rStyle w:val="Hyperlink"/>
            <w:noProof/>
          </w:rPr>
          <w:t xml:space="preserve">Netudvikling og -koordinering for at tilpasse det til behovene i forbindelse med </w:t>
        </w:r>
        <w:r w:rsidR="003F4305" w:rsidRPr="007C2F91">
          <w:rPr>
            <w:rStyle w:val="Hyperlink"/>
            <w:noProof/>
          </w:rPr>
          <w:br/>
        </w:r>
        <w:r w:rsidR="003F4305" w:rsidRPr="007C2F91">
          <w:rPr>
            <w:rStyle w:val="Hyperlink"/>
            <w:noProof/>
          </w:rPr>
          <w:tab/>
        </w:r>
        <w:r w:rsidR="00DC05ED" w:rsidRPr="007C2F91">
          <w:rPr>
            <w:rStyle w:val="Hyperlink"/>
            <w:noProof/>
          </w:rPr>
          <w:t>vedvarende 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_Toc409432236 \h </w:instrText>
        </w:r>
        <w:r w:rsidR="00DC05ED" w:rsidRPr="007C2F91">
          <w:rPr>
            <w:noProof/>
            <w:webHidden/>
          </w:rPr>
        </w:r>
        <w:r w:rsidR="00DC05ED" w:rsidRPr="007C2F91">
          <w:rPr>
            <w:noProof/>
            <w:webHidden/>
          </w:rPr>
          <w:fldChar w:fldCharType="separate"/>
        </w:r>
        <w:r w:rsidR="00A822F5">
          <w:rPr>
            <w:noProof/>
            <w:webHidden/>
          </w:rPr>
          <w:t>27</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37" w:history="1">
        <w:r w:rsidR="00DC05ED" w:rsidRPr="007C2F91">
          <w:rPr>
            <w:rStyle w:val="Hyperlink"/>
            <w:noProof/>
          </w:rPr>
          <w:t>7.8</w:t>
        </w:r>
        <w:r w:rsidR="00DC05ED" w:rsidRPr="007C2F91">
          <w:rPr>
            <w:noProof/>
            <w:lang w:bidi="ar-SA"/>
          </w:rPr>
          <w:tab/>
        </w:r>
        <w:r w:rsidR="00DC05ED" w:rsidRPr="007C2F91">
          <w:rPr>
            <w:rStyle w:val="Hyperlink"/>
            <w:noProof/>
          </w:rPr>
          <w:t>Energistyring og -lagring</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_Toc409432237 \h </w:instrText>
        </w:r>
        <w:r w:rsidR="00DC05ED" w:rsidRPr="007C2F91">
          <w:rPr>
            <w:noProof/>
            <w:webHidden/>
          </w:rPr>
        </w:r>
        <w:r w:rsidR="00DC05ED" w:rsidRPr="007C2F91">
          <w:rPr>
            <w:noProof/>
            <w:webHidden/>
          </w:rPr>
          <w:fldChar w:fldCharType="separate"/>
        </w:r>
        <w:r w:rsidR="00A822F5">
          <w:rPr>
            <w:noProof/>
            <w:webHidden/>
          </w:rPr>
          <w:t>28</w:t>
        </w:r>
        <w:r w:rsidR="00DC05ED" w:rsidRPr="007C2F91">
          <w:rPr>
            <w:noProof/>
            <w:webHidden/>
          </w:rPr>
          <w:fldChar w:fldCharType="end"/>
        </w:r>
      </w:hyperlink>
    </w:p>
    <w:p w:rsidR="009C2916" w:rsidRPr="007C2F91" w:rsidRDefault="00403E1B" w:rsidP="00D80DB8">
      <w:pPr>
        <w:pStyle w:val="TOC1"/>
        <w:spacing w:line="240" w:lineRule="auto"/>
        <w:rPr>
          <w:rStyle w:val="Hyperlink"/>
          <w:rFonts w:ascii="Times New Roman" w:hAnsi="Times New Roman" w:cs="Times New Roman"/>
          <w:noProof/>
        </w:rPr>
      </w:pPr>
      <w:hyperlink w:anchor="_Toc409432238" w:history="1">
        <w:r w:rsidR="00DC05ED" w:rsidRPr="007C2F91">
          <w:rPr>
            <w:rStyle w:val="Hyperlink"/>
            <w:rFonts w:ascii="Times New Roman" w:hAnsi="Times New Roman" w:cs="Times New Roman"/>
            <w:noProof/>
          </w:rPr>
          <w:t>8.</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Konklusioner</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_Toc409432238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28</w:t>
        </w:r>
        <w:r w:rsidR="00DC05ED" w:rsidRPr="007C2F91">
          <w:rPr>
            <w:rFonts w:ascii="Times New Roman" w:hAnsi="Times New Roman" w:cs="Times New Roman"/>
            <w:noProof/>
            <w:webHidden/>
          </w:rPr>
          <w:fldChar w:fldCharType="end"/>
        </w:r>
      </w:hyperlink>
    </w:p>
    <w:p w:rsidR="00DC05ED" w:rsidRPr="007C2F91" w:rsidRDefault="00403E1B" w:rsidP="00D80DB8">
      <w:pPr>
        <w:pStyle w:val="TOC1"/>
        <w:spacing w:line="240" w:lineRule="auto"/>
        <w:rPr>
          <w:rFonts w:ascii="Times New Roman" w:hAnsi="Times New Roman" w:cs="Times New Roman"/>
          <w:noProof/>
          <w:lang w:bidi="ar-SA"/>
        </w:rPr>
      </w:pPr>
      <w:hyperlink w:anchor="_Toc409432239" w:history="1">
        <w:r w:rsidR="00DC05ED" w:rsidRPr="007C2F91">
          <w:rPr>
            <w:rStyle w:val="Hyperlink"/>
            <w:rFonts w:ascii="Times New Roman" w:hAnsi="Times New Roman" w:cs="Times New Roman"/>
            <w:noProof/>
          </w:rPr>
          <w:t>A.</w:t>
        </w:r>
        <w:r w:rsidR="00DC05ED" w:rsidRPr="007C2F91">
          <w:rPr>
            <w:rFonts w:ascii="Times New Roman" w:hAnsi="Times New Roman" w:cs="Times New Roman"/>
            <w:noProof/>
            <w:lang w:bidi="ar-SA"/>
          </w:rPr>
          <w:tab/>
        </w:r>
        <w:r w:rsidR="00DC05ED" w:rsidRPr="007C2F91">
          <w:rPr>
            <w:rStyle w:val="Hyperlink"/>
            <w:rFonts w:ascii="Times New Roman" w:hAnsi="Times New Roman" w:cs="Times New Roman"/>
            <w:noProof/>
          </w:rPr>
          <w:t>Bilag</w:t>
        </w:r>
        <w:r w:rsidR="00DC05ED" w:rsidRPr="007C2F91">
          <w:rPr>
            <w:rFonts w:ascii="Times New Roman" w:hAnsi="Times New Roman" w:cs="Times New Roman"/>
            <w:noProof/>
            <w:webHidden/>
          </w:rPr>
          <w:tab/>
        </w:r>
        <w:r w:rsidR="00DC05ED" w:rsidRPr="007C2F91">
          <w:rPr>
            <w:rFonts w:ascii="Times New Roman" w:hAnsi="Times New Roman" w:cs="Times New Roman"/>
            <w:noProof/>
            <w:webHidden/>
          </w:rPr>
          <w:fldChar w:fldCharType="begin"/>
        </w:r>
        <w:r w:rsidR="00DC05ED" w:rsidRPr="007C2F91">
          <w:rPr>
            <w:rFonts w:ascii="Times New Roman" w:hAnsi="Times New Roman" w:cs="Times New Roman"/>
            <w:noProof/>
            <w:webHidden/>
          </w:rPr>
          <w:instrText xml:space="preserve"> PAGEREF _Toc409432239 \h </w:instrText>
        </w:r>
        <w:r w:rsidR="00DC05ED" w:rsidRPr="007C2F91">
          <w:rPr>
            <w:rFonts w:ascii="Times New Roman" w:hAnsi="Times New Roman" w:cs="Times New Roman"/>
            <w:noProof/>
            <w:webHidden/>
          </w:rPr>
        </w:r>
        <w:r w:rsidR="00DC05ED" w:rsidRPr="007C2F91">
          <w:rPr>
            <w:rFonts w:ascii="Times New Roman" w:hAnsi="Times New Roman" w:cs="Times New Roman"/>
            <w:noProof/>
            <w:webHidden/>
          </w:rPr>
          <w:fldChar w:fldCharType="separate"/>
        </w:r>
        <w:r w:rsidR="00A822F5">
          <w:rPr>
            <w:rFonts w:ascii="Times New Roman" w:hAnsi="Times New Roman" w:cs="Times New Roman"/>
            <w:noProof/>
            <w:webHidden/>
          </w:rPr>
          <w:t>31</w:t>
        </w:r>
        <w:r w:rsidR="00DC05ED" w:rsidRPr="007C2F91">
          <w:rPr>
            <w:rFonts w:ascii="Times New Roman" w:hAnsi="Times New Roman" w:cs="Times New Roman"/>
            <w:noProof/>
            <w:webHidden/>
          </w:rPr>
          <w:fldChar w:fldCharType="end"/>
        </w:r>
      </w:hyperlink>
    </w:p>
    <w:p w:rsidR="00DC05ED" w:rsidRPr="007C2F91" w:rsidRDefault="00403E1B" w:rsidP="00D80DB8">
      <w:pPr>
        <w:pStyle w:val="TOC2"/>
        <w:spacing w:line="240" w:lineRule="auto"/>
        <w:rPr>
          <w:noProof/>
          <w:lang w:bidi="ar-SA"/>
        </w:rPr>
      </w:pPr>
      <w:hyperlink w:anchor="_Toc409432240" w:history="1">
        <w:r w:rsidR="00DC05ED" w:rsidRPr="007C2F91">
          <w:rPr>
            <w:rStyle w:val="Hyperlink"/>
            <w:noProof/>
          </w:rPr>
          <w:t>A.1.</w:t>
        </w:r>
        <w:r w:rsidR="00DC05ED" w:rsidRPr="007C2F91">
          <w:rPr>
            <w:noProof/>
            <w:lang w:bidi="ar-SA"/>
          </w:rPr>
          <w:tab/>
        </w:r>
        <w:r w:rsidR="00DC05ED" w:rsidRPr="007C2F91">
          <w:rPr>
            <w:rStyle w:val="Hyperlink"/>
            <w:noProof/>
          </w:rPr>
          <w:t>Rapporter fra besøgene i medlemsstaterne</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_Toc409432240 \h </w:instrText>
        </w:r>
        <w:r w:rsidR="00DC05ED" w:rsidRPr="007C2F91">
          <w:rPr>
            <w:noProof/>
            <w:webHidden/>
          </w:rPr>
        </w:r>
        <w:r w:rsidR="00DC05ED" w:rsidRPr="007C2F91">
          <w:rPr>
            <w:noProof/>
            <w:webHidden/>
          </w:rPr>
          <w:fldChar w:fldCharType="separate"/>
        </w:r>
        <w:r w:rsidR="00A822F5">
          <w:rPr>
            <w:noProof/>
            <w:webHidden/>
          </w:rPr>
          <w:t>31</w:t>
        </w:r>
        <w:r w:rsidR="00DC05ED" w:rsidRPr="007C2F91">
          <w:rPr>
            <w:noProof/>
            <w:webHidden/>
          </w:rPr>
          <w:fldChar w:fldCharType="end"/>
        </w:r>
      </w:hyperlink>
    </w:p>
    <w:p w:rsidR="00DC05ED" w:rsidRPr="007C2F91" w:rsidRDefault="00403E1B" w:rsidP="00D80DB8">
      <w:pPr>
        <w:pStyle w:val="TOC2"/>
        <w:spacing w:line="240" w:lineRule="auto"/>
        <w:rPr>
          <w:noProof/>
          <w:lang w:bidi="ar-SA"/>
        </w:rPr>
      </w:pPr>
      <w:hyperlink w:anchor="_Toc409432242" w:history="1">
        <w:r w:rsidR="00490946" w:rsidRPr="007C2F91">
          <w:rPr>
            <w:rStyle w:val="Hyperlink"/>
            <w:noProof/>
          </w:rPr>
          <w:t>A.2</w:t>
        </w:r>
        <w:r w:rsidR="00DC05ED" w:rsidRPr="007C2F91">
          <w:rPr>
            <w:rStyle w:val="Hyperlink"/>
            <w:noProof/>
          </w:rPr>
          <w:t>.</w:t>
        </w:r>
        <w:r w:rsidR="00DC05ED" w:rsidRPr="007C2F91">
          <w:rPr>
            <w:noProof/>
            <w:lang w:bidi="ar-SA"/>
          </w:rPr>
          <w:tab/>
        </w:r>
        <w:r w:rsidR="00DC05ED" w:rsidRPr="007C2F91">
          <w:rPr>
            <w:rStyle w:val="Hyperlink"/>
            <w:noProof/>
          </w:rPr>
          <w:t>Liste over EØSU-udtalelser, der omhandler vedvarende energi.</w:t>
        </w:r>
        <w:r w:rsidR="00DC05ED" w:rsidRPr="007C2F91">
          <w:rPr>
            <w:noProof/>
            <w:webHidden/>
          </w:rPr>
          <w:tab/>
        </w:r>
        <w:r w:rsidR="00DC05ED" w:rsidRPr="007C2F91">
          <w:rPr>
            <w:noProof/>
            <w:webHidden/>
          </w:rPr>
          <w:fldChar w:fldCharType="begin"/>
        </w:r>
        <w:r w:rsidR="00DC05ED" w:rsidRPr="007C2F91">
          <w:rPr>
            <w:noProof/>
            <w:webHidden/>
          </w:rPr>
          <w:instrText xml:space="preserve"> PAGEREF _Toc409432242 \h </w:instrText>
        </w:r>
        <w:r w:rsidR="00DC05ED" w:rsidRPr="007C2F91">
          <w:rPr>
            <w:noProof/>
            <w:webHidden/>
          </w:rPr>
        </w:r>
        <w:r w:rsidR="00DC05ED" w:rsidRPr="007C2F91">
          <w:rPr>
            <w:noProof/>
            <w:webHidden/>
          </w:rPr>
          <w:fldChar w:fldCharType="separate"/>
        </w:r>
        <w:r w:rsidR="00A822F5">
          <w:rPr>
            <w:noProof/>
            <w:webHidden/>
          </w:rPr>
          <w:t>31</w:t>
        </w:r>
        <w:r w:rsidR="00DC05ED" w:rsidRPr="007C2F91">
          <w:rPr>
            <w:noProof/>
            <w:webHidden/>
          </w:rPr>
          <w:fldChar w:fldCharType="end"/>
        </w:r>
      </w:hyperlink>
    </w:p>
    <w:p w:rsidR="00A44091" w:rsidRPr="007C2F91" w:rsidRDefault="00DE28D1" w:rsidP="005C2484">
      <w:pPr>
        <w:pStyle w:val="TOC1"/>
        <w:spacing w:line="288" w:lineRule="auto"/>
        <w:rPr>
          <w:rFonts w:ascii="Times New Roman" w:hAnsi="Times New Roman" w:cs="Times New Roman"/>
        </w:rPr>
      </w:pPr>
      <w:r w:rsidRPr="007C2F91">
        <w:rPr>
          <w:rFonts w:ascii="Times New Roman" w:hAnsi="Times New Roman" w:cs="Times New Roman"/>
        </w:rPr>
        <w:fldChar w:fldCharType="end"/>
      </w:r>
      <w:r w:rsidRPr="007C2F91">
        <w:br w:type="page"/>
      </w:r>
      <w:bookmarkStart w:id="2" w:name="_Ref395309897"/>
      <w:r w:rsidRPr="007C2F91">
        <w:rPr>
          <w:rFonts w:ascii="Times New Roman" w:hAnsi="Times New Roman" w:cs="Times New Roman"/>
        </w:rPr>
        <w:lastRenderedPageBreak/>
        <w:t>Fra præamblen til Europa-Parlamentets og Rådets direktiv 2009/28/EF om fremme af anvendelsen af energi fra vedvarende energikilder (EU-direktivet om vedvarende energi):</w:t>
      </w:r>
    </w:p>
    <w:p w:rsidR="007B46C7" w:rsidRPr="007C2F91" w:rsidRDefault="007B46C7" w:rsidP="00DA3BBB">
      <w:pPr>
        <w:jc w:val="left"/>
      </w:pPr>
    </w:p>
    <w:p w:rsidR="003D68A2" w:rsidRPr="007C2F91" w:rsidRDefault="005C66B9" w:rsidP="00DA3BBB">
      <w:r w:rsidRPr="007C2F91">
        <w:t>"(3) Mulighederne for at skabe økonomisk vækst gennem innovation og en bæredygtig og konkurrencedygtig energipolitik er blevet anerkendt. Produktionen af energi fra vedvarende energikilder afhænger ofte af lokale eller regionale små og mellemstore virksomheder (SMV'er). De muligheder for vækst og beskæftigelse, som investeringer i regional og lokal produktion af energi fra vedvarende energikilder skaber i medlemsstaterne og deres regioner, er vigtige. Kommissionen og medlemsstaterne bør derfor støtte nationale og regionale udviklingsforanstaltninger i disse områder, opfordre til udveksling af bedste praksis inden for produktionen af energi fra vedvarende energikilder mellem lokale og regionale udviklingsinitiativer samt fremme anvendelsen af strukturfinansiering på dette område.</w:t>
      </w:r>
    </w:p>
    <w:p w:rsidR="003D68A2" w:rsidRPr="007C2F91" w:rsidRDefault="003D68A2" w:rsidP="00DA3BBB">
      <w:pPr>
        <w:jc w:val="left"/>
      </w:pPr>
    </w:p>
    <w:p w:rsidR="00170616" w:rsidRPr="007C2F91" w:rsidRDefault="00170616" w:rsidP="00DA3BBB">
      <w:pPr>
        <w:rPr>
          <w:bCs/>
        </w:rPr>
      </w:pPr>
      <w:r w:rsidRPr="007C2F91">
        <w:t xml:space="preserve">(4) I forbindelse med indsatsen for at udvikle markedet for energi fra vedvarende energikilder må den positive indvirkning heraf på de regionale og lokale udviklingsmuligheder, eksportmuligheder, den sociale samhørighed og beskæftigelsesmuligheder tages i betragtning, navnlig for SMV'er </w:t>
      </w:r>
      <w:r w:rsidR="00EB7091" w:rsidRPr="007C2F91">
        <w:t>og uafhængige energiproducenter</w:t>
      </w:r>
      <w:r w:rsidRPr="007C2F91">
        <w:t xml:space="preserve"> (...).</w:t>
      </w:r>
    </w:p>
    <w:p w:rsidR="00170616" w:rsidRPr="007C2F91" w:rsidRDefault="00170616" w:rsidP="00DA3BBB">
      <w:pPr>
        <w:rPr>
          <w:bCs/>
        </w:rPr>
      </w:pPr>
    </w:p>
    <w:p w:rsidR="00170616" w:rsidRPr="007C2F91" w:rsidRDefault="00170616" w:rsidP="00DA3BBB">
      <w:pPr>
        <w:rPr>
          <w:bCs/>
        </w:rPr>
      </w:pPr>
      <w:r w:rsidRPr="007C2F91">
        <w:t>(6) Det er hensigtsmæssigt at støtte demonstrations- og markedsføringsfasen for decentrale teknologier til vedvarende energi. Der er mange fordele ved overgangen til decentral energiproduktion såsom anvendelse af lokale energikilder, øget lokal energiforsyningssikkerhed, kortere transportafstande og et mindsket tab ved energitransmission. Denne decentralisering fremmer desuden udviklingen og samhørigheden i samfundet ved at skabe lokale indkomst- og beskæftigelsesmuligheder." (...).</w:t>
      </w:r>
    </w:p>
    <w:p w:rsidR="00170616" w:rsidRPr="007C2F91" w:rsidRDefault="00170616" w:rsidP="00DA3BBB"/>
    <w:p w:rsidR="00832BFA" w:rsidRPr="007C2F91" w:rsidRDefault="00894515" w:rsidP="00DA3BBB">
      <w:r w:rsidRPr="007C2F91">
        <w:t>(43) Med henblik på at tilskynde de enkelte borgere til at bidrage til opfyldelse af målene i dette direktiv bør de relevante myndigheder overveje muligheden af at erstatte en godkendelse med en simpel underretning af det kompetente organ, når der installeres mindre, decentrale anlæg til produktion af energi fra vedvarende energikilder."</w:t>
      </w:r>
    </w:p>
    <w:p w:rsidR="00D25D87" w:rsidRPr="007C2F91" w:rsidRDefault="00E33263" w:rsidP="00DA3BBB">
      <w:pPr>
        <w:pStyle w:val="Heading1"/>
        <w:keepNext/>
        <w:rPr>
          <w:b/>
        </w:rPr>
      </w:pPr>
      <w:r w:rsidRPr="007C2F91">
        <w:br w:type="page"/>
      </w:r>
      <w:bookmarkStart w:id="3" w:name="_Toc408506713"/>
      <w:bookmarkStart w:id="4" w:name="_Toc408580942"/>
      <w:bookmarkStart w:id="5" w:name="_Toc409432207"/>
      <w:bookmarkStart w:id="6" w:name="_Toc395310050"/>
      <w:bookmarkStart w:id="7" w:name="_Toc399257196"/>
      <w:bookmarkStart w:id="8" w:name="_Toc398538367"/>
      <w:r w:rsidRPr="007C2F91">
        <w:rPr>
          <w:b/>
        </w:rPr>
        <w:lastRenderedPageBreak/>
        <w:t>Resumé af hovedkonklusionerne og de vigtigste anbefalinger</w:t>
      </w:r>
      <w:bookmarkEnd w:id="3"/>
      <w:bookmarkEnd w:id="4"/>
      <w:bookmarkEnd w:id="5"/>
    </w:p>
    <w:p w:rsidR="00D25D87" w:rsidRPr="007C2F91" w:rsidRDefault="00D25D87" w:rsidP="00DA3BBB">
      <w:pPr>
        <w:keepNext/>
      </w:pPr>
    </w:p>
    <w:p w:rsidR="00D25D87" w:rsidRPr="007C2F91" w:rsidRDefault="00D25D87" w:rsidP="00DA3BBB">
      <w:pPr>
        <w:pStyle w:val="Heading2"/>
        <w:keepNext/>
      </w:pPr>
      <w:bookmarkStart w:id="9" w:name="_Toc408506714"/>
      <w:bookmarkStart w:id="10" w:name="_Toc408580943"/>
      <w:bookmarkStart w:id="11" w:name="_Toc409432208"/>
      <w:r w:rsidRPr="007C2F91">
        <w:rPr>
          <w:b/>
        </w:rPr>
        <w:t>Hovedkonklusioner</w:t>
      </w:r>
      <w:bookmarkEnd w:id="9"/>
      <w:bookmarkEnd w:id="10"/>
      <w:bookmarkEnd w:id="11"/>
    </w:p>
    <w:p w:rsidR="00D25D87" w:rsidRPr="007C2F91" w:rsidRDefault="00D25D87" w:rsidP="00DA3BBB">
      <w:pPr>
        <w:keepNext/>
      </w:pPr>
    </w:p>
    <w:p w:rsidR="00D25D87" w:rsidRPr="007C2F91" w:rsidRDefault="00D25D87" w:rsidP="00DA3BBB">
      <w:pPr>
        <w:pStyle w:val="Heading3"/>
        <w:keepNext/>
        <w:rPr>
          <w:b/>
        </w:rPr>
      </w:pPr>
      <w:bookmarkStart w:id="12" w:name="_Toc408506715"/>
      <w:bookmarkStart w:id="13" w:name="_Toc408580944"/>
      <w:bookmarkStart w:id="14" w:name="_Toc409432209"/>
      <w:r w:rsidRPr="007C2F91">
        <w:rPr>
          <w:b/>
        </w:rPr>
        <w:t>En chance</w:t>
      </w:r>
      <w:bookmarkEnd w:id="12"/>
      <w:bookmarkEnd w:id="13"/>
      <w:bookmarkEnd w:id="14"/>
    </w:p>
    <w:p w:rsidR="00D25D87" w:rsidRPr="007C2F91" w:rsidRDefault="00D25D87" w:rsidP="00DA3BBB">
      <w:r w:rsidRPr="007C2F91">
        <w:t xml:space="preserve">I alle de besøgte medlemsstater fandt undersøgelsesholdet, at civilsamfundet var stærkt engageret i energiomstillingen, at det var bevidst om de socioøkonomiske muligheder, der ligger deri, og at det var interesseret i fordelene ved decentral produktion af energi fra vedvarende kilder. Der var begejstring at spore over den vedvarende energis muligheder for indkomstskabelse, udvikling af lokalsamfund og social innovation og en lyst til at lære om bedste praksis og støttepolitikker i andre medlemsstater. </w:t>
      </w:r>
    </w:p>
    <w:p w:rsidR="00D25D87" w:rsidRPr="007C2F91" w:rsidRDefault="00D25D87" w:rsidP="00DA3BBB"/>
    <w:p w:rsidR="00D25D87" w:rsidRPr="007C2F91" w:rsidRDefault="00D25D87" w:rsidP="00DA3BBB">
      <w:pPr>
        <w:pStyle w:val="Heading3"/>
        <w:keepNext/>
      </w:pPr>
      <w:bookmarkStart w:id="15" w:name="_Toc408506716"/>
      <w:bookmarkStart w:id="16" w:name="_Toc408580945"/>
      <w:bookmarkStart w:id="17" w:name="_Toc409432210"/>
      <w:r w:rsidRPr="007C2F91">
        <w:rPr>
          <w:b/>
        </w:rPr>
        <w:t>Frustration</w:t>
      </w:r>
      <w:bookmarkEnd w:id="15"/>
      <w:bookmarkEnd w:id="16"/>
      <w:bookmarkEnd w:id="17"/>
    </w:p>
    <w:p w:rsidR="00D25D87" w:rsidRPr="007C2F91" w:rsidRDefault="00D25D87" w:rsidP="00DA3BBB">
      <w:r w:rsidRPr="007C2F91">
        <w:t>Samtidig gav interessenterne udtryk for frustration over bureaukratiske hindringer og komplekse procedurer som følge af nylige politiske reformer, der stiller små producenter og lokalsamfund ringere end store, centraliserede energiproducenter, politikernes manglende anerkendelse af værdien af borgerenergi og i nogle tilfælde manglen på en konstruktiv dialog med myndighederne. Disse hindringer er velkendte og af Kommissionen beskrevet i detaljer i statusrapporten om vedvarende energi (2013)</w:t>
      </w:r>
      <w:r w:rsidRPr="007C2F91">
        <w:rPr>
          <w:rStyle w:val="FootnoteReference"/>
          <w:sz w:val="22"/>
        </w:rPr>
        <w:footnoteReference w:id="2"/>
      </w:r>
      <w:r w:rsidRPr="007C2F91">
        <w:t>. Den omstændighed, at der stadig findes denne slags hindringer, eller at der endda bliver flere og flere af dem (f.eks. som følge af indførelsen af auktioner for produktion af energi fra vedvarende kilder i en række medlemsstater), blev af nogle civilsamfundsrepræsentanter tolket som et direkte angreb på borgerenergi, der vil tjene de store centraliserede producenters interesser.</w:t>
      </w:r>
    </w:p>
    <w:p w:rsidR="00D25D87" w:rsidRPr="007C2F91" w:rsidRDefault="00D25D87" w:rsidP="00DA3BBB"/>
    <w:p w:rsidR="00D25D87" w:rsidRPr="007C2F91" w:rsidRDefault="00D25D87" w:rsidP="00DA3BBB">
      <w:pPr>
        <w:pStyle w:val="Heading3"/>
        <w:keepNext/>
        <w:rPr>
          <w:b/>
        </w:rPr>
      </w:pPr>
      <w:bookmarkStart w:id="18" w:name="_Toc408506717"/>
      <w:bookmarkStart w:id="19" w:name="_Toc408580946"/>
      <w:bookmarkStart w:id="20" w:name="_Toc409432211"/>
      <w:r w:rsidRPr="007C2F91">
        <w:rPr>
          <w:b/>
        </w:rPr>
        <w:t>Gode argumenter for vedvarende borgerenergi</w:t>
      </w:r>
      <w:bookmarkEnd w:id="18"/>
      <w:bookmarkEnd w:id="19"/>
      <w:bookmarkEnd w:id="20"/>
    </w:p>
    <w:p w:rsidR="00D25D87" w:rsidRPr="007C2F91" w:rsidRDefault="00D25D87" w:rsidP="00DA3BBB">
      <w:r w:rsidRPr="007C2F91">
        <w:t>En af undersøgelsens væsentligste konklusioner er, at civilsamfundet ikke stiller sig tilfreds med blot at blive hørt om energipolitikken. Lokalsamfund, civilsamfundsorganisationer og privatpersoner vil hellere end gerne producere vedvarende energi - og holdet fik forelagt rigelig dokumentation og argumenter, der underbygger dette.</w:t>
      </w:r>
    </w:p>
    <w:p w:rsidR="00D25D87" w:rsidRPr="007C2F91" w:rsidRDefault="00D25D87" w:rsidP="00DA3BBB"/>
    <w:p w:rsidR="00D25D87" w:rsidRPr="007C2F91" w:rsidRDefault="00D25D87" w:rsidP="00DA3BBB">
      <w:r w:rsidRPr="007C2F91">
        <w:t>Borgerenergi øger den lokale accept af infrastruktur til vedvarende energi og mobiliserer støtte og interesse for omstillingsprocessen. Borgerenergi frigør stærkt tiltrængte midler til energiomstillingen, skaber fælles lokale socioøkonomiske fordele og sikrer, at værditilvæksten bliver i lokalsamfundet. Produktion af energi fra vedvarende energikilder er rent faktisk ved at blive en økonomisk mulighed for borgere, landbrugere, kooperativer, SMV'er, lokalsamfund, velgørende organisationer og NGO'er i stedet for eller som supplement til traditionelle energiselskaber. Det stimulerer lokal udvikling, social innovation og samarbejde. I kraft af decentrale ordninger kan privatpersoner og lokalsamfund dele omkostningerne og fordelene forbundet med vedvarende energi og finde løsninger på, hvordan udbud og efterspørgsel afstemmes bedre (f.eks. inden for rammerne af kollektive varmeordninger). Med de rigtige politiske rammer bliver vedvarende borgerenergi en nettokilde til beskæftigelse og økonomisk vækst.</w:t>
      </w:r>
    </w:p>
    <w:p w:rsidR="00D25D87" w:rsidRPr="007C2F91" w:rsidRDefault="00D25D87" w:rsidP="00DA3BBB"/>
    <w:p w:rsidR="00D25D87" w:rsidRPr="007C2F91" w:rsidRDefault="00D25D87" w:rsidP="00DA3BBB">
      <w:r w:rsidRPr="007C2F91">
        <w:lastRenderedPageBreak/>
        <w:t>EØSU's undersøgelse afslørede, at udviklingen af vedvarende energi især skrider hurtigere fremad i de medlemsstater, hvor lokalbefolkningen, enkeltvis eller i fællesskab, har fået mulighed for at gennemføre deres egne borgerenergiinitiativer. Den vigtigste forudsætning for denne udvikling har været veltilrettelagte støtteordninger og en god lovgivningsmæssig ramme for borgerenergi. For at udnytte denne nye mulighed bør EU og medlemsstaternes klima- og energipolitikker give meget højere prioritet til at knytte decentral produktion af energi fra vedvarende energikilder til regional og lokal udvikling. Tiden er moden til at etablere solide, stabile og ensartede støttestrukturer for vedvarende borgerenergi, så Europa kan udvikle sig i retning af en lavemissionsøkonomi.</w:t>
      </w:r>
    </w:p>
    <w:p w:rsidR="00D25D87" w:rsidRPr="007C2F91" w:rsidRDefault="00D25D87" w:rsidP="00DA3BBB"/>
    <w:p w:rsidR="00D25D87" w:rsidRPr="007C2F91" w:rsidRDefault="00D25D87" w:rsidP="00DA3BBB">
      <w:pPr>
        <w:pStyle w:val="Heading3"/>
        <w:keepNext/>
        <w:rPr>
          <w:b/>
        </w:rPr>
      </w:pPr>
      <w:bookmarkStart w:id="21" w:name="_Toc408506718"/>
      <w:bookmarkStart w:id="22" w:name="_Toc408580947"/>
      <w:bookmarkStart w:id="23" w:name="_Toc409432212"/>
      <w:r w:rsidRPr="007C2F91">
        <w:rPr>
          <w:b/>
        </w:rPr>
        <w:t>Et enormt, stort set uudnyttet potentiale</w:t>
      </w:r>
      <w:bookmarkEnd w:id="21"/>
      <w:bookmarkEnd w:id="22"/>
      <w:bookmarkEnd w:id="23"/>
    </w:p>
    <w:p w:rsidR="00D25D87" w:rsidRPr="007C2F91" w:rsidRDefault="00D25D87" w:rsidP="00DA3BBB">
      <w:r w:rsidRPr="007C2F91">
        <w:t>Undersøgelsen afdækkede, at de nationale politikdokumenter fem år efter vedtagelsen af direktivet om vedvarende energi næsten ikke omtaler en konsekvent strategi, der sigter mod at fremme decentral produktion af vedvarende energi til gavn for lokalsamfundene. Ikke i en eneste af de besøgte medlemsstater fandt undersøgelsesholdet en konsekvent gennemført regeringsstrategi, der sigter mod at fremme borgerenergi. Faktisk konstaterede de det modsatte: Politisk ustabilitet og nylige reformer af lovrammerne for vedvarende energi har i alle de undersøgte lande skabt større usikkerhed, uvilje til at foretage nye investeringer og bekymringer hos interessenterne med hensyn til borgerenergiens fremtid.</w:t>
      </w:r>
    </w:p>
    <w:p w:rsidR="00D25D87" w:rsidRPr="007C2F91" w:rsidRDefault="00D25D87" w:rsidP="00DA3BBB"/>
    <w:p w:rsidR="00D25D87" w:rsidRPr="007C2F91" w:rsidRDefault="00D25D87" w:rsidP="00DA3BBB">
      <w:pPr>
        <w:pStyle w:val="Heading2"/>
        <w:keepNext/>
        <w:rPr>
          <w:b/>
        </w:rPr>
      </w:pPr>
      <w:bookmarkStart w:id="24" w:name="_Toc408506719"/>
      <w:bookmarkStart w:id="25" w:name="_Toc408580948"/>
      <w:bookmarkStart w:id="26" w:name="_Toc409432213"/>
      <w:r w:rsidRPr="007C2F91">
        <w:rPr>
          <w:b/>
        </w:rPr>
        <w:t>Vigtigste anbefalinger</w:t>
      </w:r>
      <w:bookmarkEnd w:id="24"/>
      <w:bookmarkEnd w:id="25"/>
      <w:bookmarkEnd w:id="26"/>
    </w:p>
    <w:p w:rsidR="00D25D87" w:rsidRPr="007C2F91" w:rsidRDefault="00D25D87" w:rsidP="00DA3BBB">
      <w:pPr>
        <w:keepNext/>
      </w:pPr>
    </w:p>
    <w:p w:rsidR="00D25D87" w:rsidRPr="007C2F91" w:rsidRDefault="00D25D87" w:rsidP="00DA3BBB">
      <w:pPr>
        <w:pStyle w:val="Heading3"/>
        <w:keepNext/>
      </w:pPr>
      <w:bookmarkStart w:id="27" w:name="_Toc408506720"/>
      <w:bookmarkStart w:id="28" w:name="_Toc408580949"/>
      <w:bookmarkStart w:id="29" w:name="_Toc409432214"/>
      <w:r w:rsidRPr="007C2F91">
        <w:t>Etablering af lige vilkår for vedvarende energi</w:t>
      </w:r>
      <w:bookmarkEnd w:id="27"/>
      <w:bookmarkEnd w:id="28"/>
      <w:bookmarkEnd w:id="29"/>
    </w:p>
    <w:p w:rsidR="00D25D87" w:rsidRPr="007C2F91" w:rsidRDefault="00D25D87" w:rsidP="00DA3BBB">
      <w:r w:rsidRPr="007C2F91">
        <w:t>I Kommissionens statusrapport om vedvarende energi fra 2013</w:t>
      </w:r>
      <w:r w:rsidRPr="007C2F91">
        <w:rPr>
          <w:vertAlign w:val="superscript"/>
        </w:rPr>
        <w:footnoteReference w:id="3"/>
      </w:r>
      <w:r w:rsidRPr="007C2F91">
        <w:t xml:space="preserve"> påpeges, at der vil være behov for støtte til udbredelsen af vedvarende energi, så længe der ikke er et åbent, konkurrenceorienteret indre energimarked i EU, der kan udrydde markedssvigt og internalisere de sundhedsmæssige, miljømæssige og sociale omkostninger forbundet med brug af fossile brændstoffer. Regeringerne bør endvidere arbejde i retning mod at udfase skadelig og ineffektiv støtte til fossile brændstoffer, "som opmuntrer til ødselt forbrug og underminerer en bæredygtig udvikling" i overensstemmelse med forpligtelserne gentaget i sluterklæringen fra Rio+20 "the Future </w:t>
      </w:r>
      <w:proofErr w:type="spellStart"/>
      <w:r w:rsidRPr="007C2F91">
        <w:t>We</w:t>
      </w:r>
      <w:proofErr w:type="spellEnd"/>
      <w:r w:rsidRPr="007C2F91">
        <w:t xml:space="preserve"> </w:t>
      </w:r>
      <w:proofErr w:type="spellStart"/>
      <w:r w:rsidRPr="007C2F91">
        <w:t>Want</w:t>
      </w:r>
      <w:proofErr w:type="spellEnd"/>
      <w:r w:rsidRPr="007C2F91">
        <w:t>". Prissætning af CO</w:t>
      </w:r>
      <w:r w:rsidRPr="007C2F91">
        <w:rPr>
          <w:vertAlign w:val="subscript"/>
        </w:rPr>
        <w:t>2</w:t>
      </w:r>
      <w:r w:rsidRPr="007C2F91">
        <w:t xml:space="preserve">, hvormed de relative omkostninger ved teknologier baseret på fossile brændstoffer hæves, er blot en af mulighederne, hvorpå de eksterne omkostninger kan internaliseres. </w:t>
      </w:r>
    </w:p>
    <w:p w:rsidR="00D25D87" w:rsidRPr="007C2F91" w:rsidRDefault="00D25D87" w:rsidP="00DA3BBB"/>
    <w:p w:rsidR="00D25D87" w:rsidRPr="007C2F91" w:rsidRDefault="00D25D87" w:rsidP="00DA3BBB">
      <w:pPr>
        <w:pStyle w:val="Heading3"/>
        <w:keepNext/>
        <w:rPr>
          <w:b/>
        </w:rPr>
      </w:pPr>
      <w:bookmarkStart w:id="30" w:name="_Toc408506721"/>
      <w:bookmarkStart w:id="31" w:name="_Toc408580950"/>
      <w:bookmarkStart w:id="32" w:name="_Toc409432215"/>
      <w:r w:rsidRPr="007C2F91">
        <w:rPr>
          <w:b/>
        </w:rPr>
        <w:t>Decentral vedvarende borgerenergi en politisk prioritet</w:t>
      </w:r>
      <w:bookmarkEnd w:id="30"/>
      <w:bookmarkEnd w:id="31"/>
      <w:bookmarkEnd w:id="32"/>
    </w:p>
    <w:p w:rsidR="00D25D87" w:rsidRPr="007C2F91" w:rsidRDefault="00D25D87" w:rsidP="00DA3BBB">
      <w:r w:rsidRPr="007C2F91">
        <w:t xml:space="preserve">En ny energipolitik kan ikke gennemføres uden opbakning fra borgerne; men med deres støtte kan de politiske mål nås hurtigere, end mange forestiller sig. EØSU anbefaler, at politikerne lokalt, nationalt og på EU-niveau gør det til en udtrykkelig prioritet, at borgerne får mulighed for at producere energi fra vedvarende kilder. Kommissionens næste statusrapport om vedvarende energi, der skal foreligge i 2015, bør se på mere end de rene tal og analysere, i hvor stor udstrækning de bureaukratiske hindringer er blevet fjernet, og i hvor høj grad markedet er blevet åbnet op for små, nye aktører. </w:t>
      </w:r>
    </w:p>
    <w:p w:rsidR="00D25D87" w:rsidRPr="007C2F91" w:rsidRDefault="00D25D87" w:rsidP="00DA3BBB"/>
    <w:p w:rsidR="00D25D87" w:rsidRPr="007C2F91" w:rsidRDefault="00D25D87" w:rsidP="00DA3BBB">
      <w:pPr>
        <w:pStyle w:val="Heading3"/>
        <w:keepNext/>
        <w:rPr>
          <w:b/>
        </w:rPr>
      </w:pPr>
      <w:bookmarkStart w:id="33" w:name="_Toc408506722"/>
      <w:bookmarkStart w:id="34" w:name="_Toc408580951"/>
      <w:bookmarkStart w:id="35" w:name="_Toc409432216"/>
      <w:r w:rsidRPr="007C2F91">
        <w:rPr>
          <w:b/>
        </w:rPr>
        <w:t>Etablering af stabile politiske rammer til fremme af vedvarende borgerenergi:</w:t>
      </w:r>
      <w:bookmarkEnd w:id="33"/>
      <w:bookmarkEnd w:id="34"/>
      <w:bookmarkEnd w:id="35"/>
    </w:p>
    <w:p w:rsidR="00D25D87" w:rsidRPr="007C2F91" w:rsidRDefault="00D25D87" w:rsidP="00DA3BBB">
      <w:pPr>
        <w:numPr>
          <w:ilvl w:val="0"/>
          <w:numId w:val="14"/>
        </w:numPr>
      </w:pPr>
      <w:r w:rsidRPr="007C2F91">
        <w:t xml:space="preserve">De administrative procedurer for borgerenergi bør være enkle, hurtige og overkommelige i pris. </w:t>
      </w:r>
    </w:p>
    <w:p w:rsidR="00D25D87" w:rsidRPr="007C2F91" w:rsidRDefault="00D25D87" w:rsidP="00DA3BBB">
      <w:pPr>
        <w:numPr>
          <w:ilvl w:val="0"/>
          <w:numId w:val="14"/>
        </w:numPr>
      </w:pPr>
      <w:r w:rsidRPr="007C2F91">
        <w:lastRenderedPageBreak/>
        <w:t>Udgifterne til og ventetiderne for tilslutning af borgerenergiprojekter til nettet skal være rimelige, og systemoperatørerne bør pålægges sanktioner, hvis de ikke overholder dem.</w:t>
      </w:r>
    </w:p>
    <w:p w:rsidR="00D25D87" w:rsidRPr="007C2F91" w:rsidRDefault="00D25D87" w:rsidP="00DA3BBB">
      <w:pPr>
        <w:numPr>
          <w:ilvl w:val="0"/>
          <w:numId w:val="14"/>
        </w:numPr>
      </w:pPr>
      <w:r w:rsidRPr="007C2F91">
        <w:t>Kvikskranker bør tilbyde vejledning til små investorer i hele</w:t>
      </w:r>
      <w:r w:rsidR="00DC05ED" w:rsidRPr="007C2F91">
        <w:t xml:space="preserve"> processen fra forundersøgelses</w:t>
      </w:r>
      <w:r w:rsidR="00DC05ED" w:rsidRPr="007C2F91">
        <w:noBreakHyphen/>
      </w:r>
      <w:r w:rsidRPr="007C2F91">
        <w:t>/planlægningsfasen til ibrugtagning.</w:t>
      </w:r>
    </w:p>
    <w:p w:rsidR="00D25D87" w:rsidRPr="007C2F91" w:rsidRDefault="00D25D87" w:rsidP="00DA3BBB">
      <w:pPr>
        <w:numPr>
          <w:ilvl w:val="0"/>
          <w:numId w:val="14"/>
        </w:numPr>
      </w:pPr>
      <w:r w:rsidRPr="007C2F91">
        <w:t>Elektricitet fra vedvarende energikilder bør have tilførselsprioritet frem for fossil og nuklear energi.</w:t>
      </w:r>
    </w:p>
    <w:p w:rsidR="00D25D87" w:rsidRPr="007C2F91" w:rsidRDefault="00D25D87" w:rsidP="00DA3BBB">
      <w:pPr>
        <w:numPr>
          <w:ilvl w:val="0"/>
          <w:numId w:val="14"/>
        </w:numPr>
      </w:pPr>
      <w:r w:rsidRPr="007C2F91">
        <w:t>Vedvarende borgerenergi bør være undtaget fra procedurer, som skaber uforholdsmæssige byrder, omkostninger og usikkerhed, f.eks. pligten til direkte salg på markedet.</w:t>
      </w:r>
    </w:p>
    <w:p w:rsidR="00D25D87" w:rsidRPr="007C2F91" w:rsidRDefault="00D25D87" w:rsidP="00DA3BBB">
      <w:pPr>
        <w:numPr>
          <w:ilvl w:val="0"/>
          <w:numId w:val="14"/>
        </w:numPr>
      </w:pPr>
      <w:r w:rsidRPr="007C2F91">
        <w:t xml:space="preserve">Faste afregningstariffer bør være den primære form for støtte til vedvarende borgerenergi. For producenterne er de en enkel og pålidelig metode til nøjagtig beregning af deres investering og afkast. Investeringssikkerheden øger de små udvikleres chancer for at få de nødvendige kreditter. De faste afregningstariffer kan og bør løbende justeres i takt med, at investeringsomkostningerne falder. </w:t>
      </w:r>
    </w:p>
    <w:p w:rsidR="00D25D87" w:rsidRPr="007C2F91" w:rsidRDefault="00D25D87" w:rsidP="00DA3BBB">
      <w:pPr>
        <w:numPr>
          <w:ilvl w:val="0"/>
          <w:numId w:val="14"/>
        </w:numPr>
      </w:pPr>
      <w:r w:rsidRPr="007C2F91">
        <w:t>For at løse problemet med svingende forsyning og de store konsekvenser for elektricitetspriserne under spidsbelastning kunne systemet med faste afregningstariffer suppleres med energistyringsmekanismer for at afhjælpe svingninger, f.eks. nettomåling (se nedenfor), intelligente net og udvikling af lagringskapacitet.</w:t>
      </w:r>
    </w:p>
    <w:p w:rsidR="00D25D87" w:rsidRPr="007C2F91" w:rsidRDefault="00D25D87" w:rsidP="00DA3BBB">
      <w:pPr>
        <w:numPr>
          <w:ilvl w:val="0"/>
          <w:numId w:val="14"/>
        </w:numPr>
      </w:pPr>
      <w:r w:rsidRPr="007C2F91">
        <w:t>Medlemsstaterne bør være yderst varsomme med at anvende udbud for vedvarende energi, da de komplekse og dyre procedurer pålægger de små producenter en uforholdsmæssig stor byrde og i realiteten kan udelukke vedvarende borgerenergi fra at opnå støtte. Konsekvensen af begunstigelse af store centraliserede producenter og mindre konkurrence kan blive stigende forbrugerpriser. Desuden vil udbud ikke fungere, hvor der ikke findes et energimarked. Retningslinjerne for statsstøtte til miljøbeskyttelse og energi 2014-2020 bør tydeliggøres i denne henseende.</w:t>
      </w:r>
    </w:p>
    <w:p w:rsidR="00D25D87" w:rsidRPr="007C2F91" w:rsidRDefault="00D25D87" w:rsidP="00DA3BBB">
      <w:pPr>
        <w:numPr>
          <w:ilvl w:val="0"/>
          <w:numId w:val="14"/>
        </w:numPr>
      </w:pPr>
      <w:r w:rsidRPr="007C2F91">
        <w:t xml:space="preserve">Producenterne af borgerenergi bør have ret til nettomåling og støtte til </w:t>
      </w:r>
      <w:proofErr w:type="spellStart"/>
      <w:r w:rsidRPr="007C2F91">
        <w:t>elproduktion</w:t>
      </w:r>
      <w:proofErr w:type="spellEnd"/>
      <w:r w:rsidRPr="007C2F91">
        <w:t>.</w:t>
      </w:r>
    </w:p>
    <w:p w:rsidR="00D25D87" w:rsidRPr="007C2F91" w:rsidRDefault="00D25D87" w:rsidP="00DA3BBB">
      <w:pPr>
        <w:numPr>
          <w:ilvl w:val="0"/>
          <w:numId w:val="14"/>
        </w:numPr>
      </w:pPr>
      <w:r w:rsidRPr="007C2F91">
        <w:t xml:space="preserve">EU's strukturfonde og Samhørighedsfonden samt de nationale budgetter bør øremærke de midler, der er nødvendige for at sikre, at udviklingen af vedvarende energi og decentral energiproduktion ikke bremses på grund af </w:t>
      </w:r>
      <w:proofErr w:type="spellStart"/>
      <w:r w:rsidRPr="007C2F91">
        <w:t>netbegrænsninger</w:t>
      </w:r>
      <w:proofErr w:type="spellEnd"/>
      <w:r w:rsidRPr="007C2F91">
        <w:t>.</w:t>
      </w:r>
    </w:p>
    <w:p w:rsidR="00D25D87" w:rsidRPr="007C2F91" w:rsidRDefault="00D25D87" w:rsidP="00DA3BBB">
      <w:pPr>
        <w:ind w:left="360"/>
      </w:pPr>
    </w:p>
    <w:p w:rsidR="00D25D87" w:rsidRPr="007C2F91" w:rsidRDefault="00D25D87" w:rsidP="00DA3BBB">
      <w:pPr>
        <w:pStyle w:val="Heading3"/>
        <w:keepNext/>
        <w:rPr>
          <w:b/>
        </w:rPr>
      </w:pPr>
      <w:bookmarkStart w:id="36" w:name="_Toc408506723"/>
      <w:bookmarkStart w:id="37" w:name="_Toc408580952"/>
      <w:bookmarkStart w:id="38" w:name="_Toc409432217"/>
      <w:r w:rsidRPr="007C2F91">
        <w:rPr>
          <w:b/>
        </w:rPr>
        <w:t>En aktiv civilsamfundsdialog om energipolitikken</w:t>
      </w:r>
      <w:bookmarkEnd w:id="36"/>
      <w:bookmarkEnd w:id="37"/>
      <w:bookmarkEnd w:id="38"/>
    </w:p>
    <w:p w:rsidR="00D25D87" w:rsidRPr="007C2F91" w:rsidRDefault="00D25D87" w:rsidP="00DA3BBB">
      <w:pPr>
        <w:numPr>
          <w:ilvl w:val="0"/>
          <w:numId w:val="14"/>
        </w:numPr>
      </w:pPr>
      <w:r w:rsidRPr="007C2F91">
        <w:t>Politikken for vedvarende energi bør udvikles og gennemføres i en løbende dialog med interessenterne i civilsamfundet med henblik på at sikre fælles forståelse, fælles mål, støtte til gennemførelse, en samarbejdskultur og gensidig tillid. I den henseende bør EØSU's europæiske energidialog være en hjælp.</w:t>
      </w:r>
    </w:p>
    <w:p w:rsidR="00D25D87" w:rsidRPr="007C2F91" w:rsidRDefault="00D25D87" w:rsidP="00DA3BBB">
      <w:pPr>
        <w:numPr>
          <w:ilvl w:val="0"/>
          <w:numId w:val="14"/>
        </w:numPr>
      </w:pPr>
      <w:r w:rsidRPr="007C2F91">
        <w:t>Civilsamfundet bør gives muligheder for at bidrage til udarbejde</w:t>
      </w:r>
      <w:r w:rsidR="00DC05ED" w:rsidRPr="007C2F91">
        <w:t>lsen af medlemsstaternes klima</w:t>
      </w:r>
      <w:r w:rsidR="00DC05ED" w:rsidRPr="007C2F91">
        <w:noBreakHyphen/>
        <w:t> </w:t>
      </w:r>
      <w:r w:rsidRPr="007C2F91">
        <w:t>og energihandlingsplaner og til overvågningen og gennemgangen af deres gennemførelse.</w:t>
      </w:r>
    </w:p>
    <w:p w:rsidR="00D25D87" w:rsidRPr="007C2F91" w:rsidRDefault="00D25D87" w:rsidP="00DA3BBB">
      <w:pPr>
        <w:numPr>
          <w:ilvl w:val="0"/>
          <w:numId w:val="14"/>
        </w:numPr>
      </w:pPr>
      <w:r w:rsidRPr="007C2F91">
        <w:t>Strategier, finansieringsprogrammer og støtteforanstaltninger på EU-, nationalt, regionalt og lokalt niveau bør overvåges og revideres løbende med aktiv inddragelse af civilsamfundet for at sikre, at de bidrager til borgerenergi og ikke skader den. Især bør indførelsen af omstridte foranstaltninger såsom pligt til direkte salg på markedet og udbud for vedvarende energiproduktion overvåges nøje for at påvise og hurtigt afhjælpe eventuelle ulemper for borgerenergi.</w:t>
      </w:r>
    </w:p>
    <w:p w:rsidR="00D25D87" w:rsidRPr="007C2F91" w:rsidRDefault="00D25D87" w:rsidP="00DA3BBB"/>
    <w:p w:rsidR="00D25D87" w:rsidRPr="007C2F91" w:rsidRDefault="00D25D87" w:rsidP="00DA3BBB">
      <w:pPr>
        <w:pStyle w:val="Heading3"/>
        <w:keepNext/>
        <w:rPr>
          <w:b/>
        </w:rPr>
      </w:pPr>
      <w:bookmarkStart w:id="39" w:name="_Toc408506724"/>
      <w:bookmarkStart w:id="40" w:name="_Toc408580953"/>
      <w:bookmarkStart w:id="41" w:name="_Toc409432218"/>
      <w:r w:rsidRPr="007C2F91">
        <w:rPr>
          <w:b/>
        </w:rPr>
        <w:t>Lancering af en åben dialog om energipriser, omkostninger og fordele</w:t>
      </w:r>
      <w:bookmarkEnd w:id="39"/>
      <w:bookmarkEnd w:id="40"/>
      <w:bookmarkEnd w:id="41"/>
    </w:p>
    <w:p w:rsidR="00D25D87" w:rsidRPr="007C2F91" w:rsidRDefault="00D25D87" w:rsidP="00DA3BBB">
      <w:r w:rsidRPr="007C2F91">
        <w:t xml:space="preserve">Da debatterne om energipolitik ofte er præget af kortsigtede prismæssige bekymringer, er der behov for at lancere en åben offentlig debat om energiomkostninger og -priser. De eksterne omkostninger forbundet med vedvarende energi er meget lave, hvilket i høj grad adskiller dem fra traditionelle </w:t>
      </w:r>
      <w:r w:rsidRPr="007C2F91">
        <w:lastRenderedPageBreak/>
        <w:t>energikilder, som overvælter betydelige sundheds- og miljømæssige omkostninger på vores og de kommende generationers samfund. Der bør offentliggøres klare og omfattende oplysninger, som giver fuldt overblik over udgifterne og fordelene forbundet med støtte til vedvarende energi, til fossile brændstoffer og til nuklear energi, herunder også om de eksterne omkostninger for menneskers sundhed og kvaliteten af miljøet samt om gevinsterne ved ikke at importere energi og ved energiforsyningssikkerhed. I Kommissionens statusrapport om vedvarende energi fra 2013</w:t>
      </w:r>
      <w:r w:rsidRPr="007C2F91">
        <w:rPr>
          <w:rStyle w:val="FootnoteReference"/>
          <w:sz w:val="22"/>
        </w:rPr>
        <w:footnoteReference w:id="4"/>
      </w:r>
      <w:r w:rsidRPr="007C2F91">
        <w:t xml:space="preserve"> påpeges, at der trods de støt faldende omkostninger ved vedvarende energiteknologier stadig er behov for økonomiske, juridiske og administrative politikforanstaltninger til at fremme udbredelsen af vedvarende energi, så længe der ikke er et åbent, konkurrenceorienteret indre energimarked i EU, hvor markedssvigt udryddes, og de eksterne omkostninger internaliseres.</w:t>
      </w:r>
    </w:p>
    <w:p w:rsidR="00D25D87" w:rsidRPr="007C2F91" w:rsidRDefault="00D25D87" w:rsidP="00DA3BBB"/>
    <w:p w:rsidR="00D25D87" w:rsidRPr="007C2F91" w:rsidRDefault="00D25D87" w:rsidP="00DA3BBB">
      <w:pPr>
        <w:pStyle w:val="Heading3"/>
        <w:keepNext/>
        <w:rPr>
          <w:b/>
        </w:rPr>
      </w:pPr>
      <w:bookmarkStart w:id="42" w:name="_Toc408506725"/>
      <w:bookmarkStart w:id="43" w:name="_Toc408580954"/>
      <w:bookmarkStart w:id="44" w:name="_Toc409432219"/>
      <w:r w:rsidRPr="007C2F91">
        <w:rPr>
          <w:b/>
        </w:rPr>
        <w:t>Håndtering af de sociale konsekvenser af energiomstillingen</w:t>
      </w:r>
      <w:bookmarkEnd w:id="42"/>
      <w:bookmarkEnd w:id="43"/>
      <w:bookmarkEnd w:id="44"/>
      <w:r w:rsidRPr="007C2F91">
        <w:rPr>
          <w:b/>
        </w:rPr>
        <w:t xml:space="preserve"> </w:t>
      </w:r>
    </w:p>
    <w:p w:rsidR="00D25D87" w:rsidRPr="007C2F91" w:rsidRDefault="00D25D87" w:rsidP="00DA3BBB">
      <w:r w:rsidRPr="007C2F91">
        <w:t xml:space="preserve">Selv om nettovirkningen af energiomstillingen på beskæftigelsen og indkomsterne forventes at blive positiv, forekommer der markeds- og </w:t>
      </w:r>
      <w:proofErr w:type="spellStart"/>
      <w:r w:rsidRPr="007C2F91">
        <w:t>jobtab</w:t>
      </w:r>
      <w:proofErr w:type="spellEnd"/>
      <w:r w:rsidRPr="007C2F91">
        <w:t xml:space="preserve"> i nogle traditionelle energisektorer (hvilket ikke nødvendigvis kan henføres til væksten i vedvarende energi). Regeringerne bør tage ansvar for at forvalte de socioøkonomiske virkninger af omstillingen til en lavemissionsøkonomi, så den i sidste ende bliver til gavn for hele samfundet. De nationale strategier for social forandring må koordineres nøje med udbredelsen af vedvarende energi for at sikre en gnidningsfri omstilling, tilvejebringe de nye nødvendige jobkvalifikationer og på en målrettet måde afhjælpe eventuelle negative sociale virkninger for beskæftigelsen og socialt svage husstande. Regeringerne må sørge for, at udgifterne til fremme af vedvarende borgerenergi fordeles på hele samfundet på en rimelig måde. </w:t>
      </w:r>
    </w:p>
    <w:p w:rsidR="00D25D87" w:rsidRPr="007C2F91" w:rsidRDefault="00D25D87" w:rsidP="00DA3BBB"/>
    <w:p w:rsidR="002D259B" w:rsidRPr="007C2F91" w:rsidRDefault="00F846DB" w:rsidP="00DA3BBB">
      <w:pPr>
        <w:pStyle w:val="Heading1"/>
        <w:keepNext/>
      </w:pPr>
      <w:bookmarkStart w:id="45" w:name="_Toc408580955"/>
      <w:bookmarkStart w:id="46" w:name="_Toc409432220"/>
      <w:r w:rsidRPr="007C2F91">
        <w:rPr>
          <w:b/>
        </w:rPr>
        <w:t>Indledning</w:t>
      </w:r>
      <w:bookmarkEnd w:id="0"/>
      <w:bookmarkEnd w:id="2"/>
      <w:bookmarkEnd w:id="6"/>
      <w:bookmarkEnd w:id="7"/>
      <w:bookmarkEnd w:id="8"/>
      <w:bookmarkEnd w:id="45"/>
      <w:bookmarkEnd w:id="46"/>
    </w:p>
    <w:p w:rsidR="00F0101B" w:rsidRPr="007C2F91" w:rsidRDefault="00F0101B" w:rsidP="00DA3BBB">
      <w:pPr>
        <w:keepNext/>
      </w:pPr>
    </w:p>
    <w:p w:rsidR="007F4114" w:rsidRPr="007C2F91" w:rsidRDefault="00F57C49" w:rsidP="00DA3BBB">
      <w:r w:rsidRPr="007C2F91">
        <w:t>Den Europæiske Unions politiske beslutningstagere har sammen fastsat et klart politisk mål: CO</w:t>
      </w:r>
      <w:r w:rsidRPr="007C2F91">
        <w:rPr>
          <w:vertAlign w:val="subscript"/>
        </w:rPr>
        <w:t>2</w:t>
      </w:r>
      <w:r w:rsidR="00DC05ED" w:rsidRPr="007C2F91">
        <w:noBreakHyphen/>
      </w:r>
      <w:r w:rsidRPr="007C2F91">
        <w:t>emissionerne skal reduceres med 80-95 % inden 2050. Europa vil blive omdannet til en ressourceeffektiv og klimavenlig lavemissionsøkonomi. Denne dagsorden er ikke udelukkende en konsekvens af klimaændringerne. En fuldstændig omlægning af energipolitikken er nødvendig for at imødegå udfordringerne som følge af, at fossile brændstoffer er udtømmelige, samt for at gøre en ende på Europas afhængighed af energiimport fra politisk ustabile områder. Energisystemerne skal udvikles på en måde, der garanterer ren og sikker energi til overkommelige priser til forbrugerne i dag og i fremtiden. De sociale, miljømæssige og sundhedsmæssige konsekvenser skal medtænkes ved energiproduktionsplanlægningen, og der skal tages højde for virkningerne for de fremtidige generationer.</w:t>
      </w:r>
    </w:p>
    <w:p w:rsidR="007F4114" w:rsidRPr="007C2F91" w:rsidRDefault="007F4114" w:rsidP="00DA3BBB"/>
    <w:p w:rsidR="00782D6B" w:rsidRPr="007C2F91" w:rsidRDefault="007F4114" w:rsidP="00DA3BBB">
      <w:r w:rsidRPr="007C2F91">
        <w:t>Vedvarende energi spiller en central rolle i forbindelse med denne omstilling. EU-direktivet om vedvarende energi fra 2009</w:t>
      </w:r>
      <w:r w:rsidRPr="007C2F91">
        <w:rPr>
          <w:vertAlign w:val="superscript"/>
        </w:rPr>
        <w:footnoteReference w:id="5"/>
      </w:r>
      <w:r w:rsidRPr="007C2F91">
        <w:t xml:space="preserve"> havde til formål at fremme produktionen af vedvarende energi og øge energiforsyningssikkerheden. I henhold til direktivet skal vedvarende energikilder senest i 2020 udgøre en bestemt andel af det endelige energiforbrug i hver enkelt medlemsstat, således at de bidrager til et overordnet EU-mål om en andel på 20 % af energi fra vedvarende kilder. Ifølge EU's </w:t>
      </w:r>
      <w:r w:rsidRPr="007C2F91">
        <w:lastRenderedPageBreak/>
        <w:t>ramme for klima- og energipolitikkerne frem til 2030 skal denne andel være steget yderligere til mindst 27 % senest i 2030. Det Europæiske Økonomiske og Sociale Udvalg (EØSU) støtter dette mål</w:t>
      </w:r>
      <w:r w:rsidRPr="007C2F91">
        <w:rPr>
          <w:rStyle w:val="FootnoteReference"/>
          <w:sz w:val="22"/>
        </w:rPr>
        <w:footnoteReference w:id="6"/>
      </w:r>
      <w:r w:rsidRPr="007C2F91">
        <w:t>, men anmoder om, at de nationale mål for vedvarende energi fastsættes på medlemsstatsniveau, hvilket vil give Kommissionen mulighed for at pålægge handling og sikre, at medlemsstaterne opfylder det fælles mål.</w:t>
      </w:r>
    </w:p>
    <w:p w:rsidR="00C95307" w:rsidRPr="007C2F91" w:rsidRDefault="00C95307" w:rsidP="00DA3BBB"/>
    <w:p w:rsidR="00C95307" w:rsidRPr="007C2F91" w:rsidRDefault="00C95307" w:rsidP="00DA3BBB">
      <w:r w:rsidRPr="007C2F91">
        <w:t>Kommissionens formand Jean-Claude Juncker skrev i sin opgavebeskrivelse til den nye energikommissær: "Vi skal også styrke andelen af vedvarende energi på vores kontinent. Det er ikke kun et spørgsmål om ansvarlig klimapolitik. Det er også en industripolitisk nødvendighed, hvis vi stadig ønsker at have energi til overkommelige priser til rådighed på mellemlang sigt. Jeg tror til fulde på potentialet i "grøn vækst", og jeg ønsker, at EU skal blive førende i verden inden for vedvarende energi."</w:t>
      </w:r>
    </w:p>
    <w:p w:rsidR="007C4DC2" w:rsidRPr="007C2F91" w:rsidRDefault="007C4DC2" w:rsidP="00DA3BBB"/>
    <w:p w:rsidR="00EE3B35" w:rsidRPr="007C2F91" w:rsidRDefault="00AD0D72" w:rsidP="00DA3BBB">
      <w:r w:rsidRPr="007C2F91">
        <w:t xml:space="preserve">EØSU har erkendt de tekniske, økonomiske og sociale udfordringer forbundet med omstillingen til en ressourceeffektiv lavemissionsøkonomi. Der er blevet udtrykt bekymring over fordelingen af omkostningerne og fordelene forbundet med omstillingen, over integrationen af spredtliggende og fluktuerende energikilder i forsyningssystemet og over den nye infrastruktur, og på lokalt plan har der været modstand mod visse typer infrastruktur til vedvarende energi. Der gøres et godt stykke arbejde for at tackle disse udfordringer. Udgifterne forbundet med vedvarende energiteknologier er faldet takket være den teknologiske udvikling og udbredelsen på markedet, og udviklingen af intelligente net og andre løsninger til styring af svingende udbud og efterspørgsel skrider fremad. </w:t>
      </w:r>
    </w:p>
    <w:p w:rsidR="00EE3B35" w:rsidRPr="007C2F91" w:rsidRDefault="00EE3B35" w:rsidP="00DA3BBB"/>
    <w:p w:rsidR="00030F5F" w:rsidRPr="007C2F91" w:rsidRDefault="00F0101B" w:rsidP="00DA3BBB">
      <w:r w:rsidRPr="007C2F91">
        <w:t xml:space="preserve">EØSU gik i gang med denne undersøgelse vel vidende, at udformningen og gennemførelsen af politikker for vedvarende energi mindst lige så meget handler om markedsstrukturer og socioøkonomiske forhold som om tekniske og teknologiske spørgsmål. Hensigten med undersøgelsen er derfor ikke at analysere de tekniske udfordringer, som aktuelt drøftes i andre fora. Den beskæftiger sig i stedet med det meget mindre udforskede spørgsmål om, </w:t>
      </w:r>
      <w:r w:rsidRPr="007C2F91">
        <w:rPr>
          <w:b/>
        </w:rPr>
        <w:t>hvilken rolle civilsamfundet spiller, eller kunne og burde spille</w:t>
      </w:r>
      <w:r w:rsidRPr="007C2F91">
        <w:t xml:space="preserve">, i denne større omstillingsproces. </w:t>
      </w:r>
    </w:p>
    <w:p w:rsidR="00030F5F" w:rsidRPr="007C2F91" w:rsidRDefault="00030F5F" w:rsidP="00DA3BBB"/>
    <w:p w:rsidR="00AD0D72" w:rsidRPr="007C2F91" w:rsidRDefault="00AD0D72" w:rsidP="00DA3BBB">
      <w:r w:rsidRPr="007C2F91">
        <w:t>Er civilsamfundets rolle begrænset til at observere og acceptere nye politikker og projekter? Høres civilsamfundsaktører, og i bekræftende fald, med eller uden konsekvenser? Eller er civilsamfundet fuldt ud integreret og i stand til at spille en aktiv, måske endog en væsentlig rolle, i et nyt mere decentralt system for bæredygtig energiproduktion? Og sluttelig hvad er succesfaktorerne og udfordringerne i denne forbindelse?</w:t>
      </w:r>
    </w:p>
    <w:p w:rsidR="00AD0D72" w:rsidRPr="007C2F91" w:rsidRDefault="00AD0D72" w:rsidP="00DA3BBB"/>
    <w:p w:rsidR="007F4114" w:rsidRPr="007C2F91" w:rsidRDefault="007F4114" w:rsidP="00DA3BBB">
      <w:r w:rsidRPr="007C2F91">
        <w:t xml:space="preserve">Civilsamfundet har hidtil kun været perifert involveret i energiproduktion. Energisektoren har været stærkt centraliseret, og rollerne har været klart fordelt. Den traditionelle </w:t>
      </w:r>
      <w:r w:rsidR="00DC05ED" w:rsidRPr="007C2F91">
        <w:t>–</w:t>
      </w:r>
      <w:r w:rsidRPr="007C2F91">
        <w:t xml:space="preserve"> og stadig almindelige </w:t>
      </w:r>
      <w:r w:rsidR="00DC05ED" w:rsidRPr="007C2F91">
        <w:t>–</w:t>
      </w:r>
      <w:r w:rsidRPr="007C2F91">
        <w:t xml:space="preserve"> energiproduktion er foregået i nogle få store centrale enheder, hvoraf de fleste er fossile kraftværker eller atomkraftværker. Ganske få store energiselskaber har domineret markedet, f.eks.: fire i Tyskland, seks i Det Forenede Kongerige og et i Frankrig. Borgere, virksomheder og industrier har været passive forbrugere, som betaler for energiprodukter.</w:t>
      </w:r>
    </w:p>
    <w:p w:rsidR="00513D39" w:rsidRPr="007C2F91" w:rsidRDefault="00513D39" w:rsidP="00DA3BBB"/>
    <w:p w:rsidR="00612F1D" w:rsidRPr="007C2F91" w:rsidRDefault="003266BA" w:rsidP="00DA3BBB">
      <w:r w:rsidRPr="007C2F91">
        <w:lastRenderedPageBreak/>
        <w:t xml:space="preserve">Udviklingen af kulstoffattig energi vil medføre grundlæggende ændringer i energisektoren. Vedvarende energikilder er i sagens natur mere decentrale, fordi de udnytter ressourcer, som ofte er til rådighed lokalt, og som er umulige eller for dyre at transportere. Energi- og </w:t>
      </w:r>
      <w:proofErr w:type="spellStart"/>
      <w:r w:rsidRPr="007C2F91">
        <w:t>elproduktionen</w:t>
      </w:r>
      <w:proofErr w:type="spellEnd"/>
      <w:r w:rsidRPr="007C2F91">
        <w:t xml:space="preserve"> kommer til at foregå i befolkningens umiddelbare omgivelser, hvilket betyder, at energiinfrastrukturen bliver meget mere synlig i landskabet. </w:t>
      </w:r>
    </w:p>
    <w:p w:rsidR="00EF4326" w:rsidRPr="007C2F91" w:rsidRDefault="007F4114" w:rsidP="00DA3BBB">
      <w:r w:rsidRPr="007C2F91">
        <w:t xml:space="preserve"> </w:t>
      </w:r>
    </w:p>
    <w:p w:rsidR="003266BA" w:rsidRPr="007C2F91" w:rsidRDefault="00EF4326" w:rsidP="00DA3BBB">
      <w:r w:rsidRPr="007C2F91">
        <w:t>En politik skal accepteres for at blive vellykket. Dette har været tilfældet for tidligere energipolitikker, og det gælder sandsynligvis i endnu højere grad for fremtidige politikker. Det er ikke kun EU's klimapolitik generelt, der har brug for støtte fra civilsamfundet: Hvert enkelt projekt og hvert vind-, sol- eller biogasanlæg har brug for lokalbefolkningens accept. Der er større sandsynlighed for, at projekter bliver accepteret, når den berørte befolkning anerkender fordelene ved ændringerne i deres omgivelser og så meget desto mere, hvis de får direkte gavn af disse ændringer.</w:t>
      </w:r>
    </w:p>
    <w:p w:rsidR="003266BA" w:rsidRPr="007C2F91" w:rsidRDefault="003266BA" w:rsidP="00DA3BBB"/>
    <w:p w:rsidR="005C66B9" w:rsidRPr="007C2F91" w:rsidRDefault="003266BA" w:rsidP="00DA3BBB">
      <w:r w:rsidRPr="007C2F91">
        <w:t xml:space="preserve">Set i lyset af de globale klimaændringer har det ingen betydning, hvem der ejer eller driver en vindmølle, men det kan være afgørende, når der skal opnås accept af en politik. Gennemførelsen af direktivet om vedvarende energi – og især af klimapolitikken - hænger derfor nøje sammen med spørgsmålet om, </w:t>
      </w:r>
      <w:r w:rsidRPr="007C2F91">
        <w:rPr>
          <w:b/>
        </w:rPr>
        <w:t>hvem der gives fortrinsret til og mulighed for at producere og få økonomisk udbytte af vedvarende energi</w:t>
      </w:r>
      <w:r w:rsidRPr="007C2F91">
        <w:t>: eksterne investorer, som bruger en regions lokale ressourcer i deres virksomheds interesse, eller lokalbefolkningen, som kan udnytte deres egen sol-, biomasse- og vindressourcer og ikke kun producere energi, men også skabe ny værdi, nye muligheder og ny beskæftigelse i regionen. Dette betyder ikke, at omstillingen til vedvarende energi kan eller bør gennemføres udelukkende af små producenter. Men privatpersoner og lokalsamfund bør få muligheder for at konkurrere med store investorer for at skabe lokal værdi og spille en vigtig rolle i energiomstillingen.</w:t>
      </w:r>
    </w:p>
    <w:p w:rsidR="005C66B9" w:rsidRPr="007C2F91" w:rsidRDefault="005C66B9" w:rsidP="00DA3BBB"/>
    <w:p w:rsidR="00894515" w:rsidRPr="007C2F91" w:rsidRDefault="00713428" w:rsidP="00DA3BBB">
      <w:r w:rsidRPr="007C2F91">
        <w:t>EU-direktivet om vedvarende energi anerkender de muligheder for vækst og beskæftigelse, som regional og lokal produktion af energi fra vedvarende energikilder skaber. Det opfordrer medlemsstaterne til at støtte nationale og regionale udviklingsforanstaltninger og fremme anvendelsen af strukturfondsmidler på dette område, uden dog udtrykkeligt at anerkende eller støtte lokalt styret udvikling af vedvarende energi.</w:t>
      </w:r>
    </w:p>
    <w:p w:rsidR="005D3206" w:rsidRPr="007C2F91" w:rsidRDefault="005D3206" w:rsidP="00DA3BBB"/>
    <w:p w:rsidR="004410D9" w:rsidRPr="007C2F91" w:rsidRDefault="004A39F2" w:rsidP="00DA3BBB">
      <w:r w:rsidRPr="007C2F91">
        <w:t xml:space="preserve">Observatoriet for Bæredygtig Udvikling så i undersøgelsen nærmere på erfaringerne med denne slags ordninger i seks medlemsstater. Denne rapport beskriver resultaterne af EØSU's undersøgelse og fremsætter anbefalinger til EU-institutionerne og de nationale politiske beslutningstagere, der sigter mod at forbedre de lovgivningsmæssige betingelser for decentral produktion af energi fra vedvarende energikilder, som forestås af og er til gavn for lokalsamfund og civilsamfundet. </w:t>
      </w:r>
    </w:p>
    <w:p w:rsidR="004410D9" w:rsidRPr="007C2F91" w:rsidRDefault="004410D9" w:rsidP="00DA3BBB"/>
    <w:p w:rsidR="002D259B" w:rsidRPr="007C2F91" w:rsidRDefault="009B5725" w:rsidP="00DA3BBB">
      <w:r w:rsidRPr="007C2F91">
        <w:t>Rapporten suppleres af nationale rapporter indeholdende yderligere</w:t>
      </w:r>
      <w:r w:rsidR="00DC05ED" w:rsidRPr="007C2F91">
        <w:t xml:space="preserve"> oplysninger om hver af de seks </w:t>
      </w:r>
      <w:r w:rsidRPr="007C2F91">
        <w:t>medlemsstater, der blev besøgt i forbindelse med undersøgelsen.</w:t>
      </w:r>
    </w:p>
    <w:p w:rsidR="008C1C0D" w:rsidRPr="007C2F91" w:rsidRDefault="008C1C0D" w:rsidP="00DA3BBB"/>
    <w:p w:rsidR="00861968" w:rsidRPr="007C2F91" w:rsidRDefault="00025B07" w:rsidP="00DA3BBB">
      <w:pPr>
        <w:pStyle w:val="Heading1"/>
        <w:keepNext/>
        <w:rPr>
          <w:b/>
        </w:rPr>
      </w:pPr>
      <w:bookmarkStart w:id="47" w:name="_Toc399145990"/>
      <w:bookmarkStart w:id="48" w:name="_Toc399257197"/>
      <w:bookmarkStart w:id="49" w:name="_Toc408506710"/>
      <w:bookmarkStart w:id="50" w:name="_Toc408580956"/>
      <w:bookmarkStart w:id="51" w:name="_Toc409432221"/>
      <w:r w:rsidRPr="007C2F91">
        <w:rPr>
          <w:b/>
        </w:rPr>
        <w:t>Undersøgelsens tilgang</w:t>
      </w:r>
      <w:bookmarkEnd w:id="47"/>
      <w:bookmarkEnd w:id="48"/>
      <w:bookmarkEnd w:id="49"/>
      <w:bookmarkEnd w:id="50"/>
      <w:bookmarkEnd w:id="51"/>
    </w:p>
    <w:p w:rsidR="00861968" w:rsidRPr="007C2F91" w:rsidRDefault="00861968" w:rsidP="00DA3BBB">
      <w:pPr>
        <w:keepNext/>
      </w:pPr>
    </w:p>
    <w:p w:rsidR="00861968" w:rsidRPr="007C2F91" w:rsidRDefault="00861968" w:rsidP="00DA3BBB">
      <w:pPr>
        <w:pStyle w:val="Heading2"/>
        <w:keepNext/>
        <w:rPr>
          <w:b/>
        </w:rPr>
      </w:pPr>
      <w:bookmarkStart w:id="52" w:name="_Toc399257198"/>
      <w:bookmarkStart w:id="53" w:name="_Toc408506711"/>
      <w:bookmarkStart w:id="54" w:name="_Toc408580957"/>
      <w:bookmarkStart w:id="55" w:name="_Toc409432222"/>
      <w:r w:rsidRPr="007C2F91">
        <w:rPr>
          <w:b/>
        </w:rPr>
        <w:t>Mål</w:t>
      </w:r>
      <w:bookmarkEnd w:id="52"/>
      <w:bookmarkEnd w:id="53"/>
      <w:bookmarkEnd w:id="54"/>
      <w:bookmarkEnd w:id="55"/>
    </w:p>
    <w:p w:rsidR="00861968" w:rsidRPr="007C2F91" w:rsidRDefault="00861968" w:rsidP="00DA3BBB">
      <w:pPr>
        <w:keepNext/>
        <w:ind w:left="720"/>
      </w:pPr>
      <w:bookmarkStart w:id="56" w:name="_Toc399145992"/>
      <w:bookmarkEnd w:id="56"/>
    </w:p>
    <w:p w:rsidR="00861968" w:rsidRPr="007C2F91" w:rsidRDefault="00861968" w:rsidP="00DA3BBB">
      <w:r w:rsidRPr="007C2F91">
        <w:t>Formålet med undersøgelsen er at besvare to specifikke spørgsmål:</w:t>
      </w:r>
    </w:p>
    <w:p w:rsidR="00861968" w:rsidRPr="007C2F91" w:rsidRDefault="00861968" w:rsidP="00DA3BBB"/>
    <w:p w:rsidR="008F70EB" w:rsidRPr="007C2F91" w:rsidRDefault="00861968" w:rsidP="00DA3BBB">
      <w:pPr>
        <w:numPr>
          <w:ilvl w:val="0"/>
          <w:numId w:val="12"/>
        </w:numPr>
      </w:pPr>
      <w:r w:rsidRPr="007C2F91">
        <w:t>I hvor høj grad er civilsamfundet involveret i gennemførelsen af direktivet om vedvarende energi? Fungerer civilsamfundet kun som en informeret observatør? Høres det i forbindelse med beslutningsprocesser? Eller er det direkte involveret i energiproduktion, således at det både bidrager til og har fordel af omstillingen til en lavemissionsøkonomi?</w:t>
      </w:r>
    </w:p>
    <w:p w:rsidR="00861968" w:rsidRPr="007C2F91" w:rsidRDefault="00861968" w:rsidP="00DA3BBB">
      <w:pPr>
        <w:ind w:left="720"/>
      </w:pPr>
    </w:p>
    <w:p w:rsidR="00861968" w:rsidRPr="007C2F91" w:rsidRDefault="00861968" w:rsidP="00DA3BBB">
      <w:pPr>
        <w:numPr>
          <w:ilvl w:val="0"/>
          <w:numId w:val="12"/>
        </w:numPr>
      </w:pPr>
      <w:r w:rsidRPr="007C2F91">
        <w:t>I hvilket omfang fremmer de nationale og regionale lovrammer (politiske, administrative, finansielle og tekniske ordninger) civilsamfundets produktion af energi fra vedvarende energikilder?</w:t>
      </w:r>
    </w:p>
    <w:p w:rsidR="00861968" w:rsidRPr="007C2F91" w:rsidRDefault="00861968" w:rsidP="00DA3BBB"/>
    <w:p w:rsidR="00861968" w:rsidRPr="007C2F91" w:rsidRDefault="00861968" w:rsidP="00DA3BBB">
      <w:r w:rsidRPr="007C2F91">
        <w:t xml:space="preserve">For at svare på disse spørgsmål forsøgte vi i undersøgelsen at </w:t>
      </w:r>
      <w:r w:rsidRPr="007C2F91">
        <w:rPr>
          <w:b/>
        </w:rPr>
        <w:t>kortlægge strategier og konkrete foranstaltninger</w:t>
      </w:r>
      <w:r w:rsidRPr="007C2F91">
        <w:t xml:space="preserve"> på forskellige myndighedsniveauer, som muliggør produktion af borgerenergi fra vedvarende energikilder og forbinde denne produktion med fordele for lokalsamfundene ved at fremhæve gode eksempler og fremsætte politiske henstillinger.</w:t>
      </w:r>
    </w:p>
    <w:p w:rsidR="00861968" w:rsidRPr="007C2F91" w:rsidRDefault="00861968" w:rsidP="00DA3BBB"/>
    <w:p w:rsidR="008F70EB" w:rsidRPr="007C2F91" w:rsidRDefault="008F70EB" w:rsidP="00DA3BBB">
      <w:r w:rsidRPr="007C2F91">
        <w:t xml:space="preserve">I denne rapport har vi brugt udtrykket </w:t>
      </w:r>
      <w:r w:rsidRPr="007C2F91">
        <w:rPr>
          <w:b/>
        </w:rPr>
        <w:t xml:space="preserve">vedvarende borgerenergi </w:t>
      </w:r>
      <w:r w:rsidRPr="007C2F91">
        <w:t>om decentral vedvarende energiproduktion, som ejes (mindst 50 %) eller drives af borgere, lokale initiativer, fællesskaber, lokale myndigheder, velgørende organisationer, NGO'er, landbrugere, kooperativer og SMV'er, og som skaber en lokal værdistrøm, som bliver inden for regionen. Det er ikke alle vedvarende energiprojekter, som skaber værdi for lokalsamfundene. Det er f.eks. tilfældet med vindmølleparker, der ejes af store koncerner, hvor merværdien ikke kommer lokalsamfundene til gode.</w:t>
      </w:r>
    </w:p>
    <w:p w:rsidR="006B79B9" w:rsidRPr="007C2F91" w:rsidRDefault="006B79B9" w:rsidP="00DA3BBB"/>
    <w:p w:rsidR="00861968" w:rsidRPr="007C2F91" w:rsidRDefault="00861968" w:rsidP="00DA3BBB">
      <w:pPr>
        <w:pStyle w:val="Heading2"/>
        <w:keepNext/>
        <w:rPr>
          <w:b/>
        </w:rPr>
      </w:pPr>
      <w:bookmarkStart w:id="57" w:name="_Toc399145994"/>
      <w:bookmarkStart w:id="58" w:name="_Toc399257199"/>
      <w:bookmarkStart w:id="59" w:name="_Toc408506712"/>
      <w:bookmarkStart w:id="60" w:name="_Toc408580958"/>
      <w:bookmarkStart w:id="61" w:name="_Toc409432223"/>
      <w:r w:rsidRPr="007C2F91">
        <w:rPr>
          <w:b/>
        </w:rPr>
        <w:t>Metode</w:t>
      </w:r>
      <w:bookmarkEnd w:id="57"/>
      <w:bookmarkEnd w:id="58"/>
      <w:bookmarkEnd w:id="59"/>
      <w:bookmarkEnd w:id="60"/>
      <w:bookmarkEnd w:id="61"/>
    </w:p>
    <w:p w:rsidR="003E034A" w:rsidRPr="007C2F91" w:rsidRDefault="003E034A" w:rsidP="00DA3BBB">
      <w:pPr>
        <w:keepNext/>
      </w:pPr>
    </w:p>
    <w:p w:rsidR="00861968" w:rsidRPr="007C2F91" w:rsidRDefault="00861968" w:rsidP="00DA3BBB">
      <w:r w:rsidRPr="007C2F91">
        <w:t>Undersøgelsen var baseret på indsamling og analyse af forskellige informationskilder, og især på feedback fra en lang række interessenter indsamlet på rejser til udvalgte medlemsstater. Der blev gennemført følgende opgaver:</w:t>
      </w:r>
    </w:p>
    <w:p w:rsidR="00861968" w:rsidRPr="007C2F91" w:rsidRDefault="00861968" w:rsidP="00DA3BBB">
      <w:pPr>
        <w:pStyle w:val="ListParagraph2"/>
        <w:numPr>
          <w:ilvl w:val="0"/>
          <w:numId w:val="13"/>
        </w:numPr>
        <w:spacing w:before="240"/>
        <w:rPr>
          <w:b w:val="0"/>
          <w:sz w:val="22"/>
          <w:szCs w:val="22"/>
        </w:rPr>
      </w:pPr>
      <w:r w:rsidRPr="007C2F91">
        <w:rPr>
          <w:b w:val="0"/>
          <w:sz w:val="22"/>
          <w:szCs w:val="22"/>
        </w:rPr>
        <w:t>Dokumentationsundersøgelser af litteratur, statistiske data og nationale politikker.</w:t>
      </w:r>
    </w:p>
    <w:p w:rsidR="00B0721D" w:rsidRPr="007C2F91" w:rsidRDefault="00B0721D" w:rsidP="00DA3BBB">
      <w:pPr>
        <w:pStyle w:val="ListParagraph2"/>
        <w:numPr>
          <w:ilvl w:val="0"/>
          <w:numId w:val="13"/>
        </w:numPr>
        <w:spacing w:before="240"/>
        <w:rPr>
          <w:b w:val="0"/>
          <w:sz w:val="22"/>
          <w:szCs w:val="22"/>
        </w:rPr>
      </w:pPr>
      <w:r w:rsidRPr="007C2F91">
        <w:rPr>
          <w:b w:val="0"/>
          <w:sz w:val="22"/>
          <w:szCs w:val="22"/>
        </w:rPr>
        <w:t>Interview med centrale interessenter på EU-plan.</w:t>
      </w:r>
    </w:p>
    <w:p w:rsidR="00861968" w:rsidRPr="007C2F91" w:rsidRDefault="00A22809" w:rsidP="00DA3BBB">
      <w:pPr>
        <w:pStyle w:val="ListParagraph2"/>
        <w:numPr>
          <w:ilvl w:val="0"/>
          <w:numId w:val="13"/>
        </w:numPr>
        <w:spacing w:before="240"/>
        <w:rPr>
          <w:b w:val="0"/>
          <w:sz w:val="22"/>
          <w:szCs w:val="22"/>
        </w:rPr>
      </w:pPr>
      <w:r w:rsidRPr="007C2F91">
        <w:rPr>
          <w:b w:val="0"/>
          <w:sz w:val="22"/>
          <w:szCs w:val="22"/>
        </w:rPr>
        <w:t>Onlinespørgeskema til myndigheder og interessenter, som dækkede forskellige aspekter af de nationale administrative, tekniske og finansielle rammer for vedvarende energi.</w:t>
      </w:r>
    </w:p>
    <w:p w:rsidR="008F70EB" w:rsidRPr="007C2F91" w:rsidRDefault="00861968" w:rsidP="00DA3BBB">
      <w:pPr>
        <w:pStyle w:val="ListParagraph2"/>
        <w:numPr>
          <w:ilvl w:val="0"/>
          <w:numId w:val="13"/>
        </w:numPr>
        <w:spacing w:before="240"/>
        <w:rPr>
          <w:b w:val="0"/>
          <w:sz w:val="22"/>
          <w:szCs w:val="22"/>
        </w:rPr>
      </w:pPr>
      <w:r w:rsidRPr="007C2F91">
        <w:rPr>
          <w:b w:val="0"/>
          <w:sz w:val="22"/>
          <w:szCs w:val="22"/>
        </w:rPr>
        <w:t xml:space="preserve">Rejser til seks udvalgte medlemsstater, som omfattede workshopper og høringer sammen med myndigheder og interessenter, samt besøg på lokale vedvarende energiprojekter. Disse seks lande blev udvalgt som casestudier for at a) sikre en afbalanceret geografisk repræsentation af EU, b) give eksempler fra "nye" og "gamle" medlemsstater og c) medtage forskellige udgangspunkter og niveauer for gennemførelsen af direktivet om vedvarende energi. </w:t>
      </w:r>
    </w:p>
    <w:p w:rsidR="00861968" w:rsidRPr="007C2F91" w:rsidRDefault="00861968" w:rsidP="00DA3BBB">
      <w:pPr>
        <w:pStyle w:val="ListParagraph2"/>
        <w:numPr>
          <w:ilvl w:val="0"/>
          <w:numId w:val="0"/>
        </w:numPr>
        <w:spacing w:before="240"/>
        <w:ind w:left="360"/>
        <w:rPr>
          <w:b w:val="0"/>
          <w:sz w:val="22"/>
          <w:szCs w:val="22"/>
        </w:rPr>
      </w:pPr>
      <w:r w:rsidRPr="007C2F91">
        <w:rPr>
          <w:b w:val="0"/>
          <w:sz w:val="22"/>
          <w:szCs w:val="22"/>
        </w:rPr>
        <w:t>Rejserne fandt sted på følgende datoer:</w:t>
      </w:r>
    </w:p>
    <w:p w:rsidR="00861968" w:rsidRPr="007C2F91" w:rsidRDefault="00861968" w:rsidP="00DA3BBB">
      <w:pPr>
        <w:pStyle w:val="ListParagraph2"/>
        <w:numPr>
          <w:ilvl w:val="1"/>
          <w:numId w:val="7"/>
        </w:numPr>
        <w:rPr>
          <w:b w:val="0"/>
          <w:sz w:val="22"/>
          <w:szCs w:val="22"/>
        </w:rPr>
      </w:pPr>
      <w:r w:rsidRPr="007C2F91">
        <w:rPr>
          <w:b w:val="0"/>
          <w:sz w:val="22"/>
          <w:szCs w:val="22"/>
        </w:rPr>
        <w:t>Tyskland: 11.-13. marts 2014</w:t>
      </w:r>
    </w:p>
    <w:p w:rsidR="00861968" w:rsidRPr="007C2F91" w:rsidRDefault="00861968" w:rsidP="00DA3BBB">
      <w:pPr>
        <w:pStyle w:val="ListParagraph2"/>
        <w:numPr>
          <w:ilvl w:val="1"/>
          <w:numId w:val="7"/>
        </w:numPr>
        <w:rPr>
          <w:b w:val="0"/>
          <w:sz w:val="22"/>
          <w:szCs w:val="22"/>
        </w:rPr>
      </w:pPr>
      <w:r w:rsidRPr="007C2F91">
        <w:rPr>
          <w:b w:val="0"/>
          <w:sz w:val="22"/>
          <w:szCs w:val="22"/>
        </w:rPr>
        <w:t>Polen: 7.-9. april 2014</w:t>
      </w:r>
    </w:p>
    <w:p w:rsidR="00861968" w:rsidRPr="007C2F91" w:rsidRDefault="00861968" w:rsidP="00DA3BBB">
      <w:pPr>
        <w:pStyle w:val="ListParagraph2"/>
        <w:numPr>
          <w:ilvl w:val="1"/>
          <w:numId w:val="7"/>
        </w:numPr>
        <w:rPr>
          <w:b w:val="0"/>
          <w:sz w:val="22"/>
          <w:szCs w:val="22"/>
        </w:rPr>
      </w:pPr>
      <w:r w:rsidRPr="007C2F91">
        <w:rPr>
          <w:b w:val="0"/>
          <w:sz w:val="22"/>
          <w:szCs w:val="22"/>
        </w:rPr>
        <w:t>Frankrig: 23.-24. april 2014</w:t>
      </w:r>
    </w:p>
    <w:p w:rsidR="00861968" w:rsidRPr="007C2F91" w:rsidRDefault="00861968" w:rsidP="00DA3BBB">
      <w:pPr>
        <w:pStyle w:val="ListParagraph2"/>
        <w:numPr>
          <w:ilvl w:val="1"/>
          <w:numId w:val="7"/>
        </w:numPr>
        <w:rPr>
          <w:b w:val="0"/>
          <w:sz w:val="22"/>
          <w:szCs w:val="22"/>
        </w:rPr>
      </w:pPr>
      <w:r w:rsidRPr="007C2F91">
        <w:rPr>
          <w:b w:val="0"/>
          <w:sz w:val="22"/>
          <w:szCs w:val="22"/>
        </w:rPr>
        <w:t>Det Forenede Kongerige: 5.-7. maj 2014</w:t>
      </w:r>
    </w:p>
    <w:p w:rsidR="00861968" w:rsidRPr="007C2F91" w:rsidRDefault="00861968" w:rsidP="00DA3BBB">
      <w:pPr>
        <w:pStyle w:val="ListParagraph2"/>
        <w:numPr>
          <w:ilvl w:val="1"/>
          <w:numId w:val="7"/>
        </w:numPr>
        <w:rPr>
          <w:b w:val="0"/>
          <w:sz w:val="22"/>
          <w:szCs w:val="22"/>
        </w:rPr>
      </w:pPr>
      <w:r w:rsidRPr="007C2F91">
        <w:rPr>
          <w:b w:val="0"/>
          <w:sz w:val="22"/>
          <w:szCs w:val="22"/>
        </w:rPr>
        <w:t>Litauen: 13.-15. maj 2014</w:t>
      </w:r>
    </w:p>
    <w:p w:rsidR="00861968" w:rsidRPr="007C2F91" w:rsidRDefault="00861968" w:rsidP="00DA3BBB">
      <w:pPr>
        <w:pStyle w:val="ListParagraph2"/>
        <w:numPr>
          <w:ilvl w:val="1"/>
          <w:numId w:val="7"/>
        </w:numPr>
        <w:rPr>
          <w:b w:val="0"/>
          <w:sz w:val="22"/>
          <w:szCs w:val="22"/>
        </w:rPr>
      </w:pPr>
      <w:r w:rsidRPr="007C2F91">
        <w:rPr>
          <w:b w:val="0"/>
          <w:sz w:val="22"/>
          <w:szCs w:val="22"/>
        </w:rPr>
        <w:t>Bulgarien: 14.-16. juli 2014</w:t>
      </w:r>
    </w:p>
    <w:p w:rsidR="00861968" w:rsidRPr="007C2F91" w:rsidRDefault="00861968" w:rsidP="00DA3BBB"/>
    <w:p w:rsidR="00EA4643" w:rsidRPr="007C2F91" w:rsidRDefault="00EA4643" w:rsidP="00DA3BBB">
      <w:pPr>
        <w:rPr>
          <w:b/>
        </w:rPr>
      </w:pPr>
      <w:r w:rsidRPr="007C2F91">
        <w:lastRenderedPageBreak/>
        <w:t xml:space="preserve">Det skal bemærkes, </w:t>
      </w:r>
      <w:proofErr w:type="gramStart"/>
      <w:r w:rsidRPr="007C2F91">
        <w:t>at</w:t>
      </w:r>
      <w:proofErr w:type="gramEnd"/>
      <w:r w:rsidRPr="007C2F91">
        <w:t xml:space="preserve"> </w:t>
      </w:r>
      <w:proofErr w:type="gramStart"/>
      <w:r w:rsidRPr="007C2F91">
        <w:t>i</w:t>
      </w:r>
      <w:proofErr w:type="gramEnd"/>
      <w:r w:rsidRPr="007C2F91">
        <w:t xml:space="preserve"> alle de besøgte lande var der på tidspunktet for besøgene ved at blive gennemført betydelige reformer af de politiske rammer og foranstaltningerne for vedvarende energi. Holdet havde således mulighed for at trække på ophedede nationale debatter om disse reformers potentielle virkninger på borgerenergi. Rapporter om hver af disse rejser er vedhæftet denne rapport.</w:t>
      </w:r>
    </w:p>
    <w:p w:rsidR="00EA4643" w:rsidRPr="007C2F91" w:rsidRDefault="00EA4643" w:rsidP="00DA3BBB"/>
    <w:p w:rsidR="003E034A" w:rsidRPr="007C2F91" w:rsidRDefault="003E034A" w:rsidP="00DA3BBB">
      <w:r w:rsidRPr="007C2F91">
        <w:t xml:space="preserve">I lyset af fokussen på civilsamfundet så man i undersøgelsen på vedvarende energikilder, som lokalsamfund normalt er involveret i: solenergi (solceller og solfangere), vindenergi, biomasse, biogas og </w:t>
      </w:r>
      <w:proofErr w:type="spellStart"/>
      <w:r w:rsidRPr="007C2F91">
        <w:t>mikrovandkraftproduktion</w:t>
      </w:r>
      <w:proofErr w:type="spellEnd"/>
      <w:r w:rsidRPr="007C2F91">
        <w:t>.</w:t>
      </w:r>
    </w:p>
    <w:p w:rsidR="003E034A" w:rsidRPr="007C2F91" w:rsidRDefault="003E034A" w:rsidP="00DA3BBB"/>
    <w:p w:rsidR="00105A4D" w:rsidRPr="007C2F91" w:rsidRDefault="008A4B88" w:rsidP="00DA3BBB">
      <w:pPr>
        <w:pStyle w:val="Heading1"/>
        <w:keepNext/>
        <w:rPr>
          <w:b/>
        </w:rPr>
      </w:pPr>
      <w:bookmarkStart w:id="62" w:name="_Toc397891541"/>
      <w:bookmarkStart w:id="63" w:name="_Toc397891544"/>
      <w:bookmarkStart w:id="64" w:name="_Toc397891545"/>
      <w:bookmarkStart w:id="65" w:name="_Toc397891546"/>
      <w:bookmarkStart w:id="66" w:name="_Toc397891547"/>
      <w:bookmarkStart w:id="67" w:name="_Toc397891548"/>
      <w:bookmarkStart w:id="68" w:name="_Toc399145995"/>
      <w:bookmarkStart w:id="69" w:name="_Toc399257200"/>
      <w:bookmarkStart w:id="70" w:name="_Toc398538369"/>
      <w:bookmarkStart w:id="71" w:name="_Toc408506726"/>
      <w:bookmarkStart w:id="72" w:name="_Toc408580959"/>
      <w:bookmarkStart w:id="73" w:name="_Toc409432224"/>
      <w:bookmarkEnd w:id="62"/>
      <w:bookmarkEnd w:id="63"/>
      <w:bookmarkEnd w:id="64"/>
      <w:bookmarkEnd w:id="65"/>
      <w:bookmarkEnd w:id="66"/>
      <w:bookmarkEnd w:id="67"/>
      <w:r w:rsidRPr="007C2F91">
        <w:rPr>
          <w:b/>
        </w:rPr>
        <w:t xml:space="preserve">Fremskridt inden for vedvarende energi i </w:t>
      </w:r>
      <w:bookmarkEnd w:id="68"/>
      <w:bookmarkEnd w:id="69"/>
      <w:r w:rsidRPr="007C2F91">
        <w:rPr>
          <w:b/>
        </w:rPr>
        <w:t>EU: et øjebliksbillede</w:t>
      </w:r>
      <w:bookmarkEnd w:id="70"/>
      <w:bookmarkEnd w:id="71"/>
      <w:bookmarkEnd w:id="72"/>
      <w:bookmarkEnd w:id="73"/>
    </w:p>
    <w:p w:rsidR="00094EC2" w:rsidRPr="007C2F91" w:rsidRDefault="00094EC2" w:rsidP="00DA3BBB">
      <w:pPr>
        <w:keepNext/>
      </w:pPr>
    </w:p>
    <w:p w:rsidR="004E5946" w:rsidRPr="007C2F91" w:rsidRDefault="00014F2A" w:rsidP="00DA3BBB">
      <w:bookmarkStart w:id="74" w:name="_Toc395310056"/>
      <w:r w:rsidRPr="007C2F91">
        <w:t>Selv om økonomien i EU stadig er stærkt</w:t>
      </w:r>
      <w:bookmarkEnd w:id="74"/>
      <w:r w:rsidRPr="007C2F91">
        <w:t xml:space="preserve"> afhængig af fossile brændstoffer og brændstofimport, er andelen af</w:t>
      </w:r>
      <w:bookmarkStart w:id="75" w:name="_Ref395178774"/>
      <w:bookmarkStart w:id="76" w:name="_Toc395310057"/>
      <w:r w:rsidRPr="007C2F91">
        <w:t xml:space="preserve"> vedvarende energikilder</w:t>
      </w:r>
      <w:bookmarkEnd w:id="75"/>
      <w:bookmarkEnd w:id="76"/>
      <w:r w:rsidRPr="007C2F91">
        <w:t xml:space="preserve"> i det endelige bruttoenergiforbrug steget støt. Den nåede op på 14,1 % i 2012</w:t>
      </w:r>
      <w:r w:rsidRPr="007C2F91">
        <w:rPr>
          <w:rStyle w:val="FootnoteReference"/>
          <w:sz w:val="22"/>
        </w:rPr>
        <w:footnoteReference w:id="7"/>
      </w:r>
      <w:r w:rsidRPr="007C2F91">
        <w:t xml:space="preserve"> og har således fortsat ret kurs mod målet om en andel på 20 % af vedvarende energi i EU's endelige bruttoenergiforbrug i 2020. Der har dog været store forskelle i de fremskridt, der er sket i de enkelte medlemsstater, og udviklingen er gået langsommere i 2014. Hvis denne udvikling fortsætter, når EU muligvis ikke målet på 20 %.</w:t>
      </w:r>
      <w:bookmarkStart w:id="77" w:name="_Toc397891565"/>
      <w:bookmarkStart w:id="78" w:name="_Toc397891566"/>
      <w:bookmarkStart w:id="79" w:name="_Toc397891567"/>
      <w:bookmarkStart w:id="80" w:name="_Toc397891568"/>
      <w:bookmarkEnd w:id="77"/>
      <w:bookmarkEnd w:id="78"/>
      <w:bookmarkEnd w:id="79"/>
      <w:bookmarkEnd w:id="80"/>
    </w:p>
    <w:p w:rsidR="0007081A" w:rsidRPr="007C2F91" w:rsidRDefault="0007081A" w:rsidP="00DA3BBB">
      <w:pPr>
        <w:rPr>
          <w:sz w:val="18"/>
        </w:rPr>
      </w:pPr>
    </w:p>
    <w:p w:rsidR="00F453D2" w:rsidRPr="007C2F91" w:rsidRDefault="00193A76" w:rsidP="00DA3BBB">
      <w:pPr>
        <w:pStyle w:val="Caption"/>
      </w:pPr>
      <w:r>
        <w:rPr>
          <w:noProof/>
          <w:lang w:val="fr-BE" w:eastAsia="fr-BE" w:bidi="ar-SA"/>
        </w:rPr>
        <w:drawing>
          <wp:inline distT="0" distB="0" distL="0" distR="0">
            <wp:extent cx="5099050" cy="3263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9050" cy="3263900"/>
                    </a:xfrm>
                    <a:prstGeom prst="rect">
                      <a:avLst/>
                    </a:prstGeom>
                    <a:noFill/>
                    <a:ln>
                      <a:noFill/>
                    </a:ln>
                  </pic:spPr>
                </pic:pic>
              </a:graphicData>
            </a:graphic>
          </wp:inline>
        </w:drawing>
      </w:r>
    </w:p>
    <w:p w:rsidR="00662559" w:rsidRPr="007C2F91" w:rsidRDefault="007623B8" w:rsidP="00DA3BBB">
      <w:pPr>
        <w:pStyle w:val="Caption"/>
      </w:pPr>
      <w:r w:rsidRPr="007C2F91">
        <w:t>Figur</w:t>
      </w:r>
      <w:fldSimple w:instr=" SEQ Figure \* ARABIC " w:fldLock="1">
        <w:r w:rsidR="009753A1" w:rsidRPr="007C2F91">
          <w:t>1</w:t>
        </w:r>
      </w:fldSimple>
      <w:r w:rsidRPr="007C2F91">
        <w:t>: Andel af vedvarende energi pr. medlemsstat (i % af det endelige bruttoenergiforbrug)</w:t>
      </w:r>
    </w:p>
    <w:p w:rsidR="0007081A" w:rsidRPr="007C2F91" w:rsidRDefault="0007081A" w:rsidP="00DA3BBB">
      <w:pPr>
        <w:rPr>
          <w:sz w:val="18"/>
        </w:rPr>
      </w:pPr>
      <w:r w:rsidRPr="007C2F91">
        <w:rPr>
          <w:sz w:val="18"/>
        </w:rPr>
        <w:t>Kilde: Pressemeddelelse fra Eurostat, STAT/14/37, 10.3.2014.</w:t>
      </w:r>
    </w:p>
    <w:p w:rsidR="0007081A" w:rsidRPr="007C2F91" w:rsidRDefault="0007081A" w:rsidP="00DA3BBB"/>
    <w:p w:rsidR="004C28DF" w:rsidRPr="007C2F91" w:rsidRDefault="009C36C3" w:rsidP="00DA3BBB">
      <w:bookmarkStart w:id="81" w:name="_Toc395564689"/>
      <w:r w:rsidRPr="007C2F91">
        <w:t xml:space="preserve">Ifølge data fra Eurostat (2012) er det i overvejende grad biomasse (46 %) og vandkraft (16 %), der bruges til den vedvarende energiproduktion i EU, men nye typer af vedvarende kilder som </w:t>
      </w:r>
      <w:r w:rsidRPr="007C2F91">
        <w:rPr>
          <w:b/>
        </w:rPr>
        <w:t xml:space="preserve">solceller </w:t>
      </w:r>
      <w:r w:rsidRPr="007C2F91">
        <w:t xml:space="preserve">og </w:t>
      </w:r>
      <w:r w:rsidRPr="007C2F91">
        <w:rPr>
          <w:b/>
        </w:rPr>
        <w:t>vind</w:t>
      </w:r>
      <w:r w:rsidRPr="007C2F91">
        <w:t xml:space="preserve"> vinder frem og skaber nye muligheder for inddragelse af civilsamfundet.</w:t>
      </w:r>
    </w:p>
    <w:p w:rsidR="009C36C3" w:rsidRPr="007C2F91" w:rsidRDefault="009C36C3" w:rsidP="00DA3BBB"/>
    <w:p w:rsidR="00094EC2" w:rsidRPr="007C2F91" w:rsidRDefault="00193A76" w:rsidP="00DA3BBB">
      <w:r>
        <w:rPr>
          <w:noProof/>
          <w:lang w:val="fr-BE" w:eastAsia="fr-BE" w:bidi="ar-SA"/>
        </w:rPr>
        <w:lastRenderedPageBreak/>
        <w:drawing>
          <wp:inline distT="0" distB="0" distL="0" distR="0">
            <wp:extent cx="2882900" cy="20002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900" cy="2000250"/>
                    </a:xfrm>
                    <a:prstGeom prst="rect">
                      <a:avLst/>
                    </a:prstGeom>
                    <a:noFill/>
                    <a:ln>
                      <a:noFill/>
                    </a:ln>
                  </pic:spPr>
                </pic:pic>
              </a:graphicData>
            </a:graphic>
          </wp:inline>
        </w:drawing>
      </w:r>
    </w:p>
    <w:p w:rsidR="004C28DF" w:rsidRPr="007C2F91" w:rsidRDefault="007623B8" w:rsidP="00DA3BBB">
      <w:pPr>
        <w:pStyle w:val="Caption"/>
      </w:pPr>
      <w:bookmarkStart w:id="82" w:name="_Ref395101843"/>
      <w:r w:rsidRPr="007C2F91">
        <w:t xml:space="preserve">Figur </w:t>
      </w:r>
      <w:bookmarkEnd w:id="82"/>
      <w:r w:rsidRPr="007C2F91">
        <w:fldChar w:fldCharType="begin" w:fldLock="1"/>
      </w:r>
      <w:r w:rsidRPr="007C2F91">
        <w:instrText xml:space="preserve"> SEQ Figure \* ARABIC </w:instrText>
      </w:r>
      <w:r w:rsidRPr="007C2F91">
        <w:fldChar w:fldCharType="separate"/>
      </w:r>
      <w:r w:rsidR="009753A1" w:rsidRPr="007C2F91">
        <w:t>2</w:t>
      </w:r>
      <w:r w:rsidRPr="007C2F91">
        <w:fldChar w:fldCharType="end"/>
      </w:r>
      <w:r w:rsidRPr="007C2F91">
        <w:t>: Installeret elektrisk kapacitet til vedvarende energi i EU-28</w:t>
      </w:r>
    </w:p>
    <w:p w:rsidR="004C28DF" w:rsidRPr="007C2F91" w:rsidRDefault="00763804" w:rsidP="00DA3BBB">
      <w:pPr>
        <w:jc w:val="left"/>
        <w:rPr>
          <w:sz w:val="18"/>
        </w:rPr>
      </w:pPr>
      <w:r w:rsidRPr="007C2F91">
        <w:rPr>
          <w:sz w:val="18"/>
        </w:rPr>
        <w:t>Kilde: baseret på oplysninger fra Eurostat.</w:t>
      </w:r>
    </w:p>
    <w:p w:rsidR="00FC3C8B" w:rsidRPr="007C2F91" w:rsidRDefault="00FC3C8B" w:rsidP="00DA3BBB"/>
    <w:p w:rsidR="00F879A8" w:rsidRPr="007C2F91" w:rsidRDefault="00F879A8" w:rsidP="00DA3BBB">
      <w:r w:rsidRPr="007C2F91">
        <w:t xml:space="preserve">Det endelige forbrug af </w:t>
      </w:r>
      <w:r w:rsidRPr="007C2F91">
        <w:rPr>
          <w:b/>
        </w:rPr>
        <w:t>elektricitet fra vedvarende kilder</w:t>
      </w:r>
      <w:r w:rsidRPr="007C2F91">
        <w:t xml:space="preserve"> nåede i 2012 op på 23,5 %. Denne fremgang skyldes til dels den imponerende vækst i solcellesektoren (som tegnede sig for 23 % af den installerede elektriske kapacitet fra vedvarende kilder i EU i 2012) og i vindenergisektoren (som stod for 35 % af den installerede elektriske kapacitet fra vedvarende kilder).</w:t>
      </w:r>
      <w:bookmarkStart w:id="83" w:name="_Ref395035656"/>
    </w:p>
    <w:p w:rsidR="00F879A8" w:rsidRPr="007C2F91" w:rsidRDefault="00F879A8" w:rsidP="00DA3BBB">
      <w:pPr>
        <w:rPr>
          <w:b/>
          <w:bCs/>
          <w:sz w:val="18"/>
        </w:rPr>
      </w:pPr>
    </w:p>
    <w:bookmarkEnd w:id="83"/>
    <w:p w:rsidR="00C6082A" w:rsidRPr="007C2F91" w:rsidRDefault="00807AB2" w:rsidP="00DA3BBB">
      <w:r w:rsidRPr="007C2F91">
        <w:t xml:space="preserve">Fremskridtene inden for vedvarende energi i sektoren for opvarmning og køling har været meget langsommere: 15,6 % i 2012. 15 % af varmeproduktionen og 87 % af energi til opvarmning og køling kommer fra biomasse. Biogas halter bagefter, idet den kun bidrager med 3 % af energien til opvarmning og afkøling. Biomasse bruges ofte til at producere varme i kraftvarmeværker, men en stor mængde brændes i ineffektivt udstyr. Træbiomasse benyttes stadig i vid udstrækning i Østeuropa og importeres bl.a. (i Polens tilfælde) i store mængder fra Rusland. Den producerede energi regnes som vedvarende energi, og producenterne opnår </w:t>
      </w:r>
      <w:r w:rsidRPr="007C2F91">
        <w:rPr>
          <w:i/>
        </w:rPr>
        <w:t>grønne certifikater</w:t>
      </w:r>
      <w:r w:rsidRPr="007C2F91">
        <w:t>, uagtet at den ingen positive virkninger har for reduktion af emissionerne og undertiden bidrager til afskovningen. Desuden fyrer de fleste kraftvarmeværker med en blanding af kul og biomasse, hvilket gør det svært at kontrollere den indberettede andel af vedvarende energikilder; et forhold, som er blevet påpeget, af interessenter i Polen, Litauen og Bulgarien. I Polen udstedtes 70-75 % af alle grønne certifikater til kulfyrede elværker i perioden mellem 2007 og 2011, hvorved deres overskud forøgedes, og prisen på grønne certifikater samtidig faldt. Dette fald ramte til gengæld vindkraftanlæg hårdt og gjorde dem økonomisk urentable.</w:t>
      </w:r>
    </w:p>
    <w:p w:rsidR="00C6082A" w:rsidRPr="007C2F91" w:rsidRDefault="00C6082A" w:rsidP="00DA3BBB"/>
    <w:p w:rsidR="00035914" w:rsidRPr="007C2F91" w:rsidRDefault="00035914" w:rsidP="00DA3BBB">
      <w:r w:rsidRPr="007C2F91">
        <w:t>Det er vigtigt at bemærke, at den politiske og samfundsmæssige debat om vedvarende energi hidtil primært har fokuseret på produktionen af elektricitet, mens produktion af varme har haft en mindre fremtrædende rolle. Denne prioritering skal tages op til fornyet overvejelse, da energiforbruget er betydeligt højere i varmesektoren end i elsektoren. Desuden kunne en kombineret produktion af el og varme fra vedvarende energikilder være en fremragende mulighed for at få den stærkt tiltrængte lagringskapacitet (kraft til varme), som der kunne trækkes på igen og igen i forbindelse med svingende produktion af vedvarende energi.</w:t>
      </w:r>
    </w:p>
    <w:p w:rsidR="00271E40" w:rsidRPr="007C2F91" w:rsidRDefault="00271E40" w:rsidP="00DA3BBB"/>
    <w:p w:rsidR="0020591A" w:rsidRPr="007C2F91" w:rsidRDefault="00494BB0" w:rsidP="00DA3BBB">
      <w:pPr>
        <w:pStyle w:val="Heading1"/>
        <w:keepNext/>
        <w:rPr>
          <w:b/>
        </w:rPr>
      </w:pPr>
      <w:bookmarkStart w:id="84" w:name="_Toc398903652"/>
      <w:bookmarkStart w:id="85" w:name="_Toc399145834"/>
      <w:bookmarkStart w:id="86" w:name="_Toc399145887"/>
      <w:bookmarkStart w:id="87" w:name="_Toc399145940"/>
      <w:bookmarkStart w:id="88" w:name="_Toc399145998"/>
      <w:bookmarkStart w:id="89" w:name="_Toc399146068"/>
      <w:bookmarkStart w:id="90" w:name="_Toc399146122"/>
      <w:bookmarkStart w:id="91" w:name="_Toc399146230"/>
      <w:bookmarkStart w:id="92" w:name="_Toc399146283"/>
      <w:bookmarkStart w:id="93" w:name="_Toc399146335"/>
      <w:bookmarkStart w:id="94" w:name="_Toc399157080"/>
      <w:bookmarkStart w:id="95" w:name="_Toc399171472"/>
      <w:bookmarkStart w:id="96" w:name="_Toc399171546"/>
      <w:bookmarkStart w:id="97" w:name="_Toc399171620"/>
      <w:bookmarkStart w:id="98" w:name="_Toc399171690"/>
      <w:bookmarkStart w:id="99" w:name="_Toc399171764"/>
      <w:bookmarkStart w:id="100" w:name="_Toc398903653"/>
      <w:bookmarkStart w:id="101" w:name="_Toc399145835"/>
      <w:bookmarkStart w:id="102" w:name="_Toc399145888"/>
      <w:bookmarkStart w:id="103" w:name="_Toc399145941"/>
      <w:bookmarkStart w:id="104" w:name="_Toc399145999"/>
      <w:bookmarkStart w:id="105" w:name="_Toc399146069"/>
      <w:bookmarkStart w:id="106" w:name="_Toc399146123"/>
      <w:bookmarkStart w:id="107" w:name="_Toc399146231"/>
      <w:bookmarkStart w:id="108" w:name="_Toc399146284"/>
      <w:bookmarkStart w:id="109" w:name="_Toc399146336"/>
      <w:bookmarkStart w:id="110" w:name="_Toc399157081"/>
      <w:bookmarkStart w:id="111" w:name="_Toc399171473"/>
      <w:bookmarkStart w:id="112" w:name="_Toc399171547"/>
      <w:bookmarkStart w:id="113" w:name="_Toc399171621"/>
      <w:bookmarkStart w:id="114" w:name="_Toc399171691"/>
      <w:bookmarkStart w:id="115" w:name="_Toc399171765"/>
      <w:bookmarkStart w:id="116" w:name="_Toc398903654"/>
      <w:bookmarkStart w:id="117" w:name="_Toc399145836"/>
      <w:bookmarkStart w:id="118" w:name="_Toc399145889"/>
      <w:bookmarkStart w:id="119" w:name="_Toc399145942"/>
      <w:bookmarkStart w:id="120" w:name="_Toc399146000"/>
      <w:bookmarkStart w:id="121" w:name="_Toc399146070"/>
      <w:bookmarkStart w:id="122" w:name="_Toc399146124"/>
      <w:bookmarkStart w:id="123" w:name="_Toc399146232"/>
      <w:bookmarkStart w:id="124" w:name="_Toc399146285"/>
      <w:bookmarkStart w:id="125" w:name="_Toc399146337"/>
      <w:bookmarkStart w:id="126" w:name="_Toc399157082"/>
      <w:bookmarkStart w:id="127" w:name="_Toc399171474"/>
      <w:bookmarkStart w:id="128" w:name="_Toc399171548"/>
      <w:bookmarkStart w:id="129" w:name="_Toc399171622"/>
      <w:bookmarkStart w:id="130" w:name="_Toc399171692"/>
      <w:bookmarkStart w:id="131" w:name="_Toc399171766"/>
      <w:bookmarkStart w:id="132" w:name="_Toc398903655"/>
      <w:bookmarkStart w:id="133" w:name="_Toc399145837"/>
      <w:bookmarkStart w:id="134" w:name="_Toc399145890"/>
      <w:bookmarkStart w:id="135" w:name="_Toc399145943"/>
      <w:bookmarkStart w:id="136" w:name="_Toc399146001"/>
      <w:bookmarkStart w:id="137" w:name="_Toc399146071"/>
      <w:bookmarkStart w:id="138" w:name="_Toc399146125"/>
      <w:bookmarkStart w:id="139" w:name="_Toc399146233"/>
      <w:bookmarkStart w:id="140" w:name="_Toc399146286"/>
      <w:bookmarkStart w:id="141" w:name="_Toc399146338"/>
      <w:bookmarkStart w:id="142" w:name="_Toc399157083"/>
      <w:bookmarkStart w:id="143" w:name="_Toc399171475"/>
      <w:bookmarkStart w:id="144" w:name="_Toc399171549"/>
      <w:bookmarkStart w:id="145" w:name="_Toc399171623"/>
      <w:bookmarkStart w:id="146" w:name="_Toc399171693"/>
      <w:bookmarkStart w:id="147" w:name="_Toc399171767"/>
      <w:bookmarkStart w:id="148" w:name="_Toc398903656"/>
      <w:bookmarkStart w:id="149" w:name="_Toc399145838"/>
      <w:bookmarkStart w:id="150" w:name="_Toc399145891"/>
      <w:bookmarkStart w:id="151" w:name="_Toc399145944"/>
      <w:bookmarkStart w:id="152" w:name="_Toc399146002"/>
      <w:bookmarkStart w:id="153" w:name="_Toc399146072"/>
      <w:bookmarkStart w:id="154" w:name="_Toc399146126"/>
      <w:bookmarkStart w:id="155" w:name="_Toc399146234"/>
      <w:bookmarkStart w:id="156" w:name="_Toc399146287"/>
      <w:bookmarkStart w:id="157" w:name="_Toc399146339"/>
      <w:bookmarkStart w:id="158" w:name="_Toc399157084"/>
      <w:bookmarkStart w:id="159" w:name="_Toc399171476"/>
      <w:bookmarkStart w:id="160" w:name="_Toc399171550"/>
      <w:bookmarkStart w:id="161" w:name="_Toc399171624"/>
      <w:bookmarkStart w:id="162" w:name="_Toc399171694"/>
      <w:bookmarkStart w:id="163" w:name="_Toc399171768"/>
      <w:bookmarkStart w:id="164" w:name="_Toc398903658"/>
      <w:bookmarkStart w:id="165" w:name="_Toc399145840"/>
      <w:bookmarkStart w:id="166" w:name="_Toc399145893"/>
      <w:bookmarkStart w:id="167" w:name="_Toc399145946"/>
      <w:bookmarkStart w:id="168" w:name="_Toc399146004"/>
      <w:bookmarkStart w:id="169" w:name="_Toc399146074"/>
      <w:bookmarkStart w:id="170" w:name="_Toc399146128"/>
      <w:bookmarkStart w:id="171" w:name="_Toc399146236"/>
      <w:bookmarkStart w:id="172" w:name="_Toc399146289"/>
      <w:bookmarkStart w:id="173" w:name="_Toc399146341"/>
      <w:bookmarkStart w:id="174" w:name="_Toc399157086"/>
      <w:bookmarkStart w:id="175" w:name="_Toc399171478"/>
      <w:bookmarkStart w:id="176" w:name="_Toc399171552"/>
      <w:bookmarkStart w:id="177" w:name="_Toc399171626"/>
      <w:bookmarkStart w:id="178" w:name="_Toc399171696"/>
      <w:bookmarkStart w:id="179" w:name="_Toc399171770"/>
      <w:bookmarkStart w:id="180" w:name="_Toc398903659"/>
      <w:bookmarkStart w:id="181" w:name="_Toc399145841"/>
      <w:bookmarkStart w:id="182" w:name="_Toc399145894"/>
      <w:bookmarkStart w:id="183" w:name="_Toc399145947"/>
      <w:bookmarkStart w:id="184" w:name="_Toc399146005"/>
      <w:bookmarkStart w:id="185" w:name="_Toc399146075"/>
      <w:bookmarkStart w:id="186" w:name="_Toc399146129"/>
      <w:bookmarkStart w:id="187" w:name="_Toc399146237"/>
      <w:bookmarkStart w:id="188" w:name="_Toc399146290"/>
      <w:bookmarkStart w:id="189" w:name="_Toc399146342"/>
      <w:bookmarkStart w:id="190" w:name="_Toc399157087"/>
      <w:bookmarkStart w:id="191" w:name="_Toc399171479"/>
      <w:bookmarkStart w:id="192" w:name="_Toc399171553"/>
      <w:bookmarkStart w:id="193" w:name="_Toc399171627"/>
      <w:bookmarkStart w:id="194" w:name="_Toc399171697"/>
      <w:bookmarkStart w:id="195" w:name="_Toc399171771"/>
      <w:bookmarkStart w:id="196" w:name="_Toc398903660"/>
      <w:bookmarkStart w:id="197" w:name="_Toc399145842"/>
      <w:bookmarkStart w:id="198" w:name="_Toc399145895"/>
      <w:bookmarkStart w:id="199" w:name="_Toc399145948"/>
      <w:bookmarkStart w:id="200" w:name="_Toc399146006"/>
      <w:bookmarkStart w:id="201" w:name="_Toc399146076"/>
      <w:bookmarkStart w:id="202" w:name="_Toc399146130"/>
      <w:bookmarkStart w:id="203" w:name="_Toc399146238"/>
      <w:bookmarkStart w:id="204" w:name="_Toc399146291"/>
      <w:bookmarkStart w:id="205" w:name="_Toc399146343"/>
      <w:bookmarkStart w:id="206" w:name="_Toc399157088"/>
      <w:bookmarkStart w:id="207" w:name="_Toc399171480"/>
      <w:bookmarkStart w:id="208" w:name="_Toc399171554"/>
      <w:bookmarkStart w:id="209" w:name="_Toc399171628"/>
      <w:bookmarkStart w:id="210" w:name="_Toc399171698"/>
      <w:bookmarkStart w:id="211" w:name="_Toc399171772"/>
      <w:bookmarkStart w:id="212" w:name="_Toc398903661"/>
      <w:bookmarkStart w:id="213" w:name="_Toc399145843"/>
      <w:bookmarkStart w:id="214" w:name="_Toc399145896"/>
      <w:bookmarkStart w:id="215" w:name="_Toc399145949"/>
      <w:bookmarkStart w:id="216" w:name="_Toc399146007"/>
      <w:bookmarkStart w:id="217" w:name="_Toc399146077"/>
      <w:bookmarkStart w:id="218" w:name="_Toc399146131"/>
      <w:bookmarkStart w:id="219" w:name="_Toc399146239"/>
      <w:bookmarkStart w:id="220" w:name="_Toc399146292"/>
      <w:bookmarkStart w:id="221" w:name="_Toc399146344"/>
      <w:bookmarkStart w:id="222" w:name="_Toc399157089"/>
      <w:bookmarkStart w:id="223" w:name="_Toc399171481"/>
      <w:bookmarkStart w:id="224" w:name="_Toc399171555"/>
      <w:bookmarkStart w:id="225" w:name="_Toc399171629"/>
      <w:bookmarkStart w:id="226" w:name="_Toc399171699"/>
      <w:bookmarkStart w:id="227" w:name="_Toc399171773"/>
      <w:bookmarkStart w:id="228" w:name="_Toc398903665"/>
      <w:bookmarkStart w:id="229" w:name="_Toc399145847"/>
      <w:bookmarkStart w:id="230" w:name="_Toc399145900"/>
      <w:bookmarkStart w:id="231" w:name="_Toc399145953"/>
      <w:bookmarkStart w:id="232" w:name="_Toc399146011"/>
      <w:bookmarkStart w:id="233" w:name="_Toc399146081"/>
      <w:bookmarkStart w:id="234" w:name="_Toc399146135"/>
      <w:bookmarkStart w:id="235" w:name="_Toc399146243"/>
      <w:bookmarkStart w:id="236" w:name="_Toc399146296"/>
      <w:bookmarkStart w:id="237" w:name="_Toc399146348"/>
      <w:bookmarkStart w:id="238" w:name="_Toc399157093"/>
      <w:bookmarkStart w:id="239" w:name="_Toc399171485"/>
      <w:bookmarkStart w:id="240" w:name="_Toc399171559"/>
      <w:bookmarkStart w:id="241" w:name="_Toc399171633"/>
      <w:bookmarkStart w:id="242" w:name="_Toc399171703"/>
      <w:bookmarkStart w:id="243" w:name="_Toc399171777"/>
      <w:bookmarkStart w:id="244" w:name="_Toc398903666"/>
      <w:bookmarkStart w:id="245" w:name="_Toc399145848"/>
      <w:bookmarkStart w:id="246" w:name="_Toc399145901"/>
      <w:bookmarkStart w:id="247" w:name="_Toc399145954"/>
      <w:bookmarkStart w:id="248" w:name="_Toc399146012"/>
      <w:bookmarkStart w:id="249" w:name="_Toc399146082"/>
      <w:bookmarkStart w:id="250" w:name="_Toc399146136"/>
      <w:bookmarkStart w:id="251" w:name="_Toc399146244"/>
      <w:bookmarkStart w:id="252" w:name="_Toc399146297"/>
      <w:bookmarkStart w:id="253" w:name="_Toc399146349"/>
      <w:bookmarkStart w:id="254" w:name="_Toc399157094"/>
      <w:bookmarkStart w:id="255" w:name="_Toc399171486"/>
      <w:bookmarkStart w:id="256" w:name="_Toc399171560"/>
      <w:bookmarkStart w:id="257" w:name="_Toc399171634"/>
      <w:bookmarkStart w:id="258" w:name="_Toc399171704"/>
      <w:bookmarkStart w:id="259" w:name="_Toc399171778"/>
      <w:bookmarkStart w:id="260" w:name="_Toc398903667"/>
      <w:bookmarkStart w:id="261" w:name="_Toc399145849"/>
      <w:bookmarkStart w:id="262" w:name="_Toc399145902"/>
      <w:bookmarkStart w:id="263" w:name="_Toc399145955"/>
      <w:bookmarkStart w:id="264" w:name="_Toc399146013"/>
      <w:bookmarkStart w:id="265" w:name="_Toc399146083"/>
      <w:bookmarkStart w:id="266" w:name="_Toc399146137"/>
      <w:bookmarkStart w:id="267" w:name="_Toc399146245"/>
      <w:bookmarkStart w:id="268" w:name="_Toc399146298"/>
      <w:bookmarkStart w:id="269" w:name="_Toc399146350"/>
      <w:bookmarkStart w:id="270" w:name="_Toc399157095"/>
      <w:bookmarkStart w:id="271" w:name="_Toc399171487"/>
      <w:bookmarkStart w:id="272" w:name="_Toc399171561"/>
      <w:bookmarkStart w:id="273" w:name="_Toc399171635"/>
      <w:bookmarkStart w:id="274" w:name="_Toc399171705"/>
      <w:bookmarkStart w:id="275" w:name="_Toc399171779"/>
      <w:bookmarkStart w:id="276" w:name="_Toc398903668"/>
      <w:bookmarkStart w:id="277" w:name="_Toc399145850"/>
      <w:bookmarkStart w:id="278" w:name="_Toc399145903"/>
      <w:bookmarkStart w:id="279" w:name="_Toc399145956"/>
      <w:bookmarkStart w:id="280" w:name="_Toc399146014"/>
      <w:bookmarkStart w:id="281" w:name="_Toc399146084"/>
      <w:bookmarkStart w:id="282" w:name="_Toc399146138"/>
      <w:bookmarkStart w:id="283" w:name="_Toc399146246"/>
      <w:bookmarkStart w:id="284" w:name="_Toc399146299"/>
      <w:bookmarkStart w:id="285" w:name="_Toc399146351"/>
      <w:bookmarkStart w:id="286" w:name="_Toc399157096"/>
      <w:bookmarkStart w:id="287" w:name="_Toc399171488"/>
      <w:bookmarkStart w:id="288" w:name="_Toc399171562"/>
      <w:bookmarkStart w:id="289" w:name="_Toc399171636"/>
      <w:bookmarkStart w:id="290" w:name="_Toc399171706"/>
      <w:bookmarkStart w:id="291" w:name="_Toc399171780"/>
      <w:bookmarkStart w:id="292" w:name="_Toc398903671"/>
      <w:bookmarkStart w:id="293" w:name="_Toc399145853"/>
      <w:bookmarkStart w:id="294" w:name="_Toc399145906"/>
      <w:bookmarkStart w:id="295" w:name="_Toc399145959"/>
      <w:bookmarkStart w:id="296" w:name="_Toc399146017"/>
      <w:bookmarkStart w:id="297" w:name="_Toc399146087"/>
      <w:bookmarkStart w:id="298" w:name="_Toc399146141"/>
      <w:bookmarkStart w:id="299" w:name="_Toc399146249"/>
      <w:bookmarkStart w:id="300" w:name="_Toc399146302"/>
      <w:bookmarkStart w:id="301" w:name="_Toc399146354"/>
      <w:bookmarkStart w:id="302" w:name="_Toc399157099"/>
      <w:bookmarkStart w:id="303" w:name="_Toc399171491"/>
      <w:bookmarkStart w:id="304" w:name="_Toc399171565"/>
      <w:bookmarkStart w:id="305" w:name="_Toc399171639"/>
      <w:bookmarkStart w:id="306" w:name="_Toc399171709"/>
      <w:bookmarkStart w:id="307" w:name="_Toc399171783"/>
      <w:bookmarkStart w:id="308" w:name="_Toc398903672"/>
      <w:bookmarkStart w:id="309" w:name="_Toc399145854"/>
      <w:bookmarkStart w:id="310" w:name="_Toc399145907"/>
      <w:bookmarkStart w:id="311" w:name="_Toc399145960"/>
      <w:bookmarkStart w:id="312" w:name="_Toc399146018"/>
      <w:bookmarkStart w:id="313" w:name="_Toc399146088"/>
      <w:bookmarkStart w:id="314" w:name="_Toc399146142"/>
      <w:bookmarkStart w:id="315" w:name="_Toc399146250"/>
      <w:bookmarkStart w:id="316" w:name="_Toc399146303"/>
      <w:bookmarkStart w:id="317" w:name="_Toc399146355"/>
      <w:bookmarkStart w:id="318" w:name="_Toc399157100"/>
      <w:bookmarkStart w:id="319" w:name="_Toc399171492"/>
      <w:bookmarkStart w:id="320" w:name="_Toc399171566"/>
      <w:bookmarkStart w:id="321" w:name="_Toc399171640"/>
      <w:bookmarkStart w:id="322" w:name="_Toc399171710"/>
      <w:bookmarkStart w:id="323" w:name="_Toc399171784"/>
      <w:bookmarkStart w:id="324" w:name="_Ref395193471"/>
      <w:bookmarkStart w:id="325" w:name="_Toc399146019"/>
      <w:bookmarkStart w:id="326" w:name="_Toc399257202"/>
      <w:bookmarkStart w:id="327" w:name="_Toc398538370"/>
      <w:bookmarkStart w:id="328" w:name="_Toc408506728"/>
      <w:bookmarkStart w:id="329" w:name="_Toc408580961"/>
      <w:bookmarkStart w:id="330" w:name="_Toc409432225"/>
      <w:bookmarkEnd w:id="8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7C2F91">
        <w:rPr>
          <w:b/>
        </w:rPr>
        <w:t>Gode argumenter for inddragelse af civilsamfundet og for vedvarende borgerenergi</w:t>
      </w:r>
      <w:bookmarkEnd w:id="324"/>
      <w:bookmarkEnd w:id="325"/>
      <w:bookmarkEnd w:id="326"/>
      <w:bookmarkEnd w:id="327"/>
      <w:bookmarkEnd w:id="328"/>
      <w:bookmarkEnd w:id="329"/>
      <w:bookmarkEnd w:id="330"/>
    </w:p>
    <w:p w:rsidR="00F94CC4" w:rsidRPr="007C2F91" w:rsidRDefault="00F94CC4" w:rsidP="00DA3BBB">
      <w:pPr>
        <w:keepNext/>
      </w:pPr>
    </w:p>
    <w:p w:rsidR="00F94CC4" w:rsidRPr="007C2F91" w:rsidRDefault="00F94CC4" w:rsidP="00DA3BBB">
      <w:r w:rsidRPr="007C2F91">
        <w:t xml:space="preserve">På sine studiebesøg fik EØSU forelagt omfattende dokumentation for vigtigheden af vedvarende borgerenergi, lige fra at opnå den nødvendige kort- og mellemfristede accept af nye produktionsanlæg </w:t>
      </w:r>
      <w:r w:rsidRPr="007C2F91">
        <w:lastRenderedPageBreak/>
        <w:t xml:space="preserve">til at mobilisere midlerne til omstillingen, opnå langsigtet selvforsyning, skabe regional værdi og lokal udvikling og bringe traditionelle monopoler i energisektoren til ophør. Dette betyder ikke, at omstillingen til vedvarende energi bør eller kan gennemføres udelukkende af civilsamfundet. Det er snarere vigtigt at sikre, at lovrammerne skaber lige vilkår, som sætter civilsamfundet i stand til at konkurrere med store centraliserede investorer og spille en vigtig rolle i energiomstillingen. </w:t>
      </w:r>
    </w:p>
    <w:p w:rsidR="00C12B73" w:rsidRPr="007C2F91" w:rsidRDefault="00C12B73" w:rsidP="00DA3BBB">
      <w:pPr>
        <w:pStyle w:val="CommentText"/>
        <w:spacing w:line="288" w:lineRule="auto"/>
        <w:rPr>
          <w:szCs w:val="18"/>
        </w:rPr>
      </w:pPr>
    </w:p>
    <w:p w:rsidR="00D7543F" w:rsidRPr="007C2F91" w:rsidRDefault="00D96ABD" w:rsidP="00DA3BBB">
      <w:pPr>
        <w:pStyle w:val="CommentText"/>
        <w:keepNext/>
        <w:numPr>
          <w:ilvl w:val="1"/>
          <w:numId w:val="1"/>
        </w:numPr>
        <w:spacing w:line="288" w:lineRule="auto"/>
        <w:ind w:left="720" w:hanging="720"/>
        <w:rPr>
          <w:b/>
          <w:sz w:val="22"/>
          <w:szCs w:val="22"/>
        </w:rPr>
      </w:pPr>
      <w:r w:rsidRPr="007C2F91">
        <w:rPr>
          <w:b/>
          <w:sz w:val="22"/>
          <w:szCs w:val="22"/>
        </w:rPr>
        <w:t>Civilsamfundet ønsker en aktiv rolle</w:t>
      </w:r>
    </w:p>
    <w:p w:rsidR="00AB5608" w:rsidRPr="007C2F91" w:rsidRDefault="00AB5608" w:rsidP="00DA3BBB">
      <w:pPr>
        <w:keepNext/>
      </w:pPr>
    </w:p>
    <w:p w:rsidR="00DF283C" w:rsidRPr="007C2F91" w:rsidRDefault="00494BB0" w:rsidP="00DA3BBB">
      <w:r w:rsidRPr="007C2F91">
        <w:t>EØSU's studiebesøg til seks EU-medlemsstater samt debatterne med civilsamfundsorganisationer i Bruxelles gav nogle uventede resultater. Undersøgelsesholdet oplevede, at civilsamfundet</w:t>
      </w:r>
      <w:r w:rsidRPr="007C2F91">
        <w:rPr>
          <w:rStyle w:val="FootnoteReference"/>
        </w:rPr>
        <w:footnoteReference w:id="8"/>
      </w:r>
      <w:r w:rsidRPr="007C2F91">
        <w:t xml:space="preserve"> var meget åbent, og at interessenterne ikke blot bakkede op om vedvarende energi, men tillige så energiomstillingen som en klar mulighed for dem selv.</w:t>
      </w:r>
      <w:r w:rsidR="00DC05ED" w:rsidRPr="007C2F91">
        <w:t xml:space="preserve"> </w:t>
      </w:r>
      <w:r w:rsidRPr="007C2F91">
        <w:t xml:space="preserve">Det er værd at bemærke, at drøftelserne med disse interessenter var præget af socioøkonomiske overvejelser og havde fokus på fordelene for lokalsamfundene snarere end på målsætninger om at modvirke klimaændringerne. </w:t>
      </w:r>
    </w:p>
    <w:p w:rsidR="00DF283C" w:rsidRPr="007C2F91" w:rsidRDefault="00DF283C" w:rsidP="00DA3BBB"/>
    <w:p w:rsidR="00BE2066" w:rsidRPr="007C2F91" w:rsidRDefault="00F94CC4" w:rsidP="00DA3BBB">
      <w:r w:rsidRPr="007C2F91">
        <w:t>Holdet mødte civilsamfundsrepræsentanter med en meget varierende grad af optimisme i de forskellige medlemsstater. I Tyskland lød meldingen fra interessenterne: "Vi støtter ikke bare energiomstillingen, vi ER energiomstillingen.</w:t>
      </w:r>
      <w:r w:rsidR="00DC05ED" w:rsidRPr="007C2F91">
        <w:t xml:space="preserve"> </w:t>
      </w:r>
      <w:r w:rsidRPr="007C2F91">
        <w:rPr>
          <w:i/>
        </w:rPr>
        <w:t xml:space="preserve">Die </w:t>
      </w:r>
      <w:proofErr w:type="spellStart"/>
      <w:r w:rsidRPr="007C2F91">
        <w:rPr>
          <w:i/>
        </w:rPr>
        <w:t>Energiewende</w:t>
      </w:r>
      <w:proofErr w:type="spellEnd"/>
      <w:r w:rsidRPr="007C2F91">
        <w:t xml:space="preserve"> blev ikke skabt af politikerne eller de store energiselskaber, det var os, der satte den i gang. Efter pres fra os blev der fastlagt de rammebetingelser, som gjorde omstillingen mulig." I modsætning hertil dæmpedes den store interesse for vedvarende borgerenergi i Polen, Litauen og Bulgarien af en enorm frustration over de administrative og økonomiske hindringer for deltagelse i de politiske processer og energiproduktionen.</w:t>
      </w:r>
      <w:r w:rsidR="00DC05ED" w:rsidRPr="007C2F91">
        <w:t xml:space="preserve"> </w:t>
      </w:r>
      <w:r w:rsidRPr="007C2F91">
        <w:t xml:space="preserve">I stedet for at anerkende værdien af og potentialet i de nye klima- og energipolitikker syntes regeringsrepræsentanterne i disse </w:t>
      </w:r>
      <w:r w:rsidR="00A51DF1" w:rsidRPr="007C2F91">
        <w:t xml:space="preserve">tre </w:t>
      </w:r>
      <w:r w:rsidRPr="007C2F91">
        <w:t>lande primært at fokusere på risici og vanskeligheder i forbindelse med vedvarende borgerenergi. På den ene side rejste de tvivl om den vedvarende energis kapacitet til at dække en væsentlig del af behovet for elektricitet (et argument, der ofte benyttes i de tidlige stadier af energiomstillingen) og på den anden side havde de betænkeligheder ved den store udbredelse af vedvarende energi.</w:t>
      </w:r>
    </w:p>
    <w:p w:rsidR="00435BF4" w:rsidRPr="007C2F91" w:rsidRDefault="00435BF4" w:rsidP="00DA3BBB">
      <w:pPr>
        <w:spacing w:before="240"/>
      </w:pPr>
      <w:r w:rsidRPr="007C2F91">
        <w:t>Fra civilsamfundets side var der et klart og entydigt svar på undersøgelsens vigtigste spørgsmål: civilsamfundet ønsker at deltage aktivt i produktionen af vedvarende energi. En deltager i debatten i Polen opsummerede det således: "Vi ønsker ikke at stå på sidelinjen og se andre drage fordel af solen og vinden i vores region.</w:t>
      </w:r>
      <w:r w:rsidR="00DC05ED" w:rsidRPr="007C2F91">
        <w:t xml:space="preserve"> </w:t>
      </w:r>
      <w:r w:rsidRPr="007C2F91">
        <w:t>Vi ønsker at udnytte vores ressourcer til egen fordel." Endelig konstaterede holdet, at der var et meget stort ønske om information, eksempler på bedste praksis, vellykkede modeller og indhøstede erfaringer, så man undgår at gentage andres fejl.</w:t>
      </w:r>
    </w:p>
    <w:p w:rsidR="00435BF4" w:rsidRPr="007C2F91" w:rsidRDefault="00435BF4" w:rsidP="00DA3BBB"/>
    <w:p w:rsidR="00E15A67" w:rsidRPr="007C2F91" w:rsidRDefault="00E15A67" w:rsidP="00DA3BBB">
      <w:pPr>
        <w:pStyle w:val="CommentText"/>
        <w:keepNext/>
        <w:numPr>
          <w:ilvl w:val="1"/>
          <w:numId w:val="1"/>
        </w:numPr>
        <w:spacing w:line="288" w:lineRule="auto"/>
        <w:ind w:left="720" w:hanging="720"/>
        <w:rPr>
          <w:b/>
          <w:sz w:val="22"/>
          <w:szCs w:val="22"/>
        </w:rPr>
      </w:pPr>
      <w:bookmarkStart w:id="331" w:name="_Toc399145856"/>
      <w:bookmarkStart w:id="332" w:name="_Toc399145909"/>
      <w:bookmarkStart w:id="333" w:name="_Toc399145962"/>
      <w:bookmarkStart w:id="334" w:name="_Toc399146020"/>
      <w:bookmarkStart w:id="335" w:name="_Toc399146090"/>
      <w:bookmarkStart w:id="336" w:name="_Toc399146144"/>
      <w:bookmarkStart w:id="337" w:name="_Toc399146252"/>
      <w:bookmarkStart w:id="338" w:name="_Toc399146305"/>
      <w:bookmarkStart w:id="339" w:name="_Toc399146357"/>
      <w:bookmarkStart w:id="340" w:name="_Toc399157102"/>
      <w:bookmarkStart w:id="341" w:name="_Toc399171494"/>
      <w:bookmarkStart w:id="342" w:name="_Toc399171568"/>
      <w:bookmarkStart w:id="343" w:name="_Toc399171642"/>
      <w:bookmarkStart w:id="344" w:name="_Toc399171712"/>
      <w:bookmarkStart w:id="345" w:name="_Toc399171786"/>
      <w:bookmarkStart w:id="346" w:name="_Toc399145857"/>
      <w:bookmarkStart w:id="347" w:name="_Toc399145910"/>
      <w:bookmarkStart w:id="348" w:name="_Toc399145963"/>
      <w:bookmarkStart w:id="349" w:name="_Toc399146021"/>
      <w:bookmarkStart w:id="350" w:name="_Toc399146091"/>
      <w:bookmarkStart w:id="351" w:name="_Toc399146145"/>
      <w:bookmarkStart w:id="352" w:name="_Toc399146253"/>
      <w:bookmarkStart w:id="353" w:name="_Toc399146306"/>
      <w:bookmarkStart w:id="354" w:name="_Toc399146358"/>
      <w:bookmarkStart w:id="355" w:name="_Toc399157103"/>
      <w:bookmarkStart w:id="356" w:name="_Toc399171495"/>
      <w:bookmarkStart w:id="357" w:name="_Toc399171569"/>
      <w:bookmarkStart w:id="358" w:name="_Toc399171643"/>
      <w:bookmarkStart w:id="359" w:name="_Toc399171713"/>
      <w:bookmarkStart w:id="360" w:name="_Toc399171787"/>
      <w:bookmarkStart w:id="361" w:name="_Toc399145858"/>
      <w:bookmarkStart w:id="362" w:name="_Toc399145911"/>
      <w:bookmarkStart w:id="363" w:name="_Toc399145964"/>
      <w:bookmarkStart w:id="364" w:name="_Toc399146022"/>
      <w:bookmarkStart w:id="365" w:name="_Toc399146092"/>
      <w:bookmarkStart w:id="366" w:name="_Toc399146146"/>
      <w:bookmarkStart w:id="367" w:name="_Toc399146254"/>
      <w:bookmarkStart w:id="368" w:name="_Toc399146307"/>
      <w:bookmarkStart w:id="369" w:name="_Toc399146359"/>
      <w:bookmarkStart w:id="370" w:name="_Toc399157104"/>
      <w:bookmarkStart w:id="371" w:name="_Toc399171496"/>
      <w:bookmarkStart w:id="372" w:name="_Toc399171570"/>
      <w:bookmarkStart w:id="373" w:name="_Toc399171644"/>
      <w:bookmarkStart w:id="374" w:name="_Toc399171714"/>
      <w:bookmarkStart w:id="375" w:name="_Toc399171788"/>
      <w:bookmarkStart w:id="376" w:name="_Toc399145859"/>
      <w:bookmarkStart w:id="377" w:name="_Toc399145912"/>
      <w:bookmarkStart w:id="378" w:name="_Toc399145965"/>
      <w:bookmarkStart w:id="379" w:name="_Toc399146023"/>
      <w:bookmarkStart w:id="380" w:name="_Toc399146093"/>
      <w:bookmarkStart w:id="381" w:name="_Toc399146147"/>
      <w:bookmarkStart w:id="382" w:name="_Toc399146255"/>
      <w:bookmarkStart w:id="383" w:name="_Toc399146308"/>
      <w:bookmarkStart w:id="384" w:name="_Toc399146360"/>
      <w:bookmarkStart w:id="385" w:name="_Toc399157105"/>
      <w:bookmarkStart w:id="386" w:name="_Toc399171497"/>
      <w:bookmarkStart w:id="387" w:name="_Toc399171571"/>
      <w:bookmarkStart w:id="388" w:name="_Toc399171645"/>
      <w:bookmarkStart w:id="389" w:name="_Toc399171715"/>
      <w:bookmarkStart w:id="390" w:name="_Toc399171789"/>
      <w:bookmarkStart w:id="391" w:name="_Toc399146024"/>
      <w:bookmarkStart w:id="392" w:name="_Toc399257203"/>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7C2F91">
        <w:rPr>
          <w:b/>
          <w:sz w:val="22"/>
          <w:szCs w:val="22"/>
        </w:rPr>
        <w:t>Borgerenergi øger den lokale accept af infrastruktur til vedvarende energi</w:t>
      </w:r>
      <w:bookmarkEnd w:id="391"/>
      <w:bookmarkEnd w:id="392"/>
    </w:p>
    <w:p w:rsidR="00E051E1" w:rsidRPr="007C2F91" w:rsidRDefault="00E051E1" w:rsidP="00DA3BBB">
      <w:pPr>
        <w:pStyle w:val="CommentText"/>
        <w:keepNext/>
        <w:spacing w:line="288" w:lineRule="auto"/>
        <w:rPr>
          <w:sz w:val="22"/>
          <w:szCs w:val="22"/>
        </w:rPr>
      </w:pPr>
    </w:p>
    <w:p w:rsidR="004307DD" w:rsidRPr="007C2F91" w:rsidRDefault="00E15A67" w:rsidP="00DA3BBB">
      <w:pPr>
        <w:pStyle w:val="CommentText"/>
        <w:spacing w:line="288" w:lineRule="auto"/>
        <w:rPr>
          <w:sz w:val="22"/>
          <w:szCs w:val="22"/>
        </w:rPr>
      </w:pPr>
      <w:r w:rsidRPr="007C2F91">
        <w:rPr>
          <w:sz w:val="22"/>
          <w:szCs w:val="22"/>
        </w:rPr>
        <w:t xml:space="preserve">En vellykket energiomstilling kræver en høj grad af accept fra civilsamfundet. På EØSU's rejser omtalte interessenterne nogle tilfælde af lokal modstand mod infrastruktur til vedvarende energi, særlig mod vindmølleparker. Der er typisk tale om tilfælde, hvor eksterne investorer har opført infrastruktur til vedvarende energi med meget få fordele for eller kompensation til lokalsamfundet. I </w:t>
      </w:r>
      <w:r w:rsidRPr="007C2F91">
        <w:rPr>
          <w:sz w:val="22"/>
          <w:szCs w:val="22"/>
        </w:rPr>
        <w:lastRenderedPageBreak/>
        <w:t>de tilfælde hvor borgerne og de lokale erhvervsdrivende derimod havde været inddraget i et vedvarende energiprojekt, var de meget mere tilbøjelige til at værdsætte fordelene ved det og acceptere eventuelle ulemper af æstetisk eller anden karakter. Under en debat i EØSU i november 2013 om vedvarende energi på lokalt plan</w:t>
      </w:r>
      <w:r w:rsidRPr="007C2F91">
        <w:rPr>
          <w:rStyle w:val="FootnoteReference"/>
          <w:sz w:val="22"/>
          <w:szCs w:val="22"/>
        </w:rPr>
        <w:footnoteReference w:id="9"/>
      </w:r>
      <w:r w:rsidRPr="007C2F91">
        <w:rPr>
          <w:sz w:val="22"/>
          <w:szCs w:val="22"/>
        </w:rPr>
        <w:t xml:space="preserve"> blev der givet et glimrende eksempel på vigtigheden af at inddrage lokalsamfundet. I Danmark dækkes hele Samsøs behov for energi nu af vedvarende kilder, primært som en følge af at borgerne deltager via lokalsamfundsstyrede projekter. Som led i indsatsen for at fastholde opbakningen fra borgerne og deres fortsatte engagement i sektoren for vedvarende energi er udviklerne af vindenergi forpligtet til at sælge andele til lokale borgere.</w:t>
      </w:r>
    </w:p>
    <w:p w:rsidR="00C818E2" w:rsidRPr="007C2F91" w:rsidRDefault="00C818E2" w:rsidP="00DA3BBB">
      <w:pPr>
        <w:pStyle w:val="CommentText"/>
        <w:spacing w:line="288" w:lineRule="auto"/>
        <w:rPr>
          <w:sz w:val="22"/>
          <w:szCs w:val="22"/>
        </w:rPr>
      </w:pPr>
    </w:p>
    <w:p w:rsidR="004121CF" w:rsidRPr="007C2F91" w:rsidRDefault="00D20E1B" w:rsidP="00DA3BBB">
      <w:r w:rsidRPr="007C2F91">
        <w:t>Sidst, men ikke mindst øger vedvarende borgerenergi bevidstheden, sætter borgerne i stand til og motiverer dem til at give udtryk for deres holdning og få indflydelse på den politiske beslutningstagning. Processen styrker demokratiet og legitimiteten af de politiske beslutninger. Den kan medvirke til at styrke dialogen samt opbygge tillid og samarbejde mellem institutionerne og civilsamfundet.</w:t>
      </w:r>
    </w:p>
    <w:p w:rsidR="004121CF" w:rsidRPr="007C2F91" w:rsidRDefault="004121CF" w:rsidP="00DA3BBB"/>
    <w:p w:rsidR="009E0462" w:rsidRPr="007C2F91" w:rsidRDefault="009E0462" w:rsidP="00DA3BBB">
      <w:pPr>
        <w:pStyle w:val="Heading2"/>
        <w:keepNext/>
        <w:rPr>
          <w:b/>
        </w:rPr>
      </w:pPr>
      <w:bookmarkStart w:id="393" w:name="_Ref395197849"/>
      <w:bookmarkStart w:id="394" w:name="_Toc398538371"/>
      <w:bookmarkStart w:id="395" w:name="_Toc399146025"/>
      <w:bookmarkStart w:id="396" w:name="_Toc399257204"/>
      <w:bookmarkStart w:id="397" w:name="_Toc408506729"/>
      <w:bookmarkStart w:id="398" w:name="_Toc408580962"/>
      <w:bookmarkStart w:id="399" w:name="_Toc409432226"/>
      <w:r w:rsidRPr="007C2F91">
        <w:rPr>
          <w:b/>
        </w:rPr>
        <w:t xml:space="preserve">Borgerenergi frigør midler, som er nødvendige til </w:t>
      </w:r>
      <w:bookmarkEnd w:id="393"/>
      <w:r w:rsidRPr="007C2F91">
        <w:rPr>
          <w:b/>
        </w:rPr>
        <w:t>omstillingen til vedvarende</w:t>
      </w:r>
      <w:bookmarkEnd w:id="394"/>
      <w:r w:rsidRPr="007C2F91">
        <w:rPr>
          <w:b/>
        </w:rPr>
        <w:t xml:space="preserve"> energi</w:t>
      </w:r>
      <w:bookmarkEnd w:id="395"/>
      <w:bookmarkEnd w:id="396"/>
      <w:bookmarkEnd w:id="397"/>
      <w:bookmarkEnd w:id="398"/>
      <w:bookmarkEnd w:id="399"/>
    </w:p>
    <w:p w:rsidR="008C3E85" w:rsidRPr="007C2F91" w:rsidRDefault="008C3E85" w:rsidP="00DA3BBB">
      <w:pPr>
        <w:keepNext/>
      </w:pPr>
    </w:p>
    <w:p w:rsidR="005A4AD9" w:rsidRPr="007C2F91" w:rsidRDefault="00D91394" w:rsidP="00DA3BBB">
      <w:r w:rsidRPr="007C2F91">
        <w:t>Der er ikke tvivl om, at udbredelsen af vedvarende energi og anlæg af den dermed forbundne infrastruktur vil kræve betydelige økonomiske midler</w:t>
      </w:r>
      <w:r w:rsidRPr="007C2F91">
        <w:rPr>
          <w:rStyle w:val="FootnoteReference"/>
        </w:rPr>
        <w:footnoteReference w:id="10"/>
      </w:r>
      <w:r w:rsidRPr="007C2F91">
        <w:t>.</w:t>
      </w:r>
      <w:r w:rsidR="00DC05ED" w:rsidRPr="007C2F91">
        <w:t xml:space="preserve"> </w:t>
      </w:r>
      <w:r w:rsidRPr="007C2F91">
        <w:t xml:space="preserve">Det er almindeligt kendt, at hovedparten af midlerne skal komme fra den private sektor. Med veludformede støtteordninger er der frigjort og mobiliseret investeringer fra borgere, lokalsamfund og lokale erhvervsdrivende af en hidtil uset størrelsesorden. Potentialet for, at borgerne kan investere i energiomstillingen, er kun blevet delvist udnyttet med store forskelle medlemsstaterne imellem. Danmark og Tyskland er vel nok de bedste eksempler på, at omstillingen hovedsageligt gennemføres af civilsamfundet. </w:t>
      </w:r>
    </w:p>
    <w:p w:rsidR="005A4AD9" w:rsidRPr="007C2F91" w:rsidRDefault="005A4AD9" w:rsidP="00DA3BBB"/>
    <w:p w:rsidR="00E12735" w:rsidRPr="007C2F91" w:rsidRDefault="005A4AD9" w:rsidP="00DA3BBB">
      <w:r w:rsidRPr="007C2F91">
        <w:t>I Tyskland beløb investeringerne i vedvarende borgerenergi sig i 2012 til 5,14 mia. EUR, hvilket skal ses i forhold til, at de traditionelle store energileverandører samme år kun investerede 1,7 mia. EUR i vedvarende energi. På nuværende tidspunkt er den installerede solcellekapacitet i Tyskland på mere end 30.000 MW, og den stiger med 7 MV pr. dag (hvilket svarer til den nuværende samlede installerede solcellekapacitet i Polen).</w:t>
      </w:r>
      <w:r w:rsidR="00DC05ED" w:rsidRPr="007C2F91">
        <w:t xml:space="preserve"> </w:t>
      </w:r>
      <w:r w:rsidRPr="007C2F91">
        <w:t xml:space="preserve">Mere end 1.000 energikooperativer, borgere og landbrugere står for næsten halvdelen af kapaciteten: </w:t>
      </w:r>
    </w:p>
    <w:p w:rsidR="00150B02" w:rsidRPr="007C2F91" w:rsidRDefault="00150B02" w:rsidP="00DA3BBB"/>
    <w:p w:rsidR="00150B02" w:rsidRPr="007C2F91" w:rsidRDefault="00150B02" w:rsidP="00DA3BBB"/>
    <w:p w:rsidR="008D4B61" w:rsidRPr="007C2F91" w:rsidRDefault="00193A76" w:rsidP="00DA3BBB">
      <w:pPr>
        <w:keepNext/>
      </w:pPr>
      <w:r>
        <w:rPr>
          <w:noProof/>
          <w:lang w:val="fr-BE" w:eastAsia="fr-BE" w:bidi="ar-SA"/>
        </w:rPr>
        <w:lastRenderedPageBreak/>
        <w:drawing>
          <wp:inline distT="0" distB="0" distL="0" distR="0">
            <wp:extent cx="3251200" cy="1841500"/>
            <wp:effectExtent l="0" t="0" r="6350" b="6350"/>
            <wp:docPr id="4" name="Picture 16" descr="Ownership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wnership Distribution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p>
    <w:p w:rsidR="008D4B61" w:rsidRPr="007C2F91" w:rsidRDefault="004569F3" w:rsidP="00DA3BBB">
      <w:pPr>
        <w:pStyle w:val="Caption"/>
        <w:jc w:val="both"/>
      </w:pPr>
      <w:bookmarkStart w:id="400" w:name="_Ref395176306"/>
      <w:bookmarkStart w:id="401" w:name="_Ref399154859"/>
      <w:r w:rsidRPr="007C2F91">
        <w:t xml:space="preserve">Figur </w:t>
      </w:r>
      <w:bookmarkEnd w:id="400"/>
      <w:r w:rsidRPr="007C2F91">
        <w:fldChar w:fldCharType="begin" w:fldLock="1"/>
      </w:r>
      <w:r w:rsidRPr="007C2F91">
        <w:instrText xml:space="preserve"> SEQ Figure \* ARABIC </w:instrText>
      </w:r>
      <w:r w:rsidRPr="007C2F91">
        <w:fldChar w:fldCharType="separate"/>
      </w:r>
      <w:r w:rsidR="009753A1" w:rsidRPr="007C2F91">
        <w:t>3</w:t>
      </w:r>
      <w:r w:rsidRPr="007C2F91">
        <w:fldChar w:fldCharType="end"/>
      </w:r>
      <w:bookmarkEnd w:id="401"/>
      <w:r w:rsidRPr="007C2F91">
        <w:t xml:space="preserve">: Fordeling af ejerskabet til installeret vedvarende energikapacitet til </w:t>
      </w:r>
      <w:proofErr w:type="spellStart"/>
      <w:r w:rsidRPr="007C2F91">
        <w:t>elproduktion</w:t>
      </w:r>
      <w:proofErr w:type="spellEnd"/>
      <w:r w:rsidRPr="007C2F91">
        <w:t xml:space="preserve"> i Tyskland (2012).</w:t>
      </w:r>
    </w:p>
    <w:p w:rsidR="008D4B61" w:rsidRPr="007C2F91" w:rsidRDefault="008D4B61" w:rsidP="00DA3BBB">
      <w:r w:rsidRPr="007C2F91">
        <w:t>Kilde: Bloggen "German Energy Transition" (2014)</w:t>
      </w:r>
    </w:p>
    <w:p w:rsidR="00B211D8" w:rsidRPr="007C2F91" w:rsidRDefault="00B211D8" w:rsidP="00DA3BBB"/>
    <w:p w:rsidR="00BA69D1" w:rsidRPr="007C2F91" w:rsidRDefault="0047060A" w:rsidP="00DA3BBB">
      <w:r w:rsidRPr="007C2F91">
        <w:t xml:space="preserve">I </w:t>
      </w:r>
      <w:proofErr w:type="spellStart"/>
      <w:r w:rsidRPr="007C2F91">
        <w:t>Energiewendes</w:t>
      </w:r>
      <w:proofErr w:type="spellEnd"/>
      <w:r w:rsidRPr="007C2F91">
        <w:t xml:space="preserve"> tidlige stadier skabte de høje investeringsomkostninger i og de tilsvarende høje afregningstariffer for solenergiproduktion incitamenter for privatpersoner til at sende den producerede solenergi ud på nettet. Der er sket en markant ændring på dette område. Den opsigtsvækkende teknologiske udvikling og tilsvarende reduktion af investeringsomkostningerne har gjort det mere indbringende for små producenter selv at anvende deres elektricitet, hvorved mængden af elektricitet, der købes fra nettet, er blevet reduceret. Det har til gengæld haft en stimulerende virkning på bestræbelserne for at optimere eget energiforbrug, således at der overvejende forbruges ved egen spidsproduktion, f.eks. topper energianvendelsen sidst på eftermiddagen/tidlig aften.</w:t>
      </w:r>
    </w:p>
    <w:p w:rsidR="007C59D0" w:rsidRPr="007C2F91" w:rsidRDefault="007C59D0" w:rsidP="00DA3BBB"/>
    <w:p w:rsidR="007C59D0" w:rsidRPr="007C2F91" w:rsidRDefault="007C59D0" w:rsidP="00DA3BBB">
      <w:r w:rsidRPr="007C2F91">
        <w:t xml:space="preserve">Decentral vedvarende energi indebærer, at produktionen normalt finder sted tættere på forbrugeren med store muligheder for at reducere udgifterne til </w:t>
      </w:r>
      <w:proofErr w:type="spellStart"/>
      <w:r w:rsidRPr="007C2F91">
        <w:t>netinfrastruktur</w:t>
      </w:r>
      <w:proofErr w:type="spellEnd"/>
      <w:r w:rsidRPr="007C2F91">
        <w:t>. Desuden viste EØSU's undersøgelse, at små producenter har betydeligt lavere forventninger til fortjenstmargenen end store producenter.</w:t>
      </w:r>
    </w:p>
    <w:p w:rsidR="0003644A" w:rsidRPr="007C2F91" w:rsidRDefault="0003644A" w:rsidP="00DA3BBB"/>
    <w:p w:rsidR="0067053B" w:rsidRPr="007C2F91" w:rsidRDefault="00140D90" w:rsidP="00DA3BBB">
      <w:pPr>
        <w:pStyle w:val="Heading2"/>
        <w:keepNext/>
        <w:rPr>
          <w:b/>
        </w:rPr>
      </w:pPr>
      <w:bookmarkStart w:id="402" w:name="_Toc399257206"/>
      <w:bookmarkStart w:id="403" w:name="_Toc399257207"/>
      <w:bookmarkStart w:id="404" w:name="_Toc399146027"/>
      <w:bookmarkStart w:id="405" w:name="_Ref395258590"/>
      <w:bookmarkStart w:id="406" w:name="_Ref399168295"/>
      <w:bookmarkStart w:id="407" w:name="_Toc399257208"/>
      <w:bookmarkStart w:id="408" w:name="_Toc398538372"/>
      <w:bookmarkStart w:id="409" w:name="_Toc408506730"/>
      <w:bookmarkStart w:id="410" w:name="_Toc408580963"/>
      <w:bookmarkStart w:id="411" w:name="_Toc409432227"/>
      <w:bookmarkEnd w:id="402"/>
      <w:bookmarkEnd w:id="403"/>
      <w:r w:rsidRPr="007C2F91">
        <w:rPr>
          <w:b/>
        </w:rPr>
        <w:t>Vedvarende borgerenergi fremmer udviklingen af lokalsamfund og bekæmper energifattigdom</w:t>
      </w:r>
      <w:bookmarkEnd w:id="404"/>
      <w:bookmarkEnd w:id="405"/>
      <w:bookmarkEnd w:id="406"/>
      <w:bookmarkEnd w:id="407"/>
      <w:bookmarkEnd w:id="408"/>
      <w:bookmarkEnd w:id="409"/>
      <w:bookmarkEnd w:id="410"/>
      <w:bookmarkEnd w:id="411"/>
    </w:p>
    <w:p w:rsidR="009D46D5" w:rsidRPr="007C2F91" w:rsidRDefault="00354DA8" w:rsidP="00DA3BBB">
      <w:pPr>
        <w:keepNext/>
        <w:ind w:left="720" w:hanging="720"/>
        <w:outlineLvl w:val="1"/>
      </w:pPr>
      <w:r w:rsidRPr="007C2F91">
        <w:t xml:space="preserve"> </w:t>
      </w:r>
    </w:p>
    <w:p w:rsidR="00E661FE" w:rsidRPr="007C2F91" w:rsidRDefault="0002791D" w:rsidP="00DA3BBB">
      <w:r w:rsidRPr="007C2F91">
        <w:t xml:space="preserve">Vedvarende energi udnytter lokalt tilgængelige ressourcer. Med de rigtige lovrammer skaber borgeres og lokalsamfunds energiproduktion en ny værdistrøm, som kan forblive inden for regionen. Nogle vedvarende energifællesskaber er i stand til at holde på de enorme økonomiske midler, som tidligere blev brugt på import af energi og fossile brændstoffer, men som nu investeres i ny lokal beskæftigelse og socioøkonomisk udvikling. </w:t>
      </w:r>
    </w:p>
    <w:p w:rsidR="00E661FE" w:rsidRPr="007C2F91" w:rsidRDefault="00E661FE" w:rsidP="00DA3BBB"/>
    <w:p w:rsidR="00BA18F3" w:rsidRPr="007C2F91" w:rsidRDefault="00DB60DA" w:rsidP="00DA3BBB">
      <w:r w:rsidRPr="007C2F91">
        <w:t xml:space="preserve">Et eksempel herpå er </w:t>
      </w:r>
      <w:proofErr w:type="spellStart"/>
      <w:r w:rsidRPr="007C2F91">
        <w:t>Treuenbrietzen</w:t>
      </w:r>
      <w:proofErr w:type="spellEnd"/>
      <w:r w:rsidRPr="007C2F91">
        <w:t xml:space="preserve"> i Tyskland, hvor kommunen sammen med borgerne har etableret egne sol-, vind- og biogasanlæg. Biogasanlægget producerer både el og varme, som distribueres via kommunens nye, eget installerede varmenet. Varme til at dække yderligere behov leveres til dels af et fyringsanlæg til træspåner. Derudover har kommunen anlagt et separat elektricitetsnet og er i gang med at opbygge sin egen energilagringskapacitet med henblik på at blive selvforsynende med energi. De lokale elpriser ligger på 16,6 cent pr. kWh, hvilket er 30-35 % lavere end den gennemsnitlige pris på elektricitet i Tyskland. Varme leveres til forbrugerne til en pris af 7,5 cent pr. kWh, langt under de indenlandske priser på gas- og olieopvarmning. </w:t>
      </w:r>
      <w:proofErr w:type="spellStart"/>
      <w:r w:rsidRPr="007C2F91">
        <w:t>Treuenbrietzen</w:t>
      </w:r>
      <w:proofErr w:type="spellEnd"/>
      <w:r w:rsidRPr="007C2F91">
        <w:t xml:space="preserve"> er bevis for, at der rent faktisk kan spares penge med lokal vedvarende energi.</w:t>
      </w:r>
    </w:p>
    <w:p w:rsidR="00BA18F3" w:rsidRPr="007C2F91" w:rsidRDefault="00BA18F3" w:rsidP="00DA3BBB"/>
    <w:p w:rsidR="00663964" w:rsidRPr="007C2F91" w:rsidRDefault="009556B3" w:rsidP="00DA3BBB">
      <w:pPr>
        <w:keepNext/>
      </w:pPr>
      <w:r w:rsidRPr="007C2F91">
        <w:t xml:space="preserve">Initiativer for vedvarende borgerenergi fremmer samarbejdet mellem forskellige lokale aktører, hvilket underbygges af den eksplosive vækst i energikooperativer i hele Europa (Figur 4). </w:t>
      </w:r>
    </w:p>
    <w:p w:rsidR="007623B8" w:rsidRPr="007C2F91" w:rsidRDefault="007623B8" w:rsidP="00DA3BBB">
      <w:pPr>
        <w:keepNext/>
      </w:pPr>
    </w:p>
    <w:p w:rsidR="00663964" w:rsidRPr="007C2F91" w:rsidRDefault="00193A76" w:rsidP="00DA3BBB">
      <w:pPr>
        <w:keepNext/>
      </w:pPr>
      <w:r>
        <w:rPr>
          <w:noProof/>
          <w:lang w:val="fr-BE" w:eastAsia="fr-BE" w:bidi="ar-SA"/>
        </w:rPr>
        <w:drawing>
          <wp:inline distT="0" distB="0" distL="0" distR="0">
            <wp:extent cx="914400" cy="2393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393950"/>
                    </a:xfrm>
                    <a:prstGeom prst="rect">
                      <a:avLst/>
                    </a:prstGeom>
                    <a:noFill/>
                    <a:ln>
                      <a:noFill/>
                    </a:ln>
                  </pic:spPr>
                </pic:pic>
              </a:graphicData>
            </a:graphic>
          </wp:inline>
        </w:drawing>
      </w:r>
      <w:r>
        <w:rPr>
          <w:noProof/>
          <w:lang w:val="fr-BE" w:eastAsia="fr-BE" w:bidi="ar-SA"/>
        </w:rPr>
        <w:drawing>
          <wp:inline distT="0" distB="0" distL="0" distR="0">
            <wp:extent cx="2813050" cy="2406650"/>
            <wp:effectExtent l="0" t="0" r="635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0" cy="2406650"/>
                    </a:xfrm>
                    <a:prstGeom prst="rect">
                      <a:avLst/>
                    </a:prstGeom>
                    <a:noFill/>
                    <a:ln>
                      <a:noFill/>
                    </a:ln>
                  </pic:spPr>
                </pic:pic>
              </a:graphicData>
            </a:graphic>
          </wp:inline>
        </w:drawing>
      </w:r>
    </w:p>
    <w:p w:rsidR="00395105" w:rsidRPr="007C2F91" w:rsidRDefault="004569F3" w:rsidP="00DA3BBB">
      <w:pPr>
        <w:pStyle w:val="Caption"/>
        <w:jc w:val="both"/>
      </w:pPr>
      <w:r w:rsidRPr="007C2F91">
        <w:t xml:space="preserve">Figur </w:t>
      </w:r>
      <w:fldSimple w:instr=" SEQ Figure \* ARABIC " w:fldLock="1">
        <w:r w:rsidR="009753A1" w:rsidRPr="007C2F91">
          <w:t>4</w:t>
        </w:r>
      </w:fldSimple>
      <w:r w:rsidRPr="007C2F91">
        <w:t>: Foreløbige tal og kort over registrerede energikooperativer i lokalsamfund</w:t>
      </w:r>
    </w:p>
    <w:p w:rsidR="00395105" w:rsidRPr="007C2F91" w:rsidRDefault="00395105" w:rsidP="00DA3BBB">
      <w:pPr>
        <w:rPr>
          <w:sz w:val="16"/>
        </w:rPr>
      </w:pPr>
      <w:r w:rsidRPr="007C2F91">
        <w:rPr>
          <w:sz w:val="18"/>
        </w:rPr>
        <w:t xml:space="preserve">Kilde: </w:t>
      </w:r>
      <w:proofErr w:type="spellStart"/>
      <w:r w:rsidRPr="007C2F91">
        <w:rPr>
          <w:sz w:val="18"/>
        </w:rPr>
        <w:t>REScoop</w:t>
      </w:r>
      <w:proofErr w:type="spellEnd"/>
      <w:r w:rsidRPr="007C2F91">
        <w:rPr>
          <w:sz w:val="18"/>
        </w:rPr>
        <w:t>-projektet (2014)</w:t>
      </w:r>
    </w:p>
    <w:p w:rsidR="007C59D0" w:rsidRPr="007C2F91" w:rsidRDefault="007C59D0" w:rsidP="00DA3BBB">
      <w:pPr>
        <w:rPr>
          <w:sz w:val="16"/>
        </w:rPr>
      </w:pPr>
    </w:p>
    <w:p w:rsidR="00180CDA" w:rsidRPr="007C2F91" w:rsidRDefault="00180CDA" w:rsidP="00DA3BBB">
      <w:r w:rsidRPr="007C2F91">
        <w:t xml:space="preserve">Med lokale initiativer for vedvarende energi følger innovative forretningsmodeller, udvikling af sociale virksomheder og øget samarbejde. Undersøgelsesholdet oplevede et væld af eksempler på forretningsmæssig og social innovation i lokalsamfundene. Et biogasanlæg, der samarbejder med flere landbrug, mindsker f.eks. forretningsrisikoen og sikrer sig råmateriale, samtidig med at det løser miljøproblemet med gødning. I Bulgarien havde boligejerne i et lejlighedskompleks dannet et kooperativ og investeret den leje, de fik fra en GSM-operatør for en antenne på deres tag, i solcellepaneler til hele bygningen. Et andet eksempel på kreativ problemløsning er et tysk energikooperativ, som byggede et tag af solcellepaneler over tribunerne på det lokale fodboldstadion og tilbagebetalte sine medlemmer med indtægterne fra den solgte energi samt ved at give dem årsabonnement til holdets kampe. I Wales besøgte holdet et lokalt vedvarende energiinitiativ i landsbyen </w:t>
      </w:r>
      <w:proofErr w:type="spellStart"/>
      <w:r w:rsidRPr="007C2F91">
        <w:t>Talybont</w:t>
      </w:r>
      <w:proofErr w:type="spellEnd"/>
      <w:r w:rsidRPr="007C2F91">
        <w:t xml:space="preserve">-on-Usk, som forsyner den lokale skole med varme og har stillet to elektriske biler, som får strøm fra solceller på rådhusets tag, til rådighed for de lokale indbyggere. </w:t>
      </w:r>
    </w:p>
    <w:p w:rsidR="00180CDA" w:rsidRPr="007C2F91" w:rsidRDefault="00180CDA" w:rsidP="00DA3BBB"/>
    <w:p w:rsidR="00180CDA" w:rsidRPr="007C2F91" w:rsidRDefault="00180CDA" w:rsidP="00DA3BBB">
      <w:r w:rsidRPr="007C2F91">
        <w:t>I Polens landdistrikter er elektricitetsnettet af dårlig kvalitet, hvilket betyder hyppige strømsvigt, lavere spændingsniveau og dertil knyttede problemer. De interessenter, der blev hørt under EØSU's besøg, skønnede, at det reelt vil koste mindre at udvikle lokal vedvarende energi i disse områder, end de 30-60 mia. PLN</w:t>
      </w:r>
      <w:r w:rsidRPr="007C2F91">
        <w:rPr>
          <w:rStyle w:val="FootnoteReference"/>
        </w:rPr>
        <w:footnoteReference w:id="11"/>
      </w:r>
      <w:r w:rsidRPr="007C2F91">
        <w:t xml:space="preserve">, der er nødvendige indtil 2020 til en fuldstændig modernisering af elektricitetsnettet over store afstande. </w:t>
      </w:r>
      <w:proofErr w:type="spellStart"/>
      <w:r w:rsidRPr="007C2F91">
        <w:t>Podlaskieregionen</w:t>
      </w:r>
      <w:proofErr w:type="spellEnd"/>
      <w:r w:rsidRPr="007C2F91">
        <w:t xml:space="preserve"> i Polen anerkender i sin strategi for regionaludvikling frem til 2020, at vedvarende energi rummer muligheder for at styrke regionens økonomi. I strategien omtales det faktum, at mere end 5 mia. PLN</w:t>
      </w:r>
      <w:r w:rsidRPr="007C2F91">
        <w:rPr>
          <w:rStyle w:val="FootnoteReference"/>
        </w:rPr>
        <w:footnoteReference w:id="12"/>
      </w:r>
      <w:r w:rsidRPr="007C2F91">
        <w:t xml:space="preserve"> hvert år strømmer ud af regionen til import af energi. Da der allerede nu kan produceres el og varme lokalt ved hjælp af vedvarende energikilder til lavere omkostninger, har den regionale strategi "fokus på at udvikle et lokalt </w:t>
      </w:r>
      <w:r w:rsidRPr="007C2F91">
        <w:lastRenderedPageBreak/>
        <w:t>decentraliseret energisystem og fremme en fuldstændig omstilling til lokal vedvarende energi, hvor befolkningen ejer energi- og varmeproduktionsanlæggene." Det anføres udtrykkeligt, at investeringer hovedsageligt bør være i hænderne på lokale borgere for at hindre tab af værdi for regionen.</w:t>
      </w:r>
    </w:p>
    <w:p w:rsidR="00180CDA" w:rsidRPr="007C2F91" w:rsidRDefault="00180CDA" w:rsidP="00DA3BBB">
      <w:pPr>
        <w:rPr>
          <w:sz w:val="16"/>
        </w:rPr>
      </w:pPr>
    </w:p>
    <w:p w:rsidR="001B5D89" w:rsidRPr="007C2F91" w:rsidRDefault="00140D90" w:rsidP="00DA3BBB">
      <w:pPr>
        <w:pStyle w:val="Heading2"/>
        <w:keepNext/>
        <w:rPr>
          <w:b/>
        </w:rPr>
      </w:pPr>
      <w:bookmarkStart w:id="412" w:name="_Toc399146028"/>
      <w:bookmarkStart w:id="413" w:name="_Toc399257209"/>
      <w:bookmarkStart w:id="414" w:name="_Toc398538373"/>
      <w:bookmarkStart w:id="415" w:name="_Toc408506731"/>
      <w:bookmarkStart w:id="416" w:name="_Toc408580964"/>
      <w:bookmarkStart w:id="417" w:name="_Toc409432228"/>
      <w:r w:rsidRPr="007C2F91">
        <w:rPr>
          <w:b/>
        </w:rPr>
        <w:t>Produktion af vedvarende borgerenergi</w:t>
      </w:r>
      <w:bookmarkStart w:id="418" w:name="_Toc395310065"/>
      <w:r w:rsidRPr="007C2F91">
        <w:rPr>
          <w:b/>
        </w:rPr>
        <w:t xml:space="preserve"> er en nettokilde til beskæftigelse og økonomisk vækst</w:t>
      </w:r>
      <w:bookmarkEnd w:id="412"/>
      <w:bookmarkEnd w:id="413"/>
      <w:bookmarkEnd w:id="414"/>
      <w:bookmarkEnd w:id="415"/>
      <w:bookmarkEnd w:id="416"/>
      <w:bookmarkEnd w:id="417"/>
      <w:bookmarkEnd w:id="418"/>
    </w:p>
    <w:p w:rsidR="00354DA8" w:rsidRPr="007C2F91" w:rsidRDefault="00354DA8" w:rsidP="00DA3BBB">
      <w:pPr>
        <w:keepNext/>
      </w:pPr>
    </w:p>
    <w:p w:rsidR="00874FB0" w:rsidRPr="007C2F91" w:rsidRDefault="009F559E" w:rsidP="00DA3BBB">
      <w:r w:rsidRPr="007C2F91">
        <w:t>Væksten i vedvarende energikilder skaber nye jobs i hele dens værdikæde. Denne jobskabelseseffekt er særlig stor i sektorerne for energieffektivitet (0,38 job-år/</w:t>
      </w:r>
      <w:proofErr w:type="spellStart"/>
      <w:r w:rsidRPr="007C2F91">
        <w:t>GWh</w:t>
      </w:r>
      <w:proofErr w:type="spellEnd"/>
      <w:r w:rsidRPr="007C2F91">
        <w:t xml:space="preserve">), solceller (0,87), biobrændstoffer (0,21) og vindkraft (0,17) sammenlignet med kul og gas (0,11). Et andet interessant aspekt er, at de fleste jobs på markedet for vedvarende energi er til højt kvalificerede arbejdstagere, og 5 ud af 6 jobs skabes lokalt. EU må derfor sikre, at der udvikles viden og færdigheder, som matcher behovene på dette nye arbejdsmarked. </w:t>
      </w:r>
    </w:p>
    <w:p w:rsidR="00874FB0" w:rsidRPr="007C2F91" w:rsidRDefault="00874FB0" w:rsidP="00DA3BBB"/>
    <w:p w:rsidR="00636F47" w:rsidRPr="007C2F91" w:rsidRDefault="00874FB0" w:rsidP="00DA3BBB">
      <w:bookmarkStart w:id="419" w:name="_Toc395310066"/>
      <w:r w:rsidRPr="007C2F91">
        <w:t>Selv om nettoresultatet af en udvidelse af de vedvarende energikilder er positiv, vil energiomstillingen dog også betyde, at nogle sektorer (baseret på fossile brændstoffer og i nogle lande nuklear energi) vil miste markeder og arbejdspladser. Det gav især anledning til store bekymringer i de lande, hvor disse sektorer beskæftiger mange mennesker. Der skal derfor indføres nationale strategier for at sikre en gnidningsløs omstilling, udvikle de nødvendige færdigheder og afhjælpe de sociale virkninger af tabet af arbejdspladser i de traditionelle energisektorer.</w:t>
      </w:r>
    </w:p>
    <w:p w:rsidR="00B137BE" w:rsidRPr="007C2F91" w:rsidRDefault="00B137BE" w:rsidP="00DA3BBB"/>
    <w:p w:rsidR="00235212" w:rsidRPr="007C2F91" w:rsidRDefault="00235212" w:rsidP="00DA3BBB">
      <w:pPr>
        <w:pStyle w:val="Heading1"/>
        <w:keepNext/>
        <w:rPr>
          <w:b/>
        </w:rPr>
      </w:pPr>
      <w:bookmarkStart w:id="420" w:name="_Toc398538378"/>
      <w:bookmarkStart w:id="421" w:name="_Toc408506732"/>
      <w:bookmarkStart w:id="422" w:name="_Toc408580965"/>
      <w:bookmarkStart w:id="423" w:name="_Toc409432229"/>
      <w:r w:rsidRPr="007C2F91">
        <w:rPr>
          <w:b/>
        </w:rPr>
        <w:t>Debatten om vedvarende energipriser og -omkostninger</w:t>
      </w:r>
      <w:bookmarkEnd w:id="420"/>
      <w:bookmarkEnd w:id="421"/>
      <w:bookmarkEnd w:id="422"/>
      <w:bookmarkEnd w:id="423"/>
    </w:p>
    <w:p w:rsidR="00354DA8" w:rsidRPr="007C2F91" w:rsidRDefault="00354DA8" w:rsidP="00DA3BBB">
      <w:pPr>
        <w:keepNext/>
      </w:pPr>
    </w:p>
    <w:p w:rsidR="00235212" w:rsidRPr="007C2F91" w:rsidRDefault="00235212" w:rsidP="00DA3BBB">
      <w:r w:rsidRPr="007C2F91">
        <w:t>De offentlige debatter om energipolitik er normalt præget af prismæssige bekymringer, og omkostningerne forbundet med støtte til vedvarende energi var et tilbagevendende tema i forbindelse med undersøgelsen. I nogle af de besøgte lande har politikere og medier beskyldt tilskudsordningerne til vedvarende energi for at være årsag til husstandenes stigende energiudgifter. Økonomien i vedvarende energi er helt afgørende for forståelsen af, at der stadig er behov for offentlig støtte for at nå klima- og energimålene og realisere de langsigtede fordele, og at resultatet ikke er uberettigede fortjenester i en tid, hvor de offentlige budgetter er underlagt stor kontrol og stort pres.</w:t>
      </w:r>
    </w:p>
    <w:p w:rsidR="00235212" w:rsidRPr="007C2F91" w:rsidRDefault="00235212" w:rsidP="00DA3BBB"/>
    <w:p w:rsidR="00235212" w:rsidRPr="007C2F91" w:rsidRDefault="00235212" w:rsidP="00DA3BBB">
      <w:r w:rsidRPr="007C2F91">
        <w:t>Spørgsmålet er, med hvilken tidshorisont samfundet forsøger at begrænse udgifterne. En billig løsning på kort sigt kan blive til en dyr løsning på lang sigt og omvendt. Dette argument er i sig selv tilstrækkeligt til at betvivle dem, der mener, at vedvarende energi er dyr og en byrde for de offentlige budgetter</w:t>
      </w:r>
      <w:r w:rsidRPr="007C2F91">
        <w:rPr>
          <w:rStyle w:val="FootnoteReference"/>
        </w:rPr>
        <w:footnoteReference w:id="13"/>
      </w:r>
      <w:r w:rsidRPr="007C2F91">
        <w:t>. I virkeligheden, og som det er helt almindeligt på teknologiområdet, fører større produktionsmængder til konstant faldende udgifter pr. vedvarende energienhed (den såkaldte "</w:t>
      </w:r>
      <w:r w:rsidRPr="007C2F91">
        <w:rPr>
          <w:b/>
        </w:rPr>
        <w:t>læringsrate</w:t>
      </w:r>
      <w:r w:rsidRPr="007C2F91">
        <w:t xml:space="preserve">"). Produktionsomkostningerne for anlæg til vedvarende energi afhænger primært af investeringsudgifterne. Indtil for nylig var vedvarende energiteknologier dyrere end teknologier til kul og nuklear energi. Grunden var, at disse teknologier slet ikke var tilstrækkeligt udviklet. Den teknologiske udvikling foregik lige efter markedsføringen. Den faste afregningstarif for solcellepaneler var i 2008 i Tyskland 46 cent/KWh, svarende til højere produktionsomkostninger på </w:t>
      </w:r>
      <w:r w:rsidRPr="007C2F91">
        <w:lastRenderedPageBreak/>
        <w:t>daværende tidspunkt. I dag er den højst 12,8 cent/KWh for små anlæg på op til 10 kW (og meget lavere for større anlæg) svarende til teknologiens løbende omkostninger.</w:t>
      </w:r>
    </w:p>
    <w:p w:rsidR="00235212" w:rsidRPr="007C2F91" w:rsidRDefault="00193A76" w:rsidP="00DA3BBB">
      <w:r>
        <w:rPr>
          <w:noProof/>
          <w:lang w:val="fr-BE" w:eastAsia="fr-BE"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198755</wp:posOffset>
            </wp:positionV>
            <wp:extent cx="5673090" cy="2659380"/>
            <wp:effectExtent l="0" t="0" r="3810" b="762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309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12" w:rsidRPr="007C2F91" w:rsidRDefault="00193A76" w:rsidP="00DA3BBB">
      <w:r>
        <w:rPr>
          <w:noProof/>
          <w:lang w:val="fr-BE" w:eastAsia="fr-BE" w:bidi="ar-SA"/>
        </w:rPr>
        <mc:AlternateContent>
          <mc:Choice Requires="wpc">
            <w:drawing>
              <wp:anchor distT="0" distB="0" distL="114300" distR="114300" simplePos="0" relativeHeight="251657216" behindDoc="0" locked="0" layoutInCell="1" allowOverlap="1">
                <wp:simplePos x="0" y="0"/>
                <wp:positionH relativeFrom="character">
                  <wp:posOffset>0</wp:posOffset>
                </wp:positionH>
                <wp:positionV relativeFrom="line">
                  <wp:posOffset>0</wp:posOffset>
                </wp:positionV>
                <wp:extent cx="5669280" cy="2655570"/>
                <wp:effectExtent l="0" t="0" r="0" b="0"/>
                <wp:wrapNone/>
                <wp:docPr id="11"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8" o:spid="_x0000_s1026" editas="canvas" style="position:absolute;margin-left:0;margin-top:0;width:446.4pt;height:209.1pt;z-index:251657216;mso-position-horizontal-relative:char;mso-position-vertical-relative:line" coordsize="5669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26555;visibility:visible;mso-wrap-style:square">
                  <v:fill o:detectmouseclick="t"/>
                  <v:path o:connecttype="none"/>
                </v:shape>
                <w10:wrap anchory="line"/>
              </v:group>
            </w:pict>
          </mc:Fallback>
        </mc:AlternateContent>
      </w:r>
      <w:r>
        <w:rPr>
          <w:noProof/>
          <w:lang w:val="fr-BE" w:eastAsia="fr-BE" w:bidi="ar-SA"/>
        </w:rPr>
        <mc:AlternateContent>
          <mc:Choice Requires="wps">
            <w:drawing>
              <wp:anchor distT="0" distB="0" distL="114300" distR="114300" simplePos="0" relativeHeight="251656192" behindDoc="0" locked="0" layoutInCell="1" allowOverlap="1">
                <wp:simplePos x="0" y="0"/>
                <wp:positionH relativeFrom="character">
                  <wp:posOffset>0</wp:posOffset>
                </wp:positionH>
                <wp:positionV relativeFrom="line">
                  <wp:posOffset>0</wp:posOffset>
                </wp:positionV>
                <wp:extent cx="5669280" cy="2655570"/>
                <wp:effectExtent l="0" t="0" r="0" b="0"/>
                <wp:wrapNone/>
                <wp:docPr id="1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446.4pt;height:209.1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" filled="f" stroked="f">
                <o:lock v:ext="edit" aspectratio="t"/>
                <w10:wrap anchory="line"/>
              </v:rect>
            </w:pict>
          </mc:Fallback>
        </mc:AlternateContent>
      </w:r>
      <w:r>
        <w:rPr>
          <w:noProof/>
          <w:lang w:val="fr-BE" w:eastAsia="fr-BE" w:bidi="ar-SA"/>
        </w:rPr>
        <mc:AlternateContent>
          <mc:Choice Requires="wps">
            <w:drawing>
              <wp:inline distT="0" distB="0" distL="0" distR="0">
                <wp:extent cx="5670550" cy="265430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055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446.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qftAIAALk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" filled="f" stroked="f">
                <o:lock v:ext="edit" aspectratio="t"/>
                <w10:anchorlock/>
              </v:rect>
            </w:pict>
          </mc:Fallback>
        </mc:AlternateContent>
      </w:r>
    </w:p>
    <w:p w:rsidR="00235212" w:rsidRPr="007C2F91" w:rsidRDefault="00A76DD5" w:rsidP="00DA3BBB">
      <w:pPr>
        <w:pStyle w:val="Caption"/>
      </w:pPr>
      <w:r w:rsidRPr="007C2F91">
        <w:t xml:space="preserve">Fig. </w:t>
      </w:r>
      <w:fldSimple w:instr=" SEQ Figure \* ARABIC " w:fldLock="1">
        <w:r w:rsidR="009753A1" w:rsidRPr="007C2F91">
          <w:t>5</w:t>
        </w:r>
      </w:fldSimple>
      <w:r w:rsidRPr="007C2F91">
        <w:t xml:space="preserve">: Gennemsnitlig forbrugerpris (nettosystempris) for færdigmonteret tagsolcelleanlæg på op til 10 </w:t>
      </w:r>
      <w:proofErr w:type="spellStart"/>
      <w:r w:rsidRPr="007C2F91">
        <w:t>kWp</w:t>
      </w:r>
      <w:proofErr w:type="spellEnd"/>
      <w:r w:rsidRPr="007C2F91">
        <w:t xml:space="preserve">. </w:t>
      </w:r>
    </w:p>
    <w:p w:rsidR="00A76DD5" w:rsidRPr="007C2F91" w:rsidRDefault="00A76DD5" w:rsidP="00DA3BBB">
      <w:r w:rsidRPr="007C2F91">
        <w:t>Kilde: BSW</w:t>
      </w:r>
    </w:p>
    <w:p w:rsidR="00235212" w:rsidRPr="007C2F91" w:rsidRDefault="00235212" w:rsidP="00DA3BBB"/>
    <w:p w:rsidR="00235212" w:rsidRPr="007C2F91" w:rsidRDefault="00235212" w:rsidP="00DA3BBB">
      <w:pPr>
        <w:rPr>
          <w:szCs w:val="24"/>
        </w:rPr>
      </w:pPr>
      <w:r w:rsidRPr="007C2F91">
        <w:rPr>
          <w:b/>
        </w:rPr>
        <w:t>Teknologier til vedvarende energi er langsomt ved at nå prisniveauer, som kan konkurrere med kul, gas og nuklear energi</w:t>
      </w:r>
      <w:r w:rsidRPr="007C2F91">
        <w:rPr>
          <w:rStyle w:val="FootnoteReference"/>
          <w:b/>
        </w:rPr>
        <w:footnoteReference w:id="14"/>
      </w:r>
      <w:r w:rsidRPr="007C2F91">
        <w:t xml:space="preserve">. Landbaseret vindenergi kan allerede konkurrere </w:t>
      </w:r>
      <w:r w:rsidR="002F66AA" w:rsidRPr="007C2F91">
        <w:t>–</w:t>
      </w:r>
      <w:r w:rsidRPr="007C2F91">
        <w:t xml:space="preserve"> selv når de eksterne miljø- og sundhedsudgifter ved fossil og nuklear energi ikke fuldt ud afspejles i detailprisen. Det kan forventes, at den teknologiske udvikling vil fortsætte med at presse investeringsudgifterne til vedvarende energi nedad. Samtidig er sol og vind vedvarende energikilder, som ikke koster noget. Det er derfor sandsynligt, at elektricitet fra vedvarende energikilder snart bliver konkurrencedygtig, selv uden tilskud. Denne tendens er blevet bekræftet af Kommissionen, som i sin meddelelse om en politikramme for klima- og energipolitikken i perioden 2020-2030</w:t>
      </w:r>
      <w:r w:rsidRPr="007C2F91">
        <w:rPr>
          <w:rStyle w:val="FootnoteReference"/>
        </w:rPr>
        <w:footnoteReference w:id="15"/>
      </w:r>
      <w:r w:rsidRPr="007C2F91">
        <w:t xml:space="preserve"> understregede, at "omkostningerne ved overgangen til lavemissionsøkonomi ikke adskiller sig væsentligt fra de omkostninger, der under alle omstændigheder ville </w:t>
      </w:r>
      <w:proofErr w:type="spellStart"/>
      <w:r w:rsidRPr="007C2F91">
        <w:t>påløbe</w:t>
      </w:r>
      <w:proofErr w:type="spellEnd"/>
      <w:r w:rsidRPr="007C2F91">
        <w:t xml:space="preserve"> som følge af behovet for at udskifte et aldrende energisystem, stigende priser på fossilt brændstof og overholdelse af eksisterende klima- og energipolitikker. Der vil imidlertid ske et skifte væk fra udgifter til brændstoffer over mod innovativt udstyr med en høj merværdi, som vil stimulere investeringer i innovative produkter og ydelser, skabe job og vækst og forbedre EU's handelsbalance".</w:t>
      </w:r>
    </w:p>
    <w:p w:rsidR="00D45B62" w:rsidRPr="007C2F91" w:rsidRDefault="00D45B62" w:rsidP="00DA3BBB">
      <w:pPr>
        <w:rPr>
          <w:szCs w:val="24"/>
        </w:rPr>
      </w:pPr>
    </w:p>
    <w:p w:rsidR="00C03C78" w:rsidRPr="007C2F91" w:rsidRDefault="00C03C78" w:rsidP="00DA3BBB">
      <w:r w:rsidRPr="007C2F91">
        <w:t xml:space="preserve">Decentral vedvarende energi indebærer, at produktionen normalt finder sted tættere på forbrugeren med store muligheder for at reducere udgifterne til </w:t>
      </w:r>
      <w:proofErr w:type="spellStart"/>
      <w:r w:rsidRPr="007C2F91">
        <w:t>netinfrastruktur</w:t>
      </w:r>
      <w:proofErr w:type="spellEnd"/>
      <w:r w:rsidRPr="007C2F91">
        <w:t xml:space="preserve">. Desuden viste EØSU's undersøgelse, at små producenter har betydeligt lavere forventninger til </w:t>
      </w:r>
      <w:proofErr w:type="spellStart"/>
      <w:r w:rsidRPr="007C2F91">
        <w:t>fortjenestmargenen</w:t>
      </w:r>
      <w:proofErr w:type="spellEnd"/>
      <w:r w:rsidRPr="007C2F91">
        <w:t>, end de store producenter normalt har.</w:t>
      </w:r>
    </w:p>
    <w:p w:rsidR="00C03C78" w:rsidRPr="007C2F91" w:rsidRDefault="00C03C78" w:rsidP="00DA3BBB"/>
    <w:p w:rsidR="00113379" w:rsidRPr="007C2F91" w:rsidRDefault="00235212" w:rsidP="00DA3BBB">
      <w:r w:rsidRPr="007C2F91">
        <w:t>Dertil kommer, at mange af fordelene ved vedvarende energi, som gør, at støtten hertil prioriteres, rækker langt videre end økonomiske tal. Vedvarende energi bidrager til at modvirke klimaændringerne, skabe beskæftigelse og lokale bæredygtige levevilkår, øge energiforsyningssikkerheden, mindske afhængigheden af import fra ustabile områder og til at, EU opnår en mere gunstig handelsbalance på grund af den mindre afhængighed af fossile brændstoffer. Politikker, som ser bort fra disse langsigtede virkninger og de talrige sidegevinster ved vedvarende energi, kan føre til ugunstige fremtidige energimiks. Det vil være til stor skade at bremse denne positive udvikling ved helt at omlægge støttepolitikkerne, lige som de begynder at bære frugt.</w:t>
      </w:r>
    </w:p>
    <w:p w:rsidR="00113379" w:rsidRPr="007C2F91" w:rsidRDefault="00113379" w:rsidP="00DA3BBB"/>
    <w:p w:rsidR="006C1151" w:rsidRPr="007C2F91" w:rsidRDefault="006C1151" w:rsidP="00DA3BBB">
      <w:r w:rsidRPr="007C2F91">
        <w:t>Selv om nettovirkningen af energiomstillingen på beskæftigelsen og husstandsindkomsterne forventes at blive positiv, oplever nogle producenter af traditionel energi allerede markedstab med virkninger på beskæftigelsen i disse sektorer.</w:t>
      </w:r>
      <w:r w:rsidR="00DC05ED" w:rsidRPr="007C2F91">
        <w:t xml:space="preserve"> </w:t>
      </w:r>
      <w:r w:rsidRPr="007C2F91">
        <w:t xml:space="preserve">Der bør hurtigt og proaktivt findes en løsning på dette problem. Der skal indføres </w:t>
      </w:r>
      <w:r w:rsidRPr="007C2F91">
        <w:rPr>
          <w:b/>
        </w:rPr>
        <w:t>nationale strategier</w:t>
      </w:r>
      <w:r w:rsidRPr="007C2F91">
        <w:t xml:space="preserve">, som koordineres nøje med politikken for udbredelse af vedvarende energi, for at sikre en gnidningsløs og fair omstilling, tilvejebringe de nye nødvendige jobkvalifikationer og på en målrettet måde afhjælpe eventuelle negative sociale virkninger for beskæftigelsen og socialt svage husstande. Det egentlige problem med energifattigdom bør løses ved hjælp af konkrete og målrettede foranstaltninger, men ikke bruges som et argument for at bevare kunstigt lave energipriser (som det f.eks. er tilfældet i Bulgarien). </w:t>
      </w:r>
      <w:r w:rsidR="00DC05ED" w:rsidRPr="007C2F91">
        <w:t xml:space="preserve">Det egentlige problem med tab af arbejdspladser i de traditionelle sektorer (som ikke nødvendigvis i alle tilfælde kan henføres til væksten i vedvarende energi) bør ikke bruges som et argument for at standse udviklingen af decentral vedvarende energi (som det sker i Polen). </w:t>
      </w:r>
      <w:r w:rsidRPr="007C2F91">
        <w:t>Regeringerne bør tage ansvar for at forvalte de socioøkonomiske virkninger af omstillingen til en lavemissionsøkonomi, så den i sidste ende bliver til gavn for alle samfundssektorer.</w:t>
      </w:r>
    </w:p>
    <w:p w:rsidR="006C1151" w:rsidRPr="007C2F91" w:rsidRDefault="006C1151" w:rsidP="00DA3BBB"/>
    <w:p w:rsidR="00E435DF" w:rsidRPr="007C2F91" w:rsidRDefault="00271331" w:rsidP="00DA3BBB">
      <w:pPr>
        <w:pStyle w:val="Heading1"/>
        <w:keepNext/>
        <w:rPr>
          <w:b/>
        </w:rPr>
      </w:pPr>
      <w:bookmarkStart w:id="424" w:name="_Toc399146029"/>
      <w:bookmarkStart w:id="425" w:name="_Toc399257210"/>
      <w:bookmarkStart w:id="426" w:name="_Toc398538374"/>
      <w:bookmarkStart w:id="427" w:name="_Toc408506735"/>
      <w:bookmarkStart w:id="428" w:name="_Toc408580968"/>
      <w:bookmarkStart w:id="429" w:name="_Toc409432230"/>
      <w:r w:rsidRPr="007C2F91">
        <w:rPr>
          <w:b/>
        </w:rPr>
        <w:t>Hvilke forudsætninger er nødvendige for at udvikle potentialet i borgerenergi</w:t>
      </w:r>
      <w:bookmarkEnd w:id="424"/>
      <w:bookmarkEnd w:id="425"/>
      <w:r w:rsidRPr="007C2F91">
        <w:rPr>
          <w:b/>
        </w:rPr>
        <w:t>?</w:t>
      </w:r>
      <w:bookmarkEnd w:id="419"/>
      <w:bookmarkEnd w:id="426"/>
      <w:bookmarkEnd w:id="427"/>
      <w:bookmarkEnd w:id="428"/>
      <w:bookmarkEnd w:id="429"/>
    </w:p>
    <w:p w:rsidR="00646E1E" w:rsidRPr="007C2F91" w:rsidRDefault="00646E1E" w:rsidP="00DA3BBB">
      <w:pPr>
        <w:keepNext/>
      </w:pPr>
      <w:bookmarkStart w:id="430" w:name="_Toc399257211"/>
      <w:bookmarkStart w:id="431" w:name="_Toc399257212"/>
      <w:bookmarkEnd w:id="430"/>
    </w:p>
    <w:p w:rsidR="00347074" w:rsidRPr="007C2F91" w:rsidRDefault="00347074" w:rsidP="00DA3BBB">
      <w:pPr>
        <w:keepNext/>
        <w:numPr>
          <w:ilvl w:val="1"/>
          <w:numId w:val="1"/>
        </w:numPr>
        <w:ind w:left="720" w:hanging="720"/>
        <w:rPr>
          <w:b/>
        </w:rPr>
      </w:pPr>
      <w:r w:rsidRPr="007C2F91">
        <w:rPr>
          <w:b/>
        </w:rPr>
        <w:t>Lige konkurrencevilkår</w:t>
      </w:r>
      <w:bookmarkStart w:id="432" w:name="_Toc398538375"/>
      <w:bookmarkStart w:id="433" w:name="_Ref395282416"/>
      <w:bookmarkStart w:id="434" w:name="_Toc395310067"/>
    </w:p>
    <w:p w:rsidR="00347074" w:rsidRPr="007C2F91" w:rsidRDefault="00347074" w:rsidP="00DA3BBB">
      <w:pPr>
        <w:keepNext/>
        <w:rPr>
          <w:b/>
        </w:rPr>
      </w:pPr>
    </w:p>
    <w:p w:rsidR="0095006D" w:rsidRPr="007C2F91" w:rsidRDefault="0095006D" w:rsidP="00DA3BBB">
      <w:r w:rsidRPr="007C2F91">
        <w:t>I Kommissionens statusrapport om vedvarende energi fra 2013</w:t>
      </w:r>
      <w:r w:rsidRPr="007C2F91">
        <w:rPr>
          <w:vertAlign w:val="superscript"/>
        </w:rPr>
        <w:footnoteReference w:id="16"/>
      </w:r>
      <w:r w:rsidRPr="007C2F91">
        <w:t xml:space="preserve"> påpeges, at der trods de støt faldende omkostninger til vedvarende energiteknologier er behov for økonomiske, juridiske og administrative politikforanstaltninger til at fremme udbredelsen af vedvarende energi, så længe der ikke er et åbent, konkurrenceorienteret indre energimarked i EU, som kan udrydde markedssvigt og internalisere de sundhedsmæssige, miljømæssige og sociale omkostninger ved brug af fossile brændstoffer. Prissætning af CO</w:t>
      </w:r>
      <w:r w:rsidRPr="007C2F91">
        <w:rPr>
          <w:vertAlign w:val="subscript"/>
        </w:rPr>
        <w:t>2</w:t>
      </w:r>
      <w:r w:rsidRPr="007C2F91">
        <w:t xml:space="preserve"> er én måde at internalisere de eksterne omkostninger på. Det hæver de relative omkostninger til teknologier baseret på fossile brændstoffer. Indtægter fra salg af kvoter kan genanvendes eller kanaliseres over i støtte til vedvarende energi.</w:t>
      </w:r>
      <w:r w:rsidR="00DC05ED" w:rsidRPr="007C2F91">
        <w:t xml:space="preserve"> </w:t>
      </w:r>
    </w:p>
    <w:p w:rsidR="00646E1E" w:rsidRPr="007C2F91" w:rsidRDefault="00646E1E" w:rsidP="00DA3BBB">
      <w:pPr>
        <w:pStyle w:val="Heading2"/>
        <w:numPr>
          <w:ilvl w:val="0"/>
          <w:numId w:val="0"/>
        </w:numPr>
      </w:pPr>
    </w:p>
    <w:p w:rsidR="00870719" w:rsidRPr="007C2F91" w:rsidRDefault="00453991" w:rsidP="00DA3BBB">
      <w:pPr>
        <w:pStyle w:val="Heading2"/>
        <w:keepNext/>
        <w:rPr>
          <w:b/>
        </w:rPr>
      </w:pPr>
      <w:bookmarkStart w:id="435" w:name="_Toc408506736"/>
      <w:bookmarkStart w:id="436" w:name="_Toc408580969"/>
      <w:bookmarkStart w:id="437" w:name="_Toc409432231"/>
      <w:r w:rsidRPr="007C2F91">
        <w:rPr>
          <w:b/>
        </w:rPr>
        <w:lastRenderedPageBreak/>
        <w:t>En stabil</w:t>
      </w:r>
      <w:bookmarkStart w:id="438" w:name="_Toc399157112"/>
      <w:bookmarkStart w:id="439" w:name="_Toc399171505"/>
      <w:bookmarkStart w:id="440" w:name="_Toc399171579"/>
      <w:bookmarkStart w:id="441" w:name="_Toc399171723"/>
      <w:bookmarkStart w:id="442" w:name="_Toc399171797"/>
      <w:bookmarkStart w:id="443" w:name="_Toc399146030"/>
      <w:bookmarkStart w:id="444" w:name="_Ref399165434"/>
      <w:bookmarkEnd w:id="438"/>
      <w:bookmarkEnd w:id="439"/>
      <w:bookmarkEnd w:id="440"/>
      <w:bookmarkEnd w:id="441"/>
      <w:bookmarkEnd w:id="442"/>
      <w:r w:rsidRPr="007C2F91">
        <w:rPr>
          <w:b/>
        </w:rPr>
        <w:t xml:space="preserve"> og sammenhængende politisk ramme</w:t>
      </w:r>
      <w:bookmarkEnd w:id="431"/>
      <w:bookmarkEnd w:id="432"/>
      <w:bookmarkEnd w:id="435"/>
      <w:bookmarkEnd w:id="436"/>
      <w:bookmarkEnd w:id="437"/>
      <w:bookmarkEnd w:id="443"/>
      <w:bookmarkEnd w:id="444"/>
    </w:p>
    <w:p w:rsidR="00BC2894" w:rsidRPr="007C2F91" w:rsidRDefault="00BC2894" w:rsidP="00DA3BBB">
      <w:pPr>
        <w:keepNext/>
        <w:rPr>
          <w:b/>
        </w:rPr>
      </w:pPr>
    </w:p>
    <w:p w:rsidR="00024F07" w:rsidRPr="007C2F91" w:rsidRDefault="00E009A6" w:rsidP="00DA3BBB">
      <w:r w:rsidRPr="007C2F91">
        <w:rPr>
          <w:b/>
        </w:rPr>
        <w:t>Politisk sammenhæng og stabilitet</w:t>
      </w:r>
      <w:r w:rsidRPr="007C2F91">
        <w:t xml:space="preserve"> er en central faktor for enhver investering, herunder i vedvarende energi, hvilket interessenterne understregede under </w:t>
      </w:r>
      <w:r w:rsidRPr="007C2F91">
        <w:rPr>
          <w:b/>
        </w:rPr>
        <w:t>alle</w:t>
      </w:r>
      <w:r w:rsidRPr="007C2F91">
        <w:t xml:space="preserve"> casestudiebesøgene. Stabile og strømlinede politikker giver investorerne mulighed for at planlægge, styre risici og få adgang til lån. </w:t>
      </w:r>
    </w:p>
    <w:p w:rsidR="002F66AA" w:rsidRPr="007C2F91" w:rsidRDefault="002F66AA" w:rsidP="00DA3BBB"/>
    <w:p w:rsidR="00024F07" w:rsidRPr="007C2F91" w:rsidRDefault="00C03937" w:rsidP="00DA3BBB">
      <w:r w:rsidRPr="007C2F91">
        <w:t xml:space="preserve">Således har den tyske lov om vedvarende energi (EEG) med fokus på let netadgang, prioritering af vedvarende energikilder, markedsføring foretaget af </w:t>
      </w:r>
      <w:proofErr w:type="spellStart"/>
      <w:r w:rsidRPr="007C2F91">
        <w:t>netoperatøren</w:t>
      </w:r>
      <w:proofErr w:type="spellEnd"/>
      <w:r w:rsidRPr="007C2F91">
        <w:t xml:space="preserve"> og garanteret fast afregningstarif i 20 år skabt fremragende investeringssikkerhed og grundlaget for, at borgerenergi har udviklet sig langt hurtigere, end nogen havde kunnet forestillet sig. </w:t>
      </w:r>
    </w:p>
    <w:p w:rsidR="00024F07" w:rsidRPr="007C2F91" w:rsidRDefault="00024F07" w:rsidP="00DA3BBB"/>
    <w:p w:rsidR="00024F07" w:rsidRPr="007C2F91" w:rsidRDefault="0024537E" w:rsidP="00DA3BBB">
      <w:r w:rsidRPr="007C2F91">
        <w:t>En ændring af dette stabile grundlag kan have negative virkninger begyndende med usikkerheden for små investorer om mulighederne for at få økonomisk støtte efter planlægningsfasen (f.eks. på grund af indførelsen af et årligt loft for nye anlæg). Alligevel blev der drøftet gennemgribende politiske reformer</w:t>
      </w:r>
      <w:r w:rsidRPr="007C2F91">
        <w:rPr>
          <w:vertAlign w:val="superscript"/>
        </w:rPr>
        <w:footnoteReference w:id="17"/>
      </w:r>
      <w:r w:rsidRPr="007C2F91">
        <w:t xml:space="preserve"> på eller omkring tidspunkterne for besøgene i Tyskl</w:t>
      </w:r>
      <w:r w:rsidR="002F66AA" w:rsidRPr="007C2F91">
        <w:t>and, Polen og Frankrig og i Det </w:t>
      </w:r>
      <w:r w:rsidRPr="007C2F91">
        <w:t xml:space="preserve">Forenede Kongerige. I Bulgarien gjorde små producenter opmærksom på modstridende love og en regeringsbeslutning om at stoppe udviklingen af vedvarende energi i 2013, efter at det var bekendtgjort, at 2020-målet var opfyldt. En helt igennem uacceptabel praksis er ændringen af rammebetingelser, som træder i kraft med tilbagevirkende kraft efter påbegyndelsen af driften af anlæg til vedvarende energi (i Bulgarien er investorer i små solcelle- og vindkraftanlæg f.eks. gået konkurs som følge af indførelsen af nye skatter og afgifter på vedvarende energi). Selv om Bulgariens højesteret i juli 2014 annullerede den afgift på elektricitet fra vind- og solenergi på 20 %, der var blevet indført i januar 2014, fik operatørerne ikke de penge tilbage, som de allerede havde betalt i den pågældende periode. Også i Frankrig fik et stop for støtten til solceller i 2010 investeringerne til at tørre nærmest helt ud. </w:t>
      </w:r>
    </w:p>
    <w:p w:rsidR="00335B70" w:rsidRPr="007C2F91" w:rsidRDefault="00193A76" w:rsidP="00DA3BBB">
      <w:pPr>
        <w:rPr>
          <w:b/>
        </w:rPr>
      </w:pPr>
      <w:r>
        <w:rPr>
          <w:noProof/>
          <w:lang w:val="fr-BE" w:eastAsia="fr-BE" w:bidi="ar-SA"/>
        </w:rPr>
        <w:drawing>
          <wp:inline distT="0" distB="0" distL="0" distR="0">
            <wp:extent cx="5772150" cy="294005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2940050"/>
                    </a:xfrm>
                    <a:prstGeom prst="rect">
                      <a:avLst/>
                    </a:prstGeom>
                    <a:noFill/>
                    <a:ln>
                      <a:noFill/>
                    </a:ln>
                  </pic:spPr>
                </pic:pic>
              </a:graphicData>
            </a:graphic>
          </wp:inline>
        </w:drawing>
      </w:r>
    </w:p>
    <w:p w:rsidR="006B1DF4" w:rsidRPr="007C2F91" w:rsidRDefault="004569F3" w:rsidP="00DA3BBB">
      <w:pPr>
        <w:pStyle w:val="Caption"/>
        <w:jc w:val="both"/>
      </w:pPr>
      <w:r w:rsidRPr="007C2F91">
        <w:t xml:space="preserve">Figur </w:t>
      </w:r>
      <w:fldSimple w:instr=" SEQ Figure \* ARABIC " w:fldLock="1">
        <w:r w:rsidR="009753A1" w:rsidRPr="007C2F91">
          <w:t>6</w:t>
        </w:r>
      </w:fldSimple>
      <w:r w:rsidRPr="007C2F91">
        <w:t>: Usikkerheden i politikkerne for vedvarende energi i EU</w:t>
      </w:r>
    </w:p>
    <w:p w:rsidR="006B1DF4" w:rsidRPr="007C2F91" w:rsidRDefault="007418E3" w:rsidP="00DA3BBB">
      <w:pPr>
        <w:rPr>
          <w:sz w:val="16"/>
        </w:rPr>
      </w:pPr>
      <w:r w:rsidRPr="007C2F91">
        <w:rPr>
          <w:sz w:val="18"/>
        </w:rPr>
        <w:t xml:space="preserve">Kilde: EDP </w:t>
      </w:r>
      <w:proofErr w:type="spellStart"/>
      <w:r w:rsidRPr="007C2F91">
        <w:rPr>
          <w:sz w:val="18"/>
        </w:rPr>
        <w:t>Renováveis</w:t>
      </w:r>
      <w:proofErr w:type="spellEnd"/>
      <w:r w:rsidRPr="007C2F91">
        <w:rPr>
          <w:sz w:val="18"/>
        </w:rPr>
        <w:t xml:space="preserve"> (2013).</w:t>
      </w:r>
    </w:p>
    <w:p w:rsidR="00AB3E75" w:rsidRPr="007C2F91" w:rsidRDefault="00AB3E75" w:rsidP="00DA3BBB">
      <w:pPr>
        <w:ind w:left="-567"/>
        <w:rPr>
          <w:highlight w:val="yellow"/>
        </w:rPr>
      </w:pPr>
    </w:p>
    <w:p w:rsidR="00024F07" w:rsidRPr="007C2F91" w:rsidRDefault="00024F07" w:rsidP="00DA3BBB">
      <w:r w:rsidRPr="007C2F91">
        <w:t xml:space="preserve">Den juridiske usikkerhed er en destabiliserende faktor for investeringerne, men de nylige politiske reformer viser også en klar tendens til at reducere støtten til små producenter og stille dem dårligere end store producenter (f.eks. ved at indføre auktioner for produktion af vedvarende energi). I alle de besøgte lande fremgik det af debatten, at producenter af vedvarende borgerenergi så denne tendens som en konsekvens af Kommissionens retningslinjer for statsstøtte til </w:t>
      </w:r>
      <w:r w:rsidR="00DC05ED" w:rsidRPr="007C2F91">
        <w:t>miljøbeskyttelse og energi 2014</w:t>
      </w:r>
      <w:r w:rsidR="00DC05ED" w:rsidRPr="007C2F91">
        <w:noBreakHyphen/>
      </w:r>
      <w:r w:rsidRPr="007C2F91">
        <w:t>2020</w:t>
      </w:r>
      <w:r w:rsidRPr="007C2F91">
        <w:rPr>
          <w:vertAlign w:val="superscript"/>
        </w:rPr>
        <w:footnoteReference w:id="18"/>
      </w:r>
      <w:r w:rsidRPr="007C2F91">
        <w:t>. Disse retningslinjer lægger væsentlige begrænsninger på medlemsstaters beslutning om at garantere faste afregningstariffer for investeringer i vedvarende energi efter 2016. Deltagerne i lokale høringer erkendte, at man må undgå overkompensation og udvikle vedvarende energi på en måde, der er omkostningseffektiv. Imidlertid omtalte de nylige reformer af støtterammerne for vedvarende energikilder som "et kapløb mod bunden." Nogle af dem pegede på en EU-initieret tendens til fornyet centralisering som den skjulte dagsorden bag argumenterne om omkostningseffektivitet og omkostningsnedbringelse.</w:t>
      </w:r>
    </w:p>
    <w:p w:rsidR="00024F07" w:rsidRPr="007C2F91" w:rsidRDefault="00024F07" w:rsidP="00DA3BBB"/>
    <w:p w:rsidR="00024F07" w:rsidRPr="007C2F91" w:rsidRDefault="00024F07" w:rsidP="00DA3BBB">
      <w:r w:rsidRPr="007C2F91">
        <w:t>Ifølge Det Internationale Energiagentur</w:t>
      </w:r>
      <w:r w:rsidRPr="007C2F91">
        <w:rPr>
          <w:vertAlign w:val="superscript"/>
        </w:rPr>
        <w:footnoteReference w:id="19"/>
      </w:r>
      <w:r w:rsidRPr="007C2F91">
        <w:t xml:space="preserve"> "stiger den politiske usikkerhed på nogle centrale O</w:t>
      </w:r>
      <w:r w:rsidR="00DC05ED" w:rsidRPr="007C2F91">
        <w:t>ECD</w:t>
      </w:r>
      <w:r w:rsidR="00DC05ED" w:rsidRPr="007C2F91">
        <w:noBreakHyphen/>
      </w:r>
      <w:r w:rsidRPr="007C2F91">
        <w:t xml:space="preserve">markeder, netop som vedvarende energikilder er ved at blive en omkostningsmæssigt konkurrencedygtig mulighed." Den afdæmpende virkning af ustabile lovrammer slog allerede igennem i 2014, og EU er i fare for ikke at nå 2020-målet om 20 % energi fra vedvarende kilder i det udvidede endelige energiforbrug. </w:t>
      </w:r>
    </w:p>
    <w:p w:rsidR="00024F07" w:rsidRPr="007C2F91" w:rsidRDefault="00024F07" w:rsidP="00DA3BBB"/>
    <w:p w:rsidR="00427725" w:rsidRPr="007C2F91" w:rsidRDefault="00427725" w:rsidP="00DA3BBB">
      <w:pPr>
        <w:pStyle w:val="Heading2"/>
        <w:keepNext/>
        <w:rPr>
          <w:b/>
        </w:rPr>
      </w:pPr>
      <w:bookmarkStart w:id="445" w:name="_Toc408506737"/>
      <w:bookmarkStart w:id="446" w:name="_Toc408580970"/>
      <w:bookmarkStart w:id="447" w:name="_Toc409432232"/>
      <w:r w:rsidRPr="007C2F91">
        <w:rPr>
          <w:b/>
        </w:rPr>
        <w:t>En transparent og inkluderende politikudformningsproces</w:t>
      </w:r>
      <w:bookmarkEnd w:id="445"/>
      <w:bookmarkEnd w:id="446"/>
      <w:bookmarkEnd w:id="447"/>
    </w:p>
    <w:p w:rsidR="00427725" w:rsidRPr="007C2F91" w:rsidRDefault="00427725" w:rsidP="00DA3BBB">
      <w:pPr>
        <w:keepNext/>
      </w:pPr>
    </w:p>
    <w:p w:rsidR="00512FBF" w:rsidRPr="007C2F91" w:rsidRDefault="004D7208" w:rsidP="00DA3BBB">
      <w:r w:rsidRPr="007C2F91">
        <w:t xml:space="preserve">Ud over politisk stabilitet blev det, som EØSU's undersøgelse skred frem, klart, at </w:t>
      </w:r>
      <w:r w:rsidRPr="007C2F91">
        <w:rPr>
          <w:b/>
        </w:rPr>
        <w:t xml:space="preserve">den demokratiske proces med politikudformning </w:t>
      </w:r>
      <w:r w:rsidRPr="007C2F91">
        <w:t xml:space="preserve">og reform er af helt afgørende betydning. Som EØSU har argumenteret for i forbindelse med sit initiativ om en europæisk energidialog bliver en politik kun vellykket, og dens resultater kun holdbare, hvis den udvikles i en åben og gennemsigtig debat med civilsamfundsinteressenter på alle niveauer. Dette er vigtigt for at skabe en fælles forståelse af de aktuelle problemer og for at definere fælles mål og sikre bred støtte til gennemførelsen. Mens energiomstillingen i Tyskland og Danmark har været </w:t>
      </w:r>
      <w:proofErr w:type="spellStart"/>
      <w:r w:rsidRPr="007C2F91">
        <w:t>bottom</w:t>
      </w:r>
      <w:proofErr w:type="spellEnd"/>
      <w:r w:rsidRPr="007C2F91">
        <w:t>-up-processer, hvor de politiske beslutninger udsprang af pres for borgerne, og politikkerne stort set er blevet gennemført af civilsamfundet, var der i andre undersøgte lande (Bulgarien, Polen) hverken ægte dialog eller tillid at spore mellem myndighederne og producenterne af borgerenergi.</w:t>
      </w:r>
    </w:p>
    <w:p w:rsidR="00A75A96" w:rsidRPr="007C2F91" w:rsidRDefault="00A75A96" w:rsidP="00DA3BBB"/>
    <w:p w:rsidR="006E47A2" w:rsidRPr="007C2F91" w:rsidRDefault="00DB6905" w:rsidP="00DA3BBB">
      <w:pPr>
        <w:pStyle w:val="Heading2"/>
        <w:keepNext/>
        <w:rPr>
          <w:b/>
        </w:rPr>
      </w:pPr>
      <w:bookmarkStart w:id="448" w:name="_Toc399146031"/>
      <w:bookmarkStart w:id="449" w:name="_Toc399257213"/>
      <w:bookmarkStart w:id="450" w:name="_Toc398538376"/>
      <w:bookmarkStart w:id="451" w:name="_Toc408506738"/>
      <w:bookmarkStart w:id="452" w:name="_Toc408580971"/>
      <w:bookmarkStart w:id="453" w:name="_Toc409432233"/>
      <w:r w:rsidRPr="007C2F91">
        <w:rPr>
          <w:b/>
        </w:rPr>
        <w:t>Enkle og gennemsigtige administrative procedurer</w:t>
      </w:r>
      <w:bookmarkEnd w:id="448"/>
      <w:bookmarkEnd w:id="449"/>
      <w:bookmarkEnd w:id="450"/>
      <w:bookmarkEnd w:id="451"/>
      <w:bookmarkEnd w:id="452"/>
      <w:bookmarkEnd w:id="453"/>
    </w:p>
    <w:p w:rsidR="00C240A9" w:rsidRPr="007C2F91" w:rsidRDefault="00C240A9" w:rsidP="00DA3BBB">
      <w:pPr>
        <w:keepNext/>
      </w:pPr>
    </w:p>
    <w:p w:rsidR="00635AD5" w:rsidRPr="007C2F91" w:rsidRDefault="00FB217A" w:rsidP="00DA3BBB">
      <w:r w:rsidRPr="007C2F91">
        <w:t xml:space="preserve">Små producenter er ikke nødvendigvis energieksperter, og de har derfor brug for støtte og vejledning og administrative procedurer, som er enkle, gennemsigtige og færdigbehandlede inden for rimelige tidsrammer. Procedurerne og den tid, det tager at godkende små anlæg til vedvarende energi, er meget forskellige i de undersøgte medlemsstater, og disse forskelle hænger sammen med graden af udbredelse af borgerenergi. Mens godkendelsen af et tagsolcellepanel i Tyskland f.eks. tager mindre </w:t>
      </w:r>
      <w:r w:rsidRPr="007C2F91">
        <w:lastRenderedPageBreak/>
        <w:t xml:space="preserve">end en arbejdsdag og indebærer indgivelse af en onlineansøgningsformular, beskrev interessenterne i andre lande, som f.eks. Bulgarien, Litauen, Polen og Det Forenede Kongerige (Wales) komplicerede procedurer, der strækker sig over flere måneder - eller endog år. Det kan være dyrt og risikabelt for små producenter at manøvrere i det komplekse, langvarige godkendelses- og planlægningssystem, især når lovrammen og de faste afregningstariffer bliver ændret væsentligt i den samme periode. </w:t>
      </w:r>
    </w:p>
    <w:p w:rsidR="00EA4643" w:rsidRPr="007C2F91" w:rsidRDefault="00EA4643" w:rsidP="00DA3BBB"/>
    <w:p w:rsidR="0084371C" w:rsidRPr="007C2F91" w:rsidRDefault="00AB49FD" w:rsidP="00DA3BBB">
      <w:pPr>
        <w:pStyle w:val="Heading2"/>
        <w:keepNext/>
        <w:rPr>
          <w:b/>
        </w:rPr>
      </w:pPr>
      <w:bookmarkStart w:id="454" w:name="_Toc399146032"/>
      <w:bookmarkStart w:id="455" w:name="_Toc399257214"/>
      <w:bookmarkStart w:id="456" w:name="_Toc398538377"/>
      <w:bookmarkStart w:id="457" w:name="_Toc408506739"/>
      <w:bookmarkStart w:id="458" w:name="_Toc408580972"/>
      <w:bookmarkStart w:id="459" w:name="_Toc409432234"/>
      <w:r w:rsidRPr="007C2F91">
        <w:rPr>
          <w:b/>
        </w:rPr>
        <w:t>Støtteordninger tilpasset behovene for decentral vedvarende borgerenergi</w:t>
      </w:r>
      <w:bookmarkEnd w:id="454"/>
      <w:bookmarkEnd w:id="455"/>
      <w:bookmarkEnd w:id="456"/>
      <w:bookmarkEnd w:id="457"/>
      <w:bookmarkEnd w:id="458"/>
      <w:bookmarkEnd w:id="459"/>
    </w:p>
    <w:p w:rsidR="00EE578B" w:rsidRPr="007C2F91" w:rsidRDefault="00EE578B" w:rsidP="00DA3BBB">
      <w:pPr>
        <w:keepNext/>
      </w:pPr>
    </w:p>
    <w:p w:rsidR="002A7A3D" w:rsidRPr="007C2F91" w:rsidRDefault="002A7A3D" w:rsidP="00DA3BBB">
      <w:pPr>
        <w:pStyle w:val="ListParagraph"/>
        <w:keepNext/>
        <w:keepLines/>
        <w:numPr>
          <w:ilvl w:val="0"/>
          <w:numId w:val="4"/>
        </w:numPr>
        <w:ind w:left="426" w:hanging="426"/>
        <w:rPr>
          <w:b/>
        </w:rPr>
      </w:pPr>
      <w:r w:rsidRPr="007C2F91">
        <w:rPr>
          <w:b/>
        </w:rPr>
        <w:t>Prioriteret tilførsel til nettet</w:t>
      </w:r>
    </w:p>
    <w:p w:rsidR="00884652" w:rsidRPr="007C2F91" w:rsidRDefault="002A7A3D" w:rsidP="00DA3BBB">
      <w:r w:rsidRPr="007C2F91">
        <w:t xml:space="preserve">Vedvarende energi bør nyde godt af </w:t>
      </w:r>
      <w:r w:rsidRPr="007C2F91">
        <w:rPr>
          <w:b/>
        </w:rPr>
        <w:t xml:space="preserve">prioriteret tilførsel </w:t>
      </w:r>
      <w:r w:rsidRPr="007C2F91">
        <w:t>til nettet frem for energi fra nukleare og fossile kilder, dvs. at det bør sælges først til operatører af elektricitetssystemer. Dette blev fastlagt som en prioritet i Tyskland ved loven om vedvarende energi fra 2000 og bevaret i den reviderede lov fra 2014.</w:t>
      </w:r>
    </w:p>
    <w:p w:rsidR="00884652" w:rsidRPr="007C2F91" w:rsidRDefault="00884652" w:rsidP="00DA3BBB"/>
    <w:p w:rsidR="00EE578B" w:rsidRPr="007C2F91" w:rsidRDefault="00EE578B" w:rsidP="00DA3BBB">
      <w:pPr>
        <w:pStyle w:val="ListParagraph2"/>
        <w:keepNext/>
        <w:contextualSpacing w:val="0"/>
        <w:jc w:val="both"/>
      </w:pPr>
      <w:r w:rsidRPr="007C2F91">
        <w:t>Faste afregningstariffer</w:t>
      </w:r>
    </w:p>
    <w:p w:rsidR="00542AC8" w:rsidRPr="007C2F91" w:rsidRDefault="00066D7F" w:rsidP="00DA3BBB">
      <w:r w:rsidRPr="007C2F91">
        <w:t>Langt den mest almindelige støtteordning for vedvarende energi er faste afregningstariffer, som omfatter langfristede (10</w:t>
      </w:r>
      <w:r w:rsidRPr="007C2F91">
        <w:noBreakHyphen/>
        <w:t xml:space="preserve">25 årige) købsaftaler for levering af vedvarende energi til nettet, som </w:t>
      </w:r>
      <w:proofErr w:type="spellStart"/>
      <w:r w:rsidRPr="007C2F91">
        <w:t>netoperatøren</w:t>
      </w:r>
      <w:proofErr w:type="spellEnd"/>
      <w:r w:rsidRPr="007C2F91">
        <w:t xml:space="preserve"> sælger på markedet. Producenten modtager den faste afregningstarif og slipper for at skulle afsætte direkte på markedet. </w:t>
      </w:r>
    </w:p>
    <w:p w:rsidR="00542AC8" w:rsidRPr="007C2F91" w:rsidRDefault="00542AC8" w:rsidP="00DA3BBB"/>
    <w:p w:rsidR="00625B30" w:rsidRPr="007C2F91" w:rsidRDefault="00542AC8" w:rsidP="00DA3BBB">
      <w:r w:rsidRPr="007C2F91">
        <w:t xml:space="preserve">Faste afregningstariffer bør forblive den vigtigste form for støtte til projekter for vedvarende borgerenergi. For producenterne er de en enkel og pålidelig metode til nøjagtig beregning af deres investeringer og afkast. Den investeringssikkerhed, der dermed får, øger de små udvikleres chancer for at få de nødvendige kreditter. </w:t>
      </w:r>
    </w:p>
    <w:p w:rsidR="00E60212" w:rsidRPr="007C2F91" w:rsidRDefault="00E60212" w:rsidP="00DA3BBB"/>
    <w:p w:rsidR="00184D21" w:rsidRPr="007C2F91" w:rsidRDefault="00184D21" w:rsidP="00DA3BBB">
      <w:pPr>
        <w:rPr>
          <w:szCs w:val="24"/>
        </w:rPr>
      </w:pPr>
      <w:r w:rsidRPr="007C2F91">
        <w:t xml:space="preserve">Under Tysklands </w:t>
      </w:r>
      <w:proofErr w:type="spellStart"/>
      <w:r w:rsidRPr="007C2F91">
        <w:rPr>
          <w:i/>
        </w:rPr>
        <w:t>Energiewende</w:t>
      </w:r>
      <w:proofErr w:type="spellEnd"/>
      <w:r w:rsidRPr="007C2F91">
        <w:t xml:space="preserve"> er de faste afregningstariffer blev</w:t>
      </w:r>
      <w:r w:rsidR="00DC05ED" w:rsidRPr="007C2F91">
        <w:t>et finansieret via såkaldte EEG</w:t>
      </w:r>
      <w:r w:rsidR="00DC05ED" w:rsidRPr="007C2F91">
        <w:noBreakHyphen/>
      </w:r>
      <w:r w:rsidRPr="007C2F91">
        <w:t xml:space="preserve">afgifter (afgift på vedvarende energi), som udgør forskellen mellem prisen på elektricitet på børsen og den garanterede faste afregningstarif (der på de tidlige stadier af </w:t>
      </w:r>
      <w:proofErr w:type="spellStart"/>
      <w:r w:rsidRPr="007C2F91">
        <w:rPr>
          <w:i/>
        </w:rPr>
        <w:t>Energiewende</w:t>
      </w:r>
      <w:proofErr w:type="spellEnd"/>
      <w:r w:rsidR="00A51DF1" w:rsidRPr="007C2F91">
        <w:t xml:space="preserve"> var på 50</w:t>
      </w:r>
      <w:r w:rsidR="00DC05ED" w:rsidRPr="007C2F91">
        <w:t> </w:t>
      </w:r>
      <w:r w:rsidRPr="007C2F91">
        <w:t>cent pr. kWh fo</w:t>
      </w:r>
      <w:r w:rsidR="00A51DF1" w:rsidRPr="007C2F91">
        <w:t>r solceller og nu ligger på 12</w:t>
      </w:r>
      <w:r w:rsidRPr="007C2F91">
        <w:t xml:space="preserve"> cent pr. kWh). Når produktionen af elektricitet topper, falder prisen på børsen og presser dermed EEG-afgiften op. Det bratte fald i elpriserne skyldes dog ikke kun en overproduktion af energi fra vedvarende kilder, men tillige det fejlslagne emissionshandelssystem, billig elektricitet fra kulkraftværker (som ikke internaliserer de miljø- og sundhedsmæssige omkostninger for samfundet), det ikke fuldt udviklede marked for elektricitet og den utilstrækkelige </w:t>
      </w:r>
      <w:proofErr w:type="spellStart"/>
      <w:r w:rsidRPr="007C2F91">
        <w:t>netstyring</w:t>
      </w:r>
      <w:proofErr w:type="spellEnd"/>
      <w:r w:rsidRPr="007C2F91">
        <w:t xml:space="preserve"> og lagringskapacitet.</w:t>
      </w:r>
    </w:p>
    <w:p w:rsidR="00184D21" w:rsidRPr="007C2F91" w:rsidRDefault="00184D21" w:rsidP="00DA3BBB"/>
    <w:p w:rsidR="0073372C" w:rsidRPr="007C2F91" w:rsidRDefault="00CC3484" w:rsidP="00DA3BBB">
      <w:r w:rsidRPr="007C2F91">
        <w:t xml:space="preserve">I visse EU-medlemsstater var regeringerne ikke hurtige nok til at få sat tarifferne til nye anlæg ned som reaktion på de dramatiske fald i omkostningerne til vindkraft og solceller i takt med den teknologiske udvikling. Konsekvensen var, at en række nye anlæg til vedvarende energi fik kontrakter med lang løbetid med faste afregningstariffer, der langt overstiger de investerede beløb, og uforholdsmæssigt store overskud. I virkeligheden er det ligetil med jævne mellemrum at justere de faste afregningstariffer efter de konstant faldende investeringsomkostninger. I de fleste lande er de allerede blevet sat ned og ændres løbende. Men energipriserne – og helt urimeligt opfattelsen af vedvarende energi og faste afregningstariffer - vil muligvis i mange år endnu være påvirket af denne forsinkede reaktion fra myndighedernes side. </w:t>
      </w:r>
    </w:p>
    <w:p w:rsidR="00C310A8" w:rsidRPr="007C2F91" w:rsidRDefault="00C310A8" w:rsidP="00DA3BBB"/>
    <w:p w:rsidR="00C310A8" w:rsidRPr="007C2F91" w:rsidRDefault="00C310A8" w:rsidP="00DA3BBB">
      <w:r w:rsidRPr="007C2F91">
        <w:lastRenderedPageBreak/>
        <w:t xml:space="preserve">For at løse problemet med svingende forsyning og de store konsekvenser for elektricitetspriserne under spidsbelastning kunne systemet med faste afregningstariffer suppleres med energistyringsmekanismer for at afhjælpe udsvingene f.eks. nettomåling, intelligente net og udvikling af lagringskapacitet (se nedenfor). </w:t>
      </w:r>
    </w:p>
    <w:p w:rsidR="00C310A8" w:rsidRPr="007C2F91" w:rsidRDefault="00C310A8" w:rsidP="00DA3BBB"/>
    <w:p w:rsidR="00C310A8" w:rsidRPr="007C2F91" w:rsidRDefault="00C310A8" w:rsidP="00DA3BBB">
      <w:pPr>
        <w:pStyle w:val="ListParagraph2"/>
        <w:keepNext/>
        <w:contextualSpacing w:val="0"/>
        <w:jc w:val="both"/>
      </w:pPr>
      <w:r w:rsidRPr="007C2F91">
        <w:t>Afregningspræmier</w:t>
      </w:r>
    </w:p>
    <w:p w:rsidR="00625B30" w:rsidRPr="007C2F91" w:rsidRDefault="00625B30" w:rsidP="00DA3BBB">
      <w:r w:rsidRPr="007C2F91">
        <w:t xml:space="preserve">I de nylige politiske reformer er der sket et større skifte til </w:t>
      </w:r>
      <w:r w:rsidRPr="007C2F91">
        <w:rPr>
          <w:b/>
        </w:rPr>
        <w:t>afregningspræmier</w:t>
      </w:r>
      <w:r w:rsidRPr="007C2F91">
        <w:t>, hvilket betyder, at producenterne af vedvarende energi (over en vis installeret kapacitet) skal sælge deres elektricitet direkte på energimarkedet og derefter modtager en bestemt præmie over markedsprisen. Indførelsen af markedsføringspræmier har skabt bekymring hos producenterne af borgerenergi. Direkte salg på markedet påfører små og mellemstore producenter en ny og betydelig logistisk byrde, og forringer deres muligheder for at opnå projektfinansiering, da der er mindre sandsynlighed for, at en långiver vil opfatte afregningspræmier som en sikker indtægtskilde.</w:t>
      </w:r>
    </w:p>
    <w:p w:rsidR="00AC3D3C" w:rsidRPr="007C2F91" w:rsidRDefault="00AC3D3C" w:rsidP="00DA3BBB"/>
    <w:p w:rsidR="002A7A3D" w:rsidRPr="007C2F91" w:rsidRDefault="002A7A3D" w:rsidP="00DA3BBB">
      <w:pPr>
        <w:pStyle w:val="ListParagraph"/>
        <w:keepNext/>
        <w:numPr>
          <w:ilvl w:val="0"/>
          <w:numId w:val="4"/>
        </w:numPr>
        <w:ind w:left="426" w:hanging="426"/>
        <w:contextualSpacing w:val="0"/>
        <w:jc w:val="both"/>
        <w:rPr>
          <w:b/>
        </w:rPr>
      </w:pPr>
      <w:r w:rsidRPr="007C2F91">
        <w:rPr>
          <w:b/>
        </w:rPr>
        <w:t>Nettomåling</w:t>
      </w:r>
    </w:p>
    <w:p w:rsidR="002A7A3D" w:rsidRPr="007C2F91" w:rsidRDefault="002A7A3D" w:rsidP="00DA3BBB">
      <w:r w:rsidRPr="007C2F91">
        <w:t xml:space="preserve">Af afgørende betydning for fremme af borgerenergi er </w:t>
      </w:r>
      <w:r w:rsidRPr="007C2F91">
        <w:rPr>
          <w:b/>
        </w:rPr>
        <w:t>nettomåling</w:t>
      </w:r>
      <w:r w:rsidRPr="007C2F91">
        <w:t xml:space="preserve">, som giver </w:t>
      </w:r>
      <w:proofErr w:type="spellStart"/>
      <w:r w:rsidRPr="007C2F91">
        <w:t>nettilsluttede</w:t>
      </w:r>
      <w:proofErr w:type="spellEnd"/>
      <w:r w:rsidRPr="007C2F91">
        <w:t xml:space="preserve"> producenter mulighed for at bruge deres egen strøm og sælge et eventuelt overskud til nettet. Nettomåling giver de producerende forbrugere mulighed for på et senere tidspunkt at tage den præcise mængde elektricitet fra nettet, som de har tilført det, og kun betale </w:t>
      </w:r>
      <w:proofErr w:type="spellStart"/>
      <w:r w:rsidRPr="007C2F91">
        <w:t>netudgifterne</w:t>
      </w:r>
      <w:proofErr w:type="spellEnd"/>
      <w:r w:rsidRPr="007C2F91">
        <w:t>. Kombineret med energistyringsforanstaltninger kan dette omdanne det offentlige net til et egentligt "virtuelt lager". Systemet blev indført i Danmark for solcellepaneler i 1998 med stor succes. Parlamentet i Litauen tog først fat på behandlingen af det første lovforslag i begyndelsen af 2014.</w:t>
      </w:r>
    </w:p>
    <w:p w:rsidR="00625B30" w:rsidRPr="007C2F91" w:rsidRDefault="00625B30" w:rsidP="00DA3BBB"/>
    <w:p w:rsidR="00F64607" w:rsidRPr="007C2F91" w:rsidRDefault="00F64607" w:rsidP="00DA3BBB">
      <w:pPr>
        <w:pStyle w:val="ListParagraph"/>
        <w:keepNext/>
        <w:numPr>
          <w:ilvl w:val="0"/>
          <w:numId w:val="4"/>
        </w:numPr>
        <w:ind w:left="426" w:hanging="426"/>
        <w:contextualSpacing w:val="0"/>
        <w:jc w:val="both"/>
        <w:rPr>
          <w:b/>
        </w:rPr>
      </w:pPr>
      <w:r w:rsidRPr="007C2F91">
        <w:rPr>
          <w:b/>
        </w:rPr>
        <w:t>Kvoteordninger</w:t>
      </w:r>
    </w:p>
    <w:p w:rsidR="00575116" w:rsidRPr="007C2F91" w:rsidRDefault="00575116" w:rsidP="00DA3BBB">
      <w:r w:rsidRPr="007C2F91">
        <w:t>En anden almindelig støttemekanisme er indførelsen af obligatoriske kvoter for vedvarende energi. Gennemførelsen af disse ordninger er ikke nået lige langt i alle lande og har heller ikke været lige vellykkede. I Polen har energidistributørerne f.eks. pligt til at købe "grønne certifikater" fra markedet, selv om de fleste af disse certifikater stammer fra traditionelle kulfyrede kraftværker, hvor der også brændes biomasse (som delvist importeres fra Rusland). Det var hensigten, at indtægterne fra de grønne certifikater skulle fremme udbredelsen af vedvarende energi, men EØSU's undersøgelse afdækkede, at det indirekte resultat i stedet blev billigere elektricitet fra kul.</w:t>
      </w:r>
      <w:r w:rsidR="00DC05ED" w:rsidRPr="007C2F91">
        <w:t xml:space="preserve"> </w:t>
      </w:r>
      <w:r w:rsidRPr="007C2F91">
        <w:t>Endvidere førte den omfattende brug af biomasse til et kraftigt fald i prisen på grønne certifikater i Polen og dermed i afkastet på investeringer i eksempelvis vindenergi. Som instrument blev grønne certifikater fuldstændigt ineffektivt eller endog kontraproduktivt.</w:t>
      </w:r>
      <w:r w:rsidR="00DC05ED" w:rsidRPr="007C2F91">
        <w:t xml:space="preserve"> </w:t>
      </w:r>
      <w:r w:rsidRPr="007C2F91">
        <w:t>En fast afregningstarif er i denne henseende et mere forudsigeligt instrument, som giver producenterne et bedre afkast, især når der er tale om omkostningskrævende teknologier.</w:t>
      </w:r>
    </w:p>
    <w:p w:rsidR="00575116" w:rsidRPr="007C2F91" w:rsidRDefault="00575116" w:rsidP="00DA3BBB"/>
    <w:p w:rsidR="00774C6E" w:rsidRPr="007C2F91" w:rsidRDefault="00774C6E" w:rsidP="00DA3BBB">
      <w:pPr>
        <w:pStyle w:val="ListParagraph"/>
        <w:keepNext/>
        <w:numPr>
          <w:ilvl w:val="0"/>
          <w:numId w:val="4"/>
        </w:numPr>
        <w:ind w:left="426" w:hanging="426"/>
        <w:contextualSpacing w:val="0"/>
        <w:jc w:val="both"/>
        <w:rPr>
          <w:b/>
        </w:rPr>
      </w:pPr>
      <w:r w:rsidRPr="007C2F91">
        <w:rPr>
          <w:b/>
        </w:rPr>
        <w:t>Investeringsstøtte</w:t>
      </w:r>
    </w:p>
    <w:p w:rsidR="0076250C" w:rsidRPr="007C2F91" w:rsidRDefault="00774C6E" w:rsidP="002F66AA">
      <w:r w:rsidRPr="007C2F91">
        <w:t xml:space="preserve">De ovennævnte ordninger belønner produktion, men da vedvarende energi i hovedreglen er meget kapitalkrævende, er der også flere instrumenter, der er rettet mod de investeringsmæssige barrierer. Investorer, der investerer i anlæg med lille og mellemstor kapacitet, får normalt mulighed for at vælge mellem at få en fast afregningstarif eller engangsinvesteringsstøtte for at reducere startomkostningerne. Disse ordninger kan være særligt interessante i regioner, der modtager strukturstøtte. De bør justeres og administreres omhyggeligt for at undgå uforholdsmæssigt store fortjenester og ineffektivitet, som vil medføre unødvendigt høje energipriser og energimiks, som ikke er optimale, og muligvis også, at støttemidler flyder fra borgerenergi over i </w:t>
      </w:r>
      <w:proofErr w:type="spellStart"/>
      <w:r w:rsidRPr="007C2F91">
        <w:t>hedgefonde</w:t>
      </w:r>
      <w:proofErr w:type="spellEnd"/>
      <w:r w:rsidRPr="007C2F91">
        <w:t>.</w:t>
      </w:r>
      <w:r w:rsidR="002F66AA" w:rsidRPr="007C2F9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451F5" w:rsidRPr="007C2F91" w:rsidTr="00501C30">
        <w:tc>
          <w:tcPr>
            <w:tcW w:w="9287" w:type="dxa"/>
            <w:shd w:val="clear" w:color="auto" w:fill="C6D9F1"/>
          </w:tcPr>
          <w:p w:rsidR="007451F5" w:rsidRPr="007C2F91" w:rsidRDefault="007451F5" w:rsidP="00DA3BBB">
            <w:pPr>
              <w:spacing w:before="240"/>
              <w:rPr>
                <w:b/>
              </w:rPr>
            </w:pPr>
            <w:r w:rsidRPr="007C2F91">
              <w:rPr>
                <w:b/>
              </w:rPr>
              <w:lastRenderedPageBreak/>
              <w:t>Boks 1: Den tyske energiomstilling (</w:t>
            </w:r>
            <w:proofErr w:type="spellStart"/>
            <w:r w:rsidRPr="007C2F91">
              <w:rPr>
                <w:b/>
                <w:i/>
              </w:rPr>
              <w:t>Energiewende</w:t>
            </w:r>
            <w:proofErr w:type="spellEnd"/>
            <w:r w:rsidRPr="007C2F91">
              <w:rPr>
                <w:b/>
              </w:rPr>
              <w:t>)</w:t>
            </w:r>
          </w:p>
          <w:p w:rsidR="007451F5" w:rsidRPr="007C2F91" w:rsidRDefault="007451F5" w:rsidP="00DA3BBB">
            <w:r w:rsidRPr="007C2F91">
              <w:t>I første halvdel af 2014 dækkede vedvarende kiler 30 % af elforbruget i Tyskland. Den kolossale vækst i vedvarende energi i Tyskland er primært et resultat af loven om vedvarende energi, der trådte i kraft i 2000. Loven havde ikke udtrykkeligt som sigte at fremme borgerenergi, men den fastlagde rammebetingelser, som gav civilsamfundet mulighed for at blive en aktiv producent af vedvarende energi. Loven fastlagde bestemmelser om:</w:t>
            </w:r>
          </w:p>
          <w:p w:rsidR="007451F5" w:rsidRPr="007C2F91" w:rsidRDefault="007451F5" w:rsidP="00DA3BBB">
            <w:pPr>
              <w:numPr>
                <w:ilvl w:val="0"/>
                <w:numId w:val="15"/>
              </w:numPr>
            </w:pPr>
            <w:r w:rsidRPr="007C2F91">
              <w:t>Enkle planlægnings- og godkendelsesprocedurer for investorer (ingen administrative hindringer)</w:t>
            </w:r>
          </w:p>
          <w:p w:rsidR="007451F5" w:rsidRPr="007C2F91" w:rsidRDefault="007451F5" w:rsidP="00DA3BBB">
            <w:pPr>
              <w:numPr>
                <w:ilvl w:val="0"/>
                <w:numId w:val="15"/>
              </w:numPr>
            </w:pPr>
            <w:r w:rsidRPr="007C2F91">
              <w:t>Let adgang til nettet</w:t>
            </w:r>
          </w:p>
          <w:p w:rsidR="007451F5" w:rsidRPr="007C2F91" w:rsidRDefault="007451F5" w:rsidP="00DA3BBB">
            <w:pPr>
              <w:numPr>
                <w:ilvl w:val="0"/>
                <w:numId w:val="15"/>
              </w:numPr>
            </w:pPr>
            <w:r w:rsidRPr="007C2F91">
              <w:t xml:space="preserve">Prioriteret tilførsel til nettet for vedvarende energikilder frem for nukleare og fossile kilder </w:t>
            </w:r>
          </w:p>
          <w:p w:rsidR="007451F5" w:rsidRPr="007C2F91" w:rsidRDefault="007451F5" w:rsidP="00DA3BBB">
            <w:pPr>
              <w:numPr>
                <w:ilvl w:val="0"/>
                <w:numId w:val="15"/>
              </w:numPr>
            </w:pPr>
            <w:r w:rsidRPr="007C2F91">
              <w:t>Faste 20-årige afregningstariffer</w:t>
            </w:r>
          </w:p>
          <w:p w:rsidR="007451F5" w:rsidRPr="007C2F91" w:rsidRDefault="007451F5" w:rsidP="00DA3BBB">
            <w:pPr>
              <w:numPr>
                <w:ilvl w:val="0"/>
                <w:numId w:val="15"/>
              </w:numPr>
            </w:pPr>
            <w:r w:rsidRPr="007C2F91">
              <w:t xml:space="preserve">Salg af elektricitet på markedet forestået af </w:t>
            </w:r>
            <w:proofErr w:type="spellStart"/>
            <w:r w:rsidRPr="007C2F91">
              <w:t>netoperatøren</w:t>
            </w:r>
            <w:proofErr w:type="spellEnd"/>
          </w:p>
          <w:p w:rsidR="007451F5" w:rsidRPr="007C2F91" w:rsidRDefault="007451F5" w:rsidP="00DA3BBB">
            <w:pPr>
              <w:numPr>
                <w:ilvl w:val="0"/>
                <w:numId w:val="15"/>
              </w:numPr>
            </w:pPr>
            <w:r w:rsidRPr="007C2F91">
              <w:t>Investeringsstøtte i form af prioriteret adgang til kredit for anlæg til vedvarende energi fra det statslige kreditinstitut for genopbygning (</w:t>
            </w:r>
            <w:proofErr w:type="spellStart"/>
            <w:r w:rsidRPr="007C2F91">
              <w:t>KfW</w:t>
            </w:r>
            <w:proofErr w:type="spellEnd"/>
            <w:r w:rsidRPr="007C2F91">
              <w:t>)</w:t>
            </w:r>
          </w:p>
          <w:p w:rsidR="007451F5" w:rsidRPr="007C2F91" w:rsidRDefault="007451F5" w:rsidP="00DA3BBB">
            <w:pPr>
              <w:numPr>
                <w:ilvl w:val="0"/>
                <w:numId w:val="15"/>
              </w:numPr>
            </w:pPr>
            <w:r w:rsidRPr="007C2F91">
              <w:t xml:space="preserve">Omkostninger, der </w:t>
            </w:r>
            <w:proofErr w:type="spellStart"/>
            <w:r w:rsidRPr="007C2F91">
              <w:t>påløber</w:t>
            </w:r>
            <w:proofErr w:type="spellEnd"/>
            <w:r w:rsidRPr="007C2F91">
              <w:t xml:space="preserve"> som følge af loven, dækkes ved hjælp af den deri fastlagte afgift på elpriser. Det er navnlig energiintensive industrier, der kan fritages for denne afgift, for ikke at skade deres internationale konkurrenceevne. </w:t>
            </w:r>
          </w:p>
          <w:p w:rsidR="007451F5" w:rsidRPr="007C2F91" w:rsidRDefault="007451F5" w:rsidP="00DA3BBB">
            <w:pPr>
              <w:ind w:left="720"/>
            </w:pPr>
          </w:p>
        </w:tc>
      </w:tr>
    </w:tbl>
    <w:p w:rsidR="001408E9" w:rsidRPr="007C2F91" w:rsidRDefault="001408E9" w:rsidP="00DA3BBB"/>
    <w:p w:rsidR="004229FE" w:rsidRPr="007C2F91" w:rsidRDefault="004229FE" w:rsidP="00DA3BBB">
      <w:r w:rsidRPr="007C2F91">
        <w:t>I de lande, som EØSU besøgte, tegnede der sig et meget komplekst billede af tariffer, kvoter, tilskud og støtte. Denne kompleksitet beror til dels på behovet for at differentiere støtteordningerne, men bør holdes på et minimum:</w:t>
      </w:r>
    </w:p>
    <w:p w:rsidR="002F66AA" w:rsidRPr="007C2F91" w:rsidRDefault="002F66AA" w:rsidP="00DA3BBB"/>
    <w:p w:rsidR="004229FE" w:rsidRPr="007C2F91" w:rsidRDefault="004229FE" w:rsidP="00DA3BBB">
      <w:pPr>
        <w:numPr>
          <w:ilvl w:val="0"/>
          <w:numId w:val="8"/>
        </w:numPr>
      </w:pPr>
      <w:r w:rsidRPr="007C2F91">
        <w:t>Differentiering efter brændstof eller teknologi stimulerer udviklingen af teknologier med forskellige omkostninger, som ikke kan konkurrere direkte med hinanden, og fører derved til hurtigere læringsrater. Den kan også håndtere særlige forhold i omkostningsstrukturen.</w:t>
      </w:r>
    </w:p>
    <w:p w:rsidR="004229FE" w:rsidRPr="007C2F91" w:rsidRDefault="004229FE" w:rsidP="00DA3BBB">
      <w:pPr>
        <w:numPr>
          <w:ilvl w:val="0"/>
          <w:numId w:val="8"/>
        </w:numPr>
      </w:pPr>
      <w:r w:rsidRPr="007C2F91">
        <w:t>Differentiering efter strømklasse forhindrer urimeligt høje fortjenester som følge af stordriftsfordele og kan også bruges til at fremme borgerenergi, som normalt er forbundet med lav strømkapacitet.</w:t>
      </w:r>
    </w:p>
    <w:p w:rsidR="004229FE" w:rsidRPr="007C2F91" w:rsidRDefault="004229FE" w:rsidP="00DA3BBB">
      <w:pPr>
        <w:numPr>
          <w:ilvl w:val="0"/>
          <w:numId w:val="8"/>
        </w:numPr>
      </w:pPr>
      <w:r w:rsidRPr="007C2F91">
        <w:t xml:space="preserve">Differentiering efter energivektor (f.eks. elektricitet i forhold til varme) gør det muligt at nå specifikke mål for hver enkelt. I modsætning til elektricitetssektoren, hvor de faste afregningstariffer normalt udbetales i mere end 10 år, fremmes produktion af varme fra vedvarende kilder for det meste via lån og tilskud, der bidrager til at dække investeringsomkostningerne. </w:t>
      </w:r>
      <w:proofErr w:type="gramStart"/>
      <w:r w:rsidRPr="007C2F91">
        <w:t>Den</w:t>
      </w:r>
      <w:proofErr w:type="gramEnd"/>
      <w:r w:rsidRPr="007C2F91">
        <w:t xml:space="preserve"> franske </w:t>
      </w:r>
      <w:proofErr w:type="gramStart"/>
      <w:r w:rsidRPr="007C2F91">
        <w:rPr>
          <w:i/>
        </w:rPr>
        <w:t>fonds</w:t>
      </w:r>
      <w:proofErr w:type="gramEnd"/>
      <w:r w:rsidRPr="007C2F91">
        <w:rPr>
          <w:i/>
        </w:rPr>
        <w:t xml:space="preserve"> </w:t>
      </w:r>
      <w:proofErr w:type="spellStart"/>
      <w:r w:rsidRPr="007C2F91">
        <w:rPr>
          <w:i/>
        </w:rPr>
        <w:t>chaleur</w:t>
      </w:r>
      <w:proofErr w:type="spellEnd"/>
      <w:r w:rsidRPr="007C2F91">
        <w:rPr>
          <w:i/>
        </w:rPr>
        <w:t xml:space="preserve"> </w:t>
      </w:r>
      <w:r w:rsidRPr="007C2F91">
        <w:t>er et godt eksempel herpå. Litauen vil også fra 2015 indføre en pligt til brug af vedvarende energikilder til opvarmning og køling af alle nye bygninger og eksisterende bygninger, hvor der udføres større renoveringer.</w:t>
      </w:r>
    </w:p>
    <w:p w:rsidR="00AC3D3C" w:rsidRPr="007C2F91" w:rsidRDefault="00AC3D3C" w:rsidP="00DA3BBB"/>
    <w:p w:rsidR="00B325EE" w:rsidRPr="007C2F91" w:rsidRDefault="00B325EE" w:rsidP="00DA3BBB">
      <w:pPr>
        <w:pStyle w:val="Heading2"/>
        <w:keepNext/>
        <w:rPr>
          <w:b/>
        </w:rPr>
      </w:pPr>
      <w:bookmarkStart w:id="460" w:name="_Toc408506740"/>
      <w:bookmarkStart w:id="461" w:name="_Toc408580973"/>
      <w:bookmarkStart w:id="462" w:name="_Toc409432235"/>
      <w:r w:rsidRPr="007C2F91">
        <w:rPr>
          <w:b/>
        </w:rPr>
        <w:t>Fjernelse af hindringerne for vedvarende borgerenergi</w:t>
      </w:r>
      <w:bookmarkEnd w:id="460"/>
      <w:bookmarkEnd w:id="461"/>
      <w:bookmarkEnd w:id="462"/>
    </w:p>
    <w:p w:rsidR="00F64607" w:rsidRPr="007C2F91" w:rsidRDefault="00F64607" w:rsidP="00DA3BBB">
      <w:pPr>
        <w:keepNext/>
      </w:pPr>
    </w:p>
    <w:p w:rsidR="003E58DA" w:rsidRPr="007C2F91" w:rsidRDefault="003E58DA" w:rsidP="00DA3BBB">
      <w:pPr>
        <w:pStyle w:val="ListParagraph"/>
        <w:keepNext/>
        <w:numPr>
          <w:ilvl w:val="0"/>
          <w:numId w:val="4"/>
        </w:numPr>
        <w:ind w:left="426" w:hanging="426"/>
        <w:rPr>
          <w:b/>
        </w:rPr>
      </w:pPr>
      <w:r w:rsidRPr="007C2F91">
        <w:rPr>
          <w:b/>
        </w:rPr>
        <w:t>En forsigtig tilgang til udbud</w:t>
      </w:r>
    </w:p>
    <w:p w:rsidR="00B325EE" w:rsidRPr="007C2F91" w:rsidRDefault="00B325EE" w:rsidP="00DA3BBB">
      <w:pPr>
        <w:keepNext/>
      </w:pPr>
    </w:p>
    <w:p w:rsidR="0093128F" w:rsidRPr="007C2F91" w:rsidRDefault="0093128F" w:rsidP="00DA3BBB">
      <w:r w:rsidRPr="007C2F91">
        <w:t xml:space="preserve">Efter nylige reformer af støtterammerne for vedvarende energi er der blevet indført udbud i flere af de undersøgte lande som hovedproceduren for tildeling af faste afregningstariffer eller afregningspræmier for vedvarende energi. Kun meget lav produktionskapacitet vil fremover være undtaget fra </w:t>
      </w:r>
      <w:r w:rsidRPr="007C2F91">
        <w:lastRenderedPageBreak/>
        <w:t xml:space="preserve">auktionsproceduren. Denne tendens udspringer i hvert fald delvist af Kommissionens retningslinjer for statsstøtte til energi og miljø. </w:t>
      </w:r>
    </w:p>
    <w:p w:rsidR="0093128F" w:rsidRPr="007C2F91" w:rsidRDefault="0093128F" w:rsidP="00DA3BBB"/>
    <w:p w:rsidR="0093128F" w:rsidRPr="007C2F91" w:rsidRDefault="0093128F" w:rsidP="00DA3BBB">
      <w:r w:rsidRPr="007C2F91">
        <w:t>Interessenter i alle de besøgte lande udtrykte bekymring over de komplekse og dyre udbudsprocedurer, som også vil øge finansieringsomkostningerne og mindske muligheden for at få et lån på grund af større investeringsrisici (usikkerhed om opnåelse af støtten). Denne uforholdsmæssige økonomiske byrde for små projekter vil sammen med den omstændighed, at små producenter næppe vil kunne levere de mængder, som typiske kræves under udbud, rent faktisk udelukke civilsamfundet og lokalsamfundene fra at kunne få støtte til vedvarende energi. Der er også risiko for, at konkurrencen på energimarkedet helt elimineres, da kun nogle få store producenter vil have kapaciteten til at deltage i udbuddene.</w:t>
      </w:r>
    </w:p>
    <w:p w:rsidR="001408E9" w:rsidRPr="007C2F91" w:rsidRDefault="001408E9" w:rsidP="00DA3BBB"/>
    <w:p w:rsidR="007D4CFA" w:rsidRPr="007C2F91" w:rsidRDefault="0093128F" w:rsidP="00DA3BBB">
      <w:r w:rsidRPr="007C2F91">
        <w:t xml:space="preserve">Udbud favoriserer de store producenter og fremmer dermed en eventuel fornyet centralisering, idet produktionen af vedvarende energi vil glide privatpersoner og lokalsamfund af hænde. Når store centraliserede producenter får en fordel, kan det medføre højere forbrugerpriser, da store virksomheder har større forventninger til </w:t>
      </w:r>
      <w:proofErr w:type="spellStart"/>
      <w:r w:rsidRPr="007C2F91">
        <w:t>fortjenestmargenen</w:t>
      </w:r>
      <w:proofErr w:type="spellEnd"/>
      <w:r w:rsidRPr="007C2F91">
        <w:t xml:space="preserve"> end mindre producenter af borgerenergi. Desuden vil udbud ikke fungere, hvor der ikke findes et energimarked. Erfaringer, der er udvekslet i nogle af de besøgte lande (især i Det Forenede Kongerige), viser, at udbud faktisk øger de samlede udgifter og risikoen for, at projekter forsinkes og annulleres. Udbud var den første form for støtte til vedvarende energi i Det Forenede Kongerige, men blev afskaffet til fordel for en kvoteordning, som siden blev erstattet af en fast afregningstarif for projekter under 5 MW.</w:t>
      </w:r>
    </w:p>
    <w:p w:rsidR="00884652" w:rsidRPr="007C2F91" w:rsidRDefault="00884652" w:rsidP="00DA3BBB"/>
    <w:p w:rsidR="003F63ED" w:rsidRPr="007C2F91" w:rsidRDefault="00971042" w:rsidP="00DA3BBB">
      <w:pPr>
        <w:pStyle w:val="ListParagraph2"/>
        <w:keepNext/>
      </w:pPr>
      <w:r w:rsidRPr="007C2F91">
        <w:t xml:space="preserve"> Ikke for faste lofter for mål for vedvarende energi</w:t>
      </w:r>
    </w:p>
    <w:p w:rsidR="001408E9" w:rsidRDefault="00575116" w:rsidP="00DA3BBB">
      <w:r w:rsidRPr="007C2F91">
        <w:t xml:space="preserve">En række EU-medlemsstater har indført ordninger for at bremse udviklingen af vedvarende energi ved at reducere eller standse støtten, så snart målene for den pågældende periode er nået. Blandt de medlemsstater, der blev besøgt i forbindelse med undersøgelsen, er Bulgarien et særligt slående eksempel: Den bulgarske regering erklærede i 2013, at det nationale mål for vedvarende energi for 2020 på 16 % var nået. Siden har </w:t>
      </w:r>
      <w:proofErr w:type="spellStart"/>
      <w:r w:rsidRPr="007C2F91">
        <w:t>netoperatørerne</w:t>
      </w:r>
      <w:proofErr w:type="spellEnd"/>
      <w:r w:rsidRPr="007C2F91">
        <w:t xml:space="preserve"> brugt dette som et argument for at afvise at tilslutte nye producenter af elektricitet fra vedvarende energikilder til nettet. Litauen lagde loft på den offentlige støtte til elektricitet fra vedvarende energikilder, da det fastsatte ret uambitiøse mål for hver af de vigtigste vedvarende energiteknologier. Med undtagelse af vandkraft blev kapaciteterne nået på mindre end to år. </w:t>
      </w:r>
    </w:p>
    <w:p w:rsidR="005C2484" w:rsidRPr="007C2F91" w:rsidRDefault="005C2484" w:rsidP="00DA3BBB"/>
    <w:p w:rsidR="00971042" w:rsidRPr="007C2F91" w:rsidRDefault="00971042" w:rsidP="00DA3BBB">
      <w:r w:rsidRPr="007C2F91">
        <w:t>Behovet for at gøre væksten i sektoren for vedvarende energi mere forudsigelig og for at kunne styre eventuelle medfølgende sociale og økonomiske omkostninger kan være et gyldigt argument for at indføre et loft. Det er imidlertid afgørende, at loftet ikke gør en ende på medlemsstaternes ambitioner vedrørende energiomstillingen eller bliver en måde, hvorpå fremskridt forhindres på områder, hvor det kunne og burde have fortsat.</w:t>
      </w:r>
    </w:p>
    <w:p w:rsidR="00A207FE" w:rsidRPr="007C2F91" w:rsidRDefault="00A207FE" w:rsidP="00DA3BBB"/>
    <w:bookmarkEnd w:id="433"/>
    <w:bookmarkEnd w:id="434"/>
    <w:p w:rsidR="00287CAD" w:rsidRPr="007C2F91" w:rsidRDefault="00971042" w:rsidP="00DA3BBB">
      <w:pPr>
        <w:pStyle w:val="ListParagraph2"/>
        <w:keepNext/>
      </w:pPr>
      <w:r w:rsidRPr="007C2F91">
        <w:t xml:space="preserve">Fjernelse af forhindringerne for </w:t>
      </w:r>
      <w:proofErr w:type="spellStart"/>
      <w:r w:rsidRPr="007C2F91">
        <w:t>nettilslutning</w:t>
      </w:r>
      <w:proofErr w:type="spellEnd"/>
    </w:p>
    <w:p w:rsidR="005C65C6" w:rsidRPr="007C2F91" w:rsidRDefault="00E2240E" w:rsidP="00DA3BBB">
      <w:r w:rsidRPr="007C2F91">
        <w:t xml:space="preserve">Lave strømkapaciteter, som det typisk er tilfældet med borgerenergi, er normalt tilsluttet distributionsnettet. </w:t>
      </w:r>
      <w:proofErr w:type="spellStart"/>
      <w:r w:rsidRPr="007C2F91">
        <w:t>Nettilslutning</w:t>
      </w:r>
      <w:proofErr w:type="spellEnd"/>
      <w:r w:rsidRPr="007C2F91">
        <w:t xml:space="preserve"> er dog stadig et problem i mange af de undersøgte lande på grund af administrative procedurer, ventetider eller udgifter. Selv om et vedvarende energiprojekt i henhold til direktivet om vedvarende energi skal gives tilladelse til </w:t>
      </w:r>
      <w:proofErr w:type="spellStart"/>
      <w:r w:rsidRPr="007C2F91">
        <w:t>nettilslutning</w:t>
      </w:r>
      <w:proofErr w:type="spellEnd"/>
      <w:r w:rsidRPr="007C2F91">
        <w:t xml:space="preserve">, forhindrer de høje priser, som nogle operatører ofte forlanger, i praksis, at denne ret kan udøves. For nye projekter er antallet af </w:t>
      </w:r>
      <w:r w:rsidRPr="007C2F91">
        <w:lastRenderedPageBreak/>
        <w:t xml:space="preserve">tilslutningspunkter ofte begrænset, og for producenter af borgerenergi kan det derfor blive umuligt at tilslutte sig nettet til en overkommelig pris. </w:t>
      </w:r>
      <w:proofErr w:type="spellStart"/>
      <w:r w:rsidRPr="007C2F91">
        <w:t>Mikroanlæg</w:t>
      </w:r>
      <w:proofErr w:type="spellEnd"/>
      <w:r w:rsidRPr="007C2F91">
        <w:t xml:space="preserve">, som ikke er tilsluttet elektricitetsnettet, kan omgå denne brist og endog være den rigtige løsning ud fra et omkostningsmæssigt synspunkt for meget fjerntliggende områder, hvor nettet er svagt eller mangler. Den tyske EEG-lov er et godt eksempel på god praksis for </w:t>
      </w:r>
      <w:proofErr w:type="spellStart"/>
      <w:r w:rsidRPr="007C2F91">
        <w:t>nettilslutning</w:t>
      </w:r>
      <w:proofErr w:type="spellEnd"/>
      <w:r w:rsidRPr="007C2F91">
        <w:rPr>
          <w:rStyle w:val="FootnoteReference"/>
        </w:rPr>
        <w:footnoteReference w:id="20"/>
      </w:r>
      <w:r w:rsidRPr="007C2F91">
        <w:t>.</w:t>
      </w:r>
    </w:p>
    <w:p w:rsidR="00CC49F4" w:rsidRPr="007C2F91" w:rsidRDefault="00CC49F4" w:rsidP="00DA3BBB"/>
    <w:p w:rsidR="00884652" w:rsidRPr="007C2F91" w:rsidRDefault="00884652" w:rsidP="00DA3BBB">
      <w:pPr>
        <w:pStyle w:val="ListParagraph2"/>
        <w:keepNext/>
      </w:pPr>
      <w:r w:rsidRPr="007C2F91">
        <w:t>Fritagelse for direkte salg på markedet</w:t>
      </w:r>
    </w:p>
    <w:p w:rsidR="00884652" w:rsidRPr="007C2F91" w:rsidRDefault="00884652" w:rsidP="00DA3BBB">
      <w:r w:rsidRPr="007C2F91">
        <w:t>Direkte salg på markedet påfører producenter af borgerenergi en ny og betydelig logistisk byrde og forringer deres muligheder for at opnå projektfinansiering, da der tillige er mindre sandsynlighed for, at en långiver vil opfatte en afregningspræmie som en sikker indtægtskilde.</w:t>
      </w:r>
    </w:p>
    <w:p w:rsidR="00884652" w:rsidRPr="007C2F91" w:rsidRDefault="00884652" w:rsidP="00DA3BBB"/>
    <w:p w:rsidR="00A314D3" w:rsidRPr="007C2F91" w:rsidRDefault="00A314D3" w:rsidP="00DA3BBB">
      <w:pPr>
        <w:pStyle w:val="Heading2"/>
        <w:keepNext/>
        <w:rPr>
          <w:b/>
        </w:rPr>
      </w:pPr>
      <w:bookmarkStart w:id="463" w:name="_Toc408506741"/>
      <w:bookmarkStart w:id="464" w:name="_Toc408580974"/>
      <w:bookmarkStart w:id="465" w:name="_Toc409432236"/>
      <w:proofErr w:type="spellStart"/>
      <w:r w:rsidRPr="007C2F91">
        <w:rPr>
          <w:b/>
        </w:rPr>
        <w:t>Netudvikling</w:t>
      </w:r>
      <w:proofErr w:type="spellEnd"/>
      <w:r w:rsidRPr="007C2F91">
        <w:rPr>
          <w:b/>
        </w:rPr>
        <w:t xml:space="preserve"> og -koordinering for at tilpasse det til behovene i forbindelse med vedvarende energi</w:t>
      </w:r>
      <w:bookmarkEnd w:id="463"/>
      <w:bookmarkEnd w:id="464"/>
      <w:bookmarkEnd w:id="465"/>
      <w:r w:rsidRPr="007C2F91">
        <w:rPr>
          <w:b/>
        </w:rPr>
        <w:t xml:space="preserve"> </w:t>
      </w:r>
    </w:p>
    <w:p w:rsidR="00C240A9" w:rsidRPr="007C2F91" w:rsidRDefault="00C240A9" w:rsidP="00DA3BBB">
      <w:pPr>
        <w:keepNext/>
      </w:pPr>
    </w:p>
    <w:p w:rsidR="00FC49E7" w:rsidRPr="007C2F91" w:rsidRDefault="006F1FA7" w:rsidP="00DA3BBB">
      <w:r w:rsidRPr="007C2F91">
        <w:t xml:space="preserve">De nedarvede </w:t>
      </w:r>
      <w:proofErr w:type="spellStart"/>
      <w:r w:rsidRPr="007C2F91">
        <w:t>netsystemer</w:t>
      </w:r>
      <w:proofErr w:type="spellEnd"/>
      <w:r w:rsidRPr="007C2F91">
        <w:t xml:space="preserve"> blev anlagt i en tid med centraliseret energiproduktion og envejsstrømme fra store </w:t>
      </w:r>
      <w:proofErr w:type="spellStart"/>
      <w:r w:rsidRPr="007C2F91">
        <w:t>elgeneratorer</w:t>
      </w:r>
      <w:proofErr w:type="spellEnd"/>
      <w:r w:rsidRPr="007C2F91">
        <w:t xml:space="preserve"> ved høj spænding til forbrugerne ved lavere spænding. Der er behov for at tilpasse nettene, så de kan håndtere de spredtliggende og fluktuerende vedvarende energikilder som vind, sol og tidevand. Udviklingen af disse energikilder nødvendiggør strukturelle ændringer i infrastrukturen kombineret med bedre koordination af elektricitetsmarkederne og </w:t>
      </w:r>
      <w:proofErr w:type="spellStart"/>
      <w:r w:rsidRPr="007C2F91">
        <w:t>elproduktionen</w:t>
      </w:r>
      <w:proofErr w:type="spellEnd"/>
      <w:r w:rsidRPr="007C2F91">
        <w:t xml:space="preserve"> samt energistyringsløsninger, således at overskydende elektricitet kan eksporteres eller lagres. </w:t>
      </w:r>
      <w:r w:rsidRPr="007C2F91">
        <w:rPr>
          <w:b/>
        </w:rPr>
        <w:t xml:space="preserve">Koordination mellem transmissionssystemoperatører </w:t>
      </w:r>
      <w:r w:rsidRPr="007C2F91">
        <w:t xml:space="preserve">ved hjælp af regionale koordineringsinitiativer bliver stadig vigtigere. Ved at lave prognoser for energibehovene kan CORESO på forhånd underrette transmissionssystemoperatører fra fem medlemsstater om de forventede elektricitetsoverskud og -underskud på nationalt og regionalt plan, så de får bedre muligheder for at forvalte deres egne net og afhjælpe eventuelle problemer. Problemet med den uregelmæssige produktion af energi fra vedvarende kilder kan bl.a. afhjælpes ved at anvende </w:t>
      </w:r>
      <w:r w:rsidRPr="007C2F91">
        <w:rPr>
          <w:b/>
        </w:rPr>
        <w:t>hybridsystemer,</w:t>
      </w:r>
      <w:r w:rsidRPr="007C2F91">
        <w:t xml:space="preserve"> som kombinerer forskellige energikilder, lagring og efterspørgselsstyring. Med en hensigtsmæssig styring bliver resultatet et "</w:t>
      </w:r>
      <w:r w:rsidRPr="007C2F91">
        <w:rPr>
          <w:b/>
        </w:rPr>
        <w:t>intelligent net</w:t>
      </w:r>
      <w:r w:rsidRPr="007C2F91">
        <w:t>, der leverer bæredygtig, rentabel og sikker elforsyning". Holdet fra EØSU besøgte et fremragende eksempel på netop sådan et initiativ: Frankrigs "Nice Grid" har til formål at optimere energistyringen og øge 1.500 beboerkunders og erhvervs- og industrikunders uafhængighed på energiområdet ved at integrere løsninger for lagring og efterspørgselsstyring og reducere spidsbelastningen med op til 17 %.</w:t>
      </w:r>
    </w:p>
    <w:p w:rsidR="00A678D3" w:rsidRPr="007C2F91" w:rsidRDefault="00A678D3" w:rsidP="00DA3BBB"/>
    <w:p w:rsidR="00340BF4" w:rsidRPr="007C2F91" w:rsidRDefault="00193A76" w:rsidP="00DA3BBB">
      <w:pPr>
        <w:keepNext/>
      </w:pPr>
      <w:r>
        <w:rPr>
          <w:noProof/>
          <w:lang w:val="fr-BE" w:eastAsia="fr-BE" w:bidi="ar-SA"/>
        </w:rPr>
        <w:lastRenderedPageBreak/>
        <w:drawing>
          <wp:inline distT="0" distB="0" distL="0" distR="0">
            <wp:extent cx="4864100" cy="2882900"/>
            <wp:effectExtent l="0" t="0" r="0" b="0"/>
            <wp:docPr id="9" name="Picture 29" descr="schema demonstrateur Nicegrid c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ema demonstrateur Nicegrid carros"/>
                    <pic:cNvPicPr>
                      <a:picLocks noChangeAspect="1" noChangeArrowheads="1"/>
                    </pic:cNvPicPr>
                  </pic:nvPicPr>
                  <pic:blipFill>
                    <a:blip r:embed="rId22">
                      <a:extLst>
                        <a:ext uri="{28A0092B-C50C-407E-A947-70E740481C1C}">
                          <a14:useLocalDpi xmlns:a14="http://schemas.microsoft.com/office/drawing/2010/main" val="0"/>
                        </a:ext>
                      </a:extLst>
                    </a:blip>
                    <a:srcRect t="30383" b="10184"/>
                    <a:stretch>
                      <a:fillRect/>
                    </a:stretch>
                  </pic:blipFill>
                  <pic:spPr bwMode="auto">
                    <a:xfrm>
                      <a:off x="0" y="0"/>
                      <a:ext cx="4864100" cy="2882900"/>
                    </a:xfrm>
                    <a:prstGeom prst="rect">
                      <a:avLst/>
                    </a:prstGeom>
                    <a:noFill/>
                    <a:ln>
                      <a:noFill/>
                    </a:ln>
                  </pic:spPr>
                </pic:pic>
              </a:graphicData>
            </a:graphic>
          </wp:inline>
        </w:drawing>
      </w:r>
    </w:p>
    <w:p w:rsidR="00C079CF" w:rsidRPr="007C2F91" w:rsidRDefault="004569F3" w:rsidP="00DA3BBB">
      <w:pPr>
        <w:pStyle w:val="Caption"/>
        <w:jc w:val="both"/>
      </w:pPr>
      <w:bookmarkStart w:id="466" w:name="_Ref395264544"/>
      <w:r w:rsidRPr="007C2F91">
        <w:t xml:space="preserve">Figur </w:t>
      </w:r>
      <w:bookmarkEnd w:id="466"/>
      <w:r w:rsidRPr="007C2F91">
        <w:fldChar w:fldCharType="begin" w:fldLock="1"/>
      </w:r>
      <w:r w:rsidRPr="007C2F91">
        <w:instrText xml:space="preserve"> SEQ Figure \* ARABIC </w:instrText>
      </w:r>
      <w:r w:rsidRPr="007C2F91">
        <w:fldChar w:fldCharType="separate"/>
      </w:r>
      <w:r w:rsidR="009753A1" w:rsidRPr="007C2F91">
        <w:t>7</w:t>
      </w:r>
      <w:r w:rsidRPr="007C2F91">
        <w:fldChar w:fldCharType="end"/>
      </w:r>
      <w:r w:rsidRPr="007C2F91">
        <w:t>: "Nice Grid"-struktur.</w:t>
      </w:r>
    </w:p>
    <w:p w:rsidR="00C079CF" w:rsidRPr="007C2F91" w:rsidRDefault="00C079CF" w:rsidP="00DA3BBB">
      <w:pPr>
        <w:rPr>
          <w:sz w:val="18"/>
        </w:rPr>
      </w:pPr>
      <w:r w:rsidRPr="007C2F91">
        <w:rPr>
          <w:sz w:val="18"/>
        </w:rPr>
        <w:t>Kilde: Nice Grid (2014).</w:t>
      </w:r>
    </w:p>
    <w:p w:rsidR="00635AD5" w:rsidRPr="007C2F91" w:rsidRDefault="00635AD5" w:rsidP="00DA3BBB">
      <w:pPr>
        <w:rPr>
          <w:sz w:val="18"/>
        </w:rPr>
      </w:pPr>
    </w:p>
    <w:p w:rsidR="00862651" w:rsidRPr="007C2F91" w:rsidRDefault="00862651" w:rsidP="00DA3BBB">
      <w:r w:rsidRPr="007C2F91">
        <w:t xml:space="preserve">Under besøget i Tyskland blev undersøgelsesholdet gjort opmærksom på følgende udtalelse vedrørende decentrale produktionsstrukturer fra det tyske forbundsagentur for net: "Det er klart, at omstillingen af energisystemet har størst chancer for at blive en succes i et tæt samarbejde mellem alle de involverede parter. [...] Vi bør bifalde metoder, der maksimerer energiforbruget ved kilden. Dette har altid været grundtanken i energiforsyning, da det minimerer </w:t>
      </w:r>
      <w:proofErr w:type="spellStart"/>
      <w:r w:rsidRPr="007C2F91">
        <w:t>nettab</w:t>
      </w:r>
      <w:proofErr w:type="spellEnd"/>
      <w:r w:rsidRPr="007C2F91">
        <w:t>".</w:t>
      </w:r>
      <w:r w:rsidRPr="007C2F91">
        <w:rPr>
          <w:rStyle w:val="FootnoteReference"/>
        </w:rPr>
        <w:footnoteReference w:id="21"/>
      </w:r>
    </w:p>
    <w:p w:rsidR="00862651" w:rsidRPr="007C2F91" w:rsidRDefault="00862651" w:rsidP="00DA3BBB"/>
    <w:p w:rsidR="001373A9" w:rsidRPr="007C2F91" w:rsidRDefault="0067287D" w:rsidP="00DA3BBB">
      <w:pPr>
        <w:pStyle w:val="Heading2"/>
        <w:keepNext/>
        <w:rPr>
          <w:b/>
        </w:rPr>
      </w:pPr>
      <w:bookmarkStart w:id="467" w:name="_Toc408506742"/>
      <w:bookmarkStart w:id="468" w:name="_Toc408580975"/>
      <w:bookmarkStart w:id="469" w:name="_Toc409432237"/>
      <w:r w:rsidRPr="007C2F91">
        <w:rPr>
          <w:b/>
        </w:rPr>
        <w:t>Energistyring og -lagring</w:t>
      </w:r>
      <w:bookmarkEnd w:id="467"/>
      <w:bookmarkEnd w:id="468"/>
      <w:bookmarkEnd w:id="469"/>
    </w:p>
    <w:p w:rsidR="00C240A9" w:rsidRPr="007C2F91" w:rsidRDefault="00C240A9" w:rsidP="00DA3BBB">
      <w:pPr>
        <w:keepNext/>
      </w:pPr>
    </w:p>
    <w:p w:rsidR="0060380C" w:rsidRPr="007C2F91" w:rsidRDefault="0067287D" w:rsidP="00DA3BBB">
      <w:r w:rsidRPr="007C2F91">
        <w:t>Den omstændighed, at nogle vedvarende energikilder ikke altid er tilgængelige, er stadig et problem i forbindelse med forsyningsstyringen. Men med den brede udnyttelse af vedvarende energikilder kommer der nye og innovative løsninger frem. Kombineret produktion af elektricitet og varme fra vedvarende energikilder kunne være en fremragende mulighed for at få den stærkt tiltrængte lagringskapacitet, som kunne udnyttes gentagne gange i forbindelse med svingende produktion af vedvarende energi.</w:t>
      </w:r>
      <w:r w:rsidR="00DC05ED" w:rsidRPr="007C2F91">
        <w:t xml:space="preserve"> </w:t>
      </w:r>
      <w:r w:rsidRPr="007C2F91">
        <w:t>"</w:t>
      </w:r>
      <w:r w:rsidRPr="007C2F91">
        <w:rPr>
          <w:b/>
        </w:rPr>
        <w:t>El til opvarmning</w:t>
      </w:r>
      <w:r w:rsidRPr="007C2F91">
        <w:t>", dvs. anvendelse af "billig" overforsyning af elektricitet fra vedvarende energikilder via varmepumper og varmvandsreservoirer til opvarmning eller køling, er allerede et levedygtigt alternativ, hvad angår besparelser og energistyring. Der fandt en drøftelse af denne mulighed sted under besøget i Frankrig, og der er ved at blive gennemført projekter i Tyskland.</w:t>
      </w:r>
    </w:p>
    <w:p w:rsidR="00D3759B" w:rsidRPr="007C2F91" w:rsidRDefault="00D3759B" w:rsidP="00DA3BBB"/>
    <w:p w:rsidR="00B83B64" w:rsidRPr="007C2F91" w:rsidRDefault="00D14FA2" w:rsidP="00DA3BBB">
      <w:pPr>
        <w:pStyle w:val="Heading1"/>
        <w:keepNext/>
        <w:rPr>
          <w:b/>
        </w:rPr>
      </w:pPr>
      <w:bookmarkStart w:id="470" w:name="_Toc408580976"/>
      <w:bookmarkStart w:id="471" w:name="_Toc409432238"/>
      <w:r w:rsidRPr="007C2F91">
        <w:rPr>
          <w:b/>
        </w:rPr>
        <w:t>Konklusioner</w:t>
      </w:r>
      <w:bookmarkEnd w:id="470"/>
      <w:bookmarkEnd w:id="471"/>
    </w:p>
    <w:p w:rsidR="00E051E1" w:rsidRPr="007C2F91" w:rsidRDefault="00E051E1" w:rsidP="00DA3BBB">
      <w:pPr>
        <w:keepNext/>
      </w:pPr>
      <w:bookmarkStart w:id="472" w:name="_Toc399171531"/>
      <w:bookmarkStart w:id="473" w:name="_Toc399171605"/>
      <w:bookmarkStart w:id="474" w:name="_Toc399171675"/>
      <w:bookmarkStart w:id="475" w:name="_Toc399171749"/>
      <w:bookmarkStart w:id="476" w:name="_Toc399171824"/>
      <w:bookmarkEnd w:id="472"/>
      <w:bookmarkEnd w:id="473"/>
      <w:bookmarkEnd w:id="474"/>
      <w:bookmarkEnd w:id="475"/>
      <w:bookmarkEnd w:id="476"/>
    </w:p>
    <w:p w:rsidR="00F1073F" w:rsidRPr="007C2F91" w:rsidRDefault="00F1073F" w:rsidP="00DA3BBB">
      <w:r w:rsidRPr="007C2F91">
        <w:t xml:space="preserve">Er de lovgivningsmæssige betingelser de rigtige, har civilsamfundet en stærk interesse i og potentialet til at gennemføre en stor del af omstillingen til decentral, bæredygtig energiproduktion. I alle de besøgte lande anerkendte civilsamfundsinteressenterne forretningsmuligheden og viste meget stor interesse for at deltage i produktion af vedvarende energi for at generere indkomster og holde pengene </w:t>
      </w:r>
      <w:r w:rsidRPr="007C2F91">
        <w:lastRenderedPageBreak/>
        <w:t>i lokalsamfundene. De steder, hvor politikrammerne er gunstige, kommer små producenter hurtigt ind på markedet, bliver den vigtigste drivkraft bag udviklingen af vedvarende energi og forandrer det nationale energilandskab. Vedvarende energiprojekter udgør ofte kernen i lokale initiativer med meget bredere sociale, økonomiske og miljømæssige fordele end blot energiproduktion, idet de tilskynder til samarbejde, social innovation, uddannelse, styrkede lokale tjenester og lokal jobskabelse. Desuden øger det borgernes accept af ny infrastruktur og deres tolerance over for eventuelle gener, hvis de ejer de vedvarende energianlæg og får værdi af energiproduktionen. Den enorme kollektive investerings-, gennemførelses- og innovationskapacitet i civilsamfundet rummer vigtige ressourcer til omstillingen til bæredygtig energi.</w:t>
      </w:r>
    </w:p>
    <w:p w:rsidR="00F1073F" w:rsidRPr="007C2F91" w:rsidRDefault="00F1073F" w:rsidP="00DA3BBB"/>
    <w:p w:rsidR="00F1073F" w:rsidRPr="007C2F91" w:rsidRDefault="00F1073F" w:rsidP="00DA3BBB">
      <w:r w:rsidRPr="007C2F91">
        <w:t>Og alligevel er det enorme kollektive potentiale i civilsamfundet til at fremskynde omstillingen til vedvarende energi samt decentral energis potentiale til at fremme lokal og regional udvikling i vid udstrækning uudnyttet. Undersøgelsen påviste nogle fremragende eksempler på strategier til inddragelse af lokalsamfundet, forenklede administrative procedurer, økonomiske incitamenter og lettere adgang til nettet og markeder for små producenter af vedvarende energi i de besøgte lande. Holdet fandt imidlertid ikke i nogen medlemsstater en konsekvent gennemført regeringsstrategi, der udtrykkeligt sigter mod at skabe muligheder for civilsamfundet og lige vilkår for vedvarende borgerenergi. Faktisk konstaterede de det modsatte: Politisk ustabilitet og nylige reformer af lovrammerne for vedvarende energi har i alle de undersøgte lande skabt større usikkerhed, uvilje til at foretage nye investeringer og bekymringer hos interessenterne med hensyn til borgerenergiens fremtid. Når komplekse, langvarige tilladelsesprocedurer kombineres med konstant skiftende støtteordninger, regler for markedsadgang, som forskelsbehandler små producenter, og – i nogle tilfælde – nye skatter og afgifter på vedvarende energi, stilles små og mellemstore investorer væsentligt ringere end de store energiproducenter.</w:t>
      </w:r>
    </w:p>
    <w:p w:rsidR="00F1073F" w:rsidRPr="007C2F91" w:rsidRDefault="00F1073F" w:rsidP="00DA3BBB"/>
    <w:p w:rsidR="00F1073F" w:rsidRPr="007C2F91" w:rsidRDefault="00F1073F" w:rsidP="00DA3BBB">
      <w:r w:rsidRPr="007C2F91">
        <w:t>EØSU's undersøgelse blotlagde et akut behov for udtrykkeligt at prioritere støtte til borgeres decentrale produktion af vedvarende energi. Nationale, lokale og regionale myndigheder bør fastlægge mål for udvikling af borgerenergi, navnlig med det sigte at indarbejde dem i de lokale planer for vedvarende energi. Borgerenergi skal behandles specifikt af støtteordninger. Tilskud, lån og produktionsstøtteordninger bør udformes, så de skaber en stabil langsigtet investeringsramme, der garanterer et rimeligt, men ikke uforholdsmæssigt stort, afkast på investeringerne. De administrative procedurer skal være enkle, hurtige og overkommelige i pris for producenter af vedvarende borgerenergi. Vi anbefaler at integrere procedurerne i kvikskranker, som tilbyder vejledning til potentielle investorer og hjælper dem i processens mange faser (fra planlægning til udnyttelse), og som kan varetage alt det nødvendige papirarbejde.</w:t>
      </w:r>
    </w:p>
    <w:p w:rsidR="00F1073F" w:rsidRPr="007C2F91" w:rsidRDefault="00F1073F" w:rsidP="00DA3BBB"/>
    <w:p w:rsidR="00653A8A" w:rsidRPr="007C2F91" w:rsidRDefault="00F1073F" w:rsidP="00DA3BBB">
      <w:r w:rsidRPr="007C2F91">
        <w:t>På EU-niveau og i medlemsstaterne bør politikken for vedvarende energi udvikles og gennemføres i en løbende dialog med interessenterne i civilsamfundet med henblik på at sikre fælles forståelse, fælles mål, støtte til gennemførelsen og de langsigtede fordele ved en samarbejdskultur og gensidig tillid. I den henseende kan EØSU's europæiske energidialog være en hjælp. Navnlig vil det være vigtigt, at interessenterne fra civilsamfundet får mulighed for at bidrage til den transparente udarbejdelse af medlemsstaternes nationale energihandlingsplaner, der s</w:t>
      </w:r>
      <w:r w:rsidR="00C715EE" w:rsidRPr="007C2F91">
        <w:t>kal sikre opfyldelsen af klima</w:t>
      </w:r>
      <w:r w:rsidR="00C715EE" w:rsidRPr="007C2F91">
        <w:noBreakHyphen/>
        <w:t> </w:t>
      </w:r>
      <w:r w:rsidRPr="007C2F91">
        <w:t>og energimålene for 2030, og til overvågningen og gennemga</w:t>
      </w:r>
      <w:r w:rsidR="00C715EE" w:rsidRPr="007C2F91">
        <w:t>ngen af deres gennemførelse. EU</w:t>
      </w:r>
      <w:r w:rsidR="00C715EE" w:rsidRPr="007C2F91">
        <w:noBreakHyphen/>
      </w:r>
      <w:r w:rsidRPr="007C2F91">
        <w:t xml:space="preserve">strategier og nationale og regionale strategier, finansieringsprogrammer og støtteforanstaltninger bør overvåges og revideres løbende med aktiv inddragelse af civilsamfundet for at sikre, at de bidrager til </w:t>
      </w:r>
      <w:r w:rsidRPr="007C2F91">
        <w:lastRenderedPageBreak/>
        <w:t xml:space="preserve">borgerenergi og ikke skader den. Især bør indførelsen af omstridte foranstaltninger (såsom syn) overvåges nøje for at påvise og hurtigt afhjælpe eventuelle ulemper for borgerenergi. </w:t>
      </w:r>
    </w:p>
    <w:p w:rsidR="00F1073F" w:rsidRPr="007C2F91" w:rsidRDefault="00F1073F" w:rsidP="00DA3BBB"/>
    <w:p w:rsidR="00F1073F" w:rsidRPr="007C2F91" w:rsidRDefault="00F1073F" w:rsidP="00DA3BBB">
      <w:r w:rsidRPr="007C2F91">
        <w:t xml:space="preserve">Et stigende tempo i udbredelsen af borgerenergi kræver et paradigmeskift i </w:t>
      </w:r>
      <w:proofErr w:type="spellStart"/>
      <w:r w:rsidRPr="007C2F91">
        <w:t>netplanlægningen</w:t>
      </w:r>
      <w:proofErr w:type="spellEnd"/>
      <w:r w:rsidRPr="007C2F91">
        <w:t xml:space="preserve">. Bedre </w:t>
      </w:r>
      <w:proofErr w:type="spellStart"/>
      <w:r w:rsidRPr="007C2F91">
        <w:t>netstyring</w:t>
      </w:r>
      <w:proofErr w:type="spellEnd"/>
      <w:r w:rsidRPr="007C2F91">
        <w:t xml:space="preserve"> på forskellige geografiske niveauer og koordination mellem transmissionssystemoperatørerne er afgørende for en vellykket og massiv udbredelse af vedvarende energikilder. Der er behov for enorme investeringer for at udvide, modernisere og tilpasse nettet til udfordringerne i forbindelse med decentral og uregelmæssig produktion. EU's strukturfonde og Samhørighedsfonden bør øremærke de midler, der er nødvendige for at nå klima- og energimålene for 2020, og derved sikre, at udviklingen af vedvarende energi ikke bremses på grund af </w:t>
      </w:r>
      <w:proofErr w:type="spellStart"/>
      <w:r w:rsidRPr="007C2F91">
        <w:t>netbegrænsninger</w:t>
      </w:r>
      <w:proofErr w:type="spellEnd"/>
      <w:r w:rsidRPr="007C2F91">
        <w:t>.</w:t>
      </w:r>
    </w:p>
    <w:p w:rsidR="00F1073F" w:rsidRPr="007C2F91" w:rsidRDefault="00F1073F" w:rsidP="00DA3BBB"/>
    <w:p w:rsidR="00F1073F" w:rsidRPr="007C2F91" w:rsidRDefault="00F1073F" w:rsidP="00DA3BBB">
      <w:r w:rsidRPr="007C2F91">
        <w:t>De offentlige debatter om energipolitik er normalt præget af prismæssige bekymringer og kan endog blive offer for populisme. Der er behov for en åben og gennemsigtig offentlig debat om energiudgifter og -priser. Der bør gives klare og omfattende oplysninger om udgifterne i forbindelse med tilskud, der gives til vedvarende energi, fossile brændstoffer og nuklear energi, og om gevinsterne ved ikke at importere energi samt om de fordele for miljøet og sundheden, som er svære at sætte tal på.</w:t>
      </w:r>
    </w:p>
    <w:p w:rsidR="00F1073F" w:rsidRPr="007C2F91" w:rsidRDefault="00F1073F" w:rsidP="00DA3BBB">
      <w:pPr>
        <w:jc w:val="left"/>
        <w:rPr>
          <w:b/>
          <w:kern w:val="28"/>
          <w:sz w:val="24"/>
        </w:rPr>
      </w:pPr>
    </w:p>
    <w:p w:rsidR="00C240A9" w:rsidRPr="007C2F91" w:rsidRDefault="00C41848" w:rsidP="00DA3BBB">
      <w:r w:rsidRPr="007C2F91">
        <w:t>Sidst, men ikke mindst oplever nogle producenter af traditionel energi allerede markedstab med virkninger på beskæftigelsen i disse sektorer, dog forventes energiomstillingen at have en positiv nettovirkning på beskæftigelsen og husstandsindkomsterne.</w:t>
      </w:r>
      <w:r w:rsidR="00DC05ED" w:rsidRPr="007C2F91">
        <w:t xml:space="preserve"> </w:t>
      </w:r>
      <w:r w:rsidRPr="007C2F91">
        <w:t>Der bør hurtigt og proaktivt findes en løsning på dette problem. Der må indføres nationale strategier, som koordineres nøje med politikken for udbredelse af vedvarende energi, for at sikre en gnidningsløs omstilling, tilvejebringe de nye nødvendige jobkvalifikationer og på en målrettet måde afhjælpe eventuelle negative sociale virkninger for beskæftigelsen og socialt svage husstande. Det egentlige problem med energifattigdom bør løses ved hjælp af konkrete og målrettede foranstaltninger, men ikke bruges som et argument for at bevare kunstigt lave energipriser (som det f.eks. er tilfældet i Bulgarien). Det egentlige problem med tab af arbejdspladser i de traditionelle sektorer (som ikke nødvendigvis i alle tilfælde kan henføres til væksten i vedvarende energi) bør ikke bruges som et argument for at standse udviklingen af decentral vedvarende energi (som det sker i Polen). Regeringerne bør tage ansvar for at forvalte de socioøkonomiske virkninger af omstillingen til en lavemissionsøkonomi, så den i sidste ende bliver til gavn for alle samfundssektorer.</w:t>
      </w:r>
    </w:p>
    <w:p w:rsidR="00C240A9" w:rsidRPr="007C2F91" w:rsidRDefault="00C240A9" w:rsidP="00DA3BBB"/>
    <w:p w:rsidR="00C240A9" w:rsidRPr="007C2F91" w:rsidRDefault="00C240A9" w:rsidP="00DA3BBB">
      <w:pPr>
        <w:jc w:val="center"/>
      </w:pPr>
      <w:r w:rsidRPr="007C2F91">
        <w:t>*</w:t>
      </w:r>
    </w:p>
    <w:p w:rsidR="00C240A9" w:rsidRPr="007C2F91" w:rsidRDefault="00C240A9" w:rsidP="00DA3BBB">
      <w:pPr>
        <w:jc w:val="center"/>
      </w:pPr>
    </w:p>
    <w:p w:rsidR="00C240A9" w:rsidRPr="007C2F91" w:rsidRDefault="00C240A9" w:rsidP="00DA3BBB">
      <w:pPr>
        <w:jc w:val="center"/>
      </w:pPr>
      <w:r w:rsidRPr="007C2F91">
        <w:t>*</w:t>
      </w:r>
      <w:r w:rsidRPr="007C2F91">
        <w:tab/>
        <w:t>*</w:t>
      </w:r>
    </w:p>
    <w:p w:rsidR="005619C6" w:rsidRPr="007C2F91" w:rsidRDefault="005619C6" w:rsidP="00DA3BBB">
      <w:pPr>
        <w:keepNext/>
        <w:keepLines/>
      </w:pPr>
      <w:r w:rsidRPr="007C2F91">
        <w:br w:type="page"/>
      </w:r>
    </w:p>
    <w:p w:rsidR="00624B97" w:rsidRPr="007C2F91" w:rsidRDefault="00624B97" w:rsidP="00DA3BBB">
      <w:pPr>
        <w:pStyle w:val="Heading1"/>
        <w:numPr>
          <w:ilvl w:val="0"/>
          <w:numId w:val="11"/>
        </w:numPr>
        <w:rPr>
          <w:b/>
        </w:rPr>
      </w:pPr>
      <w:bookmarkStart w:id="477" w:name="_Toc399257228"/>
      <w:bookmarkStart w:id="478" w:name="_Toc408506752"/>
      <w:bookmarkStart w:id="479" w:name="_Toc408580985"/>
      <w:bookmarkStart w:id="480" w:name="_Toc409432239"/>
      <w:r w:rsidRPr="007C2F91">
        <w:rPr>
          <w:b/>
        </w:rPr>
        <w:lastRenderedPageBreak/>
        <w:t>B</w:t>
      </w:r>
      <w:bookmarkEnd w:id="477"/>
      <w:bookmarkEnd w:id="478"/>
      <w:bookmarkEnd w:id="479"/>
      <w:r w:rsidRPr="007C2F91">
        <w:rPr>
          <w:b/>
        </w:rPr>
        <w:t>ilag</w:t>
      </w:r>
      <w:bookmarkEnd w:id="480"/>
    </w:p>
    <w:p w:rsidR="00624B97" w:rsidRDefault="00193A76" w:rsidP="00DA3BBB">
      <w:pPr>
        <w:pStyle w:val="Heading2"/>
        <w:numPr>
          <w:ilvl w:val="1"/>
          <w:numId w:val="11"/>
        </w:numPr>
        <w:rPr>
          <w:b/>
        </w:rPr>
      </w:pPr>
      <w:bookmarkStart w:id="481" w:name="_Ref399256955"/>
      <w:bookmarkStart w:id="482" w:name="_Toc399257229"/>
      <w:bookmarkStart w:id="483" w:name="_Toc408506753"/>
      <w:bookmarkStart w:id="484" w:name="_Toc408580986"/>
      <w:bookmarkStart w:id="485" w:name="_Toc409432240"/>
      <w:r>
        <w:rPr>
          <w:b/>
        </w:rPr>
        <w:t xml:space="preserve"> </w:t>
      </w:r>
      <w:r w:rsidR="00624B97" w:rsidRPr="007C2F91">
        <w:rPr>
          <w:b/>
        </w:rPr>
        <w:t>Rapporter fra besøgene i medlemsstaterne</w:t>
      </w:r>
      <w:bookmarkEnd w:id="481"/>
      <w:bookmarkEnd w:id="482"/>
      <w:bookmarkEnd w:id="483"/>
      <w:bookmarkEnd w:id="484"/>
      <w:bookmarkEnd w:id="485"/>
    </w:p>
    <w:p w:rsidR="00193A76" w:rsidRPr="00193A76" w:rsidRDefault="00193A76" w:rsidP="00193A76">
      <w:pPr>
        <w:pStyle w:val="Heading2"/>
        <w:numPr>
          <w:ilvl w:val="0"/>
          <w:numId w:val="0"/>
        </w:numPr>
        <w:tabs>
          <w:tab w:val="left" w:pos="851"/>
        </w:tabs>
        <w:ind w:left="360"/>
      </w:pPr>
      <w:r>
        <w:tab/>
        <w:t xml:space="preserve">Findes på </w:t>
      </w:r>
      <w:hyperlink r:id="rId23" w:history="1">
        <w:r w:rsidRPr="00B87E8A">
          <w:rPr>
            <w:rStyle w:val="Hyperlink"/>
          </w:rPr>
          <w:t>www.eesc.europa.eu/red-study</w:t>
        </w:r>
      </w:hyperlink>
      <w:r>
        <w:t>.</w:t>
      </w:r>
    </w:p>
    <w:p w:rsidR="00906126" w:rsidRPr="007C2F91" w:rsidRDefault="00906126" w:rsidP="00DA3BBB">
      <w:pPr>
        <w:rPr>
          <w:b/>
        </w:rPr>
      </w:pPr>
    </w:p>
    <w:p w:rsidR="00486D56" w:rsidRPr="007C2F91" w:rsidRDefault="00193A76" w:rsidP="00DA3BBB">
      <w:pPr>
        <w:pStyle w:val="Heading2"/>
        <w:numPr>
          <w:ilvl w:val="1"/>
          <w:numId w:val="11"/>
        </w:numPr>
        <w:rPr>
          <w:b/>
        </w:rPr>
      </w:pPr>
      <w:bookmarkStart w:id="486" w:name="_Toc399257231"/>
      <w:bookmarkStart w:id="487" w:name="_Toc408506755"/>
      <w:bookmarkStart w:id="488" w:name="_Toc408580988"/>
      <w:bookmarkStart w:id="489" w:name="_Toc409432242"/>
      <w:r>
        <w:rPr>
          <w:b/>
        </w:rPr>
        <w:t xml:space="preserve"> </w:t>
      </w:r>
      <w:r w:rsidR="00624B97" w:rsidRPr="007C2F91">
        <w:rPr>
          <w:b/>
        </w:rPr>
        <w:t>Liste over EØSU-udtalelser, der omhandler vedvarende energi.</w:t>
      </w:r>
      <w:bookmarkEnd w:id="486"/>
      <w:bookmarkEnd w:id="487"/>
      <w:bookmarkEnd w:id="488"/>
      <w:bookmarkEnd w:id="489"/>
    </w:p>
    <w:sectPr w:rsidR="00486D56" w:rsidRPr="007C2F91" w:rsidSect="005C2484">
      <w:headerReference w:type="even" r:id="rId24"/>
      <w:headerReference w:type="default" r:id="rId25"/>
      <w:footerReference w:type="even" r:id="rId26"/>
      <w:footerReference w:type="default" r:id="rId27"/>
      <w:headerReference w:type="first" r:id="rId28"/>
      <w:footerReference w:type="first" r:id="rId29"/>
      <w:pgSz w:w="11907" w:h="16839" w:code="9"/>
      <w:pgMar w:top="1417" w:right="1417" w:bottom="1701" w:left="1417" w:header="1020" w:footer="124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713" w:rsidRDefault="00623713" w:rsidP="00960D3F">
      <w:r>
        <w:separator/>
      </w:r>
    </w:p>
  </w:endnote>
  <w:endnote w:type="continuationSeparator" w:id="0">
    <w:p w:rsidR="00623713" w:rsidRDefault="00623713" w:rsidP="00960D3F">
      <w:r>
        <w:continuationSeparator/>
      </w:r>
    </w:p>
  </w:endnote>
  <w:endnote w:type="continuationNotice" w:id="1">
    <w:p w:rsidR="00623713" w:rsidRDefault="006237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84" w:rsidRPr="005C2484" w:rsidRDefault="005C2484" w:rsidP="005C2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B6" w:rsidRPr="005C2484" w:rsidRDefault="005C2484" w:rsidP="005C2484">
    <w:pPr>
      <w:pStyle w:val="Footer"/>
    </w:pPr>
    <w:r>
      <w:t xml:space="preserve">EESC-2014-04780-00-04-TCD-TRA (EN) </w:t>
    </w:r>
    <w:r>
      <w:fldChar w:fldCharType="begin"/>
    </w:r>
    <w:r>
      <w:instrText xml:space="preserve"> PAGE  \* Arabic  \* MERGEFORMAT </w:instrText>
    </w:r>
    <w:r>
      <w:fldChar w:fldCharType="separate"/>
    </w:r>
    <w:r w:rsidR="00403E1B">
      <w:rPr>
        <w:noProof/>
      </w:rPr>
      <w:t>31</w:t>
    </w:r>
    <w:r>
      <w:fldChar w:fldCharType="end"/>
    </w:r>
    <w:r>
      <w:t>/</w:t>
    </w:r>
    <w:r>
      <w:fldChar w:fldCharType="begin"/>
    </w:r>
    <w:r>
      <w:instrText xml:space="preserve"> = </w:instrText>
    </w:r>
    <w:fldSimple w:instr=" NUMPAGES ">
      <w:r w:rsidR="00403E1B">
        <w:rPr>
          <w:noProof/>
        </w:rPr>
        <w:instrText>31</w:instrText>
      </w:r>
    </w:fldSimple>
    <w:r>
      <w:instrText xml:space="preserve"> </w:instrText>
    </w:r>
    <w:r>
      <w:fldChar w:fldCharType="separate"/>
    </w:r>
    <w:r w:rsidR="00403E1B">
      <w:rPr>
        <w:noProof/>
      </w:rPr>
      <w:t>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84" w:rsidRPr="005C2484" w:rsidRDefault="005C2484" w:rsidP="005C2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713" w:rsidRDefault="00623713" w:rsidP="00960D3F">
      <w:r>
        <w:separator/>
      </w:r>
    </w:p>
  </w:footnote>
  <w:footnote w:type="continuationSeparator" w:id="0">
    <w:p w:rsidR="00623713" w:rsidRDefault="00623713" w:rsidP="00960D3F">
      <w:r>
        <w:continuationSeparator/>
      </w:r>
    </w:p>
  </w:footnote>
  <w:footnote w:type="continuationNotice" w:id="1">
    <w:p w:rsidR="00623713" w:rsidRDefault="00623713">
      <w:pPr>
        <w:spacing w:line="240" w:lineRule="auto"/>
      </w:pPr>
    </w:p>
  </w:footnote>
  <w:footnote w:id="2">
    <w:p w:rsidR="00D25D87" w:rsidRPr="002A2AC8" w:rsidRDefault="00D25D87" w:rsidP="00D25D87">
      <w:pPr>
        <w:pStyle w:val="FootnoteText"/>
      </w:pPr>
      <w:r>
        <w:rPr>
          <w:rStyle w:val="FootnoteReference"/>
        </w:rPr>
        <w:footnoteRef/>
      </w:r>
      <w:r>
        <w:t xml:space="preserve"> </w:t>
      </w:r>
      <w:r>
        <w:tab/>
        <w:t>COM/2013/0175 final.</w:t>
      </w:r>
    </w:p>
  </w:footnote>
  <w:footnote w:id="3">
    <w:p w:rsidR="00D25D87" w:rsidRPr="002A2AC8" w:rsidRDefault="00D25D87" w:rsidP="00D25D87">
      <w:pPr>
        <w:pStyle w:val="FootnoteText"/>
      </w:pPr>
      <w:r>
        <w:rPr>
          <w:rStyle w:val="FootnoteReference"/>
        </w:rPr>
        <w:footnoteRef/>
      </w:r>
      <w:r>
        <w:t xml:space="preserve"> </w:t>
      </w:r>
      <w:r>
        <w:tab/>
        <w:t>COM(2013) 175</w:t>
      </w:r>
      <w:r w:rsidR="002674FE">
        <w:t xml:space="preserve"> final</w:t>
      </w:r>
      <w:r>
        <w:t>.</w:t>
      </w:r>
    </w:p>
  </w:footnote>
  <w:footnote w:id="4">
    <w:p w:rsidR="00D25D87" w:rsidRPr="002A2AC8" w:rsidRDefault="00D25D87" w:rsidP="00D25D87">
      <w:pPr>
        <w:pStyle w:val="FootnoteText"/>
      </w:pPr>
      <w:r>
        <w:rPr>
          <w:rStyle w:val="FootnoteReference"/>
        </w:rPr>
        <w:footnoteRef/>
      </w:r>
      <w:r>
        <w:t xml:space="preserve"> </w:t>
      </w:r>
      <w:r>
        <w:tab/>
        <w:t>COM(2013) 175</w:t>
      </w:r>
      <w:r w:rsidR="002674FE">
        <w:t xml:space="preserve"> final</w:t>
      </w:r>
      <w:r>
        <w:t>.</w:t>
      </w:r>
    </w:p>
  </w:footnote>
  <w:footnote w:id="5">
    <w:p w:rsidR="00432BB6" w:rsidRPr="002A2AC8" w:rsidRDefault="00432BB6" w:rsidP="00D62559">
      <w:pPr>
        <w:pStyle w:val="FootnoteText"/>
      </w:pPr>
      <w:r>
        <w:rPr>
          <w:rStyle w:val="FootnoteReference"/>
        </w:rPr>
        <w:footnoteRef/>
      </w:r>
      <w:r>
        <w:tab/>
        <w:t>Europa-Parlamentets og Rådets direktiv 2009/28/EF af 23. april 2009 om fremme af anvendelsen af energi fra vedvarende energikilder og om ændring og senere ophævelse af direktiv 2001/77/EF og 2003/30/EF.</w:t>
      </w:r>
    </w:p>
  </w:footnote>
  <w:footnote w:id="6">
    <w:p w:rsidR="00432BB6" w:rsidRPr="002A2AC8" w:rsidRDefault="00432BB6" w:rsidP="00B0721D">
      <w:pPr>
        <w:pStyle w:val="FootnoteText"/>
      </w:pPr>
      <w:r>
        <w:rPr>
          <w:rStyle w:val="FootnoteReference"/>
        </w:rPr>
        <w:footnoteRef/>
      </w:r>
      <w:r>
        <w:t xml:space="preserve"> </w:t>
      </w:r>
      <w:r>
        <w:tab/>
        <w:t>EØSU's udtalelse om en politikramme for klima- og energipolitikken i perioden 2020-2030 (NAT/636).</w:t>
      </w:r>
    </w:p>
  </w:footnote>
  <w:footnote w:id="7">
    <w:p w:rsidR="00432BB6" w:rsidRPr="002A2AC8" w:rsidRDefault="00432BB6" w:rsidP="00894515">
      <w:pPr>
        <w:pStyle w:val="FootnoteText"/>
      </w:pPr>
      <w:r>
        <w:rPr>
          <w:rStyle w:val="FootnoteReference"/>
        </w:rPr>
        <w:footnoteRef/>
      </w:r>
      <w:r>
        <w:t xml:space="preserve"> </w:t>
      </w:r>
      <w:r>
        <w:tab/>
        <w:t>Eurostat (2014).</w:t>
      </w:r>
    </w:p>
  </w:footnote>
  <w:footnote w:id="8">
    <w:p w:rsidR="00432BB6" w:rsidRPr="002A2AC8" w:rsidRDefault="00432BB6" w:rsidP="00AB65F7">
      <w:pPr>
        <w:pStyle w:val="FootnoteText"/>
      </w:pPr>
      <w:r>
        <w:rPr>
          <w:rStyle w:val="FootnoteReference"/>
        </w:rPr>
        <w:footnoteRef/>
      </w:r>
      <w:r>
        <w:tab/>
        <w:t xml:space="preserve">Omfattende repræsentanter for små virksomheder, akademiske kredse, miljø-NGO'er, lokale grupper, kooperativer, lokale og regionale myndigheder. </w:t>
      </w:r>
    </w:p>
  </w:footnote>
  <w:footnote w:id="9">
    <w:p w:rsidR="00432BB6" w:rsidRPr="002A2AC8" w:rsidRDefault="00432BB6" w:rsidP="00AB65F7">
      <w:pPr>
        <w:pStyle w:val="FootnoteText"/>
      </w:pPr>
      <w:r>
        <w:rPr>
          <w:rStyle w:val="FootnoteReference"/>
        </w:rPr>
        <w:footnoteRef/>
      </w:r>
      <w:r>
        <w:t xml:space="preserve"> </w:t>
      </w:r>
      <w:r>
        <w:tab/>
        <w:t>"Lokale initiativer for vedvarende energi: positive eksempler, succesfaktorer og civilsamfundets rolle", afholdt i november 2013 http://www.eesc.europa.eu/?i=portal.en.events-and-activities-local-renewable-energy.</w:t>
      </w:r>
    </w:p>
  </w:footnote>
  <w:footnote w:id="10">
    <w:p w:rsidR="00432BB6" w:rsidRPr="002A2AC8" w:rsidRDefault="00432BB6" w:rsidP="00AB65F7">
      <w:pPr>
        <w:pStyle w:val="FootnoteText"/>
      </w:pPr>
      <w:r>
        <w:rPr>
          <w:rStyle w:val="FootnoteReference"/>
        </w:rPr>
        <w:footnoteRef/>
      </w:r>
      <w:r>
        <w:tab/>
        <w:t>Dette gælder bestemt ikke kun for vedvarende energi. I Kommissionens klima- og energipakke for 2030 anføres det, at: "</w:t>
      </w:r>
      <w:proofErr w:type="gramStart"/>
      <w:r>
        <w:t>...omkostningerne</w:t>
      </w:r>
      <w:proofErr w:type="gramEnd"/>
      <w:r>
        <w:t xml:space="preserve"> ved overgangen til lavemissionsøkonomi ikke adskiller sig væsentligt fra de omkostninger, der under alle omstændigheder ville påløbe som følge af behovet for at udskifte et aldrende energisystem, stigende priser på fossilt brændstof og overholdelse af eksisterende klima- og energipolitikker. Der vil imidlertid ske et skifte væk fra udgifter til brændstoffer over mod innovativt udstyr med en høj merværdi, som vil stimulere investeringer i innovative produkter og ydelser, skabe job og vækst og forbedre EU's handelsbalance".</w:t>
      </w:r>
    </w:p>
  </w:footnote>
  <w:footnote w:id="11">
    <w:p w:rsidR="00432BB6" w:rsidRPr="002A2AC8" w:rsidRDefault="00432BB6" w:rsidP="00180CDA">
      <w:pPr>
        <w:pStyle w:val="FootnoteText"/>
      </w:pPr>
      <w:r>
        <w:rPr>
          <w:rStyle w:val="FootnoteReference"/>
        </w:rPr>
        <w:footnoteRef/>
      </w:r>
      <w:r>
        <w:t xml:space="preserve"> </w:t>
      </w:r>
      <w:r>
        <w:tab/>
        <w:t>Ca. 7 mia. EUR.</w:t>
      </w:r>
    </w:p>
  </w:footnote>
  <w:footnote w:id="12">
    <w:p w:rsidR="00432BB6" w:rsidRPr="002A2AC8" w:rsidRDefault="00432BB6" w:rsidP="00180CDA">
      <w:pPr>
        <w:pStyle w:val="FootnoteText"/>
      </w:pPr>
      <w:r>
        <w:rPr>
          <w:rStyle w:val="FootnoteReference"/>
        </w:rPr>
        <w:footnoteRef/>
      </w:r>
      <w:r>
        <w:t xml:space="preserve"> </w:t>
      </w:r>
      <w:r>
        <w:tab/>
        <w:t>Ca. 1</w:t>
      </w:r>
      <w:r w:rsidR="005C2484">
        <w:t>,5 mia</w:t>
      </w:r>
      <w:r>
        <w:t>.</w:t>
      </w:r>
      <w:r w:rsidR="005C2484">
        <w:t xml:space="preserve"> </w:t>
      </w:r>
      <w:r>
        <w:t>EUR.</w:t>
      </w:r>
    </w:p>
  </w:footnote>
  <w:footnote w:id="13">
    <w:p w:rsidR="00432BB6" w:rsidRPr="002A2AC8" w:rsidRDefault="00432BB6" w:rsidP="00536308">
      <w:pPr>
        <w:pStyle w:val="FootnoteText"/>
      </w:pPr>
      <w:r>
        <w:rPr>
          <w:rStyle w:val="FootnoteReference"/>
        </w:rPr>
        <w:footnoteRef/>
      </w:r>
      <w:r>
        <w:tab/>
        <w:t>Det er her relevant at påpege, at producenter af fossile brændstoffer alene i 2011 modtog 523 mia. USD i støtte.</w:t>
      </w:r>
    </w:p>
  </w:footnote>
  <w:footnote w:id="14">
    <w:p w:rsidR="00432BB6" w:rsidRPr="002A2AC8" w:rsidRDefault="00432BB6" w:rsidP="002A2AC8">
      <w:pPr>
        <w:pStyle w:val="FootnoteText"/>
      </w:pPr>
      <w:r>
        <w:rPr>
          <w:rStyle w:val="FootnoteReference"/>
        </w:rPr>
        <w:footnoteRef/>
      </w:r>
      <w:r>
        <w:t xml:space="preserve"> </w:t>
      </w:r>
      <w:r>
        <w:tab/>
        <w:t>Nogle af de interessenter, der blev talt med, henviste til debatten (som stadig pågik på besøgstidspunktet) om de to nukleare reaktorer i Storbritannien, Hinkley Point C. Efterfølgende har Kommissionen godkendt den støtte, der var til debat. Den fremtidige operatør, EDF, vil i løbet af de næste 35 år modtage 10,9 cent for hver kWh produceret elektricitet, årligt justeret for inflation. Perioden for og størrelsen af denne tarif overstiger væsentligt den faste tyske afregningstarif for vindenergi.</w:t>
      </w:r>
    </w:p>
  </w:footnote>
  <w:footnote w:id="15">
    <w:p w:rsidR="00432BB6" w:rsidRPr="002A2AC8" w:rsidRDefault="00432BB6" w:rsidP="00235212">
      <w:pPr>
        <w:pStyle w:val="FootnoteText"/>
      </w:pPr>
      <w:r>
        <w:rPr>
          <w:rStyle w:val="FootnoteReference"/>
        </w:rPr>
        <w:footnoteRef/>
      </w:r>
      <w:r>
        <w:t xml:space="preserve"> </w:t>
      </w:r>
      <w:r>
        <w:tab/>
        <w:t>COM(2014) 15</w:t>
      </w:r>
      <w:r w:rsidR="00A51DF1">
        <w:t xml:space="preserve"> final</w:t>
      </w:r>
      <w:r>
        <w:t>.</w:t>
      </w:r>
    </w:p>
  </w:footnote>
  <w:footnote w:id="16">
    <w:p w:rsidR="00432BB6" w:rsidRPr="002A2AC8" w:rsidRDefault="00432BB6" w:rsidP="0095006D">
      <w:pPr>
        <w:pStyle w:val="FootnoteText"/>
      </w:pPr>
      <w:r>
        <w:rPr>
          <w:rStyle w:val="FootnoteReference"/>
        </w:rPr>
        <w:footnoteRef/>
      </w:r>
      <w:r>
        <w:t xml:space="preserve"> </w:t>
      </w:r>
      <w:r>
        <w:tab/>
        <w:t>COM(2013) 175</w:t>
      </w:r>
      <w:r w:rsidR="00A51DF1">
        <w:t xml:space="preserve"> final</w:t>
      </w:r>
      <w:r>
        <w:t>.</w:t>
      </w:r>
    </w:p>
  </w:footnote>
  <w:footnote w:id="17">
    <w:p w:rsidR="00432BB6" w:rsidRPr="002A2AC8" w:rsidRDefault="00432BB6" w:rsidP="00024F07">
      <w:pPr>
        <w:pStyle w:val="FootnoteText"/>
      </w:pPr>
      <w:r>
        <w:rPr>
          <w:rStyle w:val="FootnoteReference"/>
        </w:rPr>
        <w:footnoteRef/>
      </w:r>
      <w:r>
        <w:t xml:space="preserve"> </w:t>
      </w:r>
      <w:r>
        <w:tab/>
        <w:t>I lande som Tyskland og Polen er de allerede trådt i kraft.</w:t>
      </w:r>
    </w:p>
  </w:footnote>
  <w:footnote w:id="18">
    <w:p w:rsidR="00432BB6" w:rsidRPr="002A2AC8" w:rsidRDefault="00432BB6" w:rsidP="00024F07">
      <w:pPr>
        <w:pStyle w:val="FootnoteText"/>
      </w:pPr>
      <w:r>
        <w:rPr>
          <w:rStyle w:val="FootnoteReference"/>
        </w:rPr>
        <w:footnoteRef/>
      </w:r>
      <w:r>
        <w:t xml:space="preserve"> </w:t>
      </w:r>
      <w:r>
        <w:tab/>
      </w:r>
      <w:hyperlink r:id="rId1" w:history="1">
        <w:r w:rsidR="002F66AA" w:rsidRPr="00E6762D">
          <w:rPr>
            <w:rStyle w:val="Hyperlink"/>
          </w:rPr>
          <w:t>http://eur-lex.europa.eu/legal-content/DA/TXT/?uri=CELEX:52014XC0628%2801%29</w:t>
        </w:r>
      </w:hyperlink>
      <w:r w:rsidR="002F66AA">
        <w:t xml:space="preserve">. </w:t>
      </w:r>
    </w:p>
  </w:footnote>
  <w:footnote w:id="19">
    <w:p w:rsidR="00432BB6" w:rsidRPr="002A2AC8" w:rsidRDefault="00432BB6" w:rsidP="002A2AC8">
      <w:pPr>
        <w:pStyle w:val="FootnoteText"/>
      </w:pPr>
      <w:r>
        <w:rPr>
          <w:rStyle w:val="FootnoteReference"/>
        </w:rPr>
        <w:footnoteRef/>
      </w:r>
      <w:r>
        <w:tab/>
        <w:t>Medium-Term Renewable Energy Market Report 2014 -- Market Analysis and Forecasts to 2020, Det Internationale Energiagentur.</w:t>
      </w:r>
    </w:p>
  </w:footnote>
  <w:footnote w:id="20">
    <w:p w:rsidR="00432BB6" w:rsidRPr="002A2AC8" w:rsidRDefault="00432BB6" w:rsidP="00536308">
      <w:pPr>
        <w:pStyle w:val="FootnoteText"/>
        <w:rPr>
          <w:i/>
        </w:rPr>
      </w:pPr>
      <w:r>
        <w:rPr>
          <w:rStyle w:val="FootnoteReference"/>
        </w:rPr>
        <w:footnoteRef/>
      </w:r>
      <w:r>
        <w:tab/>
      </w:r>
      <w:r>
        <w:rPr>
          <w:i/>
        </w:rPr>
        <w:t>EEG § 8 Tilslutning "(1) Netoperatørerne skal omgående tilslutte sig til nettet og med prioriterede anlæg til produktion af elektricitet fra vedvarende energikilder og fra minegas ved det netpunkt, som er passende, hvad angår spændingsniveau, og som er den korteste afstand i lige linje fra anlæggets placering, medmindre dette eller et andet net viser sig at have et teknisk eller økonomisk mere passende tilslutningspunkt; ved overvejelsen af det økonomisk mere passende tilslutningspunkt bør der tages højde for de direkte tilslutningsudgifter. Hvis et eller flere anlæg med en kombineret installeret kapacite</w:t>
      </w:r>
      <w:r w:rsidR="00DC05ED">
        <w:rPr>
          <w:i/>
        </w:rPr>
        <w:t>t, som er lavere end 30 </w:t>
      </w:r>
      <w:r>
        <w:rPr>
          <w:i/>
        </w:rPr>
        <w:t>KW, ligger i et område med en allerede eksisterende nettilslutning, skal nettilslutningspunktet i dette område betragtes som det passende tilslutningspunkt."</w:t>
      </w:r>
    </w:p>
  </w:footnote>
  <w:footnote w:id="21">
    <w:p w:rsidR="00432BB6" w:rsidRPr="002A2AC8" w:rsidRDefault="00432BB6" w:rsidP="001408E9">
      <w:pPr>
        <w:pStyle w:val="FootnoteText"/>
      </w:pPr>
      <w:r>
        <w:rPr>
          <w:rStyle w:val="FootnoteReference"/>
        </w:rPr>
        <w:footnoteRef/>
      </w:r>
      <w:r>
        <w:t xml:space="preserve"> </w:t>
      </w:r>
      <w:r>
        <w:tab/>
        <w:t>"Smart Grid and Smart Market: Keynote Paper of the Federal Grid Agency on the changing energy supply system",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84" w:rsidRPr="005C2484" w:rsidRDefault="005C2484" w:rsidP="005C2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84" w:rsidRPr="005C2484" w:rsidRDefault="005C2484" w:rsidP="005C24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84" w:rsidRPr="005C2484" w:rsidRDefault="005C2484" w:rsidP="005C2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333AAB2C"/>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rPr>
        <w:b w:val="0"/>
      </w:rPr>
    </w:lvl>
    <w:lvl w:ilvl="2">
      <w:start w:val="1"/>
      <w:numFmt w:val="decimal"/>
      <w:pStyle w:val="Heading3"/>
      <w:lvlText w:val="%1.%2.%3"/>
      <w:legacy w:legacy="1" w:legacySpace="144" w:legacyIndent="0"/>
      <w:lvlJc w:val="left"/>
      <w:rPr>
        <w:b w: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5AA0B0D"/>
    <w:multiLevelType w:val="hybridMultilevel"/>
    <w:tmpl w:val="44526E4A"/>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4F61BF"/>
    <w:multiLevelType w:val="hybridMultilevel"/>
    <w:tmpl w:val="723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946FE"/>
    <w:multiLevelType w:val="hybridMultilevel"/>
    <w:tmpl w:val="A9E89702"/>
    <w:lvl w:ilvl="0" w:tplc="3B685C02">
      <w:start w:val="1"/>
      <w:numFmt w:val="bullet"/>
      <w:lvlText w:val=""/>
      <w:lvlJc w:val="left"/>
      <w:pPr>
        <w:ind w:left="360" w:hanging="360"/>
      </w:pPr>
      <w:rPr>
        <w:rFonts w:ascii="Wingdings" w:eastAsia="Times New Roman" w:hAnsi="Wingdings" w:cs="Segoe UI" w:hint="default"/>
      </w:rPr>
    </w:lvl>
    <w:lvl w:ilvl="1" w:tplc="C352BAB6">
      <w:start w:val="6"/>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2C0882"/>
    <w:multiLevelType w:val="hybridMultilevel"/>
    <w:tmpl w:val="31AE6F26"/>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F57084"/>
    <w:multiLevelType w:val="hybridMultilevel"/>
    <w:tmpl w:val="AF2E074C"/>
    <w:lvl w:ilvl="0" w:tplc="080C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254C40"/>
    <w:multiLevelType w:val="hybridMultilevel"/>
    <w:tmpl w:val="0B9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BF1096"/>
    <w:multiLevelType w:val="hybridMultilevel"/>
    <w:tmpl w:val="335EF7C0"/>
    <w:lvl w:ilvl="0" w:tplc="3B685C02">
      <w:start w:val="1"/>
      <w:numFmt w:val="bullet"/>
      <w:pStyle w:val="ListParagraph2"/>
      <w:lvlText w:val=""/>
      <w:lvlJc w:val="left"/>
      <w:pPr>
        <w:ind w:left="360" w:hanging="360"/>
      </w:pPr>
      <w:rPr>
        <w:rFonts w:ascii="Wingdings" w:eastAsia="Times New Roman" w:hAnsi="Wingdings" w:cs="Segoe UI"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2A161B"/>
    <w:multiLevelType w:val="multilevel"/>
    <w:tmpl w:val="C266779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F705AC2"/>
    <w:multiLevelType w:val="hybridMultilevel"/>
    <w:tmpl w:val="0C92914A"/>
    <w:lvl w:ilvl="0" w:tplc="080C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AA007B7"/>
    <w:multiLevelType w:val="hybridMultilevel"/>
    <w:tmpl w:val="20DE25A4"/>
    <w:lvl w:ilvl="0" w:tplc="48984CA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0502214"/>
    <w:multiLevelType w:val="hybridMultilevel"/>
    <w:tmpl w:val="29E6D926"/>
    <w:lvl w:ilvl="0" w:tplc="437A2658">
      <w:start w:val="1"/>
      <w:numFmt w:val="bullet"/>
      <w:lvlText w:val=""/>
      <w:lvlJc w:val="left"/>
      <w:pPr>
        <w:ind w:left="360" w:hanging="360"/>
      </w:pPr>
      <w:rPr>
        <w:rFonts w:ascii="Wingdings 3" w:eastAsia="Times New Roman" w:hAnsi="Wingdings 3" w:cs="Segoe UI" w:hint="default"/>
        <w:u w:val="none"/>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8527120"/>
    <w:multiLevelType w:val="hybridMultilevel"/>
    <w:tmpl w:val="52B68EF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60310D"/>
    <w:multiLevelType w:val="hybridMultilevel"/>
    <w:tmpl w:val="3ED860F2"/>
    <w:lvl w:ilvl="0" w:tplc="4D7C07F2">
      <w:start w:val="1"/>
      <w:numFmt w:val="bullet"/>
      <w:lvlText w:val=""/>
      <w:lvlJc w:val="left"/>
      <w:pPr>
        <w:ind w:left="720" w:hanging="360"/>
      </w:pPr>
      <w:rPr>
        <w:rFonts w:ascii="Symbol" w:hAnsi="Symbol" w:hint="default"/>
      </w:rPr>
    </w:lvl>
    <w:lvl w:ilvl="1" w:tplc="4D7C07F2">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8F46A97"/>
    <w:multiLevelType w:val="hybridMultilevel"/>
    <w:tmpl w:val="60480CAA"/>
    <w:lvl w:ilvl="0" w:tplc="B92A32BC">
      <w:start w:val="1"/>
      <w:numFmt w:val="bullet"/>
      <w:lvlText w:val=""/>
      <w:lvlJc w:val="left"/>
      <w:pPr>
        <w:ind w:left="2204" w:hanging="360"/>
      </w:pPr>
      <w:rPr>
        <w:rFonts w:ascii="Wingdings" w:eastAsia="Times New Roman"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4"/>
  </w:num>
  <w:num w:numId="5">
    <w:abstractNumId w:val="2"/>
  </w:num>
  <w:num w:numId="6">
    <w:abstractNumId w:val="4"/>
  </w:num>
  <w:num w:numId="7">
    <w:abstractNumId w:val="3"/>
  </w:num>
  <w:num w:numId="8">
    <w:abstractNumId w:val="1"/>
  </w:num>
  <w:num w:numId="9">
    <w:abstractNumId w:val="13"/>
  </w:num>
  <w:num w:numId="10">
    <w:abstractNumId w:val="11"/>
  </w:num>
  <w:num w:numId="11">
    <w:abstractNumId w:val="8"/>
  </w:num>
  <w:num w:numId="12">
    <w:abstractNumId w:val="12"/>
  </w:num>
  <w:num w:numId="13">
    <w:abstractNumId w:val="9"/>
  </w:num>
  <w:num w:numId="14">
    <w:abstractNumId w:val="5"/>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59B"/>
    <w:rsid w:val="0000373E"/>
    <w:rsid w:val="000038F0"/>
    <w:rsid w:val="00003D0B"/>
    <w:rsid w:val="000052A4"/>
    <w:rsid w:val="00005A2C"/>
    <w:rsid w:val="00005DE8"/>
    <w:rsid w:val="00007570"/>
    <w:rsid w:val="00010520"/>
    <w:rsid w:val="00010759"/>
    <w:rsid w:val="00013D04"/>
    <w:rsid w:val="00014DE5"/>
    <w:rsid w:val="00014F2A"/>
    <w:rsid w:val="000160A2"/>
    <w:rsid w:val="0001650D"/>
    <w:rsid w:val="00016EFE"/>
    <w:rsid w:val="00017803"/>
    <w:rsid w:val="00023097"/>
    <w:rsid w:val="00024F07"/>
    <w:rsid w:val="00025B07"/>
    <w:rsid w:val="00027834"/>
    <w:rsid w:val="0002791D"/>
    <w:rsid w:val="000302B5"/>
    <w:rsid w:val="00030F5F"/>
    <w:rsid w:val="00032F43"/>
    <w:rsid w:val="000339D3"/>
    <w:rsid w:val="00035914"/>
    <w:rsid w:val="00035C94"/>
    <w:rsid w:val="00035FA2"/>
    <w:rsid w:val="0003644A"/>
    <w:rsid w:val="00040B9D"/>
    <w:rsid w:val="00041DCA"/>
    <w:rsid w:val="00042F1C"/>
    <w:rsid w:val="0004421E"/>
    <w:rsid w:val="0004660A"/>
    <w:rsid w:val="00047900"/>
    <w:rsid w:val="00047C0A"/>
    <w:rsid w:val="00051F89"/>
    <w:rsid w:val="00052BA8"/>
    <w:rsid w:val="00052EFC"/>
    <w:rsid w:val="00054F9F"/>
    <w:rsid w:val="00055B78"/>
    <w:rsid w:val="00055C8A"/>
    <w:rsid w:val="00056FC6"/>
    <w:rsid w:val="00060A81"/>
    <w:rsid w:val="00060AE3"/>
    <w:rsid w:val="000632AD"/>
    <w:rsid w:val="00064C6C"/>
    <w:rsid w:val="00065566"/>
    <w:rsid w:val="000660AE"/>
    <w:rsid w:val="00066D7F"/>
    <w:rsid w:val="0007054E"/>
    <w:rsid w:val="0007081A"/>
    <w:rsid w:val="0007156E"/>
    <w:rsid w:val="00071C08"/>
    <w:rsid w:val="00071C80"/>
    <w:rsid w:val="00072C71"/>
    <w:rsid w:val="00072D63"/>
    <w:rsid w:val="00073CB5"/>
    <w:rsid w:val="0007763E"/>
    <w:rsid w:val="0008162E"/>
    <w:rsid w:val="000819E0"/>
    <w:rsid w:val="00081E47"/>
    <w:rsid w:val="00083A59"/>
    <w:rsid w:val="000857B8"/>
    <w:rsid w:val="00085A39"/>
    <w:rsid w:val="000861F7"/>
    <w:rsid w:val="00086991"/>
    <w:rsid w:val="00091B7E"/>
    <w:rsid w:val="00093123"/>
    <w:rsid w:val="00094EC2"/>
    <w:rsid w:val="00095F6F"/>
    <w:rsid w:val="000A125B"/>
    <w:rsid w:val="000A1D4A"/>
    <w:rsid w:val="000A1D4D"/>
    <w:rsid w:val="000A2060"/>
    <w:rsid w:val="000A23C1"/>
    <w:rsid w:val="000A2740"/>
    <w:rsid w:val="000A4D93"/>
    <w:rsid w:val="000A5C2D"/>
    <w:rsid w:val="000A5D78"/>
    <w:rsid w:val="000B3016"/>
    <w:rsid w:val="000B4BD1"/>
    <w:rsid w:val="000B65B2"/>
    <w:rsid w:val="000B6B3F"/>
    <w:rsid w:val="000B72CB"/>
    <w:rsid w:val="000B7E38"/>
    <w:rsid w:val="000C0D5C"/>
    <w:rsid w:val="000C3836"/>
    <w:rsid w:val="000C3C53"/>
    <w:rsid w:val="000C3D98"/>
    <w:rsid w:val="000C5097"/>
    <w:rsid w:val="000C7C4A"/>
    <w:rsid w:val="000D1F82"/>
    <w:rsid w:val="000D5CF0"/>
    <w:rsid w:val="000D68F0"/>
    <w:rsid w:val="000D6C59"/>
    <w:rsid w:val="000E0CFE"/>
    <w:rsid w:val="000E0E7C"/>
    <w:rsid w:val="000E1FBF"/>
    <w:rsid w:val="000E463C"/>
    <w:rsid w:val="000E5613"/>
    <w:rsid w:val="000E577C"/>
    <w:rsid w:val="000E6170"/>
    <w:rsid w:val="000E7A2E"/>
    <w:rsid w:val="000F0557"/>
    <w:rsid w:val="000F12BD"/>
    <w:rsid w:val="000F18B0"/>
    <w:rsid w:val="000F2B89"/>
    <w:rsid w:val="000F32D7"/>
    <w:rsid w:val="000F340A"/>
    <w:rsid w:val="000F3C0F"/>
    <w:rsid w:val="000F47C7"/>
    <w:rsid w:val="000F4BE7"/>
    <w:rsid w:val="000F5E25"/>
    <w:rsid w:val="000F665E"/>
    <w:rsid w:val="000F7159"/>
    <w:rsid w:val="000F7DFC"/>
    <w:rsid w:val="00100A74"/>
    <w:rsid w:val="00100AD3"/>
    <w:rsid w:val="00101CBF"/>
    <w:rsid w:val="001020DB"/>
    <w:rsid w:val="00104237"/>
    <w:rsid w:val="00105A4D"/>
    <w:rsid w:val="00106A62"/>
    <w:rsid w:val="0010759F"/>
    <w:rsid w:val="001079B5"/>
    <w:rsid w:val="00107BCA"/>
    <w:rsid w:val="0011096B"/>
    <w:rsid w:val="00110F1F"/>
    <w:rsid w:val="001112B3"/>
    <w:rsid w:val="001119ED"/>
    <w:rsid w:val="00112FD4"/>
    <w:rsid w:val="00113379"/>
    <w:rsid w:val="00113C96"/>
    <w:rsid w:val="00114FB5"/>
    <w:rsid w:val="0011579E"/>
    <w:rsid w:val="00116072"/>
    <w:rsid w:val="001178DF"/>
    <w:rsid w:val="0012071F"/>
    <w:rsid w:val="00120837"/>
    <w:rsid w:val="0012117C"/>
    <w:rsid w:val="00121D5F"/>
    <w:rsid w:val="00121FE8"/>
    <w:rsid w:val="00122E5F"/>
    <w:rsid w:val="00124A58"/>
    <w:rsid w:val="00124FB7"/>
    <w:rsid w:val="001263B2"/>
    <w:rsid w:val="00127675"/>
    <w:rsid w:val="00132461"/>
    <w:rsid w:val="00132CBA"/>
    <w:rsid w:val="001349F9"/>
    <w:rsid w:val="0013525A"/>
    <w:rsid w:val="00136E1F"/>
    <w:rsid w:val="001373A9"/>
    <w:rsid w:val="0013763F"/>
    <w:rsid w:val="00137DE4"/>
    <w:rsid w:val="001408E9"/>
    <w:rsid w:val="001408FE"/>
    <w:rsid w:val="00140D90"/>
    <w:rsid w:val="00141017"/>
    <w:rsid w:val="00141406"/>
    <w:rsid w:val="00141689"/>
    <w:rsid w:val="00142122"/>
    <w:rsid w:val="001438DA"/>
    <w:rsid w:val="001442EA"/>
    <w:rsid w:val="00146516"/>
    <w:rsid w:val="00146BD1"/>
    <w:rsid w:val="0015018D"/>
    <w:rsid w:val="00150B02"/>
    <w:rsid w:val="00151306"/>
    <w:rsid w:val="001528FC"/>
    <w:rsid w:val="00152C48"/>
    <w:rsid w:val="00152C81"/>
    <w:rsid w:val="001531C0"/>
    <w:rsid w:val="001534D9"/>
    <w:rsid w:val="001537F0"/>
    <w:rsid w:val="0015392A"/>
    <w:rsid w:val="0015575D"/>
    <w:rsid w:val="00160297"/>
    <w:rsid w:val="00160849"/>
    <w:rsid w:val="00161DBA"/>
    <w:rsid w:val="00162E27"/>
    <w:rsid w:val="001646DB"/>
    <w:rsid w:val="0016498A"/>
    <w:rsid w:val="00167852"/>
    <w:rsid w:val="00167879"/>
    <w:rsid w:val="0017039B"/>
    <w:rsid w:val="00170616"/>
    <w:rsid w:val="001716BA"/>
    <w:rsid w:val="00171B08"/>
    <w:rsid w:val="00176F7A"/>
    <w:rsid w:val="00180CDA"/>
    <w:rsid w:val="001844AB"/>
    <w:rsid w:val="00184D21"/>
    <w:rsid w:val="00185026"/>
    <w:rsid w:val="001872BF"/>
    <w:rsid w:val="00187D76"/>
    <w:rsid w:val="00191020"/>
    <w:rsid w:val="00191311"/>
    <w:rsid w:val="00193A76"/>
    <w:rsid w:val="001952F0"/>
    <w:rsid w:val="00195C6A"/>
    <w:rsid w:val="00196A5F"/>
    <w:rsid w:val="00196C54"/>
    <w:rsid w:val="00196DE7"/>
    <w:rsid w:val="00197155"/>
    <w:rsid w:val="001A0618"/>
    <w:rsid w:val="001A0B7F"/>
    <w:rsid w:val="001A2082"/>
    <w:rsid w:val="001A3232"/>
    <w:rsid w:val="001A3BB9"/>
    <w:rsid w:val="001A3CBB"/>
    <w:rsid w:val="001A41C5"/>
    <w:rsid w:val="001A48AE"/>
    <w:rsid w:val="001A529F"/>
    <w:rsid w:val="001A5A58"/>
    <w:rsid w:val="001A698D"/>
    <w:rsid w:val="001B0604"/>
    <w:rsid w:val="001B078F"/>
    <w:rsid w:val="001B0A93"/>
    <w:rsid w:val="001B134B"/>
    <w:rsid w:val="001B1B9E"/>
    <w:rsid w:val="001B1F4C"/>
    <w:rsid w:val="001B35CB"/>
    <w:rsid w:val="001B3FF3"/>
    <w:rsid w:val="001B51BB"/>
    <w:rsid w:val="001B5524"/>
    <w:rsid w:val="001B5AF5"/>
    <w:rsid w:val="001B5BAB"/>
    <w:rsid w:val="001B5D89"/>
    <w:rsid w:val="001B63B2"/>
    <w:rsid w:val="001C064C"/>
    <w:rsid w:val="001C33CE"/>
    <w:rsid w:val="001C3FA6"/>
    <w:rsid w:val="001C6008"/>
    <w:rsid w:val="001D2B15"/>
    <w:rsid w:val="001D4C10"/>
    <w:rsid w:val="001D53AF"/>
    <w:rsid w:val="001D5ED1"/>
    <w:rsid w:val="001E05DC"/>
    <w:rsid w:val="001E0E82"/>
    <w:rsid w:val="001E2E81"/>
    <w:rsid w:val="001E3634"/>
    <w:rsid w:val="001E42C0"/>
    <w:rsid w:val="001E4B1D"/>
    <w:rsid w:val="001E5A9A"/>
    <w:rsid w:val="001E5BA4"/>
    <w:rsid w:val="001F2642"/>
    <w:rsid w:val="001F31E0"/>
    <w:rsid w:val="001F491D"/>
    <w:rsid w:val="002003CC"/>
    <w:rsid w:val="00202402"/>
    <w:rsid w:val="00202599"/>
    <w:rsid w:val="002040A8"/>
    <w:rsid w:val="0020591A"/>
    <w:rsid w:val="002078D7"/>
    <w:rsid w:val="00212044"/>
    <w:rsid w:val="00212B7A"/>
    <w:rsid w:val="00213E37"/>
    <w:rsid w:val="00220795"/>
    <w:rsid w:val="00220D72"/>
    <w:rsid w:val="0022121B"/>
    <w:rsid w:val="0022164E"/>
    <w:rsid w:val="002229CA"/>
    <w:rsid w:val="00223443"/>
    <w:rsid w:val="00223849"/>
    <w:rsid w:val="00224077"/>
    <w:rsid w:val="00225099"/>
    <w:rsid w:val="00225124"/>
    <w:rsid w:val="002273D1"/>
    <w:rsid w:val="00227A14"/>
    <w:rsid w:val="00227F12"/>
    <w:rsid w:val="002312EA"/>
    <w:rsid w:val="002333D9"/>
    <w:rsid w:val="00234837"/>
    <w:rsid w:val="00235212"/>
    <w:rsid w:val="002352AC"/>
    <w:rsid w:val="00243CEA"/>
    <w:rsid w:val="0024537E"/>
    <w:rsid w:val="00247BEC"/>
    <w:rsid w:val="00251748"/>
    <w:rsid w:val="002543F1"/>
    <w:rsid w:val="00254F59"/>
    <w:rsid w:val="002573FA"/>
    <w:rsid w:val="00263450"/>
    <w:rsid w:val="00263717"/>
    <w:rsid w:val="00264119"/>
    <w:rsid w:val="00265955"/>
    <w:rsid w:val="002674FE"/>
    <w:rsid w:val="002677BD"/>
    <w:rsid w:val="002702DD"/>
    <w:rsid w:val="00270D83"/>
    <w:rsid w:val="00270FB1"/>
    <w:rsid w:val="0027132E"/>
    <w:rsid w:val="00271331"/>
    <w:rsid w:val="002715F5"/>
    <w:rsid w:val="00271E40"/>
    <w:rsid w:val="002759A1"/>
    <w:rsid w:val="00275BDE"/>
    <w:rsid w:val="00276E44"/>
    <w:rsid w:val="00282406"/>
    <w:rsid w:val="00282F2D"/>
    <w:rsid w:val="00283929"/>
    <w:rsid w:val="002843A4"/>
    <w:rsid w:val="002863F0"/>
    <w:rsid w:val="0028668A"/>
    <w:rsid w:val="00287CAD"/>
    <w:rsid w:val="002913C7"/>
    <w:rsid w:val="002913E9"/>
    <w:rsid w:val="00291A86"/>
    <w:rsid w:val="00292F6A"/>
    <w:rsid w:val="00293777"/>
    <w:rsid w:val="0029402B"/>
    <w:rsid w:val="002951FD"/>
    <w:rsid w:val="00296752"/>
    <w:rsid w:val="0029679E"/>
    <w:rsid w:val="00296BB5"/>
    <w:rsid w:val="00296E3D"/>
    <w:rsid w:val="002A0225"/>
    <w:rsid w:val="002A2AC8"/>
    <w:rsid w:val="002A4BB7"/>
    <w:rsid w:val="002A7A3D"/>
    <w:rsid w:val="002B2FE5"/>
    <w:rsid w:val="002B4675"/>
    <w:rsid w:val="002B5D59"/>
    <w:rsid w:val="002B6CE7"/>
    <w:rsid w:val="002B7CC6"/>
    <w:rsid w:val="002C289F"/>
    <w:rsid w:val="002C4074"/>
    <w:rsid w:val="002C520D"/>
    <w:rsid w:val="002C5C02"/>
    <w:rsid w:val="002C75D5"/>
    <w:rsid w:val="002D154F"/>
    <w:rsid w:val="002D1914"/>
    <w:rsid w:val="002D1B67"/>
    <w:rsid w:val="002D259B"/>
    <w:rsid w:val="002D2A25"/>
    <w:rsid w:val="002D2A3D"/>
    <w:rsid w:val="002D2F1A"/>
    <w:rsid w:val="002D387A"/>
    <w:rsid w:val="002D545A"/>
    <w:rsid w:val="002D5B65"/>
    <w:rsid w:val="002D60D9"/>
    <w:rsid w:val="002D6D52"/>
    <w:rsid w:val="002E0ED2"/>
    <w:rsid w:val="002E2F51"/>
    <w:rsid w:val="002E344F"/>
    <w:rsid w:val="002E5AEB"/>
    <w:rsid w:val="002F06D2"/>
    <w:rsid w:val="002F14A7"/>
    <w:rsid w:val="002F1FBD"/>
    <w:rsid w:val="002F2403"/>
    <w:rsid w:val="002F2632"/>
    <w:rsid w:val="002F2C89"/>
    <w:rsid w:val="002F33AE"/>
    <w:rsid w:val="002F37FD"/>
    <w:rsid w:val="002F3833"/>
    <w:rsid w:val="002F3854"/>
    <w:rsid w:val="002F5843"/>
    <w:rsid w:val="002F6246"/>
    <w:rsid w:val="002F66AA"/>
    <w:rsid w:val="002F7560"/>
    <w:rsid w:val="002F7F26"/>
    <w:rsid w:val="0030005E"/>
    <w:rsid w:val="0030121C"/>
    <w:rsid w:val="003054DA"/>
    <w:rsid w:val="00305C57"/>
    <w:rsid w:val="00306FB4"/>
    <w:rsid w:val="003104AD"/>
    <w:rsid w:val="00313EA2"/>
    <w:rsid w:val="0031428D"/>
    <w:rsid w:val="003155EC"/>
    <w:rsid w:val="00315EAB"/>
    <w:rsid w:val="00316298"/>
    <w:rsid w:val="00317520"/>
    <w:rsid w:val="00317FC0"/>
    <w:rsid w:val="00320589"/>
    <w:rsid w:val="003218CA"/>
    <w:rsid w:val="0032222A"/>
    <w:rsid w:val="00323D40"/>
    <w:rsid w:val="003240F4"/>
    <w:rsid w:val="00324744"/>
    <w:rsid w:val="0032568E"/>
    <w:rsid w:val="00325C4D"/>
    <w:rsid w:val="00325EA4"/>
    <w:rsid w:val="003266BA"/>
    <w:rsid w:val="00326990"/>
    <w:rsid w:val="00326C9D"/>
    <w:rsid w:val="003272C5"/>
    <w:rsid w:val="00327B70"/>
    <w:rsid w:val="003326EE"/>
    <w:rsid w:val="00332EF9"/>
    <w:rsid w:val="00333E48"/>
    <w:rsid w:val="00334484"/>
    <w:rsid w:val="0033481B"/>
    <w:rsid w:val="00335B70"/>
    <w:rsid w:val="00335F2E"/>
    <w:rsid w:val="00336E1F"/>
    <w:rsid w:val="0033797E"/>
    <w:rsid w:val="00340813"/>
    <w:rsid w:val="00340BF4"/>
    <w:rsid w:val="0034146A"/>
    <w:rsid w:val="00342225"/>
    <w:rsid w:val="00344FDE"/>
    <w:rsid w:val="003457A7"/>
    <w:rsid w:val="00345AE7"/>
    <w:rsid w:val="00346024"/>
    <w:rsid w:val="00346985"/>
    <w:rsid w:val="00347074"/>
    <w:rsid w:val="00347E28"/>
    <w:rsid w:val="003510E9"/>
    <w:rsid w:val="003535FA"/>
    <w:rsid w:val="00354DA8"/>
    <w:rsid w:val="00354FB5"/>
    <w:rsid w:val="0035597F"/>
    <w:rsid w:val="00355DE9"/>
    <w:rsid w:val="003569A5"/>
    <w:rsid w:val="00356F7E"/>
    <w:rsid w:val="00366300"/>
    <w:rsid w:val="003761DC"/>
    <w:rsid w:val="0037761D"/>
    <w:rsid w:val="003809C6"/>
    <w:rsid w:val="00380D7D"/>
    <w:rsid w:val="00382694"/>
    <w:rsid w:val="00383D5B"/>
    <w:rsid w:val="00385520"/>
    <w:rsid w:val="00385812"/>
    <w:rsid w:val="00387F18"/>
    <w:rsid w:val="0039236B"/>
    <w:rsid w:val="00392BBE"/>
    <w:rsid w:val="00395105"/>
    <w:rsid w:val="00395ABE"/>
    <w:rsid w:val="0039746F"/>
    <w:rsid w:val="003A03FC"/>
    <w:rsid w:val="003A1125"/>
    <w:rsid w:val="003A192E"/>
    <w:rsid w:val="003A1B5F"/>
    <w:rsid w:val="003A2AF9"/>
    <w:rsid w:val="003B0461"/>
    <w:rsid w:val="003B0525"/>
    <w:rsid w:val="003B0599"/>
    <w:rsid w:val="003B2155"/>
    <w:rsid w:val="003B427B"/>
    <w:rsid w:val="003B57A3"/>
    <w:rsid w:val="003B653B"/>
    <w:rsid w:val="003C0595"/>
    <w:rsid w:val="003C3379"/>
    <w:rsid w:val="003C75E0"/>
    <w:rsid w:val="003D2496"/>
    <w:rsid w:val="003D2AF0"/>
    <w:rsid w:val="003D44F6"/>
    <w:rsid w:val="003D68A2"/>
    <w:rsid w:val="003D69E1"/>
    <w:rsid w:val="003D73DC"/>
    <w:rsid w:val="003E034A"/>
    <w:rsid w:val="003E04F8"/>
    <w:rsid w:val="003E3940"/>
    <w:rsid w:val="003E516E"/>
    <w:rsid w:val="003E58DA"/>
    <w:rsid w:val="003E653F"/>
    <w:rsid w:val="003E6AEB"/>
    <w:rsid w:val="003E6D14"/>
    <w:rsid w:val="003E6EB6"/>
    <w:rsid w:val="003E7061"/>
    <w:rsid w:val="003F4305"/>
    <w:rsid w:val="003F4A4B"/>
    <w:rsid w:val="003F5DB4"/>
    <w:rsid w:val="003F63ED"/>
    <w:rsid w:val="003F7E89"/>
    <w:rsid w:val="00401508"/>
    <w:rsid w:val="0040242D"/>
    <w:rsid w:val="0040309E"/>
    <w:rsid w:val="0040337A"/>
    <w:rsid w:val="00403E1B"/>
    <w:rsid w:val="0040534E"/>
    <w:rsid w:val="00405CA9"/>
    <w:rsid w:val="00406564"/>
    <w:rsid w:val="00407D2E"/>
    <w:rsid w:val="004121CF"/>
    <w:rsid w:val="00412D92"/>
    <w:rsid w:val="00416018"/>
    <w:rsid w:val="0041610C"/>
    <w:rsid w:val="00416BC6"/>
    <w:rsid w:val="0041742B"/>
    <w:rsid w:val="004218B0"/>
    <w:rsid w:val="004229DB"/>
    <w:rsid w:val="004229FE"/>
    <w:rsid w:val="004247C1"/>
    <w:rsid w:val="00424F07"/>
    <w:rsid w:val="00425B08"/>
    <w:rsid w:val="00427725"/>
    <w:rsid w:val="004307DD"/>
    <w:rsid w:val="004316DC"/>
    <w:rsid w:val="00432625"/>
    <w:rsid w:val="0043268E"/>
    <w:rsid w:val="00432BB6"/>
    <w:rsid w:val="00433278"/>
    <w:rsid w:val="004345E0"/>
    <w:rsid w:val="004356A4"/>
    <w:rsid w:val="00435BF4"/>
    <w:rsid w:val="00436D8E"/>
    <w:rsid w:val="00437AB0"/>
    <w:rsid w:val="004401F1"/>
    <w:rsid w:val="004410D9"/>
    <w:rsid w:val="00444DF3"/>
    <w:rsid w:val="00445F00"/>
    <w:rsid w:val="004464E2"/>
    <w:rsid w:val="00446609"/>
    <w:rsid w:val="00446729"/>
    <w:rsid w:val="00446858"/>
    <w:rsid w:val="004473E7"/>
    <w:rsid w:val="00447B06"/>
    <w:rsid w:val="004518D7"/>
    <w:rsid w:val="00453991"/>
    <w:rsid w:val="0045524B"/>
    <w:rsid w:val="004560FD"/>
    <w:rsid w:val="004568B3"/>
    <w:rsid w:val="004569F3"/>
    <w:rsid w:val="00456A8C"/>
    <w:rsid w:val="004573AF"/>
    <w:rsid w:val="00462CEB"/>
    <w:rsid w:val="004637BA"/>
    <w:rsid w:val="00464DB4"/>
    <w:rsid w:val="0046608A"/>
    <w:rsid w:val="00466589"/>
    <w:rsid w:val="00466851"/>
    <w:rsid w:val="00467487"/>
    <w:rsid w:val="00470423"/>
    <w:rsid w:val="0047060A"/>
    <w:rsid w:val="00474A79"/>
    <w:rsid w:val="00474E33"/>
    <w:rsid w:val="0047520E"/>
    <w:rsid w:val="00475ADD"/>
    <w:rsid w:val="004807B4"/>
    <w:rsid w:val="00482192"/>
    <w:rsid w:val="00482583"/>
    <w:rsid w:val="0048384C"/>
    <w:rsid w:val="00484885"/>
    <w:rsid w:val="00485039"/>
    <w:rsid w:val="00486D56"/>
    <w:rsid w:val="0048734F"/>
    <w:rsid w:val="004879A8"/>
    <w:rsid w:val="00490946"/>
    <w:rsid w:val="00491152"/>
    <w:rsid w:val="00491AA5"/>
    <w:rsid w:val="0049398C"/>
    <w:rsid w:val="00494BB0"/>
    <w:rsid w:val="00495A26"/>
    <w:rsid w:val="00495F0B"/>
    <w:rsid w:val="004A39F2"/>
    <w:rsid w:val="004A3CA5"/>
    <w:rsid w:val="004A42D2"/>
    <w:rsid w:val="004A4396"/>
    <w:rsid w:val="004B59F7"/>
    <w:rsid w:val="004B5FCB"/>
    <w:rsid w:val="004B71C7"/>
    <w:rsid w:val="004C0259"/>
    <w:rsid w:val="004C28DF"/>
    <w:rsid w:val="004C32D3"/>
    <w:rsid w:val="004C6304"/>
    <w:rsid w:val="004C65DB"/>
    <w:rsid w:val="004D074E"/>
    <w:rsid w:val="004D31A4"/>
    <w:rsid w:val="004D3A42"/>
    <w:rsid w:val="004D415A"/>
    <w:rsid w:val="004D44AF"/>
    <w:rsid w:val="004D60EC"/>
    <w:rsid w:val="004D62A9"/>
    <w:rsid w:val="004D71C6"/>
    <w:rsid w:val="004D7208"/>
    <w:rsid w:val="004E0951"/>
    <w:rsid w:val="004E09C0"/>
    <w:rsid w:val="004E0B0E"/>
    <w:rsid w:val="004E1BE6"/>
    <w:rsid w:val="004E411C"/>
    <w:rsid w:val="004E5946"/>
    <w:rsid w:val="004F231F"/>
    <w:rsid w:val="004F59F7"/>
    <w:rsid w:val="004F649B"/>
    <w:rsid w:val="004F7337"/>
    <w:rsid w:val="004F73F3"/>
    <w:rsid w:val="00500B58"/>
    <w:rsid w:val="00500BEC"/>
    <w:rsid w:val="00501A48"/>
    <w:rsid w:val="00501C30"/>
    <w:rsid w:val="005026EE"/>
    <w:rsid w:val="00504DFE"/>
    <w:rsid w:val="0050636F"/>
    <w:rsid w:val="005074A8"/>
    <w:rsid w:val="00507C98"/>
    <w:rsid w:val="00510160"/>
    <w:rsid w:val="00510865"/>
    <w:rsid w:val="00511026"/>
    <w:rsid w:val="00511298"/>
    <w:rsid w:val="00512871"/>
    <w:rsid w:val="00512FBF"/>
    <w:rsid w:val="00513019"/>
    <w:rsid w:val="00513D39"/>
    <w:rsid w:val="00515B15"/>
    <w:rsid w:val="00515B8B"/>
    <w:rsid w:val="005160E3"/>
    <w:rsid w:val="00520ED9"/>
    <w:rsid w:val="00522310"/>
    <w:rsid w:val="005226A4"/>
    <w:rsid w:val="005230E8"/>
    <w:rsid w:val="00523E73"/>
    <w:rsid w:val="00524DDC"/>
    <w:rsid w:val="00525110"/>
    <w:rsid w:val="0052687B"/>
    <w:rsid w:val="00527F19"/>
    <w:rsid w:val="005303BB"/>
    <w:rsid w:val="00530BDE"/>
    <w:rsid w:val="00531238"/>
    <w:rsid w:val="00531E5D"/>
    <w:rsid w:val="00532800"/>
    <w:rsid w:val="00532AB4"/>
    <w:rsid w:val="00533726"/>
    <w:rsid w:val="00536308"/>
    <w:rsid w:val="00537622"/>
    <w:rsid w:val="00540429"/>
    <w:rsid w:val="005411C4"/>
    <w:rsid w:val="00542AC8"/>
    <w:rsid w:val="00542C3C"/>
    <w:rsid w:val="00543A3F"/>
    <w:rsid w:val="00543F53"/>
    <w:rsid w:val="00544061"/>
    <w:rsid w:val="005445C4"/>
    <w:rsid w:val="00545C13"/>
    <w:rsid w:val="0054668B"/>
    <w:rsid w:val="00547EDB"/>
    <w:rsid w:val="00551D6E"/>
    <w:rsid w:val="0055410C"/>
    <w:rsid w:val="005554F5"/>
    <w:rsid w:val="00555831"/>
    <w:rsid w:val="00557455"/>
    <w:rsid w:val="005619C6"/>
    <w:rsid w:val="005622BF"/>
    <w:rsid w:val="0056299A"/>
    <w:rsid w:val="00562B21"/>
    <w:rsid w:val="00562FA5"/>
    <w:rsid w:val="0056348D"/>
    <w:rsid w:val="00564D5D"/>
    <w:rsid w:val="005653D2"/>
    <w:rsid w:val="00565E00"/>
    <w:rsid w:val="00566785"/>
    <w:rsid w:val="00566B8D"/>
    <w:rsid w:val="00566E68"/>
    <w:rsid w:val="00572F96"/>
    <w:rsid w:val="00573621"/>
    <w:rsid w:val="00575116"/>
    <w:rsid w:val="00575B23"/>
    <w:rsid w:val="0057760B"/>
    <w:rsid w:val="00577F96"/>
    <w:rsid w:val="005805E9"/>
    <w:rsid w:val="005830CD"/>
    <w:rsid w:val="0058363B"/>
    <w:rsid w:val="0058387E"/>
    <w:rsid w:val="00583DC0"/>
    <w:rsid w:val="00583F61"/>
    <w:rsid w:val="00584597"/>
    <w:rsid w:val="00584C1C"/>
    <w:rsid w:val="00586586"/>
    <w:rsid w:val="00591416"/>
    <w:rsid w:val="005925CA"/>
    <w:rsid w:val="005933DA"/>
    <w:rsid w:val="00593EE7"/>
    <w:rsid w:val="0059669E"/>
    <w:rsid w:val="00596A13"/>
    <w:rsid w:val="005A2B4A"/>
    <w:rsid w:val="005A3B94"/>
    <w:rsid w:val="005A4AD9"/>
    <w:rsid w:val="005A589E"/>
    <w:rsid w:val="005A66BD"/>
    <w:rsid w:val="005A6DA3"/>
    <w:rsid w:val="005A75B8"/>
    <w:rsid w:val="005B1373"/>
    <w:rsid w:val="005B272B"/>
    <w:rsid w:val="005B40C2"/>
    <w:rsid w:val="005B479D"/>
    <w:rsid w:val="005B5720"/>
    <w:rsid w:val="005B58C1"/>
    <w:rsid w:val="005B6CA4"/>
    <w:rsid w:val="005B7891"/>
    <w:rsid w:val="005C0D37"/>
    <w:rsid w:val="005C0F89"/>
    <w:rsid w:val="005C12CB"/>
    <w:rsid w:val="005C2484"/>
    <w:rsid w:val="005C36EF"/>
    <w:rsid w:val="005C53A0"/>
    <w:rsid w:val="005C5A51"/>
    <w:rsid w:val="005C65C6"/>
    <w:rsid w:val="005C66B9"/>
    <w:rsid w:val="005D1345"/>
    <w:rsid w:val="005D26AC"/>
    <w:rsid w:val="005D3206"/>
    <w:rsid w:val="005D3D69"/>
    <w:rsid w:val="005D4580"/>
    <w:rsid w:val="005D489B"/>
    <w:rsid w:val="005D4B2E"/>
    <w:rsid w:val="005D4E43"/>
    <w:rsid w:val="005D6633"/>
    <w:rsid w:val="005D684E"/>
    <w:rsid w:val="005D6E17"/>
    <w:rsid w:val="005D6FDA"/>
    <w:rsid w:val="005D73E9"/>
    <w:rsid w:val="005E0F86"/>
    <w:rsid w:val="005E30A5"/>
    <w:rsid w:val="005E58A8"/>
    <w:rsid w:val="005E7942"/>
    <w:rsid w:val="005F0715"/>
    <w:rsid w:val="005F075D"/>
    <w:rsid w:val="005F1E01"/>
    <w:rsid w:val="005F2635"/>
    <w:rsid w:val="005F4123"/>
    <w:rsid w:val="00600B54"/>
    <w:rsid w:val="0060380C"/>
    <w:rsid w:val="00603C78"/>
    <w:rsid w:val="00604B39"/>
    <w:rsid w:val="00605AA7"/>
    <w:rsid w:val="00606B8B"/>
    <w:rsid w:val="00607DD7"/>
    <w:rsid w:val="0061198F"/>
    <w:rsid w:val="006123D7"/>
    <w:rsid w:val="00612EF6"/>
    <w:rsid w:val="00612F1D"/>
    <w:rsid w:val="006166E5"/>
    <w:rsid w:val="006208B5"/>
    <w:rsid w:val="006212C2"/>
    <w:rsid w:val="0062210D"/>
    <w:rsid w:val="006229BC"/>
    <w:rsid w:val="00623713"/>
    <w:rsid w:val="006241E5"/>
    <w:rsid w:val="0062439E"/>
    <w:rsid w:val="00624871"/>
    <w:rsid w:val="00624AE1"/>
    <w:rsid w:val="00624AFF"/>
    <w:rsid w:val="00624B97"/>
    <w:rsid w:val="00624C19"/>
    <w:rsid w:val="00625B30"/>
    <w:rsid w:val="00626DAC"/>
    <w:rsid w:val="00627EE7"/>
    <w:rsid w:val="00631386"/>
    <w:rsid w:val="00632FA0"/>
    <w:rsid w:val="0063341F"/>
    <w:rsid w:val="0063439F"/>
    <w:rsid w:val="00635AD5"/>
    <w:rsid w:val="00636AAE"/>
    <w:rsid w:val="00636F47"/>
    <w:rsid w:val="00640034"/>
    <w:rsid w:val="00640385"/>
    <w:rsid w:val="00646AB0"/>
    <w:rsid w:val="00646E1E"/>
    <w:rsid w:val="00650B6D"/>
    <w:rsid w:val="00653A8A"/>
    <w:rsid w:val="00656AF7"/>
    <w:rsid w:val="00657947"/>
    <w:rsid w:val="0066040F"/>
    <w:rsid w:val="00660DF9"/>
    <w:rsid w:val="00662559"/>
    <w:rsid w:val="0066351C"/>
    <w:rsid w:val="00663964"/>
    <w:rsid w:val="00664656"/>
    <w:rsid w:val="0066489D"/>
    <w:rsid w:val="00665275"/>
    <w:rsid w:val="00665A0C"/>
    <w:rsid w:val="00665DFB"/>
    <w:rsid w:val="0067053B"/>
    <w:rsid w:val="00670DB1"/>
    <w:rsid w:val="00670F39"/>
    <w:rsid w:val="00670F6B"/>
    <w:rsid w:val="0067287D"/>
    <w:rsid w:val="0067327D"/>
    <w:rsid w:val="00673283"/>
    <w:rsid w:val="006745A8"/>
    <w:rsid w:val="0067758E"/>
    <w:rsid w:val="00681128"/>
    <w:rsid w:val="006816C3"/>
    <w:rsid w:val="00683A90"/>
    <w:rsid w:val="00684E25"/>
    <w:rsid w:val="00685588"/>
    <w:rsid w:val="006859FB"/>
    <w:rsid w:val="00690921"/>
    <w:rsid w:val="006917A6"/>
    <w:rsid w:val="00692729"/>
    <w:rsid w:val="00693E31"/>
    <w:rsid w:val="006941B9"/>
    <w:rsid w:val="006941EA"/>
    <w:rsid w:val="0069609A"/>
    <w:rsid w:val="006A1322"/>
    <w:rsid w:val="006A1F8F"/>
    <w:rsid w:val="006A22FB"/>
    <w:rsid w:val="006A3D1D"/>
    <w:rsid w:val="006A5860"/>
    <w:rsid w:val="006A5D3C"/>
    <w:rsid w:val="006A6997"/>
    <w:rsid w:val="006B1DF4"/>
    <w:rsid w:val="006B2A86"/>
    <w:rsid w:val="006B2C8D"/>
    <w:rsid w:val="006B4E5F"/>
    <w:rsid w:val="006B601C"/>
    <w:rsid w:val="006B6C99"/>
    <w:rsid w:val="006B72EC"/>
    <w:rsid w:val="006B79B9"/>
    <w:rsid w:val="006C1095"/>
    <w:rsid w:val="006C1151"/>
    <w:rsid w:val="006C448B"/>
    <w:rsid w:val="006C46E3"/>
    <w:rsid w:val="006C558E"/>
    <w:rsid w:val="006C7D83"/>
    <w:rsid w:val="006C7DB6"/>
    <w:rsid w:val="006D1349"/>
    <w:rsid w:val="006D238F"/>
    <w:rsid w:val="006D2D47"/>
    <w:rsid w:val="006D47A1"/>
    <w:rsid w:val="006D5B30"/>
    <w:rsid w:val="006D60BC"/>
    <w:rsid w:val="006D76B3"/>
    <w:rsid w:val="006E1247"/>
    <w:rsid w:val="006E1636"/>
    <w:rsid w:val="006E3D38"/>
    <w:rsid w:val="006E47A2"/>
    <w:rsid w:val="006E4CF6"/>
    <w:rsid w:val="006F1F1F"/>
    <w:rsid w:val="006F1FA7"/>
    <w:rsid w:val="006F24A6"/>
    <w:rsid w:val="006F4768"/>
    <w:rsid w:val="006F5CD3"/>
    <w:rsid w:val="006F5F2C"/>
    <w:rsid w:val="006F6423"/>
    <w:rsid w:val="006F7213"/>
    <w:rsid w:val="007000DD"/>
    <w:rsid w:val="0070032E"/>
    <w:rsid w:val="00701784"/>
    <w:rsid w:val="00704A45"/>
    <w:rsid w:val="0071019D"/>
    <w:rsid w:val="00710B72"/>
    <w:rsid w:val="00712BEB"/>
    <w:rsid w:val="00712F85"/>
    <w:rsid w:val="00713428"/>
    <w:rsid w:val="007140E4"/>
    <w:rsid w:val="0071441B"/>
    <w:rsid w:val="00714B35"/>
    <w:rsid w:val="00715B8B"/>
    <w:rsid w:val="007171DD"/>
    <w:rsid w:val="007177D5"/>
    <w:rsid w:val="007214E8"/>
    <w:rsid w:val="00721DF9"/>
    <w:rsid w:val="00722F9F"/>
    <w:rsid w:val="00725273"/>
    <w:rsid w:val="007253D4"/>
    <w:rsid w:val="0072586F"/>
    <w:rsid w:val="00726FFE"/>
    <w:rsid w:val="00727948"/>
    <w:rsid w:val="0073101D"/>
    <w:rsid w:val="0073372C"/>
    <w:rsid w:val="00734ABD"/>
    <w:rsid w:val="00735265"/>
    <w:rsid w:val="00737263"/>
    <w:rsid w:val="007403AA"/>
    <w:rsid w:val="007404D0"/>
    <w:rsid w:val="007409E1"/>
    <w:rsid w:val="007418E3"/>
    <w:rsid w:val="00743BBB"/>
    <w:rsid w:val="00743DA5"/>
    <w:rsid w:val="00743ECC"/>
    <w:rsid w:val="00744027"/>
    <w:rsid w:val="007442D8"/>
    <w:rsid w:val="00744CA5"/>
    <w:rsid w:val="007451F5"/>
    <w:rsid w:val="00747488"/>
    <w:rsid w:val="0074763B"/>
    <w:rsid w:val="0074789B"/>
    <w:rsid w:val="00750733"/>
    <w:rsid w:val="007509A7"/>
    <w:rsid w:val="00750E3E"/>
    <w:rsid w:val="00751F68"/>
    <w:rsid w:val="00755AE2"/>
    <w:rsid w:val="00755C3F"/>
    <w:rsid w:val="00755E58"/>
    <w:rsid w:val="007568C1"/>
    <w:rsid w:val="00756A52"/>
    <w:rsid w:val="0076161D"/>
    <w:rsid w:val="007623B8"/>
    <w:rsid w:val="0076250C"/>
    <w:rsid w:val="00763765"/>
    <w:rsid w:val="00763804"/>
    <w:rsid w:val="00763BFC"/>
    <w:rsid w:val="0076449B"/>
    <w:rsid w:val="00764DB2"/>
    <w:rsid w:val="00764EA5"/>
    <w:rsid w:val="00765741"/>
    <w:rsid w:val="007664DA"/>
    <w:rsid w:val="00766FE2"/>
    <w:rsid w:val="00767E51"/>
    <w:rsid w:val="00771C42"/>
    <w:rsid w:val="00772FC4"/>
    <w:rsid w:val="00774C6E"/>
    <w:rsid w:val="007761F8"/>
    <w:rsid w:val="00776441"/>
    <w:rsid w:val="007766A9"/>
    <w:rsid w:val="007778D7"/>
    <w:rsid w:val="00777A02"/>
    <w:rsid w:val="00780B86"/>
    <w:rsid w:val="00782D6B"/>
    <w:rsid w:val="00783513"/>
    <w:rsid w:val="00785D2B"/>
    <w:rsid w:val="00790C9C"/>
    <w:rsid w:val="00790E15"/>
    <w:rsid w:val="0079354B"/>
    <w:rsid w:val="00794477"/>
    <w:rsid w:val="00794569"/>
    <w:rsid w:val="00794EA2"/>
    <w:rsid w:val="0079508F"/>
    <w:rsid w:val="00795772"/>
    <w:rsid w:val="00795B16"/>
    <w:rsid w:val="00796525"/>
    <w:rsid w:val="007A1199"/>
    <w:rsid w:val="007A16CD"/>
    <w:rsid w:val="007A20DD"/>
    <w:rsid w:val="007A3CCF"/>
    <w:rsid w:val="007A3ED6"/>
    <w:rsid w:val="007A3F9E"/>
    <w:rsid w:val="007A49D3"/>
    <w:rsid w:val="007A633D"/>
    <w:rsid w:val="007A7BA7"/>
    <w:rsid w:val="007A7D5E"/>
    <w:rsid w:val="007B0D91"/>
    <w:rsid w:val="007B397D"/>
    <w:rsid w:val="007B46C7"/>
    <w:rsid w:val="007B4AF7"/>
    <w:rsid w:val="007B52BC"/>
    <w:rsid w:val="007C2F91"/>
    <w:rsid w:val="007C30F8"/>
    <w:rsid w:val="007C3615"/>
    <w:rsid w:val="007C38F8"/>
    <w:rsid w:val="007C4DC2"/>
    <w:rsid w:val="007C4F4D"/>
    <w:rsid w:val="007C5365"/>
    <w:rsid w:val="007C53AA"/>
    <w:rsid w:val="007C59D0"/>
    <w:rsid w:val="007C75FE"/>
    <w:rsid w:val="007C7C5C"/>
    <w:rsid w:val="007D2B39"/>
    <w:rsid w:val="007D429F"/>
    <w:rsid w:val="007D4CFA"/>
    <w:rsid w:val="007D6BBF"/>
    <w:rsid w:val="007D7195"/>
    <w:rsid w:val="007E0A7E"/>
    <w:rsid w:val="007E0CA6"/>
    <w:rsid w:val="007E2361"/>
    <w:rsid w:val="007E285A"/>
    <w:rsid w:val="007E316A"/>
    <w:rsid w:val="007E34A0"/>
    <w:rsid w:val="007E517F"/>
    <w:rsid w:val="007E5873"/>
    <w:rsid w:val="007E5B00"/>
    <w:rsid w:val="007E5D67"/>
    <w:rsid w:val="007E630A"/>
    <w:rsid w:val="007E7A90"/>
    <w:rsid w:val="007F0E9E"/>
    <w:rsid w:val="007F1FB4"/>
    <w:rsid w:val="007F4114"/>
    <w:rsid w:val="007F586D"/>
    <w:rsid w:val="00800762"/>
    <w:rsid w:val="008017E5"/>
    <w:rsid w:val="00802102"/>
    <w:rsid w:val="00802B9C"/>
    <w:rsid w:val="00802E8C"/>
    <w:rsid w:val="00803269"/>
    <w:rsid w:val="00807AB2"/>
    <w:rsid w:val="0081176D"/>
    <w:rsid w:val="0081275E"/>
    <w:rsid w:val="00813F9F"/>
    <w:rsid w:val="008149BD"/>
    <w:rsid w:val="00814DF9"/>
    <w:rsid w:val="00815528"/>
    <w:rsid w:val="008159F2"/>
    <w:rsid w:val="00815CA0"/>
    <w:rsid w:val="00815D54"/>
    <w:rsid w:val="00815FD9"/>
    <w:rsid w:val="0081699E"/>
    <w:rsid w:val="00817AF9"/>
    <w:rsid w:val="008201D6"/>
    <w:rsid w:val="00820B50"/>
    <w:rsid w:val="00820D1B"/>
    <w:rsid w:val="00821207"/>
    <w:rsid w:val="00821991"/>
    <w:rsid w:val="00821ACA"/>
    <w:rsid w:val="00823647"/>
    <w:rsid w:val="00823F07"/>
    <w:rsid w:val="00824BD9"/>
    <w:rsid w:val="0082617E"/>
    <w:rsid w:val="00827DC7"/>
    <w:rsid w:val="0083039D"/>
    <w:rsid w:val="008306D4"/>
    <w:rsid w:val="00831616"/>
    <w:rsid w:val="008321BF"/>
    <w:rsid w:val="008329C1"/>
    <w:rsid w:val="00832BFA"/>
    <w:rsid w:val="00834FD5"/>
    <w:rsid w:val="00837464"/>
    <w:rsid w:val="00837D89"/>
    <w:rsid w:val="0084205F"/>
    <w:rsid w:val="0084371C"/>
    <w:rsid w:val="00843C09"/>
    <w:rsid w:val="0084432A"/>
    <w:rsid w:val="008450D1"/>
    <w:rsid w:val="0084515C"/>
    <w:rsid w:val="00850099"/>
    <w:rsid w:val="00851DC0"/>
    <w:rsid w:val="00851DCD"/>
    <w:rsid w:val="00851FFA"/>
    <w:rsid w:val="00852B1B"/>
    <w:rsid w:val="00853130"/>
    <w:rsid w:val="00853889"/>
    <w:rsid w:val="00854AAC"/>
    <w:rsid w:val="00855C17"/>
    <w:rsid w:val="0085626C"/>
    <w:rsid w:val="00857CD8"/>
    <w:rsid w:val="008605F1"/>
    <w:rsid w:val="00861285"/>
    <w:rsid w:val="00861968"/>
    <w:rsid w:val="0086214A"/>
    <w:rsid w:val="00862651"/>
    <w:rsid w:val="0086349B"/>
    <w:rsid w:val="00866F21"/>
    <w:rsid w:val="00867345"/>
    <w:rsid w:val="00867EEA"/>
    <w:rsid w:val="00870719"/>
    <w:rsid w:val="00870835"/>
    <w:rsid w:val="00870962"/>
    <w:rsid w:val="008719BD"/>
    <w:rsid w:val="008719F7"/>
    <w:rsid w:val="00874AD0"/>
    <w:rsid w:val="00874FB0"/>
    <w:rsid w:val="00876329"/>
    <w:rsid w:val="008764F1"/>
    <w:rsid w:val="00881760"/>
    <w:rsid w:val="00881C72"/>
    <w:rsid w:val="008820D4"/>
    <w:rsid w:val="00882614"/>
    <w:rsid w:val="00884652"/>
    <w:rsid w:val="008847C4"/>
    <w:rsid w:val="00884D5B"/>
    <w:rsid w:val="00886194"/>
    <w:rsid w:val="008865F0"/>
    <w:rsid w:val="00887653"/>
    <w:rsid w:val="00887722"/>
    <w:rsid w:val="00887748"/>
    <w:rsid w:val="00887D80"/>
    <w:rsid w:val="0089181E"/>
    <w:rsid w:val="00893ACB"/>
    <w:rsid w:val="00894515"/>
    <w:rsid w:val="0089535E"/>
    <w:rsid w:val="008963CD"/>
    <w:rsid w:val="00896B84"/>
    <w:rsid w:val="00897F08"/>
    <w:rsid w:val="008A0874"/>
    <w:rsid w:val="008A0F60"/>
    <w:rsid w:val="008A1346"/>
    <w:rsid w:val="008A2FDF"/>
    <w:rsid w:val="008A3D13"/>
    <w:rsid w:val="008A417F"/>
    <w:rsid w:val="008A4B88"/>
    <w:rsid w:val="008A5044"/>
    <w:rsid w:val="008A59CA"/>
    <w:rsid w:val="008A5BDF"/>
    <w:rsid w:val="008A6A3C"/>
    <w:rsid w:val="008A7752"/>
    <w:rsid w:val="008B0628"/>
    <w:rsid w:val="008B0EBA"/>
    <w:rsid w:val="008B0F1C"/>
    <w:rsid w:val="008B2610"/>
    <w:rsid w:val="008B596C"/>
    <w:rsid w:val="008B5E16"/>
    <w:rsid w:val="008B70BE"/>
    <w:rsid w:val="008C0317"/>
    <w:rsid w:val="008C1C0D"/>
    <w:rsid w:val="008C1FC5"/>
    <w:rsid w:val="008C2563"/>
    <w:rsid w:val="008C3E85"/>
    <w:rsid w:val="008C414F"/>
    <w:rsid w:val="008C4E81"/>
    <w:rsid w:val="008C4EDA"/>
    <w:rsid w:val="008C505D"/>
    <w:rsid w:val="008C5D2F"/>
    <w:rsid w:val="008C775A"/>
    <w:rsid w:val="008C7D4C"/>
    <w:rsid w:val="008C7F57"/>
    <w:rsid w:val="008D15E3"/>
    <w:rsid w:val="008D2A4C"/>
    <w:rsid w:val="008D397E"/>
    <w:rsid w:val="008D3A91"/>
    <w:rsid w:val="008D4360"/>
    <w:rsid w:val="008D4B61"/>
    <w:rsid w:val="008D52F4"/>
    <w:rsid w:val="008D72AF"/>
    <w:rsid w:val="008D7DCC"/>
    <w:rsid w:val="008E0056"/>
    <w:rsid w:val="008E0473"/>
    <w:rsid w:val="008E0F5F"/>
    <w:rsid w:val="008E1133"/>
    <w:rsid w:val="008E1C86"/>
    <w:rsid w:val="008E5F46"/>
    <w:rsid w:val="008E60BE"/>
    <w:rsid w:val="008E74CE"/>
    <w:rsid w:val="008E7A1E"/>
    <w:rsid w:val="008F01BB"/>
    <w:rsid w:val="008F1389"/>
    <w:rsid w:val="008F1982"/>
    <w:rsid w:val="008F2615"/>
    <w:rsid w:val="008F5404"/>
    <w:rsid w:val="008F63DA"/>
    <w:rsid w:val="008F6E65"/>
    <w:rsid w:val="008F70EB"/>
    <w:rsid w:val="008F76DC"/>
    <w:rsid w:val="008F7B4C"/>
    <w:rsid w:val="00900029"/>
    <w:rsid w:val="00900F59"/>
    <w:rsid w:val="009020D1"/>
    <w:rsid w:val="0090290F"/>
    <w:rsid w:val="00902A7F"/>
    <w:rsid w:val="00903E95"/>
    <w:rsid w:val="00905347"/>
    <w:rsid w:val="00905FCB"/>
    <w:rsid w:val="00906126"/>
    <w:rsid w:val="00907688"/>
    <w:rsid w:val="00907EBF"/>
    <w:rsid w:val="009123F1"/>
    <w:rsid w:val="00914358"/>
    <w:rsid w:val="009156FE"/>
    <w:rsid w:val="00915DB9"/>
    <w:rsid w:val="00915ECB"/>
    <w:rsid w:val="00916E40"/>
    <w:rsid w:val="00916FDB"/>
    <w:rsid w:val="0091765D"/>
    <w:rsid w:val="00917B11"/>
    <w:rsid w:val="00920AFE"/>
    <w:rsid w:val="009213AD"/>
    <w:rsid w:val="00922845"/>
    <w:rsid w:val="00925874"/>
    <w:rsid w:val="00926692"/>
    <w:rsid w:val="00926DAC"/>
    <w:rsid w:val="00927341"/>
    <w:rsid w:val="0093128F"/>
    <w:rsid w:val="009312B0"/>
    <w:rsid w:val="00932FE0"/>
    <w:rsid w:val="0093375A"/>
    <w:rsid w:val="00933999"/>
    <w:rsid w:val="00934124"/>
    <w:rsid w:val="0093477A"/>
    <w:rsid w:val="00937879"/>
    <w:rsid w:val="00943993"/>
    <w:rsid w:val="00943D5E"/>
    <w:rsid w:val="00944B0A"/>
    <w:rsid w:val="00946EDB"/>
    <w:rsid w:val="0095006D"/>
    <w:rsid w:val="00952381"/>
    <w:rsid w:val="00953AFD"/>
    <w:rsid w:val="00954010"/>
    <w:rsid w:val="009546F4"/>
    <w:rsid w:val="0095554A"/>
    <w:rsid w:val="009556B3"/>
    <w:rsid w:val="00955EC6"/>
    <w:rsid w:val="009569C4"/>
    <w:rsid w:val="00957542"/>
    <w:rsid w:val="00960601"/>
    <w:rsid w:val="00960897"/>
    <w:rsid w:val="00960D3F"/>
    <w:rsid w:val="009614A3"/>
    <w:rsid w:val="00961908"/>
    <w:rsid w:val="00961C9A"/>
    <w:rsid w:val="009676F5"/>
    <w:rsid w:val="00971042"/>
    <w:rsid w:val="009723B7"/>
    <w:rsid w:val="00974891"/>
    <w:rsid w:val="009753A1"/>
    <w:rsid w:val="0097653B"/>
    <w:rsid w:val="00976B72"/>
    <w:rsid w:val="00977586"/>
    <w:rsid w:val="00977C80"/>
    <w:rsid w:val="00977DA1"/>
    <w:rsid w:val="009812E8"/>
    <w:rsid w:val="00981836"/>
    <w:rsid w:val="0098211B"/>
    <w:rsid w:val="00984EE7"/>
    <w:rsid w:val="009867A8"/>
    <w:rsid w:val="00986C50"/>
    <w:rsid w:val="00987807"/>
    <w:rsid w:val="00987912"/>
    <w:rsid w:val="00987C99"/>
    <w:rsid w:val="00990500"/>
    <w:rsid w:val="00990537"/>
    <w:rsid w:val="00990B27"/>
    <w:rsid w:val="00990FD6"/>
    <w:rsid w:val="00991899"/>
    <w:rsid w:val="009922B9"/>
    <w:rsid w:val="009929E4"/>
    <w:rsid w:val="00993384"/>
    <w:rsid w:val="00993391"/>
    <w:rsid w:val="009A05BD"/>
    <w:rsid w:val="009A05CC"/>
    <w:rsid w:val="009A17DF"/>
    <w:rsid w:val="009A1CDA"/>
    <w:rsid w:val="009A46DC"/>
    <w:rsid w:val="009A552D"/>
    <w:rsid w:val="009A6134"/>
    <w:rsid w:val="009A6695"/>
    <w:rsid w:val="009A7379"/>
    <w:rsid w:val="009A76B0"/>
    <w:rsid w:val="009A7BC1"/>
    <w:rsid w:val="009B22F6"/>
    <w:rsid w:val="009B28F5"/>
    <w:rsid w:val="009B2BDD"/>
    <w:rsid w:val="009B4CE6"/>
    <w:rsid w:val="009B5725"/>
    <w:rsid w:val="009B5E8A"/>
    <w:rsid w:val="009B670B"/>
    <w:rsid w:val="009C1382"/>
    <w:rsid w:val="009C192F"/>
    <w:rsid w:val="009C2916"/>
    <w:rsid w:val="009C36C3"/>
    <w:rsid w:val="009C3B82"/>
    <w:rsid w:val="009C47B4"/>
    <w:rsid w:val="009C658D"/>
    <w:rsid w:val="009C6E05"/>
    <w:rsid w:val="009C7F06"/>
    <w:rsid w:val="009D31D2"/>
    <w:rsid w:val="009D3F08"/>
    <w:rsid w:val="009D4326"/>
    <w:rsid w:val="009D466C"/>
    <w:rsid w:val="009D46D5"/>
    <w:rsid w:val="009D60B9"/>
    <w:rsid w:val="009D6964"/>
    <w:rsid w:val="009E0462"/>
    <w:rsid w:val="009E0668"/>
    <w:rsid w:val="009E1322"/>
    <w:rsid w:val="009E2DF2"/>
    <w:rsid w:val="009E4071"/>
    <w:rsid w:val="009E532F"/>
    <w:rsid w:val="009E56BF"/>
    <w:rsid w:val="009E5ED2"/>
    <w:rsid w:val="009E5F41"/>
    <w:rsid w:val="009E696E"/>
    <w:rsid w:val="009E72B3"/>
    <w:rsid w:val="009F02BD"/>
    <w:rsid w:val="009F0858"/>
    <w:rsid w:val="009F1128"/>
    <w:rsid w:val="009F2617"/>
    <w:rsid w:val="009F31FA"/>
    <w:rsid w:val="009F324F"/>
    <w:rsid w:val="009F42DF"/>
    <w:rsid w:val="009F559E"/>
    <w:rsid w:val="009F5BDC"/>
    <w:rsid w:val="00A00561"/>
    <w:rsid w:val="00A01259"/>
    <w:rsid w:val="00A029ED"/>
    <w:rsid w:val="00A0322E"/>
    <w:rsid w:val="00A03981"/>
    <w:rsid w:val="00A05A32"/>
    <w:rsid w:val="00A05F9E"/>
    <w:rsid w:val="00A06187"/>
    <w:rsid w:val="00A07079"/>
    <w:rsid w:val="00A115F5"/>
    <w:rsid w:val="00A11DCD"/>
    <w:rsid w:val="00A11F0D"/>
    <w:rsid w:val="00A137D0"/>
    <w:rsid w:val="00A145D9"/>
    <w:rsid w:val="00A14A01"/>
    <w:rsid w:val="00A15335"/>
    <w:rsid w:val="00A16C59"/>
    <w:rsid w:val="00A17231"/>
    <w:rsid w:val="00A17775"/>
    <w:rsid w:val="00A2016E"/>
    <w:rsid w:val="00A202F7"/>
    <w:rsid w:val="00A207FE"/>
    <w:rsid w:val="00A21482"/>
    <w:rsid w:val="00A22809"/>
    <w:rsid w:val="00A22B44"/>
    <w:rsid w:val="00A22FC7"/>
    <w:rsid w:val="00A2311D"/>
    <w:rsid w:val="00A252AD"/>
    <w:rsid w:val="00A2692F"/>
    <w:rsid w:val="00A27B7B"/>
    <w:rsid w:val="00A27FE5"/>
    <w:rsid w:val="00A305E4"/>
    <w:rsid w:val="00A30CD7"/>
    <w:rsid w:val="00A314D3"/>
    <w:rsid w:val="00A31E05"/>
    <w:rsid w:val="00A3489D"/>
    <w:rsid w:val="00A34BD9"/>
    <w:rsid w:val="00A36EA2"/>
    <w:rsid w:val="00A3742C"/>
    <w:rsid w:val="00A43672"/>
    <w:rsid w:val="00A43715"/>
    <w:rsid w:val="00A43B48"/>
    <w:rsid w:val="00A44091"/>
    <w:rsid w:val="00A4640C"/>
    <w:rsid w:val="00A479A7"/>
    <w:rsid w:val="00A518FB"/>
    <w:rsid w:val="00A51DF1"/>
    <w:rsid w:val="00A5306E"/>
    <w:rsid w:val="00A609BB"/>
    <w:rsid w:val="00A62A45"/>
    <w:rsid w:val="00A62C9A"/>
    <w:rsid w:val="00A631DE"/>
    <w:rsid w:val="00A63C02"/>
    <w:rsid w:val="00A64AF9"/>
    <w:rsid w:val="00A6516F"/>
    <w:rsid w:val="00A6528E"/>
    <w:rsid w:val="00A658F8"/>
    <w:rsid w:val="00A66D88"/>
    <w:rsid w:val="00A678D3"/>
    <w:rsid w:val="00A705A2"/>
    <w:rsid w:val="00A7071F"/>
    <w:rsid w:val="00A725F0"/>
    <w:rsid w:val="00A7559A"/>
    <w:rsid w:val="00A7582D"/>
    <w:rsid w:val="00A75A96"/>
    <w:rsid w:val="00A762DA"/>
    <w:rsid w:val="00A76DD5"/>
    <w:rsid w:val="00A77BFD"/>
    <w:rsid w:val="00A809C0"/>
    <w:rsid w:val="00A81343"/>
    <w:rsid w:val="00A81F08"/>
    <w:rsid w:val="00A822F5"/>
    <w:rsid w:val="00A83EAC"/>
    <w:rsid w:val="00A8554C"/>
    <w:rsid w:val="00A85ADC"/>
    <w:rsid w:val="00A86C38"/>
    <w:rsid w:val="00A87985"/>
    <w:rsid w:val="00A87A56"/>
    <w:rsid w:val="00A90881"/>
    <w:rsid w:val="00A9094C"/>
    <w:rsid w:val="00A921D1"/>
    <w:rsid w:val="00A932DE"/>
    <w:rsid w:val="00A9412E"/>
    <w:rsid w:val="00A941EF"/>
    <w:rsid w:val="00A94208"/>
    <w:rsid w:val="00A96235"/>
    <w:rsid w:val="00A9623F"/>
    <w:rsid w:val="00A96B1B"/>
    <w:rsid w:val="00A9712A"/>
    <w:rsid w:val="00A97AA6"/>
    <w:rsid w:val="00AA1196"/>
    <w:rsid w:val="00AA14E1"/>
    <w:rsid w:val="00AA2234"/>
    <w:rsid w:val="00AA2B06"/>
    <w:rsid w:val="00AA3ADD"/>
    <w:rsid w:val="00AA594B"/>
    <w:rsid w:val="00AA5F9F"/>
    <w:rsid w:val="00AA63CB"/>
    <w:rsid w:val="00AA784C"/>
    <w:rsid w:val="00AB2219"/>
    <w:rsid w:val="00AB2D6E"/>
    <w:rsid w:val="00AB2FC3"/>
    <w:rsid w:val="00AB3AB6"/>
    <w:rsid w:val="00AB3E75"/>
    <w:rsid w:val="00AB3F5A"/>
    <w:rsid w:val="00AB49FD"/>
    <w:rsid w:val="00AB5608"/>
    <w:rsid w:val="00AB59D4"/>
    <w:rsid w:val="00AB5AA1"/>
    <w:rsid w:val="00AB6218"/>
    <w:rsid w:val="00AB65F7"/>
    <w:rsid w:val="00AB7028"/>
    <w:rsid w:val="00AB77C3"/>
    <w:rsid w:val="00AC1760"/>
    <w:rsid w:val="00AC1DCD"/>
    <w:rsid w:val="00AC2855"/>
    <w:rsid w:val="00AC2E57"/>
    <w:rsid w:val="00AC3D3C"/>
    <w:rsid w:val="00AC4008"/>
    <w:rsid w:val="00AC6A7D"/>
    <w:rsid w:val="00AC6C21"/>
    <w:rsid w:val="00AD0165"/>
    <w:rsid w:val="00AD0D72"/>
    <w:rsid w:val="00AD1B94"/>
    <w:rsid w:val="00AD2728"/>
    <w:rsid w:val="00AD48B4"/>
    <w:rsid w:val="00AD537A"/>
    <w:rsid w:val="00AD7148"/>
    <w:rsid w:val="00AE0863"/>
    <w:rsid w:val="00AE2620"/>
    <w:rsid w:val="00AE4242"/>
    <w:rsid w:val="00AE4DA8"/>
    <w:rsid w:val="00AE52C2"/>
    <w:rsid w:val="00AE582D"/>
    <w:rsid w:val="00AE7197"/>
    <w:rsid w:val="00AE7443"/>
    <w:rsid w:val="00AE7996"/>
    <w:rsid w:val="00AE7B6C"/>
    <w:rsid w:val="00AF188E"/>
    <w:rsid w:val="00AF2017"/>
    <w:rsid w:val="00AF30D2"/>
    <w:rsid w:val="00B00BFD"/>
    <w:rsid w:val="00B00D38"/>
    <w:rsid w:val="00B02F2D"/>
    <w:rsid w:val="00B0375A"/>
    <w:rsid w:val="00B0534A"/>
    <w:rsid w:val="00B05626"/>
    <w:rsid w:val="00B0721D"/>
    <w:rsid w:val="00B1191C"/>
    <w:rsid w:val="00B12462"/>
    <w:rsid w:val="00B137BE"/>
    <w:rsid w:val="00B137C2"/>
    <w:rsid w:val="00B16378"/>
    <w:rsid w:val="00B1658A"/>
    <w:rsid w:val="00B20B20"/>
    <w:rsid w:val="00B211D8"/>
    <w:rsid w:val="00B213E6"/>
    <w:rsid w:val="00B22604"/>
    <w:rsid w:val="00B227FF"/>
    <w:rsid w:val="00B22DA2"/>
    <w:rsid w:val="00B242B5"/>
    <w:rsid w:val="00B24AC5"/>
    <w:rsid w:val="00B26680"/>
    <w:rsid w:val="00B26A12"/>
    <w:rsid w:val="00B30004"/>
    <w:rsid w:val="00B30728"/>
    <w:rsid w:val="00B325EE"/>
    <w:rsid w:val="00B33498"/>
    <w:rsid w:val="00B342DE"/>
    <w:rsid w:val="00B34DB1"/>
    <w:rsid w:val="00B357DE"/>
    <w:rsid w:val="00B35BEC"/>
    <w:rsid w:val="00B3614C"/>
    <w:rsid w:val="00B42799"/>
    <w:rsid w:val="00B42DD3"/>
    <w:rsid w:val="00B44231"/>
    <w:rsid w:val="00B451F5"/>
    <w:rsid w:val="00B4559B"/>
    <w:rsid w:val="00B45C61"/>
    <w:rsid w:val="00B4747D"/>
    <w:rsid w:val="00B51249"/>
    <w:rsid w:val="00B531B3"/>
    <w:rsid w:val="00B54262"/>
    <w:rsid w:val="00B558FD"/>
    <w:rsid w:val="00B57917"/>
    <w:rsid w:val="00B6088D"/>
    <w:rsid w:val="00B632C3"/>
    <w:rsid w:val="00B641EA"/>
    <w:rsid w:val="00B64611"/>
    <w:rsid w:val="00B70D6F"/>
    <w:rsid w:val="00B74A2D"/>
    <w:rsid w:val="00B74B3B"/>
    <w:rsid w:val="00B7715A"/>
    <w:rsid w:val="00B77595"/>
    <w:rsid w:val="00B81527"/>
    <w:rsid w:val="00B82DC5"/>
    <w:rsid w:val="00B83B64"/>
    <w:rsid w:val="00B83F00"/>
    <w:rsid w:val="00B85EC5"/>
    <w:rsid w:val="00B91BD2"/>
    <w:rsid w:val="00B936B3"/>
    <w:rsid w:val="00B93C6A"/>
    <w:rsid w:val="00B960D2"/>
    <w:rsid w:val="00B975A3"/>
    <w:rsid w:val="00B97922"/>
    <w:rsid w:val="00B97C36"/>
    <w:rsid w:val="00BA1099"/>
    <w:rsid w:val="00BA18F3"/>
    <w:rsid w:val="00BA230F"/>
    <w:rsid w:val="00BA2CEC"/>
    <w:rsid w:val="00BA2F6B"/>
    <w:rsid w:val="00BA37A3"/>
    <w:rsid w:val="00BA46DE"/>
    <w:rsid w:val="00BA4D44"/>
    <w:rsid w:val="00BA5C0F"/>
    <w:rsid w:val="00BA625D"/>
    <w:rsid w:val="00BA67C9"/>
    <w:rsid w:val="00BA69D1"/>
    <w:rsid w:val="00BA78BF"/>
    <w:rsid w:val="00BB01E9"/>
    <w:rsid w:val="00BB046F"/>
    <w:rsid w:val="00BB3EA9"/>
    <w:rsid w:val="00BB4427"/>
    <w:rsid w:val="00BB5694"/>
    <w:rsid w:val="00BB65D6"/>
    <w:rsid w:val="00BB6782"/>
    <w:rsid w:val="00BB7F05"/>
    <w:rsid w:val="00BC1B96"/>
    <w:rsid w:val="00BC2894"/>
    <w:rsid w:val="00BC3EC8"/>
    <w:rsid w:val="00BC45E0"/>
    <w:rsid w:val="00BC4D55"/>
    <w:rsid w:val="00BC5BF0"/>
    <w:rsid w:val="00BC655B"/>
    <w:rsid w:val="00BC7988"/>
    <w:rsid w:val="00BD251A"/>
    <w:rsid w:val="00BD2D60"/>
    <w:rsid w:val="00BD318B"/>
    <w:rsid w:val="00BD56C0"/>
    <w:rsid w:val="00BD7E52"/>
    <w:rsid w:val="00BE2066"/>
    <w:rsid w:val="00BE2BB3"/>
    <w:rsid w:val="00BE63FE"/>
    <w:rsid w:val="00BE7378"/>
    <w:rsid w:val="00BF0125"/>
    <w:rsid w:val="00BF01AC"/>
    <w:rsid w:val="00BF26A0"/>
    <w:rsid w:val="00BF4238"/>
    <w:rsid w:val="00BF5B60"/>
    <w:rsid w:val="00BF5EDF"/>
    <w:rsid w:val="00BF6333"/>
    <w:rsid w:val="00BF6784"/>
    <w:rsid w:val="00BF751E"/>
    <w:rsid w:val="00BF7CFF"/>
    <w:rsid w:val="00C00BB9"/>
    <w:rsid w:val="00C01D67"/>
    <w:rsid w:val="00C02940"/>
    <w:rsid w:val="00C037FA"/>
    <w:rsid w:val="00C03937"/>
    <w:rsid w:val="00C03C78"/>
    <w:rsid w:val="00C0467E"/>
    <w:rsid w:val="00C047DB"/>
    <w:rsid w:val="00C04C39"/>
    <w:rsid w:val="00C0524B"/>
    <w:rsid w:val="00C06C10"/>
    <w:rsid w:val="00C07755"/>
    <w:rsid w:val="00C079CF"/>
    <w:rsid w:val="00C121C2"/>
    <w:rsid w:val="00C12665"/>
    <w:rsid w:val="00C12B73"/>
    <w:rsid w:val="00C14D9A"/>
    <w:rsid w:val="00C15A10"/>
    <w:rsid w:val="00C15A62"/>
    <w:rsid w:val="00C15D3B"/>
    <w:rsid w:val="00C1715D"/>
    <w:rsid w:val="00C20CE4"/>
    <w:rsid w:val="00C21285"/>
    <w:rsid w:val="00C222AE"/>
    <w:rsid w:val="00C22BA5"/>
    <w:rsid w:val="00C240A9"/>
    <w:rsid w:val="00C24223"/>
    <w:rsid w:val="00C250E0"/>
    <w:rsid w:val="00C25E11"/>
    <w:rsid w:val="00C30924"/>
    <w:rsid w:val="00C310A8"/>
    <w:rsid w:val="00C325B0"/>
    <w:rsid w:val="00C3312F"/>
    <w:rsid w:val="00C335B4"/>
    <w:rsid w:val="00C33D60"/>
    <w:rsid w:val="00C361D6"/>
    <w:rsid w:val="00C3692E"/>
    <w:rsid w:val="00C36DD3"/>
    <w:rsid w:val="00C3750C"/>
    <w:rsid w:val="00C3797E"/>
    <w:rsid w:val="00C4025F"/>
    <w:rsid w:val="00C40829"/>
    <w:rsid w:val="00C41653"/>
    <w:rsid w:val="00C41848"/>
    <w:rsid w:val="00C4255F"/>
    <w:rsid w:val="00C43D20"/>
    <w:rsid w:val="00C4463A"/>
    <w:rsid w:val="00C44BEB"/>
    <w:rsid w:val="00C44F3C"/>
    <w:rsid w:val="00C45A7A"/>
    <w:rsid w:val="00C46EF1"/>
    <w:rsid w:val="00C47ADF"/>
    <w:rsid w:val="00C501F3"/>
    <w:rsid w:val="00C51034"/>
    <w:rsid w:val="00C513C3"/>
    <w:rsid w:val="00C5267F"/>
    <w:rsid w:val="00C52F0D"/>
    <w:rsid w:val="00C54714"/>
    <w:rsid w:val="00C56301"/>
    <w:rsid w:val="00C57A72"/>
    <w:rsid w:val="00C57EFA"/>
    <w:rsid w:val="00C60590"/>
    <w:rsid w:val="00C6082A"/>
    <w:rsid w:val="00C60A16"/>
    <w:rsid w:val="00C61830"/>
    <w:rsid w:val="00C61DFE"/>
    <w:rsid w:val="00C6430C"/>
    <w:rsid w:val="00C67353"/>
    <w:rsid w:val="00C67CB6"/>
    <w:rsid w:val="00C70E0E"/>
    <w:rsid w:val="00C70E16"/>
    <w:rsid w:val="00C70EE6"/>
    <w:rsid w:val="00C715CE"/>
    <w:rsid w:val="00C715EE"/>
    <w:rsid w:val="00C71AAF"/>
    <w:rsid w:val="00C72706"/>
    <w:rsid w:val="00C729B5"/>
    <w:rsid w:val="00C72DF2"/>
    <w:rsid w:val="00C73282"/>
    <w:rsid w:val="00C76EFC"/>
    <w:rsid w:val="00C7710A"/>
    <w:rsid w:val="00C80247"/>
    <w:rsid w:val="00C81260"/>
    <w:rsid w:val="00C818E2"/>
    <w:rsid w:val="00C8298C"/>
    <w:rsid w:val="00C82A08"/>
    <w:rsid w:val="00C82D05"/>
    <w:rsid w:val="00C83DAD"/>
    <w:rsid w:val="00C841F3"/>
    <w:rsid w:val="00C84F87"/>
    <w:rsid w:val="00C8625A"/>
    <w:rsid w:val="00C86874"/>
    <w:rsid w:val="00C86B43"/>
    <w:rsid w:val="00C8787D"/>
    <w:rsid w:val="00C87E3A"/>
    <w:rsid w:val="00C922E3"/>
    <w:rsid w:val="00C93B18"/>
    <w:rsid w:val="00C95307"/>
    <w:rsid w:val="00C96C4A"/>
    <w:rsid w:val="00C97121"/>
    <w:rsid w:val="00C97A7B"/>
    <w:rsid w:val="00C97EB8"/>
    <w:rsid w:val="00CA09CE"/>
    <w:rsid w:val="00CA1573"/>
    <w:rsid w:val="00CA1EA4"/>
    <w:rsid w:val="00CA2AA9"/>
    <w:rsid w:val="00CA5451"/>
    <w:rsid w:val="00CA5887"/>
    <w:rsid w:val="00CA62FE"/>
    <w:rsid w:val="00CA6417"/>
    <w:rsid w:val="00CA742E"/>
    <w:rsid w:val="00CA7847"/>
    <w:rsid w:val="00CA7F50"/>
    <w:rsid w:val="00CB0124"/>
    <w:rsid w:val="00CB0E07"/>
    <w:rsid w:val="00CB3E01"/>
    <w:rsid w:val="00CB4646"/>
    <w:rsid w:val="00CB637B"/>
    <w:rsid w:val="00CB717A"/>
    <w:rsid w:val="00CC07A7"/>
    <w:rsid w:val="00CC339F"/>
    <w:rsid w:val="00CC3484"/>
    <w:rsid w:val="00CC3797"/>
    <w:rsid w:val="00CC3AA3"/>
    <w:rsid w:val="00CC3CDC"/>
    <w:rsid w:val="00CC49F4"/>
    <w:rsid w:val="00CC5E71"/>
    <w:rsid w:val="00CC5F80"/>
    <w:rsid w:val="00CC63D1"/>
    <w:rsid w:val="00CD05D7"/>
    <w:rsid w:val="00CD12C2"/>
    <w:rsid w:val="00CD1CAA"/>
    <w:rsid w:val="00CD1EFB"/>
    <w:rsid w:val="00CD3D2E"/>
    <w:rsid w:val="00CD44A4"/>
    <w:rsid w:val="00CD4A5B"/>
    <w:rsid w:val="00CD598E"/>
    <w:rsid w:val="00CE08D7"/>
    <w:rsid w:val="00CE3E80"/>
    <w:rsid w:val="00CF09BA"/>
    <w:rsid w:val="00CF1889"/>
    <w:rsid w:val="00CF2501"/>
    <w:rsid w:val="00CF3071"/>
    <w:rsid w:val="00CF6780"/>
    <w:rsid w:val="00CF709A"/>
    <w:rsid w:val="00CF7C80"/>
    <w:rsid w:val="00CF7F4B"/>
    <w:rsid w:val="00D006A9"/>
    <w:rsid w:val="00D01291"/>
    <w:rsid w:val="00D01AED"/>
    <w:rsid w:val="00D030B1"/>
    <w:rsid w:val="00D0453C"/>
    <w:rsid w:val="00D0502B"/>
    <w:rsid w:val="00D07356"/>
    <w:rsid w:val="00D101EE"/>
    <w:rsid w:val="00D11141"/>
    <w:rsid w:val="00D13DD3"/>
    <w:rsid w:val="00D146EE"/>
    <w:rsid w:val="00D14FA2"/>
    <w:rsid w:val="00D15AEA"/>
    <w:rsid w:val="00D16EF9"/>
    <w:rsid w:val="00D17352"/>
    <w:rsid w:val="00D20E1B"/>
    <w:rsid w:val="00D22421"/>
    <w:rsid w:val="00D23D10"/>
    <w:rsid w:val="00D23D98"/>
    <w:rsid w:val="00D2472C"/>
    <w:rsid w:val="00D25D87"/>
    <w:rsid w:val="00D26242"/>
    <w:rsid w:val="00D266B6"/>
    <w:rsid w:val="00D271AD"/>
    <w:rsid w:val="00D3152F"/>
    <w:rsid w:val="00D32154"/>
    <w:rsid w:val="00D36ED0"/>
    <w:rsid w:val="00D3759B"/>
    <w:rsid w:val="00D4159D"/>
    <w:rsid w:val="00D4297F"/>
    <w:rsid w:val="00D4331E"/>
    <w:rsid w:val="00D45B62"/>
    <w:rsid w:val="00D46DFD"/>
    <w:rsid w:val="00D52E95"/>
    <w:rsid w:val="00D57417"/>
    <w:rsid w:val="00D57DD1"/>
    <w:rsid w:val="00D60AA9"/>
    <w:rsid w:val="00D620C3"/>
    <w:rsid w:val="00D62559"/>
    <w:rsid w:val="00D6422C"/>
    <w:rsid w:val="00D66A66"/>
    <w:rsid w:val="00D66DFE"/>
    <w:rsid w:val="00D6777A"/>
    <w:rsid w:val="00D7250B"/>
    <w:rsid w:val="00D7543F"/>
    <w:rsid w:val="00D77FDC"/>
    <w:rsid w:val="00D8048E"/>
    <w:rsid w:val="00D80DB8"/>
    <w:rsid w:val="00D826F5"/>
    <w:rsid w:val="00D828DD"/>
    <w:rsid w:val="00D83B16"/>
    <w:rsid w:val="00D8441B"/>
    <w:rsid w:val="00D865B5"/>
    <w:rsid w:val="00D867ED"/>
    <w:rsid w:val="00D9061A"/>
    <w:rsid w:val="00D90E26"/>
    <w:rsid w:val="00D91394"/>
    <w:rsid w:val="00D91662"/>
    <w:rsid w:val="00D91B3F"/>
    <w:rsid w:val="00D9652E"/>
    <w:rsid w:val="00D9657A"/>
    <w:rsid w:val="00D96ABD"/>
    <w:rsid w:val="00D973CF"/>
    <w:rsid w:val="00D97F28"/>
    <w:rsid w:val="00DA0AC0"/>
    <w:rsid w:val="00DA3BBB"/>
    <w:rsid w:val="00DA5D49"/>
    <w:rsid w:val="00DB25FC"/>
    <w:rsid w:val="00DB2C39"/>
    <w:rsid w:val="00DB3CED"/>
    <w:rsid w:val="00DB40C1"/>
    <w:rsid w:val="00DB4BA5"/>
    <w:rsid w:val="00DB5BC4"/>
    <w:rsid w:val="00DB5D9A"/>
    <w:rsid w:val="00DB60DA"/>
    <w:rsid w:val="00DB6869"/>
    <w:rsid w:val="00DB6905"/>
    <w:rsid w:val="00DB6E93"/>
    <w:rsid w:val="00DC05ED"/>
    <w:rsid w:val="00DC12AA"/>
    <w:rsid w:val="00DC1DA3"/>
    <w:rsid w:val="00DC41B0"/>
    <w:rsid w:val="00DC46D2"/>
    <w:rsid w:val="00DD04E3"/>
    <w:rsid w:val="00DD29E2"/>
    <w:rsid w:val="00DD5FAD"/>
    <w:rsid w:val="00DD65A9"/>
    <w:rsid w:val="00DE0091"/>
    <w:rsid w:val="00DE14CC"/>
    <w:rsid w:val="00DE28D1"/>
    <w:rsid w:val="00DE49DA"/>
    <w:rsid w:val="00DE64A0"/>
    <w:rsid w:val="00DE6618"/>
    <w:rsid w:val="00DE6662"/>
    <w:rsid w:val="00DE7624"/>
    <w:rsid w:val="00DF2462"/>
    <w:rsid w:val="00DF283C"/>
    <w:rsid w:val="00DF5F3B"/>
    <w:rsid w:val="00DF7C88"/>
    <w:rsid w:val="00E009A6"/>
    <w:rsid w:val="00E00D58"/>
    <w:rsid w:val="00E01E3E"/>
    <w:rsid w:val="00E0276E"/>
    <w:rsid w:val="00E03FD9"/>
    <w:rsid w:val="00E045FF"/>
    <w:rsid w:val="00E04B0C"/>
    <w:rsid w:val="00E051E1"/>
    <w:rsid w:val="00E05DF5"/>
    <w:rsid w:val="00E068CF"/>
    <w:rsid w:val="00E07D1D"/>
    <w:rsid w:val="00E11063"/>
    <w:rsid w:val="00E11832"/>
    <w:rsid w:val="00E11A8B"/>
    <w:rsid w:val="00E12735"/>
    <w:rsid w:val="00E1292D"/>
    <w:rsid w:val="00E13DA1"/>
    <w:rsid w:val="00E1404F"/>
    <w:rsid w:val="00E15466"/>
    <w:rsid w:val="00E15A67"/>
    <w:rsid w:val="00E15D03"/>
    <w:rsid w:val="00E15E9B"/>
    <w:rsid w:val="00E164C8"/>
    <w:rsid w:val="00E20596"/>
    <w:rsid w:val="00E20F03"/>
    <w:rsid w:val="00E21C02"/>
    <w:rsid w:val="00E2223A"/>
    <w:rsid w:val="00E2240E"/>
    <w:rsid w:val="00E22FF7"/>
    <w:rsid w:val="00E24BDD"/>
    <w:rsid w:val="00E25ED6"/>
    <w:rsid w:val="00E27C90"/>
    <w:rsid w:val="00E311EA"/>
    <w:rsid w:val="00E31A44"/>
    <w:rsid w:val="00E323CC"/>
    <w:rsid w:val="00E33263"/>
    <w:rsid w:val="00E339BD"/>
    <w:rsid w:val="00E36221"/>
    <w:rsid w:val="00E36C2D"/>
    <w:rsid w:val="00E36E5E"/>
    <w:rsid w:val="00E3716E"/>
    <w:rsid w:val="00E435DF"/>
    <w:rsid w:val="00E44AC4"/>
    <w:rsid w:val="00E45B67"/>
    <w:rsid w:val="00E46350"/>
    <w:rsid w:val="00E464A8"/>
    <w:rsid w:val="00E46CF8"/>
    <w:rsid w:val="00E51D96"/>
    <w:rsid w:val="00E5221C"/>
    <w:rsid w:val="00E52988"/>
    <w:rsid w:val="00E53440"/>
    <w:rsid w:val="00E555D4"/>
    <w:rsid w:val="00E57A61"/>
    <w:rsid w:val="00E60212"/>
    <w:rsid w:val="00E607D4"/>
    <w:rsid w:val="00E63531"/>
    <w:rsid w:val="00E63ACE"/>
    <w:rsid w:val="00E63E7E"/>
    <w:rsid w:val="00E64CA9"/>
    <w:rsid w:val="00E64D64"/>
    <w:rsid w:val="00E661FE"/>
    <w:rsid w:val="00E675A3"/>
    <w:rsid w:val="00E70BD0"/>
    <w:rsid w:val="00E72D96"/>
    <w:rsid w:val="00E73649"/>
    <w:rsid w:val="00E741E9"/>
    <w:rsid w:val="00E75001"/>
    <w:rsid w:val="00E75CFF"/>
    <w:rsid w:val="00E768E6"/>
    <w:rsid w:val="00E85BFA"/>
    <w:rsid w:val="00E914F8"/>
    <w:rsid w:val="00E91AF2"/>
    <w:rsid w:val="00E93BED"/>
    <w:rsid w:val="00E95015"/>
    <w:rsid w:val="00E952BF"/>
    <w:rsid w:val="00E969E4"/>
    <w:rsid w:val="00EA038E"/>
    <w:rsid w:val="00EA1754"/>
    <w:rsid w:val="00EA2405"/>
    <w:rsid w:val="00EA2C55"/>
    <w:rsid w:val="00EA3C36"/>
    <w:rsid w:val="00EA4643"/>
    <w:rsid w:val="00EA7381"/>
    <w:rsid w:val="00EB1668"/>
    <w:rsid w:val="00EB47AF"/>
    <w:rsid w:val="00EB6902"/>
    <w:rsid w:val="00EB7091"/>
    <w:rsid w:val="00EB73EC"/>
    <w:rsid w:val="00EC0772"/>
    <w:rsid w:val="00EC2374"/>
    <w:rsid w:val="00EC3575"/>
    <w:rsid w:val="00EC6B0B"/>
    <w:rsid w:val="00EC7A06"/>
    <w:rsid w:val="00ED07B0"/>
    <w:rsid w:val="00ED0BBA"/>
    <w:rsid w:val="00ED2557"/>
    <w:rsid w:val="00ED2572"/>
    <w:rsid w:val="00ED287C"/>
    <w:rsid w:val="00ED4EFE"/>
    <w:rsid w:val="00ED5A6B"/>
    <w:rsid w:val="00ED7648"/>
    <w:rsid w:val="00EE0839"/>
    <w:rsid w:val="00EE2357"/>
    <w:rsid w:val="00EE2AB1"/>
    <w:rsid w:val="00EE2C6F"/>
    <w:rsid w:val="00EE3B35"/>
    <w:rsid w:val="00EE578B"/>
    <w:rsid w:val="00EE5A71"/>
    <w:rsid w:val="00EE726E"/>
    <w:rsid w:val="00EE783F"/>
    <w:rsid w:val="00EF08AE"/>
    <w:rsid w:val="00EF267F"/>
    <w:rsid w:val="00EF2F44"/>
    <w:rsid w:val="00EF4326"/>
    <w:rsid w:val="00F0101B"/>
    <w:rsid w:val="00F01CF8"/>
    <w:rsid w:val="00F022E1"/>
    <w:rsid w:val="00F03C88"/>
    <w:rsid w:val="00F046DE"/>
    <w:rsid w:val="00F04A7A"/>
    <w:rsid w:val="00F04EA8"/>
    <w:rsid w:val="00F05A62"/>
    <w:rsid w:val="00F0788A"/>
    <w:rsid w:val="00F07A80"/>
    <w:rsid w:val="00F1073F"/>
    <w:rsid w:val="00F1094E"/>
    <w:rsid w:val="00F10E7C"/>
    <w:rsid w:val="00F112A7"/>
    <w:rsid w:val="00F12183"/>
    <w:rsid w:val="00F13646"/>
    <w:rsid w:val="00F13D83"/>
    <w:rsid w:val="00F1439B"/>
    <w:rsid w:val="00F14BD2"/>
    <w:rsid w:val="00F162A5"/>
    <w:rsid w:val="00F1758D"/>
    <w:rsid w:val="00F1782D"/>
    <w:rsid w:val="00F17BA1"/>
    <w:rsid w:val="00F20068"/>
    <w:rsid w:val="00F20350"/>
    <w:rsid w:val="00F2369F"/>
    <w:rsid w:val="00F264C4"/>
    <w:rsid w:val="00F30B78"/>
    <w:rsid w:val="00F30DF8"/>
    <w:rsid w:val="00F30E89"/>
    <w:rsid w:val="00F31B0F"/>
    <w:rsid w:val="00F324EC"/>
    <w:rsid w:val="00F337C6"/>
    <w:rsid w:val="00F3481E"/>
    <w:rsid w:val="00F360CF"/>
    <w:rsid w:val="00F42B25"/>
    <w:rsid w:val="00F44C7B"/>
    <w:rsid w:val="00F44FF0"/>
    <w:rsid w:val="00F453D2"/>
    <w:rsid w:val="00F47C71"/>
    <w:rsid w:val="00F50E3E"/>
    <w:rsid w:val="00F51E6D"/>
    <w:rsid w:val="00F52444"/>
    <w:rsid w:val="00F53D2B"/>
    <w:rsid w:val="00F54166"/>
    <w:rsid w:val="00F54384"/>
    <w:rsid w:val="00F54B85"/>
    <w:rsid w:val="00F55714"/>
    <w:rsid w:val="00F56987"/>
    <w:rsid w:val="00F57C49"/>
    <w:rsid w:val="00F6075E"/>
    <w:rsid w:val="00F64607"/>
    <w:rsid w:val="00F65463"/>
    <w:rsid w:val="00F71482"/>
    <w:rsid w:val="00F74727"/>
    <w:rsid w:val="00F74D91"/>
    <w:rsid w:val="00F7597F"/>
    <w:rsid w:val="00F765E5"/>
    <w:rsid w:val="00F80469"/>
    <w:rsid w:val="00F806F9"/>
    <w:rsid w:val="00F813BD"/>
    <w:rsid w:val="00F815D0"/>
    <w:rsid w:val="00F8231B"/>
    <w:rsid w:val="00F83D01"/>
    <w:rsid w:val="00F83D76"/>
    <w:rsid w:val="00F846DB"/>
    <w:rsid w:val="00F84709"/>
    <w:rsid w:val="00F8729E"/>
    <w:rsid w:val="00F879A8"/>
    <w:rsid w:val="00F87CBF"/>
    <w:rsid w:val="00F87E4C"/>
    <w:rsid w:val="00F90054"/>
    <w:rsid w:val="00F909CB"/>
    <w:rsid w:val="00F91647"/>
    <w:rsid w:val="00F91676"/>
    <w:rsid w:val="00F919CC"/>
    <w:rsid w:val="00F92FB7"/>
    <w:rsid w:val="00F94BE7"/>
    <w:rsid w:val="00F94CC4"/>
    <w:rsid w:val="00FA06B8"/>
    <w:rsid w:val="00FA16BC"/>
    <w:rsid w:val="00FA18A4"/>
    <w:rsid w:val="00FA19C9"/>
    <w:rsid w:val="00FA1B2C"/>
    <w:rsid w:val="00FA23E7"/>
    <w:rsid w:val="00FA2F37"/>
    <w:rsid w:val="00FA41CD"/>
    <w:rsid w:val="00FA5AA7"/>
    <w:rsid w:val="00FA7356"/>
    <w:rsid w:val="00FB1414"/>
    <w:rsid w:val="00FB20FF"/>
    <w:rsid w:val="00FB217A"/>
    <w:rsid w:val="00FB4273"/>
    <w:rsid w:val="00FB49FB"/>
    <w:rsid w:val="00FB745E"/>
    <w:rsid w:val="00FB7E47"/>
    <w:rsid w:val="00FC0086"/>
    <w:rsid w:val="00FC0B14"/>
    <w:rsid w:val="00FC1FE1"/>
    <w:rsid w:val="00FC2A4A"/>
    <w:rsid w:val="00FC3C8B"/>
    <w:rsid w:val="00FC49E7"/>
    <w:rsid w:val="00FC527A"/>
    <w:rsid w:val="00FC665B"/>
    <w:rsid w:val="00FC712C"/>
    <w:rsid w:val="00FD05B0"/>
    <w:rsid w:val="00FD1DD4"/>
    <w:rsid w:val="00FD21B4"/>
    <w:rsid w:val="00FD3502"/>
    <w:rsid w:val="00FD37D1"/>
    <w:rsid w:val="00FD4324"/>
    <w:rsid w:val="00FD49A6"/>
    <w:rsid w:val="00FD6810"/>
    <w:rsid w:val="00FD6869"/>
    <w:rsid w:val="00FD7BE3"/>
    <w:rsid w:val="00FD7DCE"/>
    <w:rsid w:val="00FD7DFA"/>
    <w:rsid w:val="00FE198F"/>
    <w:rsid w:val="00FE3E12"/>
    <w:rsid w:val="00FE49E8"/>
    <w:rsid w:val="00FE4CFE"/>
    <w:rsid w:val="00FE4E64"/>
    <w:rsid w:val="00FE752B"/>
    <w:rsid w:val="00FF147B"/>
    <w:rsid w:val="00FF1677"/>
    <w:rsid w:val="00FF1CD7"/>
    <w:rsid w:val="00FF1E9D"/>
    <w:rsid w:val="00FF2AA8"/>
    <w:rsid w:val="00FF44C9"/>
    <w:rsid w:val="00FF4F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ED2"/>
    <w:pPr>
      <w:spacing w:line="288" w:lineRule="auto"/>
      <w:jc w:val="both"/>
    </w:pPr>
    <w:rPr>
      <w:sz w:val="22"/>
      <w:szCs w:val="22"/>
      <w:lang w:bidi="da-DK"/>
    </w:rPr>
  </w:style>
  <w:style w:type="paragraph" w:styleId="Heading1">
    <w:name w:val="heading 1"/>
    <w:basedOn w:val="Normal"/>
    <w:next w:val="Normal"/>
    <w:link w:val="Heading1Char"/>
    <w:qFormat/>
    <w:rsid w:val="009E5ED2"/>
    <w:pPr>
      <w:numPr>
        <w:numId w:val="1"/>
      </w:numPr>
      <w:ind w:left="720" w:hanging="720"/>
      <w:outlineLvl w:val="0"/>
    </w:pPr>
    <w:rPr>
      <w:kern w:val="28"/>
    </w:rPr>
  </w:style>
  <w:style w:type="paragraph" w:styleId="Heading2">
    <w:name w:val="heading 2"/>
    <w:basedOn w:val="Normal"/>
    <w:next w:val="Normal"/>
    <w:link w:val="Heading2Char"/>
    <w:qFormat/>
    <w:rsid w:val="009E5ED2"/>
    <w:pPr>
      <w:numPr>
        <w:ilvl w:val="1"/>
        <w:numId w:val="1"/>
      </w:numPr>
      <w:outlineLvl w:val="1"/>
    </w:pPr>
  </w:style>
  <w:style w:type="paragraph" w:styleId="Heading3">
    <w:name w:val="heading 3"/>
    <w:basedOn w:val="Normal"/>
    <w:next w:val="Normal"/>
    <w:qFormat/>
    <w:rsid w:val="009E5ED2"/>
    <w:pPr>
      <w:numPr>
        <w:ilvl w:val="2"/>
        <w:numId w:val="1"/>
      </w:numPr>
      <w:ind w:left="720" w:hanging="720"/>
      <w:outlineLvl w:val="2"/>
    </w:pPr>
  </w:style>
  <w:style w:type="paragraph" w:styleId="Heading4">
    <w:name w:val="heading 4"/>
    <w:basedOn w:val="Normal"/>
    <w:next w:val="Normal"/>
    <w:qFormat/>
    <w:rsid w:val="009E5ED2"/>
    <w:pPr>
      <w:numPr>
        <w:ilvl w:val="3"/>
        <w:numId w:val="1"/>
      </w:numPr>
      <w:ind w:left="720" w:hanging="720"/>
      <w:outlineLvl w:val="3"/>
    </w:pPr>
  </w:style>
  <w:style w:type="paragraph" w:styleId="Heading5">
    <w:name w:val="heading 5"/>
    <w:basedOn w:val="Normal"/>
    <w:next w:val="Normal"/>
    <w:qFormat/>
    <w:rsid w:val="009E5ED2"/>
    <w:pPr>
      <w:numPr>
        <w:ilvl w:val="4"/>
        <w:numId w:val="1"/>
      </w:numPr>
      <w:ind w:left="720" w:hanging="720"/>
      <w:outlineLvl w:val="4"/>
    </w:pPr>
  </w:style>
  <w:style w:type="paragraph" w:styleId="Heading6">
    <w:name w:val="heading 6"/>
    <w:basedOn w:val="Normal"/>
    <w:next w:val="Normal"/>
    <w:qFormat/>
    <w:rsid w:val="009E5ED2"/>
    <w:pPr>
      <w:numPr>
        <w:ilvl w:val="5"/>
        <w:numId w:val="1"/>
      </w:numPr>
      <w:ind w:left="720" w:hanging="720"/>
      <w:outlineLvl w:val="5"/>
    </w:pPr>
  </w:style>
  <w:style w:type="paragraph" w:styleId="Heading7">
    <w:name w:val="heading 7"/>
    <w:basedOn w:val="Normal"/>
    <w:next w:val="Normal"/>
    <w:qFormat/>
    <w:rsid w:val="009E5ED2"/>
    <w:pPr>
      <w:numPr>
        <w:ilvl w:val="6"/>
        <w:numId w:val="1"/>
      </w:numPr>
      <w:ind w:left="720" w:hanging="720"/>
      <w:outlineLvl w:val="6"/>
    </w:pPr>
  </w:style>
  <w:style w:type="paragraph" w:styleId="Heading8">
    <w:name w:val="heading 8"/>
    <w:basedOn w:val="Normal"/>
    <w:next w:val="Normal"/>
    <w:qFormat/>
    <w:rsid w:val="009E5ED2"/>
    <w:pPr>
      <w:numPr>
        <w:ilvl w:val="7"/>
        <w:numId w:val="1"/>
      </w:numPr>
      <w:ind w:left="720" w:hanging="720"/>
      <w:outlineLvl w:val="7"/>
    </w:pPr>
  </w:style>
  <w:style w:type="paragraph" w:styleId="Heading9">
    <w:name w:val="heading 9"/>
    <w:basedOn w:val="Normal"/>
    <w:next w:val="Normal"/>
    <w:qFormat/>
    <w:rsid w:val="009E5ED2"/>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2BFA"/>
    <w:rPr>
      <w:kern w:val="28"/>
      <w:sz w:val="22"/>
      <w:szCs w:val="22"/>
      <w:lang w:val="da-DK" w:eastAsia="da-DK"/>
    </w:rPr>
  </w:style>
  <w:style w:type="character" w:customStyle="1" w:styleId="Heading2Char">
    <w:name w:val="Heading 2 Char"/>
    <w:link w:val="Heading2"/>
    <w:rsid w:val="00027834"/>
    <w:rPr>
      <w:sz w:val="22"/>
      <w:szCs w:val="22"/>
      <w:lang w:bidi="da-DK"/>
    </w:rPr>
  </w:style>
  <w:style w:type="paragraph" w:styleId="Footer">
    <w:name w:val="footer"/>
    <w:basedOn w:val="Normal"/>
    <w:qFormat/>
    <w:rsid w:val="009E5ED2"/>
  </w:style>
  <w:style w:type="paragraph" w:styleId="FootnoteText">
    <w:name w:val="footnote text"/>
    <w:basedOn w:val="Normal"/>
    <w:link w:val="FootnoteTextChar"/>
    <w:qFormat/>
    <w:rsid w:val="009E5ED2"/>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da-DK" w:eastAsia="da-DK"/>
    </w:rPr>
  </w:style>
  <w:style w:type="paragraph" w:styleId="Header">
    <w:name w:val="header"/>
    <w:basedOn w:val="Normal"/>
    <w:qFormat/>
    <w:rsid w:val="009E5ED2"/>
  </w:style>
  <w:style w:type="paragraph" w:customStyle="1" w:styleId="quotes">
    <w:name w:val="quotes"/>
    <w:basedOn w:val="Normal"/>
    <w:next w:val="Normal"/>
    <w:rsid w:val="009E5ED2"/>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9E5ED2"/>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da-DK" w:eastAsia="da-DK"/>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rsid w:val="009E696E"/>
    <w:rPr>
      <w:rFonts w:ascii="Segoe UI" w:hAnsi="Segoe UI" w:cs="Segoe UI"/>
      <w:lang w:val="da-DK" w:eastAsia="da-DK"/>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da-DK" w:eastAsia="da-DK"/>
    </w:rPr>
  </w:style>
  <w:style w:type="paragraph" w:styleId="Revision">
    <w:name w:val="Revision"/>
    <w:hidden/>
    <w:uiPriority w:val="99"/>
    <w:semiHidden/>
    <w:rsid w:val="00744027"/>
    <w:rPr>
      <w:rFonts w:ascii="Segoe UI" w:hAnsi="Segoe UI" w:cs="Segoe UI"/>
      <w:szCs w:val="18"/>
      <w:lang w:bidi="da-DK"/>
    </w:rPr>
  </w:style>
  <w:style w:type="paragraph" w:styleId="TOC1">
    <w:name w:val="toc 1"/>
    <w:basedOn w:val="Normal"/>
    <w:next w:val="Normal"/>
    <w:autoRedefine/>
    <w:uiPriority w:val="39"/>
    <w:unhideWhenUsed/>
    <w:rsid w:val="003F4305"/>
    <w:pPr>
      <w:tabs>
        <w:tab w:val="left" w:pos="284"/>
        <w:tab w:val="right" w:leader="dot" w:pos="9063"/>
      </w:tabs>
      <w:spacing w:after="100" w:line="276" w:lineRule="auto"/>
    </w:pPr>
    <w:rPr>
      <w:rFonts w:ascii="Segoe UI" w:hAnsi="Segoe UI" w:cs="Segoe UI"/>
      <w:b/>
      <w:color w:val="4472C4"/>
    </w:r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character" w:styleId="CommentReference">
    <w:name w:val="annotation reference"/>
    <w:uiPriority w:val="99"/>
    <w:semiHidden/>
    <w:unhideWhenUsed/>
    <w:rPr>
      <w:sz w:val="16"/>
      <w:szCs w:val="16"/>
    </w:rPr>
  </w:style>
  <w:style w:type="character" w:styleId="FollowedHyperlink">
    <w:name w:val="FollowedHyperlink"/>
    <w:semiHidden/>
    <w:unhideWhenUsed/>
    <w:rsid w:val="002F66A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ED2"/>
    <w:pPr>
      <w:spacing w:line="288" w:lineRule="auto"/>
      <w:jc w:val="both"/>
    </w:pPr>
    <w:rPr>
      <w:sz w:val="22"/>
      <w:szCs w:val="22"/>
      <w:lang w:bidi="da-DK"/>
    </w:rPr>
  </w:style>
  <w:style w:type="paragraph" w:styleId="Heading1">
    <w:name w:val="heading 1"/>
    <w:basedOn w:val="Normal"/>
    <w:next w:val="Normal"/>
    <w:link w:val="Heading1Char"/>
    <w:qFormat/>
    <w:rsid w:val="009E5ED2"/>
    <w:pPr>
      <w:numPr>
        <w:numId w:val="1"/>
      </w:numPr>
      <w:ind w:left="720" w:hanging="720"/>
      <w:outlineLvl w:val="0"/>
    </w:pPr>
    <w:rPr>
      <w:kern w:val="28"/>
    </w:rPr>
  </w:style>
  <w:style w:type="paragraph" w:styleId="Heading2">
    <w:name w:val="heading 2"/>
    <w:basedOn w:val="Normal"/>
    <w:next w:val="Normal"/>
    <w:link w:val="Heading2Char"/>
    <w:qFormat/>
    <w:rsid w:val="009E5ED2"/>
    <w:pPr>
      <w:numPr>
        <w:ilvl w:val="1"/>
        <w:numId w:val="1"/>
      </w:numPr>
      <w:outlineLvl w:val="1"/>
    </w:pPr>
  </w:style>
  <w:style w:type="paragraph" w:styleId="Heading3">
    <w:name w:val="heading 3"/>
    <w:basedOn w:val="Normal"/>
    <w:next w:val="Normal"/>
    <w:qFormat/>
    <w:rsid w:val="009E5ED2"/>
    <w:pPr>
      <w:numPr>
        <w:ilvl w:val="2"/>
        <w:numId w:val="1"/>
      </w:numPr>
      <w:ind w:left="720" w:hanging="720"/>
      <w:outlineLvl w:val="2"/>
    </w:pPr>
  </w:style>
  <w:style w:type="paragraph" w:styleId="Heading4">
    <w:name w:val="heading 4"/>
    <w:basedOn w:val="Normal"/>
    <w:next w:val="Normal"/>
    <w:qFormat/>
    <w:rsid w:val="009E5ED2"/>
    <w:pPr>
      <w:numPr>
        <w:ilvl w:val="3"/>
        <w:numId w:val="1"/>
      </w:numPr>
      <w:ind w:left="720" w:hanging="720"/>
      <w:outlineLvl w:val="3"/>
    </w:pPr>
  </w:style>
  <w:style w:type="paragraph" w:styleId="Heading5">
    <w:name w:val="heading 5"/>
    <w:basedOn w:val="Normal"/>
    <w:next w:val="Normal"/>
    <w:qFormat/>
    <w:rsid w:val="009E5ED2"/>
    <w:pPr>
      <w:numPr>
        <w:ilvl w:val="4"/>
        <w:numId w:val="1"/>
      </w:numPr>
      <w:ind w:left="720" w:hanging="720"/>
      <w:outlineLvl w:val="4"/>
    </w:pPr>
  </w:style>
  <w:style w:type="paragraph" w:styleId="Heading6">
    <w:name w:val="heading 6"/>
    <w:basedOn w:val="Normal"/>
    <w:next w:val="Normal"/>
    <w:qFormat/>
    <w:rsid w:val="009E5ED2"/>
    <w:pPr>
      <w:numPr>
        <w:ilvl w:val="5"/>
        <w:numId w:val="1"/>
      </w:numPr>
      <w:ind w:left="720" w:hanging="720"/>
      <w:outlineLvl w:val="5"/>
    </w:pPr>
  </w:style>
  <w:style w:type="paragraph" w:styleId="Heading7">
    <w:name w:val="heading 7"/>
    <w:basedOn w:val="Normal"/>
    <w:next w:val="Normal"/>
    <w:qFormat/>
    <w:rsid w:val="009E5ED2"/>
    <w:pPr>
      <w:numPr>
        <w:ilvl w:val="6"/>
        <w:numId w:val="1"/>
      </w:numPr>
      <w:ind w:left="720" w:hanging="720"/>
      <w:outlineLvl w:val="6"/>
    </w:pPr>
  </w:style>
  <w:style w:type="paragraph" w:styleId="Heading8">
    <w:name w:val="heading 8"/>
    <w:basedOn w:val="Normal"/>
    <w:next w:val="Normal"/>
    <w:qFormat/>
    <w:rsid w:val="009E5ED2"/>
    <w:pPr>
      <w:numPr>
        <w:ilvl w:val="7"/>
        <w:numId w:val="1"/>
      </w:numPr>
      <w:ind w:left="720" w:hanging="720"/>
      <w:outlineLvl w:val="7"/>
    </w:pPr>
  </w:style>
  <w:style w:type="paragraph" w:styleId="Heading9">
    <w:name w:val="heading 9"/>
    <w:basedOn w:val="Normal"/>
    <w:next w:val="Normal"/>
    <w:qFormat/>
    <w:rsid w:val="009E5ED2"/>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2BFA"/>
    <w:rPr>
      <w:kern w:val="28"/>
      <w:sz w:val="22"/>
      <w:szCs w:val="22"/>
      <w:lang w:val="da-DK" w:eastAsia="da-DK"/>
    </w:rPr>
  </w:style>
  <w:style w:type="character" w:customStyle="1" w:styleId="Heading2Char">
    <w:name w:val="Heading 2 Char"/>
    <w:link w:val="Heading2"/>
    <w:rsid w:val="00027834"/>
    <w:rPr>
      <w:sz w:val="22"/>
      <w:szCs w:val="22"/>
      <w:lang w:bidi="da-DK"/>
    </w:rPr>
  </w:style>
  <w:style w:type="paragraph" w:styleId="Footer">
    <w:name w:val="footer"/>
    <w:basedOn w:val="Normal"/>
    <w:qFormat/>
    <w:rsid w:val="009E5ED2"/>
  </w:style>
  <w:style w:type="paragraph" w:styleId="FootnoteText">
    <w:name w:val="footnote text"/>
    <w:basedOn w:val="Normal"/>
    <w:link w:val="FootnoteTextChar"/>
    <w:qFormat/>
    <w:rsid w:val="009E5ED2"/>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da-DK" w:eastAsia="da-DK"/>
    </w:rPr>
  </w:style>
  <w:style w:type="paragraph" w:styleId="Header">
    <w:name w:val="header"/>
    <w:basedOn w:val="Normal"/>
    <w:qFormat/>
    <w:rsid w:val="009E5ED2"/>
  </w:style>
  <w:style w:type="paragraph" w:customStyle="1" w:styleId="quotes">
    <w:name w:val="quotes"/>
    <w:basedOn w:val="Normal"/>
    <w:next w:val="Normal"/>
    <w:rsid w:val="009E5ED2"/>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9E5ED2"/>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da-DK" w:eastAsia="da-DK"/>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rsid w:val="009E696E"/>
    <w:rPr>
      <w:rFonts w:ascii="Segoe UI" w:hAnsi="Segoe UI" w:cs="Segoe UI"/>
      <w:lang w:val="da-DK" w:eastAsia="da-DK"/>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da-DK" w:eastAsia="da-DK"/>
    </w:rPr>
  </w:style>
  <w:style w:type="paragraph" w:styleId="Revision">
    <w:name w:val="Revision"/>
    <w:hidden/>
    <w:uiPriority w:val="99"/>
    <w:semiHidden/>
    <w:rsid w:val="00744027"/>
    <w:rPr>
      <w:rFonts w:ascii="Segoe UI" w:hAnsi="Segoe UI" w:cs="Segoe UI"/>
      <w:szCs w:val="18"/>
      <w:lang w:bidi="da-DK"/>
    </w:rPr>
  </w:style>
  <w:style w:type="paragraph" w:styleId="TOC1">
    <w:name w:val="toc 1"/>
    <w:basedOn w:val="Normal"/>
    <w:next w:val="Normal"/>
    <w:autoRedefine/>
    <w:uiPriority w:val="39"/>
    <w:unhideWhenUsed/>
    <w:rsid w:val="003F4305"/>
    <w:pPr>
      <w:tabs>
        <w:tab w:val="left" w:pos="284"/>
        <w:tab w:val="right" w:leader="dot" w:pos="9063"/>
      </w:tabs>
      <w:spacing w:after="100" w:line="276" w:lineRule="auto"/>
    </w:pPr>
    <w:rPr>
      <w:rFonts w:ascii="Segoe UI" w:hAnsi="Segoe UI" w:cs="Segoe UI"/>
      <w:b/>
      <w:color w:val="4472C4"/>
    </w:r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character" w:styleId="CommentReference">
    <w:name w:val="annotation reference"/>
    <w:uiPriority w:val="99"/>
    <w:semiHidden/>
    <w:unhideWhenUsed/>
    <w:rPr>
      <w:sz w:val="16"/>
      <w:szCs w:val="16"/>
    </w:rPr>
  </w:style>
  <w:style w:type="character" w:styleId="FollowedHyperlink">
    <w:name w:val="FollowedHyperlink"/>
    <w:semiHidden/>
    <w:unhideWhenUsed/>
    <w:rsid w:val="002F66A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958">
      <w:bodyDiv w:val="1"/>
      <w:marLeft w:val="0"/>
      <w:marRight w:val="0"/>
      <w:marTop w:val="0"/>
      <w:marBottom w:val="0"/>
      <w:divBdr>
        <w:top w:val="none" w:sz="0" w:space="0" w:color="auto"/>
        <w:left w:val="none" w:sz="0" w:space="0" w:color="auto"/>
        <w:bottom w:val="none" w:sz="0" w:space="0" w:color="auto"/>
        <w:right w:val="none" w:sz="0" w:space="0" w:color="auto"/>
      </w:divBdr>
      <w:divsChild>
        <w:div w:id="989599072">
          <w:marLeft w:val="0"/>
          <w:marRight w:val="0"/>
          <w:marTop w:val="0"/>
          <w:marBottom w:val="0"/>
          <w:divBdr>
            <w:top w:val="none" w:sz="0" w:space="0" w:color="auto"/>
            <w:left w:val="none" w:sz="0" w:space="0" w:color="auto"/>
            <w:bottom w:val="none" w:sz="0" w:space="0" w:color="auto"/>
            <w:right w:val="none" w:sz="0" w:space="0" w:color="auto"/>
          </w:divBdr>
        </w:div>
        <w:div w:id="1565526820">
          <w:marLeft w:val="0"/>
          <w:marRight w:val="0"/>
          <w:marTop w:val="0"/>
          <w:marBottom w:val="0"/>
          <w:divBdr>
            <w:top w:val="none" w:sz="0" w:space="0" w:color="auto"/>
            <w:left w:val="none" w:sz="0" w:space="0" w:color="auto"/>
            <w:bottom w:val="none" w:sz="0" w:space="0" w:color="auto"/>
            <w:right w:val="none" w:sz="0" w:space="0" w:color="auto"/>
          </w:divBdr>
        </w:div>
        <w:div w:id="1981612767">
          <w:marLeft w:val="0"/>
          <w:marRight w:val="0"/>
          <w:marTop w:val="0"/>
          <w:marBottom w:val="0"/>
          <w:divBdr>
            <w:top w:val="none" w:sz="0" w:space="0" w:color="auto"/>
            <w:left w:val="none" w:sz="0" w:space="0" w:color="auto"/>
            <w:bottom w:val="none" w:sz="0" w:space="0" w:color="auto"/>
            <w:right w:val="none" w:sz="0" w:space="0" w:color="auto"/>
          </w:divBdr>
        </w:div>
      </w:divsChild>
    </w:div>
    <w:div w:id="69929525">
      <w:bodyDiv w:val="1"/>
      <w:marLeft w:val="0"/>
      <w:marRight w:val="0"/>
      <w:marTop w:val="0"/>
      <w:marBottom w:val="0"/>
      <w:divBdr>
        <w:top w:val="none" w:sz="0" w:space="0" w:color="auto"/>
        <w:left w:val="none" w:sz="0" w:space="0" w:color="auto"/>
        <w:bottom w:val="none" w:sz="0" w:space="0" w:color="auto"/>
        <w:right w:val="none" w:sz="0" w:space="0" w:color="auto"/>
      </w:divBdr>
    </w:div>
    <w:div w:id="169613180">
      <w:bodyDiv w:val="1"/>
      <w:marLeft w:val="0"/>
      <w:marRight w:val="0"/>
      <w:marTop w:val="0"/>
      <w:marBottom w:val="0"/>
      <w:divBdr>
        <w:top w:val="none" w:sz="0" w:space="0" w:color="auto"/>
        <w:left w:val="none" w:sz="0" w:space="0" w:color="auto"/>
        <w:bottom w:val="none" w:sz="0" w:space="0" w:color="auto"/>
        <w:right w:val="none" w:sz="0" w:space="0" w:color="auto"/>
      </w:divBdr>
    </w:div>
    <w:div w:id="210311303">
      <w:bodyDiv w:val="1"/>
      <w:marLeft w:val="0"/>
      <w:marRight w:val="0"/>
      <w:marTop w:val="0"/>
      <w:marBottom w:val="0"/>
      <w:divBdr>
        <w:top w:val="none" w:sz="0" w:space="0" w:color="auto"/>
        <w:left w:val="none" w:sz="0" w:space="0" w:color="auto"/>
        <w:bottom w:val="none" w:sz="0" w:space="0" w:color="auto"/>
        <w:right w:val="none" w:sz="0" w:space="0" w:color="auto"/>
      </w:divBdr>
    </w:div>
    <w:div w:id="294482900">
      <w:bodyDiv w:val="1"/>
      <w:marLeft w:val="0"/>
      <w:marRight w:val="0"/>
      <w:marTop w:val="0"/>
      <w:marBottom w:val="0"/>
      <w:divBdr>
        <w:top w:val="none" w:sz="0" w:space="0" w:color="auto"/>
        <w:left w:val="none" w:sz="0" w:space="0" w:color="auto"/>
        <w:bottom w:val="none" w:sz="0" w:space="0" w:color="auto"/>
        <w:right w:val="none" w:sz="0" w:space="0" w:color="auto"/>
      </w:divBdr>
    </w:div>
    <w:div w:id="461770026">
      <w:bodyDiv w:val="1"/>
      <w:marLeft w:val="0"/>
      <w:marRight w:val="0"/>
      <w:marTop w:val="0"/>
      <w:marBottom w:val="0"/>
      <w:divBdr>
        <w:top w:val="none" w:sz="0" w:space="0" w:color="auto"/>
        <w:left w:val="none" w:sz="0" w:space="0" w:color="auto"/>
        <w:bottom w:val="none" w:sz="0" w:space="0" w:color="auto"/>
        <w:right w:val="none" w:sz="0" w:space="0" w:color="auto"/>
      </w:divBdr>
    </w:div>
    <w:div w:id="850148726">
      <w:bodyDiv w:val="1"/>
      <w:marLeft w:val="0"/>
      <w:marRight w:val="0"/>
      <w:marTop w:val="0"/>
      <w:marBottom w:val="0"/>
      <w:divBdr>
        <w:top w:val="none" w:sz="0" w:space="0" w:color="auto"/>
        <w:left w:val="none" w:sz="0" w:space="0" w:color="auto"/>
        <w:bottom w:val="none" w:sz="0" w:space="0" w:color="auto"/>
        <w:right w:val="none" w:sz="0" w:space="0" w:color="auto"/>
      </w:divBdr>
    </w:div>
    <w:div w:id="1007247986">
      <w:bodyDiv w:val="1"/>
      <w:marLeft w:val="0"/>
      <w:marRight w:val="0"/>
      <w:marTop w:val="0"/>
      <w:marBottom w:val="0"/>
      <w:divBdr>
        <w:top w:val="none" w:sz="0" w:space="0" w:color="auto"/>
        <w:left w:val="none" w:sz="0" w:space="0" w:color="auto"/>
        <w:bottom w:val="none" w:sz="0" w:space="0" w:color="auto"/>
        <w:right w:val="none" w:sz="0" w:space="0" w:color="auto"/>
      </w:divBdr>
      <w:divsChild>
        <w:div w:id="59642785">
          <w:marLeft w:val="0"/>
          <w:marRight w:val="0"/>
          <w:marTop w:val="0"/>
          <w:marBottom w:val="0"/>
          <w:divBdr>
            <w:top w:val="none" w:sz="0" w:space="0" w:color="auto"/>
            <w:left w:val="none" w:sz="0" w:space="0" w:color="auto"/>
            <w:bottom w:val="none" w:sz="0" w:space="0" w:color="auto"/>
            <w:right w:val="none" w:sz="0" w:space="0" w:color="auto"/>
          </w:divBdr>
        </w:div>
        <w:div w:id="651757228">
          <w:marLeft w:val="0"/>
          <w:marRight w:val="0"/>
          <w:marTop w:val="0"/>
          <w:marBottom w:val="0"/>
          <w:divBdr>
            <w:top w:val="none" w:sz="0" w:space="0" w:color="auto"/>
            <w:left w:val="none" w:sz="0" w:space="0" w:color="auto"/>
            <w:bottom w:val="none" w:sz="0" w:space="0" w:color="auto"/>
            <w:right w:val="none" w:sz="0" w:space="0" w:color="auto"/>
          </w:divBdr>
        </w:div>
        <w:div w:id="985742801">
          <w:marLeft w:val="0"/>
          <w:marRight w:val="0"/>
          <w:marTop w:val="0"/>
          <w:marBottom w:val="0"/>
          <w:divBdr>
            <w:top w:val="none" w:sz="0" w:space="0" w:color="auto"/>
            <w:left w:val="none" w:sz="0" w:space="0" w:color="auto"/>
            <w:bottom w:val="none" w:sz="0" w:space="0" w:color="auto"/>
            <w:right w:val="none" w:sz="0" w:space="0" w:color="auto"/>
          </w:divBdr>
        </w:div>
        <w:div w:id="1350260266">
          <w:marLeft w:val="0"/>
          <w:marRight w:val="0"/>
          <w:marTop w:val="0"/>
          <w:marBottom w:val="0"/>
          <w:divBdr>
            <w:top w:val="none" w:sz="0" w:space="0" w:color="auto"/>
            <w:left w:val="none" w:sz="0" w:space="0" w:color="auto"/>
            <w:bottom w:val="none" w:sz="0" w:space="0" w:color="auto"/>
            <w:right w:val="none" w:sz="0" w:space="0" w:color="auto"/>
          </w:divBdr>
        </w:div>
        <w:div w:id="1989627007">
          <w:marLeft w:val="0"/>
          <w:marRight w:val="0"/>
          <w:marTop w:val="0"/>
          <w:marBottom w:val="0"/>
          <w:divBdr>
            <w:top w:val="none" w:sz="0" w:space="0" w:color="auto"/>
            <w:left w:val="none" w:sz="0" w:space="0" w:color="auto"/>
            <w:bottom w:val="none" w:sz="0" w:space="0" w:color="auto"/>
            <w:right w:val="none" w:sz="0" w:space="0" w:color="auto"/>
          </w:divBdr>
        </w:div>
      </w:divsChild>
    </w:div>
    <w:div w:id="1038239251">
      <w:bodyDiv w:val="1"/>
      <w:marLeft w:val="0"/>
      <w:marRight w:val="0"/>
      <w:marTop w:val="0"/>
      <w:marBottom w:val="0"/>
      <w:divBdr>
        <w:top w:val="none" w:sz="0" w:space="0" w:color="auto"/>
        <w:left w:val="none" w:sz="0" w:space="0" w:color="auto"/>
        <w:bottom w:val="none" w:sz="0" w:space="0" w:color="auto"/>
        <w:right w:val="none" w:sz="0" w:space="0" w:color="auto"/>
      </w:divBdr>
    </w:div>
    <w:div w:id="1236739533">
      <w:bodyDiv w:val="1"/>
      <w:marLeft w:val="0"/>
      <w:marRight w:val="0"/>
      <w:marTop w:val="0"/>
      <w:marBottom w:val="0"/>
      <w:divBdr>
        <w:top w:val="none" w:sz="0" w:space="0" w:color="auto"/>
        <w:left w:val="none" w:sz="0" w:space="0" w:color="auto"/>
        <w:bottom w:val="none" w:sz="0" w:space="0" w:color="auto"/>
        <w:right w:val="none" w:sz="0" w:space="0" w:color="auto"/>
      </w:divBdr>
      <w:divsChild>
        <w:div w:id="3560815">
          <w:marLeft w:val="0"/>
          <w:marRight w:val="0"/>
          <w:marTop w:val="0"/>
          <w:marBottom w:val="0"/>
          <w:divBdr>
            <w:top w:val="none" w:sz="0" w:space="0" w:color="auto"/>
            <w:left w:val="none" w:sz="0" w:space="0" w:color="auto"/>
            <w:bottom w:val="none" w:sz="0" w:space="0" w:color="auto"/>
            <w:right w:val="none" w:sz="0" w:space="0" w:color="auto"/>
          </w:divBdr>
        </w:div>
        <w:div w:id="49694138">
          <w:marLeft w:val="0"/>
          <w:marRight w:val="0"/>
          <w:marTop w:val="0"/>
          <w:marBottom w:val="0"/>
          <w:divBdr>
            <w:top w:val="none" w:sz="0" w:space="0" w:color="auto"/>
            <w:left w:val="none" w:sz="0" w:space="0" w:color="auto"/>
            <w:bottom w:val="none" w:sz="0" w:space="0" w:color="auto"/>
            <w:right w:val="none" w:sz="0" w:space="0" w:color="auto"/>
          </w:divBdr>
        </w:div>
        <w:div w:id="156652325">
          <w:marLeft w:val="0"/>
          <w:marRight w:val="0"/>
          <w:marTop w:val="0"/>
          <w:marBottom w:val="0"/>
          <w:divBdr>
            <w:top w:val="none" w:sz="0" w:space="0" w:color="auto"/>
            <w:left w:val="none" w:sz="0" w:space="0" w:color="auto"/>
            <w:bottom w:val="none" w:sz="0" w:space="0" w:color="auto"/>
            <w:right w:val="none" w:sz="0" w:space="0" w:color="auto"/>
          </w:divBdr>
        </w:div>
        <w:div w:id="346174223">
          <w:marLeft w:val="0"/>
          <w:marRight w:val="0"/>
          <w:marTop w:val="0"/>
          <w:marBottom w:val="0"/>
          <w:divBdr>
            <w:top w:val="none" w:sz="0" w:space="0" w:color="auto"/>
            <w:left w:val="none" w:sz="0" w:space="0" w:color="auto"/>
            <w:bottom w:val="none" w:sz="0" w:space="0" w:color="auto"/>
            <w:right w:val="none" w:sz="0" w:space="0" w:color="auto"/>
          </w:divBdr>
        </w:div>
        <w:div w:id="683939547">
          <w:marLeft w:val="0"/>
          <w:marRight w:val="0"/>
          <w:marTop w:val="0"/>
          <w:marBottom w:val="0"/>
          <w:divBdr>
            <w:top w:val="none" w:sz="0" w:space="0" w:color="auto"/>
            <w:left w:val="none" w:sz="0" w:space="0" w:color="auto"/>
            <w:bottom w:val="none" w:sz="0" w:space="0" w:color="auto"/>
            <w:right w:val="none" w:sz="0" w:space="0" w:color="auto"/>
          </w:divBdr>
        </w:div>
        <w:div w:id="801969389">
          <w:marLeft w:val="0"/>
          <w:marRight w:val="0"/>
          <w:marTop w:val="0"/>
          <w:marBottom w:val="0"/>
          <w:divBdr>
            <w:top w:val="none" w:sz="0" w:space="0" w:color="auto"/>
            <w:left w:val="none" w:sz="0" w:space="0" w:color="auto"/>
            <w:bottom w:val="none" w:sz="0" w:space="0" w:color="auto"/>
            <w:right w:val="none" w:sz="0" w:space="0" w:color="auto"/>
          </w:divBdr>
        </w:div>
        <w:div w:id="1264340589">
          <w:marLeft w:val="0"/>
          <w:marRight w:val="0"/>
          <w:marTop w:val="0"/>
          <w:marBottom w:val="0"/>
          <w:divBdr>
            <w:top w:val="none" w:sz="0" w:space="0" w:color="auto"/>
            <w:left w:val="none" w:sz="0" w:space="0" w:color="auto"/>
            <w:bottom w:val="none" w:sz="0" w:space="0" w:color="auto"/>
            <w:right w:val="none" w:sz="0" w:space="0" w:color="auto"/>
          </w:divBdr>
        </w:div>
        <w:div w:id="1313145015">
          <w:marLeft w:val="0"/>
          <w:marRight w:val="0"/>
          <w:marTop w:val="0"/>
          <w:marBottom w:val="0"/>
          <w:divBdr>
            <w:top w:val="none" w:sz="0" w:space="0" w:color="auto"/>
            <w:left w:val="none" w:sz="0" w:space="0" w:color="auto"/>
            <w:bottom w:val="none" w:sz="0" w:space="0" w:color="auto"/>
            <w:right w:val="none" w:sz="0" w:space="0" w:color="auto"/>
          </w:divBdr>
        </w:div>
        <w:div w:id="1435977708">
          <w:marLeft w:val="0"/>
          <w:marRight w:val="0"/>
          <w:marTop w:val="0"/>
          <w:marBottom w:val="0"/>
          <w:divBdr>
            <w:top w:val="none" w:sz="0" w:space="0" w:color="auto"/>
            <w:left w:val="none" w:sz="0" w:space="0" w:color="auto"/>
            <w:bottom w:val="none" w:sz="0" w:space="0" w:color="auto"/>
            <w:right w:val="none" w:sz="0" w:space="0" w:color="auto"/>
          </w:divBdr>
        </w:div>
        <w:div w:id="1450778843">
          <w:marLeft w:val="0"/>
          <w:marRight w:val="0"/>
          <w:marTop w:val="0"/>
          <w:marBottom w:val="0"/>
          <w:divBdr>
            <w:top w:val="none" w:sz="0" w:space="0" w:color="auto"/>
            <w:left w:val="none" w:sz="0" w:space="0" w:color="auto"/>
            <w:bottom w:val="none" w:sz="0" w:space="0" w:color="auto"/>
            <w:right w:val="none" w:sz="0" w:space="0" w:color="auto"/>
          </w:divBdr>
        </w:div>
        <w:div w:id="1647319918">
          <w:marLeft w:val="0"/>
          <w:marRight w:val="0"/>
          <w:marTop w:val="0"/>
          <w:marBottom w:val="0"/>
          <w:divBdr>
            <w:top w:val="none" w:sz="0" w:space="0" w:color="auto"/>
            <w:left w:val="none" w:sz="0" w:space="0" w:color="auto"/>
            <w:bottom w:val="none" w:sz="0" w:space="0" w:color="auto"/>
            <w:right w:val="none" w:sz="0" w:space="0" w:color="auto"/>
          </w:divBdr>
        </w:div>
        <w:div w:id="1647584793">
          <w:marLeft w:val="0"/>
          <w:marRight w:val="0"/>
          <w:marTop w:val="0"/>
          <w:marBottom w:val="0"/>
          <w:divBdr>
            <w:top w:val="none" w:sz="0" w:space="0" w:color="auto"/>
            <w:left w:val="none" w:sz="0" w:space="0" w:color="auto"/>
            <w:bottom w:val="none" w:sz="0" w:space="0" w:color="auto"/>
            <w:right w:val="none" w:sz="0" w:space="0" w:color="auto"/>
          </w:divBdr>
        </w:div>
        <w:div w:id="1769037738">
          <w:marLeft w:val="0"/>
          <w:marRight w:val="0"/>
          <w:marTop w:val="0"/>
          <w:marBottom w:val="0"/>
          <w:divBdr>
            <w:top w:val="none" w:sz="0" w:space="0" w:color="auto"/>
            <w:left w:val="none" w:sz="0" w:space="0" w:color="auto"/>
            <w:bottom w:val="none" w:sz="0" w:space="0" w:color="auto"/>
            <w:right w:val="none" w:sz="0" w:space="0" w:color="auto"/>
          </w:divBdr>
        </w:div>
        <w:div w:id="1967854169">
          <w:marLeft w:val="0"/>
          <w:marRight w:val="0"/>
          <w:marTop w:val="0"/>
          <w:marBottom w:val="0"/>
          <w:divBdr>
            <w:top w:val="none" w:sz="0" w:space="0" w:color="auto"/>
            <w:left w:val="none" w:sz="0" w:space="0" w:color="auto"/>
            <w:bottom w:val="none" w:sz="0" w:space="0" w:color="auto"/>
            <w:right w:val="none" w:sz="0" w:space="0" w:color="auto"/>
          </w:divBdr>
        </w:div>
      </w:divsChild>
    </w:div>
    <w:div w:id="1382947337">
      <w:bodyDiv w:val="1"/>
      <w:marLeft w:val="0"/>
      <w:marRight w:val="0"/>
      <w:marTop w:val="0"/>
      <w:marBottom w:val="0"/>
      <w:divBdr>
        <w:top w:val="none" w:sz="0" w:space="0" w:color="auto"/>
        <w:left w:val="none" w:sz="0" w:space="0" w:color="auto"/>
        <w:bottom w:val="none" w:sz="0" w:space="0" w:color="auto"/>
        <w:right w:val="none" w:sz="0" w:space="0" w:color="auto"/>
      </w:divBdr>
      <w:divsChild>
        <w:div w:id="317463895">
          <w:marLeft w:val="0"/>
          <w:marRight w:val="0"/>
          <w:marTop w:val="0"/>
          <w:marBottom w:val="0"/>
          <w:divBdr>
            <w:top w:val="none" w:sz="0" w:space="0" w:color="auto"/>
            <w:left w:val="none" w:sz="0" w:space="0" w:color="auto"/>
            <w:bottom w:val="none" w:sz="0" w:space="0" w:color="auto"/>
            <w:right w:val="none" w:sz="0" w:space="0" w:color="auto"/>
          </w:divBdr>
        </w:div>
        <w:div w:id="541358764">
          <w:marLeft w:val="0"/>
          <w:marRight w:val="0"/>
          <w:marTop w:val="0"/>
          <w:marBottom w:val="0"/>
          <w:divBdr>
            <w:top w:val="none" w:sz="0" w:space="0" w:color="auto"/>
            <w:left w:val="none" w:sz="0" w:space="0" w:color="auto"/>
            <w:bottom w:val="none" w:sz="0" w:space="0" w:color="auto"/>
            <w:right w:val="none" w:sz="0" w:space="0" w:color="auto"/>
          </w:divBdr>
        </w:div>
        <w:div w:id="801653146">
          <w:marLeft w:val="0"/>
          <w:marRight w:val="0"/>
          <w:marTop w:val="0"/>
          <w:marBottom w:val="0"/>
          <w:divBdr>
            <w:top w:val="none" w:sz="0" w:space="0" w:color="auto"/>
            <w:left w:val="none" w:sz="0" w:space="0" w:color="auto"/>
            <w:bottom w:val="none" w:sz="0" w:space="0" w:color="auto"/>
            <w:right w:val="none" w:sz="0" w:space="0" w:color="auto"/>
          </w:divBdr>
        </w:div>
        <w:div w:id="1008796466">
          <w:marLeft w:val="0"/>
          <w:marRight w:val="0"/>
          <w:marTop w:val="0"/>
          <w:marBottom w:val="0"/>
          <w:divBdr>
            <w:top w:val="none" w:sz="0" w:space="0" w:color="auto"/>
            <w:left w:val="none" w:sz="0" w:space="0" w:color="auto"/>
            <w:bottom w:val="none" w:sz="0" w:space="0" w:color="auto"/>
            <w:right w:val="none" w:sz="0" w:space="0" w:color="auto"/>
          </w:divBdr>
        </w:div>
      </w:divsChild>
    </w:div>
    <w:div w:id="1400323945">
      <w:bodyDiv w:val="1"/>
      <w:marLeft w:val="0"/>
      <w:marRight w:val="0"/>
      <w:marTop w:val="0"/>
      <w:marBottom w:val="0"/>
      <w:divBdr>
        <w:top w:val="none" w:sz="0" w:space="0" w:color="auto"/>
        <w:left w:val="none" w:sz="0" w:space="0" w:color="auto"/>
        <w:bottom w:val="none" w:sz="0" w:space="0" w:color="auto"/>
        <w:right w:val="none" w:sz="0" w:space="0" w:color="auto"/>
      </w:divBdr>
    </w:div>
    <w:div w:id="1452431026">
      <w:bodyDiv w:val="1"/>
      <w:marLeft w:val="0"/>
      <w:marRight w:val="0"/>
      <w:marTop w:val="0"/>
      <w:marBottom w:val="0"/>
      <w:divBdr>
        <w:top w:val="none" w:sz="0" w:space="0" w:color="auto"/>
        <w:left w:val="none" w:sz="0" w:space="0" w:color="auto"/>
        <w:bottom w:val="none" w:sz="0" w:space="0" w:color="auto"/>
        <w:right w:val="none" w:sz="0" w:space="0" w:color="auto"/>
      </w:divBdr>
      <w:divsChild>
        <w:div w:id="441651163">
          <w:marLeft w:val="0"/>
          <w:marRight w:val="0"/>
          <w:marTop w:val="0"/>
          <w:marBottom w:val="0"/>
          <w:divBdr>
            <w:top w:val="none" w:sz="0" w:space="0" w:color="auto"/>
            <w:left w:val="none" w:sz="0" w:space="0" w:color="auto"/>
            <w:bottom w:val="none" w:sz="0" w:space="0" w:color="auto"/>
            <w:right w:val="none" w:sz="0" w:space="0" w:color="auto"/>
          </w:divBdr>
        </w:div>
        <w:div w:id="1046025075">
          <w:marLeft w:val="0"/>
          <w:marRight w:val="0"/>
          <w:marTop w:val="0"/>
          <w:marBottom w:val="0"/>
          <w:divBdr>
            <w:top w:val="none" w:sz="0" w:space="0" w:color="auto"/>
            <w:left w:val="none" w:sz="0" w:space="0" w:color="auto"/>
            <w:bottom w:val="none" w:sz="0" w:space="0" w:color="auto"/>
            <w:right w:val="none" w:sz="0" w:space="0" w:color="auto"/>
          </w:divBdr>
        </w:div>
        <w:div w:id="1085689717">
          <w:marLeft w:val="0"/>
          <w:marRight w:val="0"/>
          <w:marTop w:val="0"/>
          <w:marBottom w:val="0"/>
          <w:divBdr>
            <w:top w:val="none" w:sz="0" w:space="0" w:color="auto"/>
            <w:left w:val="none" w:sz="0" w:space="0" w:color="auto"/>
            <w:bottom w:val="none" w:sz="0" w:space="0" w:color="auto"/>
            <w:right w:val="none" w:sz="0" w:space="0" w:color="auto"/>
          </w:divBdr>
        </w:div>
        <w:div w:id="1690645763">
          <w:marLeft w:val="0"/>
          <w:marRight w:val="0"/>
          <w:marTop w:val="0"/>
          <w:marBottom w:val="0"/>
          <w:divBdr>
            <w:top w:val="none" w:sz="0" w:space="0" w:color="auto"/>
            <w:left w:val="none" w:sz="0" w:space="0" w:color="auto"/>
            <w:bottom w:val="none" w:sz="0" w:space="0" w:color="auto"/>
            <w:right w:val="none" w:sz="0" w:space="0" w:color="auto"/>
          </w:divBdr>
        </w:div>
      </w:divsChild>
    </w:div>
    <w:div w:id="1678262338">
      <w:bodyDiv w:val="1"/>
      <w:marLeft w:val="0"/>
      <w:marRight w:val="0"/>
      <w:marTop w:val="0"/>
      <w:marBottom w:val="0"/>
      <w:divBdr>
        <w:top w:val="none" w:sz="0" w:space="0" w:color="auto"/>
        <w:left w:val="none" w:sz="0" w:space="0" w:color="auto"/>
        <w:bottom w:val="none" w:sz="0" w:space="0" w:color="auto"/>
        <w:right w:val="none" w:sz="0" w:space="0" w:color="auto"/>
      </w:divBdr>
    </w:div>
    <w:div w:id="1865942284">
      <w:bodyDiv w:val="1"/>
      <w:marLeft w:val="0"/>
      <w:marRight w:val="0"/>
      <w:marTop w:val="0"/>
      <w:marBottom w:val="0"/>
      <w:divBdr>
        <w:top w:val="none" w:sz="0" w:space="0" w:color="auto"/>
        <w:left w:val="none" w:sz="0" w:space="0" w:color="auto"/>
        <w:bottom w:val="none" w:sz="0" w:space="0" w:color="auto"/>
        <w:right w:val="none" w:sz="0" w:space="0" w:color="auto"/>
      </w:divBdr>
    </w:div>
    <w:div w:id="1903902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www.eesc.europa.eu/red-study"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DA/TXT/?uri=CELEX:52014XC0628%2801%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startup\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49ff7b9-ac16-4cac-b916-60a333a9bf9d">Q4AU5J5HWUN2-7-7300</_dlc_DocId>
    <_dlc_DocIdUrl xmlns="949ff7b9-ac16-4cac-b916-60a333a9bf9d">
      <Url>http://dm/EESC/2014/_layouts/DocIdRedir.aspx?ID=Q4AU5J5HWUN2-7-7300</Url>
      <Description>Q4AU5J5HWUN2-7-7300</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Procedure xmlns="949ff7b9-ac16-4cac-b916-60a333a9bf9d" xsi:nil="true"/>
    <ProductionDate xmlns="949ff7b9-ac16-4cac-b916-60a333a9bf9d">2015-02-11T12:00:00+00:00</ProductionDat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FicheYear xmlns="949ff7b9-ac16-4cac-b916-60a333a9bf9d">2015</FicheYear>
    <DocumentNumber xmlns="949ff7b9-ac16-4cac-b916-60a333a9bf9d">4780</DocumentNumber>
    <DossierNumber xmlns="949ff7b9-ac16-4cac-b916-60a333a9bf9d"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TaxCatchAll xmlns="949ff7b9-ac16-4cac-b916-60a333a9bf9d">
      <Value>93</Value>
      <Value>38</Value>
      <Value>37</Value>
      <Value>35</Value>
      <Value>34</Value>
      <Value>33</Value>
      <Value>32</Value>
      <Value>31</Value>
      <Value>30</Value>
      <Value>29</Value>
      <Value>28</Value>
      <Value>27</Value>
      <Value>25</Value>
      <Value>24</Value>
      <Value>23</Value>
      <Value>22</Value>
      <Value>21</Value>
      <Value>19</Value>
      <Value>18</Value>
      <Value>12</Value>
      <Value>10</Value>
      <Value>9</Value>
      <Value>6</Value>
      <Value>5</Value>
      <Value>4</Value>
      <Value>3</Value>
      <Value>2</Value>
      <Value>1</Value>
    </TaxCatchAll>
    <MeetingDate xmlns="949ff7b9-ac16-4cac-b916-60a333a9bf9d">2015-01-21T12:00:00+00:00</MeetingDate>
    <DocumentLanguage_0 xmlns="http://schemas.microsoft.com/sharepoint/v3/fields">
      <Terms xmlns="http://schemas.microsoft.com/office/infopath/2007/PartnerControls">
        <TermInfo xmlns="http://schemas.microsoft.com/office/infopath/2007/PartnerControls">
          <TermName xmlns="http://schemas.microsoft.com/office/infopath/2007/PartnerControls">DA</TermName>
          <TermId xmlns="http://schemas.microsoft.com/office/infopath/2007/PartnerControls">5d49c027-8956-412b-aa16-e85a0f96ad0e</TermId>
        </TermInfo>
      </Terms>
    </DocumentLanguage_0>
    <Rapporteur xmlns="949ff7b9-ac16-4cac-b916-60a333a9bf9d" xsi:nil="true"/>
    <DocumentYear xmlns="949ff7b9-ac16-4cac-b916-60a333a9bf9d">2014</DocumentYear>
    <FicheNumber xmlns="949ff7b9-ac16-4cac-b916-60a333a9bf9d">1342</FicheNumber>
    <DocumentPart xmlns="949ff7b9-ac16-4cac-b916-60a333a9bf9d">0</DocumentPart>
    <AdoptionDate xmlns="949ff7b9-ac16-4cac-b916-60a333a9bf9d">2015-01-22T12:00:00+00:00</AdoptionDate>
    <MeetingName_0 xmlns="http://schemas.microsoft.com/sharepoint/v3/fields">
      <Terms xmlns="http://schemas.microsoft.com/office/infopath/2007/PartnerControls">
        <TermInfo xmlns="http://schemas.microsoft.com/office/infopath/2007/PartnerControls">
          <TermName xmlns="http://schemas.microsoft.com/office/infopath/2007/PartnerControls">SPL-CES</TermName>
          <TermId xmlns="http://schemas.microsoft.com/office/infopath/2007/PartnerControls">32d8cb1f-c9ec-4365-95c7-8385a18618ac</TermId>
        </TermInfo>
      </Terms>
    </MeetingName_0>
    <RequestingService xmlns="949ff7b9-ac16-4cac-b916-60a333a9bf9d">Agriculture, développement rural et environnement</RequestingService>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AvailableTranslations_0>
    <MeetingNumber xmlns="fc331741-2a19-47d6-917e-2aa3ec78eda3">504</MeetingNumber>
    <DossierName_0 xmlns="http://schemas.microsoft.com/sharepoint/v3/fields">
      <Terms xmlns="http://schemas.microsoft.com/office/infopath/2007/PartnerControls"/>
    </DossierName_0>
    <DocumentVersion xmlns="949ff7b9-ac16-4cac-b916-60a333a9bf9d">4</DocumentVersion>
  </documentManagement>
</p:properties>
</file>

<file path=customXml/item4.xml><?xml version="1.0" encoding="utf-8"?>
<LongProperties xmlns="http://schemas.microsoft.com/office/2006/metadata/longProperties">
  <LongProp xmlns="" name="AvailableTranslations"><![CDATA[12;#DE|f6b31e5a-26fa-4935-b661-318e46daf27e;#6;#EN|f2175f21-25d7-44a3-96da-d6a61b075e1b;#32;#HR|2f555653-ed1a-4fe6-8362-9082d95989e5;#19;#IT|0774613c-01ed-4e5d-a25d-11d2388de825;#38;#RO|feb747a2-64cd-4299-af12-4833ddc30497;#28;#LV|46f7e311-5d9f-4663-b433-18aeccb7ace7;#22;#NL|55c6556c-b4f4-441d-9acf-c498d4f838bd;#21;#EL|6d4f4d51-af9b-4650-94b4-4276bee85c91;#10;#PT|50ccc04a-eadd-42ae-a0cb-acaf45f812ba;#24;#SK|46d9fce0-ef79-4f71-b89b-cd6aa82426b8;#29;#DA|5d49c027-8956-412b-aa16-e85a0f96ad0e;#31;#HU|6b229040-c589-4408-b4c1-4285663d20a8;#18;#PL|1e03da61-4678-4e07-b136-b5024ca9197b;#4;#FR|d2afafd3-4c81-4f60-8f52-ee33f2f54ff3;#37;#MT|7df99101-6854-4a26-b53a-b88c0da02c26;#35;#SL|98a412ae-eb01-49e9-ae3d-585a81724cfc;#9;#ES|e7a6b05b-ae16-40c8-add9-68b64b03aeba;#25;#FI|87606a43-d45f-42d6-b8c9-e1a3457db5b7;#34;#ET|ff6c3f4c-b02c-4c3c-ab07-2c37995a7a0a;#23;#CS|72f9705b-0217-4fd3-bea2-cbc7ed80e26e;#27;#SV|c2ed69e7-a339-43d7-8f22-d93680a92aa0;#30;#BG|1a1b3951-7821-4e6a-85f5-5673fc08bd2c;#33;#LT|a7ff5ce7-6123-4f68-865a-a57c31810414]]></LongProp>
  <LongProp xmlns="" name="AvailableTranslations_0"><![CDATA[DE|f6b31e5a-26fa-4935-b661-318e46daf27e;EN|f2175f21-25d7-44a3-96da-d6a61b075e1b;HR|2f555653-ed1a-4fe6-8362-9082d95989e5;IT|0774613c-01ed-4e5d-a25d-11d2388de825;RO|feb747a2-64cd-4299-af12-4833ddc30497;LV|46f7e311-5d9f-4663-b433-18aeccb7ace7;NL|55c6556c-b4f4-441d-9acf-c498d4f838bd;EL|6d4f4d51-af9b-4650-94b4-4276bee85c91;PT|50ccc04a-eadd-42ae-a0cb-acaf45f812ba;SK|46d9fce0-ef79-4f71-b89b-cd6aa82426b8;DA|5d49c027-8956-412b-aa16-e85a0f96ad0e;HU|6b229040-c589-4408-b4c1-4285663d20a8;PL|1e03da61-4678-4e07-b136-b5024ca9197b;FR|d2afafd3-4c81-4f60-8f52-ee33f2f54ff3;MT|7df99101-6854-4a26-b53a-b88c0da02c26;SL|98a412ae-eb01-49e9-ae3d-585a81724cfc;ES|e7a6b05b-ae16-40c8-add9-68b64b03aeba;FI|87606a43-d45f-42d6-b8c9-e1a3457db5b7;ET|ff6c3f4c-b02c-4c3c-ab07-2c37995a7a0a;CS|72f9705b-0217-4fd3-bea2-cbc7ed80e26e;SV|c2ed69e7-a339-43d7-8f22-d93680a92aa0;BG|1a1b3951-7821-4e6a-85f5-5673fc08bd2c;LT|a7ff5ce7-6123-4f68-865a-a57c31810414]]></LongProp>
  <LongProp xmlns="" name="TaxCatchAll"><![CDATA[93;#SPL-CES|32d8cb1f-c9ec-4365-95c7-8385a18618ac;#38;#RO|feb747a2-64cd-4299-af12-4833ddc30497;#37;#MT|7df99101-6854-4a26-b53a-b88c0da02c26;#35;#SL|98a412ae-eb01-49e9-ae3d-585a81724cfc;#34;#ET|ff6c3f4c-b02c-4c3c-ab07-2c37995a7a0a;#33;#LT|a7ff5ce7-6123-4f68-865a-a57c31810414;#32;#HR|2f555653-ed1a-4fe6-8362-9082d95989e5;#31;#HU|6b229040-c589-4408-b4c1-4285663d20a8;#30;#BG|1a1b3951-7821-4e6a-85f5-5673fc08bd2c;#29;#DA|5d49c027-8956-412b-aa16-e85a0f96ad0e;#28;#LV|46f7e311-5d9f-4663-b433-18aeccb7ace7;#27;#SV|c2ed69e7-a339-43d7-8f22-d93680a92aa0;#25;#FI|87606a43-d45f-42d6-b8c9-e1a3457db5b7;#24;#SK|46d9fce0-ef79-4f71-b89b-cd6aa82426b8;#23;#CS|72f9705b-0217-4fd3-bea2-cbc7ed80e26e;#22;#NL|55c6556c-b4f4-441d-9acf-c498d4f838bd;#21;#EL|6d4f4d51-af9b-4650-94b4-4276bee85c91;#19;#IT|0774613c-01ed-4e5d-a25d-11d2388de825;#18;#PL|1e03da61-4678-4e07-b136-b5024ca9197b;#12;#DE|f6b31e5a-26fa-4935-b661-318e46daf27e;#10;#PT|50ccc04a-eadd-42ae-a0cb-acaf45f812ba;#9;#ES|e7a6b05b-ae16-40c8-add9-68b64b03aeba;#6;#EN|f2175f21-25d7-44a3-96da-d6a61b075e1b;#5;#Unrestricted|826e22d7-d029-4ec0-a450-0c28ff673572;#4;#FR|d2afafd3-4c81-4f60-8f52-ee33f2f54ff3;#3;#TCD|cd9d6eb6-3f4f-424a-b2d1-57c9d450eaaf;#2;#TRA|150d2a88-1431-44e6-a8ca-0bb753ab8672;#1;#EESC|422833ec-8d7e-4e65-8e4e-8bed07ffb729]]></LongProp>
</LongProperties>
</file>

<file path=customXml/item5.xml><?xml version="1.0" encoding="utf-8"?>
<ct:contentTypeSchema xmlns:ct="http://schemas.microsoft.com/office/2006/metadata/contentType" xmlns:ma="http://schemas.microsoft.com/office/2006/metadata/properties/metaAttributes" ct:_="" ma:_="" ma:contentTypeName="DM Document" ma:contentTypeID="0x010100EA97B91038054C99906057A708A1480A0018D25216E8A3B845A7A963091613675C" ma:contentTypeVersion="5" ma:contentTypeDescription="Defines the documents for Document Manager V2" ma:contentTypeScope="" ma:versionID="3f4c6e58edcb4248017afbfeee3c614d">
  <xsd:schema xmlns:xsd="http://www.w3.org/2001/XMLSchema" xmlns:xs="http://www.w3.org/2001/XMLSchema" xmlns:p="http://schemas.microsoft.com/office/2006/metadata/properties" xmlns:ns2="949ff7b9-ac16-4cac-b916-60a333a9bf9d" xmlns:ns3="http://schemas.microsoft.com/sharepoint/v3/fields" xmlns:ns4="fc331741-2a19-47d6-917e-2aa3ec78eda3" targetNamespace="http://schemas.microsoft.com/office/2006/metadata/properties" ma:root="true" ma:fieldsID="de9510e3d21207e74687dd0c4c5496bc" ns2:_="" ns3:_="" ns4:_="">
    <xsd:import namespace="949ff7b9-ac16-4cac-b916-60a333a9bf9d"/>
    <xsd:import namespace="http://schemas.microsoft.com/sharepoint/v3/fields"/>
    <xsd:import namespace="fc331741-2a19-47d6-917e-2aa3ec78eda3"/>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2: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DocumentSource_0" minOccurs="0"/>
                <xsd:element ref="ns3:OriginalLanguage_0" minOccurs="0"/>
                <xsd:element ref="ns2:DocumentYear"/>
                <xsd:element ref="ns2:MeetingDate" minOccurs="0"/>
                <xsd:element ref="ns2:DocumentVersion" minOccurs="0"/>
                <xsd:element ref="ns4:MeetingNumber" minOccurs="0"/>
                <xsd:element ref="ns3:MeetingName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ff7b9-ac16-4cac-b916-60a333a9bf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DocumentNumber" ma:index="16" nillable="true" ma:displayName="Document Number" ma:indexed="true" ma:internalName="DocumentNumber" ma:readOnly="false">
      <xsd:simpleType>
        <xsd:restriction base="dms:Unknown"/>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internalName="DossierNumber" ma:readOnly="false">
      <xsd:simpleType>
        <xsd:restriction base="dms:Unknown"/>
      </xsd:simpleType>
    </xsd:element>
    <xsd:element name="TaxCatchAll" ma:index="20" nillable="true" ma:displayName="Taxonomy Catch All Column" ma:hidden="true" ma:list="{3de8a310-458d-4626-b67f-b7f3c0b5774d}" ma:internalName="TaxCatchAll" ma:showField="CatchAllData"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3de8a310-458d-4626-b67f-b7f3c0b5774d}" ma:internalName="TaxCatchAllLabel" ma:readOnly="true" ma:showField="CatchAllDataLabel"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internalName="DocumentPart" ma:readOnly="false">
      <xsd:simpleType>
        <xsd:restriction base="dms:Unknown"/>
      </xsd:simpleType>
    </xsd:element>
    <xsd:element name="FicheYear" ma:index="34" nillable="true" ma:displayName="Fiche Year" ma:internalName="FicheYear" ma:readOnly="false">
      <xsd:simpleType>
        <xsd:restriction base="dms:Unknown"/>
      </xsd:simpleType>
    </xsd:element>
    <xsd:element name="DocumentYear" ma:index="39" ma:displayName="Document Year" ma:internalName="DocumentYear" ma:readOnly="false">
      <xsd:simpleType>
        <xsd:restriction base="dms:Unknown"/>
      </xsd:simpleType>
    </xsd:element>
    <xsd:element name="MeetingDate" ma:index="40" nillable="true" ma:displayName="Meeting Date" ma:format="DateOnly" ma:internalName="MeetingDate" ma:readOnly="false">
      <xsd:simpleType>
        <xsd:restriction base="dms:DateTime"/>
      </xsd:simpleType>
    </xsd:element>
    <xsd:element name="DocumentVersion" ma:index="41" nillable="true" ma:displayName="Document Version"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DocumentSource_0" ma:index="35"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7"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43"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331741-2a19-47d6-917e-2aa3ec78eda3" elementFormDefault="qualified">
    <xsd:import namespace="http://schemas.microsoft.com/office/2006/documentManagement/types"/>
    <xsd:import namespace="http://schemas.microsoft.com/office/infopath/2007/PartnerControls"/>
    <xsd:element name="MeetingNumber" ma:index="42"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A9D4-877C-487F-8EBA-0BF7199AECC7}">
  <ds:schemaRefs>
    <ds:schemaRef ds:uri="http://schemas.microsoft.com/sharepoint/events"/>
  </ds:schemaRefs>
</ds:datastoreItem>
</file>

<file path=customXml/itemProps2.xml><?xml version="1.0" encoding="utf-8"?>
<ds:datastoreItem xmlns:ds="http://schemas.openxmlformats.org/officeDocument/2006/customXml" ds:itemID="{4E0EF6C3-F48B-4C0A-948C-47470D236639}">
  <ds:schemaRefs>
    <ds:schemaRef ds:uri="http://schemas.microsoft.com/sharepoint/v3/contenttype/forms"/>
  </ds:schemaRefs>
</ds:datastoreItem>
</file>

<file path=customXml/itemProps3.xml><?xml version="1.0" encoding="utf-8"?>
<ds:datastoreItem xmlns:ds="http://schemas.openxmlformats.org/officeDocument/2006/customXml" ds:itemID="{51E80A43-A644-40DC-A842-589E9602B7BC}">
  <ds:schemaRefs>
    <ds:schemaRef ds:uri="http://purl.org/dc/elements/1.1/"/>
    <ds:schemaRef ds:uri="http://schemas.microsoft.com/office/2006/documentManagement/types"/>
    <ds:schemaRef ds:uri="http://purl.org/dc/terms/"/>
    <ds:schemaRef ds:uri="http://schemas.microsoft.com/office/infopath/2007/PartnerControls"/>
    <ds:schemaRef ds:uri="949ff7b9-ac16-4cac-b916-60a333a9bf9d"/>
    <ds:schemaRef ds:uri="http://www.w3.org/XML/1998/namespace"/>
    <ds:schemaRef ds:uri="http://purl.org/dc/dcmitype/"/>
    <ds:schemaRef ds:uri="http://schemas.microsoft.com/sharepoint/v3/fields"/>
    <ds:schemaRef ds:uri="http://schemas.openxmlformats.org/package/2006/metadata/core-properties"/>
    <ds:schemaRef ds:uri="fc331741-2a19-47d6-917e-2aa3ec78eda3"/>
    <ds:schemaRef ds:uri="http://schemas.microsoft.com/office/2006/metadata/properties"/>
  </ds:schemaRefs>
</ds:datastoreItem>
</file>

<file path=customXml/itemProps4.xml><?xml version="1.0" encoding="utf-8"?>
<ds:datastoreItem xmlns:ds="http://schemas.openxmlformats.org/officeDocument/2006/customXml" ds:itemID="{BFDCE3DD-7318-4AC7-9447-896B4D6AEEAC}">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6635CB2B-81CC-4490-867A-13D2F53B4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ff7b9-ac16-4cac-b916-60a333a9bf9d"/>
    <ds:schemaRef ds:uri="http://schemas.microsoft.com/sharepoint/v3/fields"/>
    <ds:schemaRef ds:uri="fc331741-2a19-47d6-917e-2aa3ec78e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38B327-931B-46D3-B970-2EF3281A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0</TotalTime>
  <Pages>31</Pages>
  <Words>12801</Words>
  <Characters>70407</Characters>
  <Application>Microsoft Office Word</Application>
  <DocSecurity>0</DocSecurity>
  <Lines>586</Lines>
  <Paragraphs>166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Undersøgelse om EU-direktivet om vedvarende energi - "En ny fremtid på energiområdet: Civilsamfundet som hovedaktør inden for produktion af vedvarende energi"</vt:lpstr>
      <vt:lpstr/>
    </vt:vector>
  </TitlesOfParts>
  <Company>CESE-CdR</Company>
  <LinksUpToDate>false</LinksUpToDate>
  <CharactersWithSpaces>83042</CharactersWithSpaces>
  <SharedDoc>false</SharedDoc>
  <HLinks>
    <vt:vector size="216" baseType="variant">
      <vt:variant>
        <vt:i4>1376316</vt:i4>
      </vt:variant>
      <vt:variant>
        <vt:i4>206</vt:i4>
      </vt:variant>
      <vt:variant>
        <vt:i4>0</vt:i4>
      </vt:variant>
      <vt:variant>
        <vt:i4>5</vt:i4>
      </vt:variant>
      <vt:variant>
        <vt:lpwstr/>
      </vt:variant>
      <vt:variant>
        <vt:lpwstr>_Toc409432242</vt:lpwstr>
      </vt:variant>
      <vt:variant>
        <vt:i4>1376316</vt:i4>
      </vt:variant>
      <vt:variant>
        <vt:i4>200</vt:i4>
      </vt:variant>
      <vt:variant>
        <vt:i4>0</vt:i4>
      </vt:variant>
      <vt:variant>
        <vt:i4>5</vt:i4>
      </vt:variant>
      <vt:variant>
        <vt:lpwstr/>
      </vt:variant>
      <vt:variant>
        <vt:lpwstr>_Toc409432240</vt:lpwstr>
      </vt:variant>
      <vt:variant>
        <vt:i4>1179708</vt:i4>
      </vt:variant>
      <vt:variant>
        <vt:i4>194</vt:i4>
      </vt:variant>
      <vt:variant>
        <vt:i4>0</vt:i4>
      </vt:variant>
      <vt:variant>
        <vt:i4>5</vt:i4>
      </vt:variant>
      <vt:variant>
        <vt:lpwstr/>
      </vt:variant>
      <vt:variant>
        <vt:lpwstr>_Toc409432239</vt:lpwstr>
      </vt:variant>
      <vt:variant>
        <vt:i4>1179708</vt:i4>
      </vt:variant>
      <vt:variant>
        <vt:i4>188</vt:i4>
      </vt:variant>
      <vt:variant>
        <vt:i4>0</vt:i4>
      </vt:variant>
      <vt:variant>
        <vt:i4>5</vt:i4>
      </vt:variant>
      <vt:variant>
        <vt:lpwstr/>
      </vt:variant>
      <vt:variant>
        <vt:lpwstr>_Toc409432238</vt:lpwstr>
      </vt:variant>
      <vt:variant>
        <vt:i4>1179708</vt:i4>
      </vt:variant>
      <vt:variant>
        <vt:i4>182</vt:i4>
      </vt:variant>
      <vt:variant>
        <vt:i4>0</vt:i4>
      </vt:variant>
      <vt:variant>
        <vt:i4>5</vt:i4>
      </vt:variant>
      <vt:variant>
        <vt:lpwstr/>
      </vt:variant>
      <vt:variant>
        <vt:lpwstr>_Toc409432237</vt:lpwstr>
      </vt:variant>
      <vt:variant>
        <vt:i4>1179708</vt:i4>
      </vt:variant>
      <vt:variant>
        <vt:i4>176</vt:i4>
      </vt:variant>
      <vt:variant>
        <vt:i4>0</vt:i4>
      </vt:variant>
      <vt:variant>
        <vt:i4>5</vt:i4>
      </vt:variant>
      <vt:variant>
        <vt:lpwstr/>
      </vt:variant>
      <vt:variant>
        <vt:lpwstr>_Toc409432236</vt:lpwstr>
      </vt:variant>
      <vt:variant>
        <vt:i4>1179708</vt:i4>
      </vt:variant>
      <vt:variant>
        <vt:i4>170</vt:i4>
      </vt:variant>
      <vt:variant>
        <vt:i4>0</vt:i4>
      </vt:variant>
      <vt:variant>
        <vt:i4>5</vt:i4>
      </vt:variant>
      <vt:variant>
        <vt:lpwstr/>
      </vt:variant>
      <vt:variant>
        <vt:lpwstr>_Toc409432235</vt:lpwstr>
      </vt:variant>
      <vt:variant>
        <vt:i4>1179708</vt:i4>
      </vt:variant>
      <vt:variant>
        <vt:i4>164</vt:i4>
      </vt:variant>
      <vt:variant>
        <vt:i4>0</vt:i4>
      </vt:variant>
      <vt:variant>
        <vt:i4>5</vt:i4>
      </vt:variant>
      <vt:variant>
        <vt:lpwstr/>
      </vt:variant>
      <vt:variant>
        <vt:lpwstr>_Toc409432234</vt:lpwstr>
      </vt:variant>
      <vt:variant>
        <vt:i4>1179708</vt:i4>
      </vt:variant>
      <vt:variant>
        <vt:i4>158</vt:i4>
      </vt:variant>
      <vt:variant>
        <vt:i4>0</vt:i4>
      </vt:variant>
      <vt:variant>
        <vt:i4>5</vt:i4>
      </vt:variant>
      <vt:variant>
        <vt:lpwstr/>
      </vt:variant>
      <vt:variant>
        <vt:lpwstr>_Toc409432233</vt:lpwstr>
      </vt:variant>
      <vt:variant>
        <vt:i4>1179708</vt:i4>
      </vt:variant>
      <vt:variant>
        <vt:i4>152</vt:i4>
      </vt:variant>
      <vt:variant>
        <vt:i4>0</vt:i4>
      </vt:variant>
      <vt:variant>
        <vt:i4>5</vt:i4>
      </vt:variant>
      <vt:variant>
        <vt:lpwstr/>
      </vt:variant>
      <vt:variant>
        <vt:lpwstr>_Toc409432232</vt:lpwstr>
      </vt:variant>
      <vt:variant>
        <vt:i4>1179708</vt:i4>
      </vt:variant>
      <vt:variant>
        <vt:i4>146</vt:i4>
      </vt:variant>
      <vt:variant>
        <vt:i4>0</vt:i4>
      </vt:variant>
      <vt:variant>
        <vt:i4>5</vt:i4>
      </vt:variant>
      <vt:variant>
        <vt:lpwstr/>
      </vt:variant>
      <vt:variant>
        <vt:lpwstr>_Toc409432231</vt:lpwstr>
      </vt:variant>
      <vt:variant>
        <vt:i4>1179708</vt:i4>
      </vt:variant>
      <vt:variant>
        <vt:i4>140</vt:i4>
      </vt:variant>
      <vt:variant>
        <vt:i4>0</vt:i4>
      </vt:variant>
      <vt:variant>
        <vt:i4>5</vt:i4>
      </vt:variant>
      <vt:variant>
        <vt:lpwstr/>
      </vt:variant>
      <vt:variant>
        <vt:lpwstr>_Toc409432230</vt:lpwstr>
      </vt:variant>
      <vt:variant>
        <vt:i4>1245244</vt:i4>
      </vt:variant>
      <vt:variant>
        <vt:i4>134</vt:i4>
      </vt:variant>
      <vt:variant>
        <vt:i4>0</vt:i4>
      </vt:variant>
      <vt:variant>
        <vt:i4>5</vt:i4>
      </vt:variant>
      <vt:variant>
        <vt:lpwstr/>
      </vt:variant>
      <vt:variant>
        <vt:lpwstr>_Toc409432229</vt:lpwstr>
      </vt:variant>
      <vt:variant>
        <vt:i4>1245244</vt:i4>
      </vt:variant>
      <vt:variant>
        <vt:i4>128</vt:i4>
      </vt:variant>
      <vt:variant>
        <vt:i4>0</vt:i4>
      </vt:variant>
      <vt:variant>
        <vt:i4>5</vt:i4>
      </vt:variant>
      <vt:variant>
        <vt:lpwstr/>
      </vt:variant>
      <vt:variant>
        <vt:lpwstr>_Toc409432228</vt:lpwstr>
      </vt:variant>
      <vt:variant>
        <vt:i4>1245244</vt:i4>
      </vt:variant>
      <vt:variant>
        <vt:i4>122</vt:i4>
      </vt:variant>
      <vt:variant>
        <vt:i4>0</vt:i4>
      </vt:variant>
      <vt:variant>
        <vt:i4>5</vt:i4>
      </vt:variant>
      <vt:variant>
        <vt:lpwstr/>
      </vt:variant>
      <vt:variant>
        <vt:lpwstr>_Toc409432227</vt:lpwstr>
      </vt:variant>
      <vt:variant>
        <vt:i4>1245244</vt:i4>
      </vt:variant>
      <vt:variant>
        <vt:i4>116</vt:i4>
      </vt:variant>
      <vt:variant>
        <vt:i4>0</vt:i4>
      </vt:variant>
      <vt:variant>
        <vt:i4>5</vt:i4>
      </vt:variant>
      <vt:variant>
        <vt:lpwstr/>
      </vt:variant>
      <vt:variant>
        <vt:lpwstr>_Toc409432226</vt:lpwstr>
      </vt:variant>
      <vt:variant>
        <vt:i4>1245244</vt:i4>
      </vt:variant>
      <vt:variant>
        <vt:i4>110</vt:i4>
      </vt:variant>
      <vt:variant>
        <vt:i4>0</vt:i4>
      </vt:variant>
      <vt:variant>
        <vt:i4>5</vt:i4>
      </vt:variant>
      <vt:variant>
        <vt:lpwstr/>
      </vt:variant>
      <vt:variant>
        <vt:lpwstr>_Toc409432225</vt:lpwstr>
      </vt:variant>
      <vt:variant>
        <vt:i4>1245244</vt:i4>
      </vt:variant>
      <vt:variant>
        <vt:i4>104</vt:i4>
      </vt:variant>
      <vt:variant>
        <vt:i4>0</vt:i4>
      </vt:variant>
      <vt:variant>
        <vt:i4>5</vt:i4>
      </vt:variant>
      <vt:variant>
        <vt:lpwstr/>
      </vt:variant>
      <vt:variant>
        <vt:lpwstr>_Toc409432224</vt:lpwstr>
      </vt:variant>
      <vt:variant>
        <vt:i4>1245244</vt:i4>
      </vt:variant>
      <vt:variant>
        <vt:i4>98</vt:i4>
      </vt:variant>
      <vt:variant>
        <vt:i4>0</vt:i4>
      </vt:variant>
      <vt:variant>
        <vt:i4>5</vt:i4>
      </vt:variant>
      <vt:variant>
        <vt:lpwstr/>
      </vt:variant>
      <vt:variant>
        <vt:lpwstr>_Toc409432223</vt:lpwstr>
      </vt:variant>
      <vt:variant>
        <vt:i4>1245244</vt:i4>
      </vt:variant>
      <vt:variant>
        <vt:i4>92</vt:i4>
      </vt:variant>
      <vt:variant>
        <vt:i4>0</vt:i4>
      </vt:variant>
      <vt:variant>
        <vt:i4>5</vt:i4>
      </vt:variant>
      <vt:variant>
        <vt:lpwstr/>
      </vt:variant>
      <vt:variant>
        <vt:lpwstr>_Toc409432222</vt:lpwstr>
      </vt:variant>
      <vt:variant>
        <vt:i4>1245244</vt:i4>
      </vt:variant>
      <vt:variant>
        <vt:i4>86</vt:i4>
      </vt:variant>
      <vt:variant>
        <vt:i4>0</vt:i4>
      </vt:variant>
      <vt:variant>
        <vt:i4>5</vt:i4>
      </vt:variant>
      <vt:variant>
        <vt:lpwstr/>
      </vt:variant>
      <vt:variant>
        <vt:lpwstr>_Toc409432221</vt:lpwstr>
      </vt:variant>
      <vt:variant>
        <vt:i4>1245244</vt:i4>
      </vt:variant>
      <vt:variant>
        <vt:i4>80</vt:i4>
      </vt:variant>
      <vt:variant>
        <vt:i4>0</vt:i4>
      </vt:variant>
      <vt:variant>
        <vt:i4>5</vt:i4>
      </vt:variant>
      <vt:variant>
        <vt:lpwstr/>
      </vt:variant>
      <vt:variant>
        <vt:lpwstr>_Toc409432220</vt:lpwstr>
      </vt:variant>
      <vt:variant>
        <vt:i4>1048636</vt:i4>
      </vt:variant>
      <vt:variant>
        <vt:i4>74</vt:i4>
      </vt:variant>
      <vt:variant>
        <vt:i4>0</vt:i4>
      </vt:variant>
      <vt:variant>
        <vt:i4>5</vt:i4>
      </vt:variant>
      <vt:variant>
        <vt:lpwstr/>
      </vt:variant>
      <vt:variant>
        <vt:lpwstr>_Toc409432219</vt:lpwstr>
      </vt:variant>
      <vt:variant>
        <vt:i4>1048636</vt:i4>
      </vt:variant>
      <vt:variant>
        <vt:i4>68</vt:i4>
      </vt:variant>
      <vt:variant>
        <vt:i4>0</vt:i4>
      </vt:variant>
      <vt:variant>
        <vt:i4>5</vt:i4>
      </vt:variant>
      <vt:variant>
        <vt:lpwstr/>
      </vt:variant>
      <vt:variant>
        <vt:lpwstr>_Toc409432218</vt:lpwstr>
      </vt:variant>
      <vt:variant>
        <vt:i4>1048636</vt:i4>
      </vt:variant>
      <vt:variant>
        <vt:i4>62</vt:i4>
      </vt:variant>
      <vt:variant>
        <vt:i4>0</vt:i4>
      </vt:variant>
      <vt:variant>
        <vt:i4>5</vt:i4>
      </vt:variant>
      <vt:variant>
        <vt:lpwstr/>
      </vt:variant>
      <vt:variant>
        <vt:lpwstr>_Toc409432217</vt:lpwstr>
      </vt:variant>
      <vt:variant>
        <vt:i4>1048636</vt:i4>
      </vt:variant>
      <vt:variant>
        <vt:i4>56</vt:i4>
      </vt:variant>
      <vt:variant>
        <vt:i4>0</vt:i4>
      </vt:variant>
      <vt:variant>
        <vt:i4>5</vt:i4>
      </vt:variant>
      <vt:variant>
        <vt:lpwstr/>
      </vt:variant>
      <vt:variant>
        <vt:lpwstr>_Toc409432216</vt:lpwstr>
      </vt:variant>
      <vt:variant>
        <vt:i4>1048636</vt:i4>
      </vt:variant>
      <vt:variant>
        <vt:i4>50</vt:i4>
      </vt:variant>
      <vt:variant>
        <vt:i4>0</vt:i4>
      </vt:variant>
      <vt:variant>
        <vt:i4>5</vt:i4>
      </vt:variant>
      <vt:variant>
        <vt:lpwstr/>
      </vt:variant>
      <vt:variant>
        <vt:lpwstr>_Toc409432215</vt:lpwstr>
      </vt:variant>
      <vt:variant>
        <vt:i4>1048636</vt:i4>
      </vt:variant>
      <vt:variant>
        <vt:i4>44</vt:i4>
      </vt:variant>
      <vt:variant>
        <vt:i4>0</vt:i4>
      </vt:variant>
      <vt:variant>
        <vt:i4>5</vt:i4>
      </vt:variant>
      <vt:variant>
        <vt:lpwstr/>
      </vt:variant>
      <vt:variant>
        <vt:lpwstr>_Toc409432214</vt:lpwstr>
      </vt:variant>
      <vt:variant>
        <vt:i4>1048636</vt:i4>
      </vt:variant>
      <vt:variant>
        <vt:i4>38</vt:i4>
      </vt:variant>
      <vt:variant>
        <vt:i4>0</vt:i4>
      </vt:variant>
      <vt:variant>
        <vt:i4>5</vt:i4>
      </vt:variant>
      <vt:variant>
        <vt:lpwstr/>
      </vt:variant>
      <vt:variant>
        <vt:lpwstr>_Toc409432213</vt:lpwstr>
      </vt:variant>
      <vt:variant>
        <vt:i4>1048636</vt:i4>
      </vt:variant>
      <vt:variant>
        <vt:i4>32</vt:i4>
      </vt:variant>
      <vt:variant>
        <vt:i4>0</vt:i4>
      </vt:variant>
      <vt:variant>
        <vt:i4>5</vt:i4>
      </vt:variant>
      <vt:variant>
        <vt:lpwstr/>
      </vt:variant>
      <vt:variant>
        <vt:lpwstr>_Toc409432212</vt:lpwstr>
      </vt:variant>
      <vt:variant>
        <vt:i4>1048636</vt:i4>
      </vt:variant>
      <vt:variant>
        <vt:i4>26</vt:i4>
      </vt:variant>
      <vt:variant>
        <vt:i4>0</vt:i4>
      </vt:variant>
      <vt:variant>
        <vt:i4>5</vt:i4>
      </vt:variant>
      <vt:variant>
        <vt:lpwstr/>
      </vt:variant>
      <vt:variant>
        <vt:lpwstr>_Toc409432211</vt:lpwstr>
      </vt:variant>
      <vt:variant>
        <vt:i4>1048636</vt:i4>
      </vt:variant>
      <vt:variant>
        <vt:i4>20</vt:i4>
      </vt:variant>
      <vt:variant>
        <vt:i4>0</vt:i4>
      </vt:variant>
      <vt:variant>
        <vt:i4>5</vt:i4>
      </vt:variant>
      <vt:variant>
        <vt:lpwstr/>
      </vt:variant>
      <vt:variant>
        <vt:lpwstr>_Toc409432210</vt:lpwstr>
      </vt:variant>
      <vt:variant>
        <vt:i4>1114172</vt:i4>
      </vt:variant>
      <vt:variant>
        <vt:i4>14</vt:i4>
      </vt:variant>
      <vt:variant>
        <vt:i4>0</vt:i4>
      </vt:variant>
      <vt:variant>
        <vt:i4>5</vt:i4>
      </vt:variant>
      <vt:variant>
        <vt:lpwstr/>
      </vt:variant>
      <vt:variant>
        <vt:lpwstr>_Toc409432209</vt:lpwstr>
      </vt:variant>
      <vt:variant>
        <vt:i4>1114172</vt:i4>
      </vt:variant>
      <vt:variant>
        <vt:i4>8</vt:i4>
      </vt:variant>
      <vt:variant>
        <vt:i4>0</vt:i4>
      </vt:variant>
      <vt:variant>
        <vt:i4>5</vt:i4>
      </vt:variant>
      <vt:variant>
        <vt:lpwstr/>
      </vt:variant>
      <vt:variant>
        <vt:lpwstr>_Toc409432208</vt:lpwstr>
      </vt:variant>
      <vt:variant>
        <vt:i4>1114172</vt:i4>
      </vt:variant>
      <vt:variant>
        <vt:i4>2</vt:i4>
      </vt:variant>
      <vt:variant>
        <vt:i4>0</vt:i4>
      </vt:variant>
      <vt:variant>
        <vt:i4>5</vt:i4>
      </vt:variant>
      <vt:variant>
        <vt:lpwstr/>
      </vt:variant>
      <vt:variant>
        <vt:lpwstr>_Toc409432207</vt:lpwstr>
      </vt:variant>
      <vt:variant>
        <vt:i4>5898260</vt:i4>
      </vt:variant>
      <vt:variant>
        <vt:i4>0</vt:i4>
      </vt:variant>
      <vt:variant>
        <vt:i4>0</vt:i4>
      </vt:variant>
      <vt:variant>
        <vt:i4>5</vt:i4>
      </vt:variant>
      <vt:variant>
        <vt:lpwstr>http://eur-lex.europa.eu/legal-content/DA/TXT/?uri=CELEX:52014XC0628%2801%29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Undersøgelse om EU-direktivet om vedvarende energi - "En ny fremtid på energiområdet: Civilsamfundet som hovedaktør inden for produktion af vedvarende energi"</dc:title>
  <dc:subject>Rådgivende funktioner/div. dokumenter</dc:subject>
  <dc:creator>Ulla Vang</dc:creator>
  <cp:keywords>EESC-2014-04780-00-03-TCD-TRA-DA</cp:keywords>
  <dc:description>Ordfører: -_x000d_
Originalsprog: EN_x000d_
Dokumentdato: 19/01/2015_x000d_
Mødedato: 21/01/2015_x000d_
Eksterne dokumenter: -_x000d_
Ansvarlige tjenestemand: Hauser Rayka, Tlf: + 2 546 8678_x000d_
_x000d_
Resumé:</dc:description>
  <cp:lastModifiedBy>Graziella Dilkinska</cp:lastModifiedBy>
  <cp:revision>2</cp:revision>
  <cp:lastPrinted>2015-01-08T10:38:00Z</cp:lastPrinted>
  <dcterms:created xsi:type="dcterms:W3CDTF">2015-02-11T08:31:00Z</dcterms:created>
  <dcterms:modified xsi:type="dcterms:W3CDTF">2015-02-11T08:31:00Z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0x010100EA97B91038054C99906057A708A1480A0018D25216E8A3B845A7A963091613675C</vt:lpwstr>
  </property>
  <property fmtid="{D5CDD505-2E9C-101B-9397-08002B2CF9AE}" pid="3" name="MeetingDateAsText">
    <vt:lpwstr>2015-01-21</vt:lpwstr>
  </property>
  <property fmtid="{D5CDD505-2E9C-101B-9397-08002B2CF9AE}" pid="4" name="DocumentPartAsText">
    <vt:lpwstr>00</vt:lpwstr>
  </property>
  <property fmtid="{D5CDD505-2E9C-101B-9397-08002B2CF9AE}" pid="5" name="DocumentVersionAsText">
    <vt:lpwstr>03</vt:lpwstr>
  </property>
  <property fmtid="{D5CDD505-2E9C-101B-9397-08002B2CF9AE}" pid="6" name="SecurityGroupsAsXml">
    <vt:lpwstr/>
  </property>
  <property fmtid="{D5CDD505-2E9C-101B-9397-08002B2CF9AE}" pid="7" name="DossierNameAsText">
    <vt:lpwstr/>
  </property>
  <property fmtid="{D5CDD505-2E9C-101B-9397-08002B2CF9AE}" pid="8" name="DocumentLanguageAsText">
    <vt:lpwstr>DA</vt:lpwstr>
  </property>
  <property fmtid="{D5CDD505-2E9C-101B-9397-08002B2CF9AE}" pid="9" name="DocumentStatusAsText">
    <vt:lpwstr>TRA</vt:lpwstr>
  </property>
  <property fmtid="{D5CDD505-2E9C-101B-9397-08002B2CF9AE}" pid="10" name="DocumentNumberAsText">
    <vt:lpwstr>4780</vt:lpwstr>
  </property>
  <property fmtid="{D5CDD505-2E9C-101B-9397-08002B2CF9AE}" pid="11" name="RequestingServiceAsText">
    <vt:lpwstr>Unité NAT</vt:lpwstr>
  </property>
  <property fmtid="{D5CDD505-2E9C-101B-9397-08002B2CF9AE}" pid="12" name="ProcedureAsText">
    <vt:lpwstr/>
  </property>
  <property fmtid="{D5CDD505-2E9C-101B-9397-08002B2CF9AE}" pid="13" name="DossierNumberAsText">
    <vt:lpwstr/>
  </property>
  <property fmtid="{D5CDD505-2E9C-101B-9397-08002B2CF9AE}" pid="14" name="RapporteurAsText">
    <vt:lpwstr/>
  </property>
  <property fmtid="{D5CDD505-2E9C-101B-9397-08002B2CF9AE}" pid="15" name="FicheNumberAsText">
    <vt:lpwstr>464</vt:lpwstr>
  </property>
  <property fmtid="{D5CDD505-2E9C-101B-9397-08002B2CF9AE}" pid="16" name="FicheYearAsText">
    <vt:lpwstr>2015</vt:lpwstr>
  </property>
  <property fmtid="{D5CDD505-2E9C-101B-9397-08002B2CF9AE}" pid="17" name="AdoptionDateAsText">
    <vt:lpwstr/>
  </property>
  <property fmtid="{D5CDD505-2E9C-101B-9397-08002B2CF9AE}" pid="18" name="ProductionDateAsText">
    <vt:lpwstr>2015-01-19</vt:lpwstr>
  </property>
  <property fmtid="{D5CDD505-2E9C-101B-9397-08002B2CF9AE}" pid="19" name="OriginalLanguageAsText">
    <vt:lpwstr>EN</vt:lpwstr>
  </property>
  <property fmtid="{D5CDD505-2E9C-101B-9397-08002B2CF9AE}" pid="20" name="DocumentSourceAsText">
    <vt:lpwstr>CES</vt:lpwstr>
  </property>
  <property fmtid="{D5CDD505-2E9C-101B-9397-08002B2CF9AE}" pid="21" name="DocumentTypeAsText">
    <vt:lpwstr>TCD</vt:lpwstr>
  </property>
  <property fmtid="{D5CDD505-2E9C-101B-9397-08002B2CF9AE}" pid="22" name="DocumentYearAsText">
    <vt:lpwstr>2014</vt:lpwstr>
  </property>
  <property fmtid="{D5CDD505-2E9C-101B-9397-08002B2CF9AE}" pid="23" name="ConfidentialityAsText">
    <vt:lpwstr>Unrestricted</vt:lpwstr>
  </property>
  <property fmtid="{D5CDD505-2E9C-101B-9397-08002B2CF9AE}" pid="24" name="_dlc_DocId">
    <vt:lpwstr>Q4AU5J5HWUN2-7-7035</vt:lpwstr>
  </property>
  <property fmtid="{D5CDD505-2E9C-101B-9397-08002B2CF9AE}" pid="25" name="_dlc_DocIdItemGuid">
    <vt:lpwstr>a75c6175-6a23-4987-9009-80226a4c2cb5</vt:lpwstr>
  </property>
  <property fmtid="{D5CDD505-2E9C-101B-9397-08002B2CF9AE}" pid="26" name="_dlc_DocIdUrl">
    <vt:lpwstr>http://dm/EESC/2014/_layouts/DocIdRedir.aspx?ID=Q4AU5J5HWUN2-7-7035, Q4AU5J5HWUN2-7-7035</vt:lpwstr>
  </property>
  <property fmtid="{D5CDD505-2E9C-101B-9397-08002B2CF9AE}" pid="27" name="DocumentType_0">
    <vt:lpwstr>TCD|cd9d6eb6-3f4f-424a-b2d1-57c9d450eaaf</vt:lpwstr>
  </property>
  <property fmtid="{D5CDD505-2E9C-101B-9397-08002B2CF9AE}" pid="28" name="Procedure">
    <vt:lpwstr/>
  </property>
  <property fmtid="{D5CDD505-2E9C-101B-9397-08002B2CF9AE}" pid="29" name="AvailableTranslations">
    <vt:lpwstr>6;#EN|f2175f21-25d7-44a3-96da-d6a61b075e1b;#12;#DE|f6b31e5a-26fa-4935-b661-318e46daf27e;#19;#IT|0774613c-01ed-4e5d-a25d-11d2388de825;#21;#EL|6d4f4d51-af9b-4650-94b4-4276bee85c91;#25;#FI|87606a43-d45f-42d6-b8c9-e1a3457db5b7;#30;#BG|1a1b3951-7821-4e6a-85f5-</vt:lpwstr>
  </property>
  <property fmtid="{D5CDD505-2E9C-101B-9397-08002B2CF9AE}" pid="30" name="DocumentSource_0">
    <vt:lpwstr>EESC|422833ec-8d7e-4e65-8e4e-8bed07ffb729</vt:lpwstr>
  </property>
  <property fmtid="{D5CDD505-2E9C-101B-9397-08002B2CF9AE}" pid="31" name="DossierName_0">
    <vt:lpwstr/>
  </property>
  <property fmtid="{D5CDD505-2E9C-101B-9397-08002B2CF9AE}" pid="32" name="Rapporteur">
    <vt:lpwstr/>
  </property>
  <property fmtid="{D5CDD505-2E9C-101B-9397-08002B2CF9AE}" pid="33" name="ProductionDate">
    <vt:filetime>2015-01-19T13:00:00Z</vt:filetime>
  </property>
  <property fmtid="{D5CDD505-2E9C-101B-9397-08002B2CF9AE}" pid="34" name="DocumentNumber">
    <vt:i4>4780</vt:i4>
  </property>
  <property fmtid="{D5CDD505-2E9C-101B-9397-08002B2CF9AE}" pid="35" name="FicheYear">
    <vt:i4>2015</vt:i4>
  </property>
  <property fmtid="{D5CDD505-2E9C-101B-9397-08002B2CF9AE}" pid="36" name="OriginalLanguage">
    <vt:lpwstr>6;#EN|f2175f21-25d7-44a3-96da-d6a61b075e1b</vt:lpwstr>
  </property>
  <property fmtid="{D5CDD505-2E9C-101B-9397-08002B2CF9AE}" pid="37" name="DocumentLanguage">
    <vt:lpwstr>29;#DA|5d49c027-8956-412b-aa16-e85a0f96ad0e</vt:lpwstr>
  </property>
  <property fmtid="{D5CDD505-2E9C-101B-9397-08002B2CF9AE}" pid="38" name="DocumentStatus_0">
    <vt:lpwstr>TRA|150d2a88-1431-44e6-a8ca-0bb753ab8672</vt:lpwstr>
  </property>
  <property fmtid="{D5CDD505-2E9C-101B-9397-08002B2CF9AE}" pid="39" name="DocumentYear">
    <vt:i4>2014</vt:i4>
  </property>
  <property fmtid="{D5CDD505-2E9C-101B-9397-08002B2CF9AE}" pid="40" name="FicheNumber">
    <vt:i4>464</vt:i4>
  </property>
  <property fmtid="{D5CDD505-2E9C-101B-9397-08002B2CF9AE}" pid="41" name="MeetingDate">
    <vt:filetime>2015-01-21T13:00:00Z</vt:filetime>
  </property>
  <property fmtid="{D5CDD505-2E9C-101B-9397-08002B2CF9AE}" pid="42" name="OriginalLanguage_0">
    <vt:lpwstr>EN|f2175f21-25d7-44a3-96da-d6a61b075e1b</vt:lpwstr>
  </property>
  <property fmtid="{D5CDD505-2E9C-101B-9397-08002B2CF9AE}" pid="43" name="DocumentVersion">
    <vt:i4>3</vt:i4>
  </property>
  <property fmtid="{D5CDD505-2E9C-101B-9397-08002B2CF9AE}" pid="44" name="AvailableTranslations_0">
    <vt:lpwstr>DE|f6b31e5a-26fa-4935-b661-318e46daf27e;EN|f2175f21-25d7-44a3-96da-d6a61b075e1b;HR|2f555653-ed1a-4fe6-8362-9082d95989e5;IT|0774613c-01ed-4e5d-a25d-11d2388de825;RO|feb747a2-64cd-4299-af12-4833ddc30497;LV|46f7e311-5d9f-4663-b433-18aeccb7ace7</vt:lpwstr>
  </property>
  <property fmtid="{D5CDD505-2E9C-101B-9397-08002B2CF9AE}" pid="45" name="DocumentLanguage_0">
    <vt:lpwstr>DA|5d49c027-8956-412b-aa16-e85a0f96ad0e</vt:lpwstr>
  </property>
  <property fmtid="{D5CDD505-2E9C-101B-9397-08002B2CF9AE}" pid="46" name="TaxCatchAll">
    <vt:lpwstr>19;#IT|0774613c-01ed-4e5d-a25d-11d2388de825;#38;#RO|feb747a2-64cd-4299-af12-4833ddc30497;#93;#SPL-CES|32d8cb1f-c9ec-4365-95c7-8385a18618ac;#12;#DE|f6b31e5a-26fa-4935-b661-318e46daf27e;#32;#HR|2f555653-ed1a-4fe6-8362-9082d95989e5;#29;#DA|5d49c027-8956-412b</vt:lpwstr>
  </property>
  <property fmtid="{D5CDD505-2E9C-101B-9397-08002B2CF9AE}" pid="47" name="DocumentSource">
    <vt:lpwstr>1;#EESC|422833ec-8d7e-4e65-8e4e-8bed07ffb729</vt:lpwstr>
  </property>
  <property fmtid="{D5CDD505-2E9C-101B-9397-08002B2CF9AE}" pid="48" name="DocumentStatus">
    <vt:lpwstr>2;#TRA|150d2a88-1431-44e6-a8ca-0bb753ab8672</vt:lpwstr>
  </property>
  <property fmtid="{D5CDD505-2E9C-101B-9397-08002B2CF9AE}" pid="49" name="DocumentType">
    <vt:lpwstr>3;#TCD|cd9d6eb6-3f4f-424a-b2d1-57c9d450eaaf</vt:lpwstr>
  </property>
  <property fmtid="{D5CDD505-2E9C-101B-9397-08002B2CF9AE}" pid="50" name="DocumentPart">
    <vt:i4>0</vt:i4>
  </property>
  <property fmtid="{D5CDD505-2E9C-101B-9397-08002B2CF9AE}" pid="51" name="DossierName">
    <vt:lpwstr/>
  </property>
  <property fmtid="{D5CDD505-2E9C-101B-9397-08002B2CF9AE}" pid="52" name="RequestingService">
    <vt:lpwstr>Agriculture, développement rural et environnement</vt:lpwstr>
  </property>
  <property fmtid="{D5CDD505-2E9C-101B-9397-08002B2CF9AE}" pid="53" name="Confidentiality">
    <vt:lpwstr>5;#Unrestricted|826e22d7-d029-4ec0-a450-0c28ff673572</vt:lpwstr>
  </property>
  <property fmtid="{D5CDD505-2E9C-101B-9397-08002B2CF9AE}" pid="54" name="Confidentiality_0">
    <vt:lpwstr>Unrestricted|826e22d7-d029-4ec0-a450-0c28ff673572</vt:lpwstr>
  </property>
  <property fmtid="{D5CDD505-2E9C-101B-9397-08002B2CF9AE}" pid="55" name="MeetingName_0">
    <vt:lpwstr>SPL-CES|32d8cb1f-c9ec-4365-95c7-8385a18618ac</vt:lpwstr>
  </property>
  <property fmtid="{D5CDD505-2E9C-101B-9397-08002B2CF9AE}" pid="56" name="MeetingName">
    <vt:lpwstr>93;#SPL-CES|32d8cb1f-c9ec-4365-95c7-8385a18618ac</vt:lpwstr>
  </property>
  <property fmtid="{D5CDD505-2E9C-101B-9397-08002B2CF9AE}" pid="57" name="MeetingNumber">
    <vt:i4>504</vt:i4>
  </property>
  <property fmtid="{D5CDD505-2E9C-101B-9397-08002B2CF9AE}" pid="58" name="Pref_formatted">
    <vt:bool>true</vt:bool>
  </property>
  <property fmtid="{D5CDD505-2E9C-101B-9397-08002B2CF9AE}" pid="59" name="Pref_Date">
    <vt:lpwstr>12/01/2015, 12/01/2015, 12/01/2015</vt:lpwstr>
  </property>
  <property fmtid="{D5CDD505-2E9C-101B-9397-08002B2CF9AE}" pid="60" name="Pref_Time">
    <vt:lpwstr>14/30/27, 13/32/26, 13:00:17</vt:lpwstr>
  </property>
  <property fmtid="{D5CDD505-2E9C-101B-9397-08002B2CF9AE}" pid="61" name="Pref_User">
    <vt:lpwstr>tvoc, sphil, ymur</vt:lpwstr>
  </property>
  <property fmtid="{D5CDD505-2E9C-101B-9397-08002B2CF9AE}" pid="62" name="Pref_FileName">
    <vt:lpwstr>EESC-2014-04780-00-02-TCD-ORI.doc, EESC-2014-04780-00-02-TCD-TRA-EN-CRR.doc, EESC-2014-04780-00-02-TCD-CRR-EN.doc</vt:lpwstr>
  </property>
  <property fmtid="{D5CDD505-2E9C-101B-9397-08002B2CF9AE}" pid="63" name="MeetingNumberAsText">
    <vt:lpwstr>504</vt:lpwstr>
  </property>
  <property fmtid="{D5CDD505-2E9C-101B-9397-08002B2CF9AE}" pid="64" name="MeetingNameAsText">
    <vt:lpwstr>SPL-CES</vt:lpwstr>
  </property>
  <property fmtid="{D5CDD505-2E9C-101B-9397-08002B2CF9AE}" pid="65" name="AdoptionDate">
    <vt:filetime>2015-01-22T12:00:00Z</vt:filetime>
  </property>
</Properties>
</file>