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BE6BB9" w:rsidP="00ED790E">
      <w:pPr>
        <w:ind w:left="-426"/>
        <w:jc w:val="center"/>
      </w:pPr>
      <w:r>
        <w:rPr>
          <w:noProof/>
          <w:sz w:val="20"/>
          <w:lang w:val="en-US" w:eastAsia="en-US" w:bidi="ar-SA"/>
        </w:rPr>
        <mc:AlternateContent>
          <mc:Choice Requires="wps">
            <w:drawing>
              <wp:anchor distT="0" distB="0" distL="114300" distR="114300" simplePos="0" relativeHeight="251659264" behindDoc="1" locked="0" layoutInCell="0" allowOverlap="1" wp14:anchorId="37D6D090" wp14:editId="470BEA4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BB9" w:rsidRPr="00260E65" w:rsidRDefault="00BE6BB9">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E6BB9" w:rsidRPr="00260E65" w:rsidRDefault="00BE6BB9">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r w:rsidR="00DE1F55">
        <w:rPr>
          <w:noProof/>
          <w:lang w:val="en-US" w:eastAsia="en-US" w:bidi="ar-SA"/>
        </w:rPr>
        <w:drawing>
          <wp:inline distT="0" distB="0" distL="0" distR="0" wp14:anchorId="2F28321D" wp14:editId="34174778">
            <wp:extent cx="6591300" cy="1492250"/>
            <wp:effectExtent l="0" t="0" r="0" b="0"/>
            <wp:docPr id="1" name="Picture 1"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1300" cy="149225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73080">
        <w:trPr>
          <w:cantSplit/>
        </w:trPr>
        <w:tc>
          <w:tcPr>
            <w:tcW w:w="5168" w:type="dxa"/>
          </w:tcPr>
          <w:p w:rsidR="008820BE" w:rsidRPr="00773080" w:rsidRDefault="00AF34DA" w:rsidP="00FB7F3A">
            <w:pPr>
              <w:spacing w:line="240" w:lineRule="auto"/>
              <w:rPr>
                <w:rFonts w:ascii="Verdana" w:hAnsi="Verdana"/>
                <w:b/>
                <w:bCs/>
                <w:sz w:val="20"/>
              </w:rPr>
            </w:pPr>
            <w:r>
              <w:rPr>
                <w:rFonts w:ascii="Verdana" w:hAnsi="Verdana"/>
                <w:b/>
                <w:sz w:val="20"/>
              </w:rPr>
              <w:t>COMMUNIQUÉ DE PRESSE N° 29/2016</w:t>
            </w:r>
          </w:p>
        </w:tc>
        <w:tc>
          <w:tcPr>
            <w:tcW w:w="4119" w:type="dxa"/>
          </w:tcPr>
          <w:p w:rsidR="008820BE" w:rsidRPr="00773080" w:rsidRDefault="002936AD" w:rsidP="00DE1F55">
            <w:pPr>
              <w:spacing w:line="240" w:lineRule="auto"/>
              <w:jc w:val="right"/>
              <w:rPr>
                <w:rFonts w:ascii="Verdana" w:hAnsi="Verdana"/>
                <w:b/>
                <w:bCs/>
                <w:sz w:val="20"/>
              </w:rPr>
            </w:pPr>
            <w:r>
              <w:rPr>
                <w:rFonts w:ascii="Verdana" w:hAnsi="Verdana"/>
                <w:b/>
                <w:sz w:val="20"/>
              </w:rPr>
              <w:t>27</w:t>
            </w:r>
            <w:r w:rsidR="00DE1F55">
              <w:rPr>
                <w:rFonts w:ascii="Verdana" w:hAnsi="Verdana"/>
                <w:b/>
                <w:sz w:val="20"/>
              </w:rPr>
              <w:t> </w:t>
            </w:r>
            <w:r>
              <w:rPr>
                <w:rFonts w:ascii="Verdana" w:hAnsi="Verdana"/>
                <w:b/>
                <w:sz w:val="20"/>
              </w:rPr>
              <w:t>avril</w:t>
            </w:r>
            <w:r w:rsidR="00DE1F55">
              <w:rPr>
                <w:rFonts w:ascii="Verdana" w:hAnsi="Verdana"/>
                <w:b/>
                <w:sz w:val="20"/>
              </w:rPr>
              <w:t> </w:t>
            </w:r>
            <w:r>
              <w:rPr>
                <w:rFonts w:ascii="Verdana" w:hAnsi="Verdana"/>
                <w:b/>
                <w:sz w:val="20"/>
              </w:rPr>
              <w:t>2016</w:t>
            </w:r>
          </w:p>
        </w:tc>
      </w:tr>
    </w:tbl>
    <w:p w:rsidR="008820BE" w:rsidRPr="00773080" w:rsidRDefault="008820BE" w:rsidP="00473E94">
      <w:pPr>
        <w:spacing w:line="240" w:lineRule="auto"/>
        <w:rPr>
          <w:rFonts w:ascii="Verdana" w:hAnsi="Verdana"/>
          <w:sz w:val="20"/>
        </w:rPr>
        <w:sectPr w:rsidR="008820BE" w:rsidRPr="00773080" w:rsidSect="00D93A6F">
          <w:footerReference w:type="default" r:id="rId15"/>
          <w:pgSz w:w="11907" w:h="16839" w:code="9"/>
          <w:pgMar w:top="426" w:right="1418" w:bottom="1418" w:left="1418" w:header="3062" w:footer="118" w:gutter="0"/>
          <w:cols w:space="720"/>
          <w:docGrid w:linePitch="299"/>
        </w:sectPr>
      </w:pPr>
    </w:p>
    <w:p w:rsidR="00DE1F55" w:rsidRDefault="00DE1F55" w:rsidP="00DE1F55">
      <w:pPr>
        <w:spacing w:line="360" w:lineRule="auto"/>
        <w:rPr>
          <w:rFonts w:ascii="Verdana" w:hAnsi="Verdana"/>
          <w:b/>
          <w:sz w:val="24"/>
        </w:rPr>
      </w:pPr>
    </w:p>
    <w:p w:rsidR="00D44AB7" w:rsidRPr="00D44AB7" w:rsidRDefault="00D44AB7" w:rsidP="00D44AB7">
      <w:pPr>
        <w:spacing w:line="360" w:lineRule="auto"/>
        <w:jc w:val="center"/>
        <w:rPr>
          <w:rFonts w:ascii="Verdana" w:hAnsi="Verdana"/>
          <w:b/>
          <w:sz w:val="24"/>
          <w:szCs w:val="24"/>
        </w:rPr>
      </w:pPr>
      <w:r>
        <w:rPr>
          <w:rFonts w:ascii="Verdana" w:hAnsi="Verdana"/>
          <w:b/>
          <w:sz w:val="24"/>
        </w:rPr>
        <w:t xml:space="preserve">La législation sur les armes à feu doit être plus ambitieuse </w:t>
      </w:r>
      <w:r w:rsidR="00DE1F55">
        <w:rPr>
          <w:rFonts w:ascii="Verdana" w:hAnsi="Verdana"/>
          <w:b/>
          <w:sz w:val="24"/>
        </w:rPr>
        <w:br/>
      </w:r>
      <w:r>
        <w:rPr>
          <w:rFonts w:ascii="Verdana" w:hAnsi="Verdana"/>
          <w:b/>
          <w:sz w:val="24"/>
        </w:rPr>
        <w:t>afin d’accroître la sûreté publique, souligne le CESE</w:t>
      </w:r>
    </w:p>
    <w:p w:rsidR="00D44AB7" w:rsidRDefault="00D44AB7" w:rsidP="00D44AB7">
      <w:pPr>
        <w:rPr>
          <w:rFonts w:ascii="Verdana" w:hAnsi="Verdana"/>
          <w:sz w:val="18"/>
          <w:szCs w:val="18"/>
        </w:rPr>
      </w:pPr>
    </w:p>
    <w:p w:rsidR="00D44AB7" w:rsidRPr="00D44AB7" w:rsidRDefault="00D44AB7" w:rsidP="00D44AB7">
      <w:pPr>
        <w:rPr>
          <w:rFonts w:ascii="Verdana" w:hAnsi="Verdana"/>
          <w:sz w:val="18"/>
          <w:szCs w:val="18"/>
        </w:rPr>
      </w:pPr>
      <w:r>
        <w:rPr>
          <w:rFonts w:ascii="Verdana" w:hAnsi="Verdana"/>
          <w:sz w:val="18"/>
        </w:rPr>
        <w:t xml:space="preserve">Les questions liées aux armements sont toujours matière à controverse. Les événements tragiques survenus récemment en Europe ont rendu plus brûlant encore le débat sur la révision de la directive relative au contrôle de l’acquisition et de la détention d’armes, exercice s’inscrivant dans le cadre du programme européen en matière de sécurité. Les menaces s’accumulent sur la sécurité publique et il est urgent d’agir pour contrer la facilité avec laquelle les citoyens peuvent se procurer des armes à feu, qui continuent à tomber entre les mains de groupes radicaux, d’organisations criminelles et d’individus perturbés. </w:t>
      </w:r>
    </w:p>
    <w:p w:rsidR="00D44AB7" w:rsidRPr="00D44AB7" w:rsidRDefault="00D44AB7" w:rsidP="00D44AB7">
      <w:pPr>
        <w:rPr>
          <w:rFonts w:ascii="Verdana" w:hAnsi="Verdana"/>
          <w:sz w:val="18"/>
          <w:szCs w:val="18"/>
        </w:rPr>
      </w:pPr>
    </w:p>
    <w:p w:rsidR="00D44AB7" w:rsidRPr="00D44AB7" w:rsidRDefault="00D44AB7" w:rsidP="00D44AB7">
      <w:pPr>
        <w:rPr>
          <w:rFonts w:ascii="Verdana" w:hAnsi="Verdana"/>
          <w:sz w:val="18"/>
          <w:szCs w:val="18"/>
        </w:rPr>
      </w:pPr>
      <w:r>
        <w:rPr>
          <w:rFonts w:ascii="Verdana" w:hAnsi="Verdana"/>
          <w:sz w:val="18"/>
        </w:rPr>
        <w:t>D'après l'étude de l'ONUDC sur les armes à feu</w:t>
      </w:r>
      <w:r>
        <w:rPr>
          <w:rStyle w:val="FootnoteReference"/>
          <w:rFonts w:ascii="Verdana" w:hAnsi="Verdana"/>
        </w:rPr>
        <w:footnoteReference w:id="1"/>
      </w:r>
      <w:r>
        <w:rPr>
          <w:rFonts w:ascii="Verdana" w:hAnsi="Verdana"/>
          <w:sz w:val="18"/>
        </w:rPr>
        <w:t>, quelque 875 millions d'armes ont été recensées en</w:t>
      </w:r>
      <w:r w:rsidR="00DE1F55">
        <w:rPr>
          <w:rFonts w:ascii="Verdana" w:hAnsi="Verdana"/>
          <w:sz w:val="18"/>
        </w:rPr>
        <w:t> </w:t>
      </w:r>
      <w:r>
        <w:rPr>
          <w:rFonts w:ascii="Verdana" w:hAnsi="Verdana"/>
          <w:sz w:val="18"/>
        </w:rPr>
        <w:t>2007, dont seuls 3 % étaient détenus par des forces de police et 23 % par des militaires. Dans une industrie de cette dimension, il appartient au législateur de trouver et d'imposer les mesures capables d'atténuer la menace découlant de la possession d’un nombre aussi élevé d’armes.</w:t>
      </w:r>
    </w:p>
    <w:p w:rsidR="00D44AB7" w:rsidRPr="00D44AB7" w:rsidRDefault="00D44AB7" w:rsidP="00D44AB7">
      <w:pPr>
        <w:rPr>
          <w:rFonts w:ascii="Verdana" w:hAnsi="Verdana"/>
          <w:sz w:val="18"/>
          <w:szCs w:val="18"/>
        </w:rPr>
      </w:pPr>
    </w:p>
    <w:p w:rsidR="00D44AB7" w:rsidRPr="00D44AB7" w:rsidRDefault="00D44AB7" w:rsidP="00D44AB7">
      <w:pPr>
        <w:rPr>
          <w:rFonts w:ascii="Verdana" w:hAnsi="Verdana"/>
          <w:sz w:val="18"/>
          <w:szCs w:val="18"/>
        </w:rPr>
      </w:pPr>
      <w:r>
        <w:rPr>
          <w:rFonts w:ascii="Verdana" w:hAnsi="Verdana"/>
          <w:sz w:val="18"/>
        </w:rPr>
        <w:t xml:space="preserve">Le CESE estime que les clarifications, les nouvelles exigences et une cohérence accrue des règles en matière de marquage et de destruction des armes proposées par la Commission sont une amélioration sensible par rapport à la directive en vigueur. </w:t>
      </w:r>
      <w:r>
        <w:rPr>
          <w:rFonts w:ascii="Verdana" w:hAnsi="Verdana"/>
          <w:b/>
          <w:sz w:val="18"/>
        </w:rPr>
        <w:t>Toutefois, le Comité insiste sur le fait que la législation sur les armes à feu doit être plus ambitieuse afin de renforcer la sécurité publique en général —</w:t>
      </w:r>
      <w:r w:rsidR="0073748B">
        <w:rPr>
          <w:rFonts w:ascii="Verdana" w:hAnsi="Verdana"/>
          <w:b/>
          <w:sz w:val="18"/>
        </w:rPr>
        <w:t> </w:t>
      </w:r>
      <w:r>
        <w:rPr>
          <w:rFonts w:ascii="Verdana" w:hAnsi="Verdana"/>
          <w:b/>
          <w:sz w:val="18"/>
        </w:rPr>
        <w:t>il ne doit pas s’agir uniquement d’apporter une réponse immédiate à de récents actes terroristes.</w:t>
      </w:r>
      <w:r>
        <w:rPr>
          <w:rFonts w:ascii="Verdana" w:hAnsi="Verdana"/>
          <w:sz w:val="18"/>
        </w:rPr>
        <w:t xml:space="preserve"> Dans son </w:t>
      </w:r>
      <w:hyperlink r:id="rId16">
        <w:r>
          <w:rPr>
            <w:rStyle w:val="Hyperlink"/>
            <w:rFonts w:ascii="Verdana" w:hAnsi="Verdana"/>
            <w:sz w:val="18"/>
          </w:rPr>
          <w:t>avis sur le contrôle de l’acquisition et de la détention d’armes</w:t>
        </w:r>
      </w:hyperlink>
      <w:r>
        <w:rPr>
          <w:rFonts w:ascii="Verdana" w:hAnsi="Verdana"/>
          <w:sz w:val="18"/>
        </w:rPr>
        <w:t xml:space="preserve">, le Comité propose plusieurs mesures concrètes en matière de traçage des armes et des personnes impliquées dans des actes criminels. Compte tenu de l'importance de la </w:t>
      </w:r>
      <w:proofErr w:type="gramStart"/>
      <w:r>
        <w:rPr>
          <w:rFonts w:ascii="Verdana" w:hAnsi="Verdana"/>
          <w:sz w:val="18"/>
        </w:rPr>
        <w:t>traçabilité</w:t>
      </w:r>
      <w:proofErr w:type="gramEnd"/>
      <w:r>
        <w:rPr>
          <w:rFonts w:ascii="Verdana" w:hAnsi="Verdana"/>
          <w:sz w:val="18"/>
        </w:rPr>
        <w:t xml:space="preserve"> non seulement des armes, mais aussi des munitions, l'industrie devrait être amenée à entamer des recherches sur un marquage des projectiles qui soit ineffaçable ou placé à un endroit ne pouvant être détruit à l'utilisation. Sachant que c'est normalement le projectile et non l'arme que l'on retrouve sur une scène de crime, ce marquage pourrait fournir des informations importantes pour les enquêtes policières. Le CESE considère que ces données, si elles sont mises à disposition par voie de bases de données interopérables gérées par les autorités, permettraient de rendre les enquêtes plus efficaces. </w:t>
      </w:r>
    </w:p>
    <w:p w:rsidR="00D44AB7" w:rsidRPr="00D44AB7" w:rsidRDefault="00D44AB7" w:rsidP="00D44AB7">
      <w:pPr>
        <w:rPr>
          <w:rFonts w:ascii="Verdana" w:hAnsi="Verdana"/>
          <w:sz w:val="18"/>
          <w:szCs w:val="18"/>
        </w:rPr>
      </w:pPr>
    </w:p>
    <w:p w:rsidR="00D44AB7" w:rsidRDefault="00D44AB7" w:rsidP="00D44AB7">
      <w:pPr>
        <w:rPr>
          <w:rFonts w:ascii="Verdana" w:hAnsi="Verdana"/>
          <w:sz w:val="18"/>
          <w:szCs w:val="18"/>
        </w:rPr>
      </w:pPr>
      <w:r>
        <w:rPr>
          <w:rFonts w:ascii="Verdana" w:hAnsi="Verdana"/>
          <w:sz w:val="18"/>
        </w:rPr>
        <w:t>Une autre approche, selon l’avis du CESE, pourrait consister à suivre l’exemple des programmes australien et britannique de rachat d’armes, ce qui permettrait de retirer des milliers d’armes de la circulation. En 1997, après un incident au cours duquel 35</w:t>
      </w:r>
      <w:r w:rsidR="00DE1F55">
        <w:rPr>
          <w:rFonts w:ascii="Verdana" w:hAnsi="Verdana"/>
          <w:sz w:val="18"/>
        </w:rPr>
        <w:t> </w:t>
      </w:r>
      <w:r>
        <w:rPr>
          <w:rFonts w:ascii="Verdana" w:hAnsi="Verdana"/>
          <w:sz w:val="18"/>
        </w:rPr>
        <w:t>personnes ont perdu la vie et 23</w:t>
      </w:r>
      <w:r w:rsidR="00DE1F55">
        <w:rPr>
          <w:rFonts w:ascii="Verdana" w:hAnsi="Verdana"/>
          <w:sz w:val="18"/>
        </w:rPr>
        <w:t> </w:t>
      </w:r>
      <w:r>
        <w:rPr>
          <w:rFonts w:ascii="Verdana" w:hAnsi="Verdana"/>
          <w:sz w:val="18"/>
        </w:rPr>
        <w:t xml:space="preserve">autres ont été blessées, l’Australie a lancé l’une des plus importantes réformes jamais vues de sa législation régissant l’utilisation et la possession d’armes. Cette initiative a permis de retirer de la circulation près de 700 000 armes et, accompagnée de nouvelles restrictions, a fait baisser drastiquement le taux d'homicides par arme à feu. Le programme australien de rachat d'armes par </w:t>
      </w:r>
      <w:r>
        <w:rPr>
          <w:rFonts w:ascii="Verdana" w:hAnsi="Verdana"/>
          <w:sz w:val="18"/>
        </w:rPr>
        <w:lastRenderedPageBreak/>
        <w:t xml:space="preserve">l'État se fonde sur l'idée que la grande disponibilité d'armes à feu favorise le risque que les pulsions meurtrières d'un individu débouchent sur un assassinat de masse. </w:t>
      </w:r>
    </w:p>
    <w:p w:rsidR="00D44AB7" w:rsidRPr="00D44AB7" w:rsidRDefault="00D44AB7" w:rsidP="00D44AB7">
      <w:pPr>
        <w:rPr>
          <w:rFonts w:ascii="Verdana" w:hAnsi="Verdana"/>
          <w:sz w:val="18"/>
          <w:szCs w:val="18"/>
        </w:rPr>
      </w:pPr>
    </w:p>
    <w:p w:rsidR="00D44AB7" w:rsidRDefault="00D44AB7" w:rsidP="00D44AB7">
      <w:pPr>
        <w:rPr>
          <w:rFonts w:ascii="Verdana" w:hAnsi="Verdana"/>
          <w:sz w:val="18"/>
          <w:szCs w:val="18"/>
        </w:rPr>
      </w:pPr>
      <w:r>
        <w:rPr>
          <w:rFonts w:ascii="Verdana" w:hAnsi="Verdana"/>
          <w:sz w:val="18"/>
        </w:rPr>
        <w:t>Un autre domaine qui mérite une attention particulière est celui de l’impression en</w:t>
      </w:r>
      <w:r w:rsidR="00DE1F55">
        <w:rPr>
          <w:rFonts w:ascii="Verdana" w:hAnsi="Verdana"/>
          <w:sz w:val="18"/>
        </w:rPr>
        <w:t> </w:t>
      </w:r>
      <w:r>
        <w:rPr>
          <w:rFonts w:ascii="Verdana" w:hAnsi="Verdana"/>
          <w:sz w:val="18"/>
        </w:rPr>
        <w:t xml:space="preserve">3D: l’évolution technologique permet la fabrication d’armes tout aussi létales que celles produites par des méthodes classiques, mais sans aucune possibilité de contrôle ni de traçabilité. Ces armes sont majoritairement composées de matériaux qui ne sont pas détectables par les systèmes de sécurité traditionnels. Il faut que les nations se réunissent pour discuter de cette question. </w:t>
      </w:r>
    </w:p>
    <w:p w:rsidR="00AF3DCD" w:rsidRDefault="00AF3DCD" w:rsidP="00D44AB7">
      <w:pPr>
        <w:rPr>
          <w:rFonts w:ascii="Verdana" w:hAnsi="Verdana"/>
          <w:sz w:val="18"/>
          <w:szCs w:val="18"/>
        </w:rPr>
      </w:pPr>
    </w:p>
    <w:p w:rsidR="00D44AB7" w:rsidRPr="00D44AB7" w:rsidRDefault="00D44AB7" w:rsidP="00D44AB7">
      <w:pPr>
        <w:rPr>
          <w:rFonts w:ascii="Verdana" w:hAnsi="Verdana"/>
          <w:sz w:val="18"/>
          <w:szCs w:val="18"/>
        </w:rPr>
      </w:pPr>
      <w:r>
        <w:rPr>
          <w:rFonts w:ascii="Verdana" w:hAnsi="Verdana"/>
          <w:sz w:val="18"/>
        </w:rPr>
        <w:t>Le CESE soutient l'introduction d'examens médicaux obligatoires, fondés sur des critères de qualité et des exigences européennes minimales, pour évaluer la santé physique et mentale en vue de l'octroi ou du renouvellement des autorisations d'utilisation et de port d’arme. Cette pratique est déjà suivie dans certains États membres. Le CESE fait toutefois observer que la directive pourrait également exiger des formations régulières pour la manipulation des armes à feu ainsi que pour la sécurité du stockage et du transport d'armes et de leurs composantes.</w:t>
      </w:r>
    </w:p>
    <w:p w:rsidR="00D44AB7" w:rsidRPr="004F7AAC" w:rsidRDefault="00D44AB7" w:rsidP="00D44AB7"/>
    <w:p w:rsidR="002C2B83" w:rsidRPr="00273102" w:rsidRDefault="002C2B83" w:rsidP="002C2B83">
      <w:pPr>
        <w:jc w:val="center"/>
        <w:rPr>
          <w:rFonts w:ascii="Verdana" w:hAnsi="Verdana"/>
          <w:b/>
          <w:sz w:val="17"/>
          <w:szCs w:val="17"/>
        </w:rPr>
      </w:pPr>
      <w:r>
        <w:rPr>
          <w:rFonts w:ascii="Verdana" w:hAnsi="Verdana"/>
          <w:b/>
          <w:sz w:val="17"/>
        </w:rPr>
        <w:t xml:space="preserve">Pour de plus amples informations, veuillez contacter: </w:t>
      </w:r>
    </w:p>
    <w:p w:rsidR="00B33867" w:rsidRPr="002C2B83" w:rsidRDefault="002C2B83" w:rsidP="002C2B83">
      <w:pPr>
        <w:jc w:val="center"/>
        <w:rPr>
          <w:rFonts w:ascii="Verdana" w:hAnsi="Verdana"/>
          <w:sz w:val="18"/>
          <w:szCs w:val="18"/>
        </w:rPr>
      </w:pPr>
      <w:r>
        <w:rPr>
          <w:rFonts w:ascii="Verdana" w:hAnsi="Verdana"/>
          <w:sz w:val="17"/>
        </w:rPr>
        <w:t>Siana Glouharova, service de presse du CESE</w:t>
      </w:r>
    </w:p>
    <w:p w:rsidR="00BE6BB9" w:rsidRPr="00773080" w:rsidRDefault="00B33867" w:rsidP="002C2B83">
      <w:pPr>
        <w:overflowPunct/>
        <w:autoSpaceDE/>
        <w:autoSpaceDN/>
        <w:adjustRightInd/>
        <w:spacing w:line="240" w:lineRule="auto"/>
        <w:jc w:val="center"/>
        <w:textAlignment w:val="auto"/>
        <w:rPr>
          <w:rFonts w:ascii="Verdana" w:eastAsia="PMingLiU" w:hAnsi="Verdana"/>
          <w:sz w:val="17"/>
          <w:szCs w:val="17"/>
        </w:rPr>
      </w:pPr>
      <w:r>
        <w:rPr>
          <w:rFonts w:ascii="Verdana" w:hAnsi="Verdana"/>
          <w:sz w:val="17"/>
        </w:rPr>
        <w:t xml:space="preserve">Courriel: </w:t>
      </w:r>
      <w:r w:rsidR="00AE6690">
        <w:rPr>
          <w:rFonts w:ascii="Arial" w:hAnsi="Arial"/>
          <w:sz w:val="18"/>
        </w:rPr>
        <w:t>press(at)</w:t>
      </w:r>
      <w:bookmarkStart w:id="0" w:name="_GoBack"/>
      <w:bookmarkEnd w:id="0"/>
      <w:r>
        <w:rPr>
          <w:rFonts w:ascii="Arial" w:hAnsi="Arial"/>
          <w:sz w:val="18"/>
        </w:rPr>
        <w:t>eesc.europa.eu</w:t>
      </w:r>
    </w:p>
    <w:p w:rsidR="002C5CBB" w:rsidRPr="00273102" w:rsidRDefault="00822FAC" w:rsidP="002C2B83">
      <w:pPr>
        <w:spacing w:line="240" w:lineRule="auto"/>
        <w:jc w:val="center"/>
        <w:rPr>
          <w:rFonts w:ascii="Verdana" w:eastAsia="PMingLiU" w:hAnsi="Verdana"/>
          <w:sz w:val="16"/>
          <w:szCs w:val="16"/>
        </w:rPr>
      </w:pPr>
      <w:r>
        <w:rPr>
          <w:rFonts w:ascii="Verdana" w:hAnsi="Verdana"/>
          <w:sz w:val="16"/>
        </w:rPr>
        <w:t>Tél: +32 2 546 92 76/ Mobile: + 32 (0) 473 53 40 02</w:t>
      </w:r>
    </w:p>
    <w:p w:rsidR="00325F72" w:rsidRPr="00273102" w:rsidRDefault="00325F72" w:rsidP="00822FAC">
      <w:pPr>
        <w:spacing w:line="240" w:lineRule="auto"/>
        <w:jc w:val="center"/>
        <w:rPr>
          <w:rFonts w:ascii="Verdana" w:eastAsia="PMingLiU" w:hAnsi="Verdana"/>
          <w:sz w:val="16"/>
          <w:szCs w:val="16"/>
        </w:rPr>
      </w:pPr>
    </w:p>
    <w:p w:rsidR="00CE439D" w:rsidRPr="00BE6BB9" w:rsidRDefault="00CE439D" w:rsidP="00473E94">
      <w:pPr>
        <w:rPr>
          <w:rFonts w:ascii="Verdana" w:hAnsi="Verdana"/>
          <w:b/>
          <w:i/>
          <w:sz w:val="16"/>
        </w:rPr>
      </w:pPr>
      <w:r>
        <w:rPr>
          <w:rFonts w:ascii="Verdana" w:hAnsi="Verdana"/>
          <w:b/>
          <w:i/>
          <w:sz w:val="16"/>
        </w:rPr>
        <w:t>______________________________________________________________________________</w:t>
      </w:r>
    </w:p>
    <w:p w:rsidR="00CE439D" w:rsidRPr="00273102" w:rsidRDefault="00E72B8E" w:rsidP="00473E94">
      <w:pPr>
        <w:rPr>
          <w:rFonts w:ascii="Verdana" w:hAnsi="Verdana"/>
          <w:i/>
          <w:sz w:val="14"/>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CE439D" w:rsidRPr="00BE6BB9" w:rsidRDefault="00CE439D" w:rsidP="00473E94">
      <w:pPr>
        <w:rPr>
          <w:rFonts w:ascii="Verdana" w:hAnsi="Verdana"/>
          <w:b/>
          <w:i/>
          <w:sz w:val="16"/>
        </w:rPr>
      </w:pPr>
      <w:r>
        <w:rPr>
          <w:rFonts w:ascii="Verdana" w:hAnsi="Verdana"/>
          <w:b/>
          <w:i/>
          <w:sz w:val="16"/>
        </w:rPr>
        <w:t>_______________________________________________________________________________</w:t>
      </w:r>
    </w:p>
    <w:sectPr w:rsidR="00CE439D" w:rsidRPr="00BE6BB9"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91" w:rsidRDefault="00425691">
      <w:r>
        <w:separator/>
      </w:r>
    </w:p>
  </w:endnote>
  <w:endnote w:type="continuationSeparator" w:id="0">
    <w:p w:rsidR="00425691" w:rsidRDefault="004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Pr>
        <w:rFonts w:ascii="Verdana" w:hAnsi="Verdana"/>
        <w:sz w:val="16"/>
      </w:rPr>
      <w:t>Rue Belliard 99 — 1040 Bruxelles — BELGIQUE</w:t>
    </w:r>
  </w:p>
  <w:p w:rsidR="00E33B7A" w:rsidRPr="00473E94" w:rsidRDefault="00E33B7A" w:rsidP="0004715C">
    <w:pPr>
      <w:spacing w:line="240" w:lineRule="auto"/>
      <w:jc w:val="center"/>
      <w:rPr>
        <w:rFonts w:ascii="Verdana" w:hAnsi="Verdana"/>
        <w:sz w:val="16"/>
      </w:rPr>
    </w:pPr>
    <w:r>
      <w:rPr>
        <w:rFonts w:ascii="Verdana" w:hAnsi="Verdana"/>
        <w:sz w:val="16"/>
      </w:rPr>
      <w:t>Tél. +32 2 5469779 – Fax +32 2 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Courriel: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Default="00E33B7A" w:rsidP="00F61167">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16CE76B6" wp14:editId="09ACD31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4629CBB7" wp14:editId="4C7904D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59BB3D56" wp14:editId="7F2D03E6">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9A7EDE" w:rsidRPr="00473E94" w:rsidRDefault="009A7EDE"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91" w:rsidRDefault="00425691">
      <w:r>
        <w:separator/>
      </w:r>
    </w:p>
  </w:footnote>
  <w:footnote w:type="continuationSeparator" w:id="0">
    <w:p w:rsidR="00425691" w:rsidRDefault="00425691">
      <w:r>
        <w:continuationSeparator/>
      </w:r>
    </w:p>
  </w:footnote>
  <w:footnote w:id="1">
    <w:p w:rsidR="003B7420" w:rsidRDefault="003B7420" w:rsidP="00253FB6">
      <w:pPr>
        <w:pStyle w:val="FootnoteText"/>
      </w:pPr>
      <w:r>
        <w:rPr>
          <w:rStyle w:val="FootnoteReference"/>
        </w:rPr>
        <w:footnoteRef/>
      </w:r>
      <w:r>
        <w:t xml:space="preserve"> </w:t>
      </w:r>
      <w:r>
        <w:tab/>
        <w:t xml:space="preserve">Office des Nations unies contre la drogue et le crime, </w:t>
      </w:r>
      <w:proofErr w:type="spellStart"/>
      <w:r>
        <w:rPr>
          <w:i/>
        </w:rPr>
        <w:t>Study</w:t>
      </w:r>
      <w:proofErr w:type="spellEnd"/>
      <w:r>
        <w:rPr>
          <w:i/>
        </w:rPr>
        <w:t xml:space="preserve"> on </w:t>
      </w:r>
      <w:proofErr w:type="spellStart"/>
      <w:r>
        <w:rPr>
          <w:i/>
        </w:rPr>
        <w:t>firearms</w:t>
      </w:r>
      <w:proofErr w:type="spellEnd"/>
      <w:r>
        <w:rPr>
          <w:i/>
        </w:rPr>
        <w:t xml:space="preserve"> 2015 — A </w:t>
      </w:r>
      <w:proofErr w:type="spellStart"/>
      <w:r>
        <w:rPr>
          <w:i/>
        </w:rPr>
        <w:t>Study</w:t>
      </w:r>
      <w:proofErr w:type="spellEnd"/>
      <w:r>
        <w:rPr>
          <w:i/>
        </w:rPr>
        <w:t xml:space="preserve"> on the transnational nature of and routes and modus operandi </w:t>
      </w:r>
      <w:proofErr w:type="spellStart"/>
      <w:r>
        <w:rPr>
          <w:i/>
        </w:rPr>
        <w:t>used</w:t>
      </w:r>
      <w:proofErr w:type="spellEnd"/>
      <w:r>
        <w:rPr>
          <w:i/>
        </w:rPr>
        <w:t xml:space="preserve"> in </w:t>
      </w:r>
      <w:proofErr w:type="spellStart"/>
      <w:r>
        <w:rPr>
          <w:i/>
        </w:rPr>
        <w:t>trafficking</w:t>
      </w:r>
      <w:proofErr w:type="spellEnd"/>
      <w:r>
        <w:rPr>
          <w:i/>
        </w:rPr>
        <w:t xml:space="preserve"> in </w:t>
      </w:r>
      <w:proofErr w:type="spellStart"/>
      <w:r>
        <w:rPr>
          <w:i/>
        </w:rPr>
        <w:t>firearms</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2"/>
  </w:num>
  <w:num w:numId="8">
    <w:abstractNumId w:val="12"/>
  </w:num>
  <w:num w:numId="9">
    <w:abstractNumId w:val="11"/>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90"/>
    <w:rsid w:val="0001445B"/>
    <w:rsid w:val="00015733"/>
    <w:rsid w:val="00024BA6"/>
    <w:rsid w:val="00032159"/>
    <w:rsid w:val="0003364B"/>
    <w:rsid w:val="0003423E"/>
    <w:rsid w:val="00034390"/>
    <w:rsid w:val="00034652"/>
    <w:rsid w:val="00034AD4"/>
    <w:rsid w:val="0004359A"/>
    <w:rsid w:val="0004647E"/>
    <w:rsid w:val="0004715C"/>
    <w:rsid w:val="00052678"/>
    <w:rsid w:val="00060A4A"/>
    <w:rsid w:val="00064EF7"/>
    <w:rsid w:val="00064F28"/>
    <w:rsid w:val="00066E4E"/>
    <w:rsid w:val="00067F21"/>
    <w:rsid w:val="00070AF6"/>
    <w:rsid w:val="00071FC9"/>
    <w:rsid w:val="00073596"/>
    <w:rsid w:val="00077FE9"/>
    <w:rsid w:val="00084AD6"/>
    <w:rsid w:val="00086050"/>
    <w:rsid w:val="000868C9"/>
    <w:rsid w:val="000879CA"/>
    <w:rsid w:val="00096E2B"/>
    <w:rsid w:val="000A270E"/>
    <w:rsid w:val="000A3748"/>
    <w:rsid w:val="000A506E"/>
    <w:rsid w:val="000A7033"/>
    <w:rsid w:val="000D5B36"/>
    <w:rsid w:val="000E05AC"/>
    <w:rsid w:val="000E1194"/>
    <w:rsid w:val="000F5238"/>
    <w:rsid w:val="000F56F6"/>
    <w:rsid w:val="001031BB"/>
    <w:rsid w:val="00104DFA"/>
    <w:rsid w:val="00105CD0"/>
    <w:rsid w:val="00111E4B"/>
    <w:rsid w:val="0013137C"/>
    <w:rsid w:val="00131B5D"/>
    <w:rsid w:val="00134081"/>
    <w:rsid w:val="0014083E"/>
    <w:rsid w:val="00140B6A"/>
    <w:rsid w:val="00142677"/>
    <w:rsid w:val="00150E62"/>
    <w:rsid w:val="00153821"/>
    <w:rsid w:val="00161E2C"/>
    <w:rsid w:val="00166433"/>
    <w:rsid w:val="00166961"/>
    <w:rsid w:val="001719C4"/>
    <w:rsid w:val="00175643"/>
    <w:rsid w:val="00175E42"/>
    <w:rsid w:val="00184FF0"/>
    <w:rsid w:val="0018613F"/>
    <w:rsid w:val="00190AD9"/>
    <w:rsid w:val="001A399E"/>
    <w:rsid w:val="001A4E43"/>
    <w:rsid w:val="001B5975"/>
    <w:rsid w:val="001C0AA9"/>
    <w:rsid w:val="001D327A"/>
    <w:rsid w:val="001D48D4"/>
    <w:rsid w:val="001E0762"/>
    <w:rsid w:val="001F5535"/>
    <w:rsid w:val="002005F5"/>
    <w:rsid w:val="00202AB0"/>
    <w:rsid w:val="0020436C"/>
    <w:rsid w:val="00222CD3"/>
    <w:rsid w:val="0022628B"/>
    <w:rsid w:val="00227A31"/>
    <w:rsid w:val="00244B53"/>
    <w:rsid w:val="0024520B"/>
    <w:rsid w:val="00252777"/>
    <w:rsid w:val="00253FB6"/>
    <w:rsid w:val="00254D95"/>
    <w:rsid w:val="002562CD"/>
    <w:rsid w:val="0026757A"/>
    <w:rsid w:val="00273102"/>
    <w:rsid w:val="002734F3"/>
    <w:rsid w:val="00283BAD"/>
    <w:rsid w:val="002859D8"/>
    <w:rsid w:val="002936AD"/>
    <w:rsid w:val="00296F38"/>
    <w:rsid w:val="002A2433"/>
    <w:rsid w:val="002A3FD9"/>
    <w:rsid w:val="002B04A8"/>
    <w:rsid w:val="002B4D0A"/>
    <w:rsid w:val="002B6234"/>
    <w:rsid w:val="002C1120"/>
    <w:rsid w:val="002C1D97"/>
    <w:rsid w:val="002C1DA6"/>
    <w:rsid w:val="002C2B83"/>
    <w:rsid w:val="002C5CBB"/>
    <w:rsid w:val="002C738C"/>
    <w:rsid w:val="002C7D0E"/>
    <w:rsid w:val="002D08ED"/>
    <w:rsid w:val="002D6898"/>
    <w:rsid w:val="002D7A8C"/>
    <w:rsid w:val="002D7D10"/>
    <w:rsid w:val="002E14FC"/>
    <w:rsid w:val="002E1924"/>
    <w:rsid w:val="002E1CE4"/>
    <w:rsid w:val="002F3534"/>
    <w:rsid w:val="002F7233"/>
    <w:rsid w:val="00304419"/>
    <w:rsid w:val="00304E7A"/>
    <w:rsid w:val="003054B2"/>
    <w:rsid w:val="003148CD"/>
    <w:rsid w:val="00325F72"/>
    <w:rsid w:val="003265C2"/>
    <w:rsid w:val="00326A76"/>
    <w:rsid w:val="00326F7D"/>
    <w:rsid w:val="003305C3"/>
    <w:rsid w:val="003327CC"/>
    <w:rsid w:val="00332F65"/>
    <w:rsid w:val="00335A37"/>
    <w:rsid w:val="00337F0A"/>
    <w:rsid w:val="0035607A"/>
    <w:rsid w:val="003638B8"/>
    <w:rsid w:val="00364ED2"/>
    <w:rsid w:val="00365D48"/>
    <w:rsid w:val="00370239"/>
    <w:rsid w:val="00370355"/>
    <w:rsid w:val="00374C88"/>
    <w:rsid w:val="00376637"/>
    <w:rsid w:val="00381791"/>
    <w:rsid w:val="00384435"/>
    <w:rsid w:val="00386F1F"/>
    <w:rsid w:val="00392CB8"/>
    <w:rsid w:val="00394D81"/>
    <w:rsid w:val="003B2616"/>
    <w:rsid w:val="003B30A1"/>
    <w:rsid w:val="003B5716"/>
    <w:rsid w:val="003B62F4"/>
    <w:rsid w:val="003B714A"/>
    <w:rsid w:val="003B7420"/>
    <w:rsid w:val="003C21F5"/>
    <w:rsid w:val="003C7BF9"/>
    <w:rsid w:val="003D19D4"/>
    <w:rsid w:val="003D2255"/>
    <w:rsid w:val="003E4544"/>
    <w:rsid w:val="003F5C5E"/>
    <w:rsid w:val="00405154"/>
    <w:rsid w:val="00415811"/>
    <w:rsid w:val="004161B8"/>
    <w:rsid w:val="00416334"/>
    <w:rsid w:val="00425691"/>
    <w:rsid w:val="004258C4"/>
    <w:rsid w:val="00430A45"/>
    <w:rsid w:val="00443034"/>
    <w:rsid w:val="004443A5"/>
    <w:rsid w:val="00445F73"/>
    <w:rsid w:val="004461EF"/>
    <w:rsid w:val="00446ED3"/>
    <w:rsid w:val="0045424F"/>
    <w:rsid w:val="004604A3"/>
    <w:rsid w:val="004605FD"/>
    <w:rsid w:val="004657F2"/>
    <w:rsid w:val="00470B59"/>
    <w:rsid w:val="00473E94"/>
    <w:rsid w:val="00477296"/>
    <w:rsid w:val="00485689"/>
    <w:rsid w:val="004878B9"/>
    <w:rsid w:val="00492D0F"/>
    <w:rsid w:val="00494BBC"/>
    <w:rsid w:val="004969A2"/>
    <w:rsid w:val="004A17C8"/>
    <w:rsid w:val="004C44EE"/>
    <w:rsid w:val="004D47BD"/>
    <w:rsid w:val="004D6E9C"/>
    <w:rsid w:val="004E0E3E"/>
    <w:rsid w:val="004E1858"/>
    <w:rsid w:val="004E294D"/>
    <w:rsid w:val="004F3E26"/>
    <w:rsid w:val="004F4806"/>
    <w:rsid w:val="00503BB6"/>
    <w:rsid w:val="00505773"/>
    <w:rsid w:val="0050638B"/>
    <w:rsid w:val="005070FA"/>
    <w:rsid w:val="005130D0"/>
    <w:rsid w:val="00521032"/>
    <w:rsid w:val="005269FE"/>
    <w:rsid w:val="005270ED"/>
    <w:rsid w:val="005407F1"/>
    <w:rsid w:val="0055255F"/>
    <w:rsid w:val="0055294F"/>
    <w:rsid w:val="00552DAA"/>
    <w:rsid w:val="00553B5B"/>
    <w:rsid w:val="00553E7C"/>
    <w:rsid w:val="005549A1"/>
    <w:rsid w:val="00556CD0"/>
    <w:rsid w:val="0056215A"/>
    <w:rsid w:val="005658B4"/>
    <w:rsid w:val="00571DF1"/>
    <w:rsid w:val="00572636"/>
    <w:rsid w:val="00575DF5"/>
    <w:rsid w:val="005775B1"/>
    <w:rsid w:val="00582C17"/>
    <w:rsid w:val="00585DFE"/>
    <w:rsid w:val="00591A53"/>
    <w:rsid w:val="00594948"/>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E1BBF"/>
    <w:rsid w:val="005F42C5"/>
    <w:rsid w:val="005F7C15"/>
    <w:rsid w:val="00604FB8"/>
    <w:rsid w:val="0060771D"/>
    <w:rsid w:val="00610E53"/>
    <w:rsid w:val="006143C2"/>
    <w:rsid w:val="006148A6"/>
    <w:rsid w:val="006171F3"/>
    <w:rsid w:val="006264FB"/>
    <w:rsid w:val="00626C38"/>
    <w:rsid w:val="00627902"/>
    <w:rsid w:val="006371D8"/>
    <w:rsid w:val="00643B6D"/>
    <w:rsid w:val="00647E74"/>
    <w:rsid w:val="00651912"/>
    <w:rsid w:val="00661B63"/>
    <w:rsid w:val="00662EE3"/>
    <w:rsid w:val="00663F9C"/>
    <w:rsid w:val="00664630"/>
    <w:rsid w:val="00686EC2"/>
    <w:rsid w:val="00687EC9"/>
    <w:rsid w:val="00692CE0"/>
    <w:rsid w:val="00694828"/>
    <w:rsid w:val="0069497A"/>
    <w:rsid w:val="006975F7"/>
    <w:rsid w:val="006A7CB6"/>
    <w:rsid w:val="006B2AA3"/>
    <w:rsid w:val="006B36AA"/>
    <w:rsid w:val="006C07A6"/>
    <w:rsid w:val="006C15A4"/>
    <w:rsid w:val="006C2C53"/>
    <w:rsid w:val="006D0D46"/>
    <w:rsid w:val="006D2EDD"/>
    <w:rsid w:val="006D5E4B"/>
    <w:rsid w:val="006D6889"/>
    <w:rsid w:val="006E089C"/>
    <w:rsid w:val="006E1765"/>
    <w:rsid w:val="006E40E3"/>
    <w:rsid w:val="006F0CE0"/>
    <w:rsid w:val="006F547D"/>
    <w:rsid w:val="007038B7"/>
    <w:rsid w:val="0071010B"/>
    <w:rsid w:val="00712EA3"/>
    <w:rsid w:val="00714F5F"/>
    <w:rsid w:val="007151DE"/>
    <w:rsid w:val="0071617F"/>
    <w:rsid w:val="00725FEE"/>
    <w:rsid w:val="00726590"/>
    <w:rsid w:val="00727EBF"/>
    <w:rsid w:val="00732E78"/>
    <w:rsid w:val="00734330"/>
    <w:rsid w:val="0073748B"/>
    <w:rsid w:val="00744A4F"/>
    <w:rsid w:val="00746C0A"/>
    <w:rsid w:val="00746CCD"/>
    <w:rsid w:val="00746EFB"/>
    <w:rsid w:val="00752BB3"/>
    <w:rsid w:val="0075747C"/>
    <w:rsid w:val="007612FC"/>
    <w:rsid w:val="00762279"/>
    <w:rsid w:val="00762BD2"/>
    <w:rsid w:val="0077261C"/>
    <w:rsid w:val="00773080"/>
    <w:rsid w:val="007741D9"/>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385B"/>
    <w:rsid w:val="007E3B80"/>
    <w:rsid w:val="007E636E"/>
    <w:rsid w:val="007E645B"/>
    <w:rsid w:val="007E6617"/>
    <w:rsid w:val="007F0D33"/>
    <w:rsid w:val="007F36B6"/>
    <w:rsid w:val="007F385B"/>
    <w:rsid w:val="007F5085"/>
    <w:rsid w:val="007F647B"/>
    <w:rsid w:val="007F6524"/>
    <w:rsid w:val="00804624"/>
    <w:rsid w:val="00806FBC"/>
    <w:rsid w:val="008102AE"/>
    <w:rsid w:val="00811FCE"/>
    <w:rsid w:val="00814120"/>
    <w:rsid w:val="0082132B"/>
    <w:rsid w:val="00822FAC"/>
    <w:rsid w:val="00824A5E"/>
    <w:rsid w:val="00825E10"/>
    <w:rsid w:val="00826F2B"/>
    <w:rsid w:val="00831D12"/>
    <w:rsid w:val="008331BA"/>
    <w:rsid w:val="008451D2"/>
    <w:rsid w:val="0085464F"/>
    <w:rsid w:val="00862C04"/>
    <w:rsid w:val="0087205A"/>
    <w:rsid w:val="008820BE"/>
    <w:rsid w:val="008A0E9A"/>
    <w:rsid w:val="008A7BC8"/>
    <w:rsid w:val="008C3D7F"/>
    <w:rsid w:val="008C573E"/>
    <w:rsid w:val="008C6814"/>
    <w:rsid w:val="008C705E"/>
    <w:rsid w:val="008D45B3"/>
    <w:rsid w:val="008D58F4"/>
    <w:rsid w:val="008E3A60"/>
    <w:rsid w:val="008E5B09"/>
    <w:rsid w:val="008F2A96"/>
    <w:rsid w:val="0091005E"/>
    <w:rsid w:val="0091006B"/>
    <w:rsid w:val="00910EE7"/>
    <w:rsid w:val="009243BD"/>
    <w:rsid w:val="00927D51"/>
    <w:rsid w:val="00942F82"/>
    <w:rsid w:val="009507B5"/>
    <w:rsid w:val="00950869"/>
    <w:rsid w:val="009533B3"/>
    <w:rsid w:val="00954939"/>
    <w:rsid w:val="009601B5"/>
    <w:rsid w:val="00961216"/>
    <w:rsid w:val="00962A3B"/>
    <w:rsid w:val="0096658E"/>
    <w:rsid w:val="0097280B"/>
    <w:rsid w:val="00975458"/>
    <w:rsid w:val="0098434D"/>
    <w:rsid w:val="00990350"/>
    <w:rsid w:val="00991004"/>
    <w:rsid w:val="00996D8C"/>
    <w:rsid w:val="009A0D29"/>
    <w:rsid w:val="009A348E"/>
    <w:rsid w:val="009A7EDE"/>
    <w:rsid w:val="009B00D5"/>
    <w:rsid w:val="009B2844"/>
    <w:rsid w:val="009B2F2D"/>
    <w:rsid w:val="009B31BA"/>
    <w:rsid w:val="009C2FCF"/>
    <w:rsid w:val="009D2B71"/>
    <w:rsid w:val="009D3988"/>
    <w:rsid w:val="009D663A"/>
    <w:rsid w:val="009E095D"/>
    <w:rsid w:val="009E1B1A"/>
    <w:rsid w:val="009E6DD9"/>
    <w:rsid w:val="009F25E9"/>
    <w:rsid w:val="009F5812"/>
    <w:rsid w:val="00A022FA"/>
    <w:rsid w:val="00A0652E"/>
    <w:rsid w:val="00A14889"/>
    <w:rsid w:val="00A16685"/>
    <w:rsid w:val="00A21AF7"/>
    <w:rsid w:val="00A25A48"/>
    <w:rsid w:val="00A25C04"/>
    <w:rsid w:val="00A33746"/>
    <w:rsid w:val="00A34845"/>
    <w:rsid w:val="00A420CC"/>
    <w:rsid w:val="00A463F8"/>
    <w:rsid w:val="00A618B2"/>
    <w:rsid w:val="00A66E05"/>
    <w:rsid w:val="00A700CA"/>
    <w:rsid w:val="00A72EC9"/>
    <w:rsid w:val="00A75B47"/>
    <w:rsid w:val="00A801B4"/>
    <w:rsid w:val="00A81455"/>
    <w:rsid w:val="00A9124D"/>
    <w:rsid w:val="00A91912"/>
    <w:rsid w:val="00A93F67"/>
    <w:rsid w:val="00A94C10"/>
    <w:rsid w:val="00A9544F"/>
    <w:rsid w:val="00A959B3"/>
    <w:rsid w:val="00AA0C32"/>
    <w:rsid w:val="00AA4F6C"/>
    <w:rsid w:val="00AA61D9"/>
    <w:rsid w:val="00AB045C"/>
    <w:rsid w:val="00AB3CC5"/>
    <w:rsid w:val="00AB40CB"/>
    <w:rsid w:val="00AB4558"/>
    <w:rsid w:val="00AB730B"/>
    <w:rsid w:val="00AC4E98"/>
    <w:rsid w:val="00AD0479"/>
    <w:rsid w:val="00AD401F"/>
    <w:rsid w:val="00AE1235"/>
    <w:rsid w:val="00AE6690"/>
    <w:rsid w:val="00AF2692"/>
    <w:rsid w:val="00AF34DA"/>
    <w:rsid w:val="00AF3DCD"/>
    <w:rsid w:val="00B02E48"/>
    <w:rsid w:val="00B03EBF"/>
    <w:rsid w:val="00B03F1A"/>
    <w:rsid w:val="00B05B15"/>
    <w:rsid w:val="00B068AD"/>
    <w:rsid w:val="00B14944"/>
    <w:rsid w:val="00B15E7F"/>
    <w:rsid w:val="00B172A0"/>
    <w:rsid w:val="00B239E2"/>
    <w:rsid w:val="00B30500"/>
    <w:rsid w:val="00B31D91"/>
    <w:rsid w:val="00B32CB5"/>
    <w:rsid w:val="00B33636"/>
    <w:rsid w:val="00B33867"/>
    <w:rsid w:val="00B403EA"/>
    <w:rsid w:val="00B43F58"/>
    <w:rsid w:val="00B541EB"/>
    <w:rsid w:val="00B70056"/>
    <w:rsid w:val="00B71203"/>
    <w:rsid w:val="00B71C28"/>
    <w:rsid w:val="00B73294"/>
    <w:rsid w:val="00B738CE"/>
    <w:rsid w:val="00B75C57"/>
    <w:rsid w:val="00B77041"/>
    <w:rsid w:val="00B816A9"/>
    <w:rsid w:val="00B85608"/>
    <w:rsid w:val="00B87414"/>
    <w:rsid w:val="00B91C18"/>
    <w:rsid w:val="00B9349D"/>
    <w:rsid w:val="00B96D77"/>
    <w:rsid w:val="00B96EB7"/>
    <w:rsid w:val="00B979E9"/>
    <w:rsid w:val="00B97CC4"/>
    <w:rsid w:val="00BB36F5"/>
    <w:rsid w:val="00BC1747"/>
    <w:rsid w:val="00BC36DE"/>
    <w:rsid w:val="00BC5E1D"/>
    <w:rsid w:val="00BC60C2"/>
    <w:rsid w:val="00BD4C23"/>
    <w:rsid w:val="00BE1AD1"/>
    <w:rsid w:val="00BE1DAF"/>
    <w:rsid w:val="00BE6BB9"/>
    <w:rsid w:val="00BE7561"/>
    <w:rsid w:val="00BF3CA8"/>
    <w:rsid w:val="00C0769F"/>
    <w:rsid w:val="00C12A8E"/>
    <w:rsid w:val="00C21751"/>
    <w:rsid w:val="00C30EB2"/>
    <w:rsid w:val="00C33655"/>
    <w:rsid w:val="00C36609"/>
    <w:rsid w:val="00C3679D"/>
    <w:rsid w:val="00C50F80"/>
    <w:rsid w:val="00C56D06"/>
    <w:rsid w:val="00C674CD"/>
    <w:rsid w:val="00C72986"/>
    <w:rsid w:val="00C75897"/>
    <w:rsid w:val="00C771FB"/>
    <w:rsid w:val="00C92538"/>
    <w:rsid w:val="00C9778F"/>
    <w:rsid w:val="00C97D1B"/>
    <w:rsid w:val="00CA087C"/>
    <w:rsid w:val="00CA196A"/>
    <w:rsid w:val="00CA4FEE"/>
    <w:rsid w:val="00CA54F3"/>
    <w:rsid w:val="00CB0C67"/>
    <w:rsid w:val="00CB348D"/>
    <w:rsid w:val="00CB38B5"/>
    <w:rsid w:val="00CB3AEC"/>
    <w:rsid w:val="00CB5993"/>
    <w:rsid w:val="00CC2EEE"/>
    <w:rsid w:val="00CC51C7"/>
    <w:rsid w:val="00CC66BE"/>
    <w:rsid w:val="00CD0945"/>
    <w:rsid w:val="00CE439D"/>
    <w:rsid w:val="00CF25A1"/>
    <w:rsid w:val="00CF3A7A"/>
    <w:rsid w:val="00D000D0"/>
    <w:rsid w:val="00D04716"/>
    <w:rsid w:val="00D0645E"/>
    <w:rsid w:val="00D107B7"/>
    <w:rsid w:val="00D12BAF"/>
    <w:rsid w:val="00D15E24"/>
    <w:rsid w:val="00D1634B"/>
    <w:rsid w:val="00D169E7"/>
    <w:rsid w:val="00D37A25"/>
    <w:rsid w:val="00D427EC"/>
    <w:rsid w:val="00D44AB7"/>
    <w:rsid w:val="00D46751"/>
    <w:rsid w:val="00D4684D"/>
    <w:rsid w:val="00D6198E"/>
    <w:rsid w:val="00D73916"/>
    <w:rsid w:val="00D756D2"/>
    <w:rsid w:val="00D93A6F"/>
    <w:rsid w:val="00D95C56"/>
    <w:rsid w:val="00D974A7"/>
    <w:rsid w:val="00D97D8E"/>
    <w:rsid w:val="00DA396F"/>
    <w:rsid w:val="00DA4DCC"/>
    <w:rsid w:val="00DA7ACD"/>
    <w:rsid w:val="00DC213C"/>
    <w:rsid w:val="00DC2C4D"/>
    <w:rsid w:val="00DC5ECF"/>
    <w:rsid w:val="00DC66B3"/>
    <w:rsid w:val="00DE069D"/>
    <w:rsid w:val="00DE1D9B"/>
    <w:rsid w:val="00DE1F55"/>
    <w:rsid w:val="00DF4F75"/>
    <w:rsid w:val="00DF4FE0"/>
    <w:rsid w:val="00E019F4"/>
    <w:rsid w:val="00E10DA4"/>
    <w:rsid w:val="00E12403"/>
    <w:rsid w:val="00E251BA"/>
    <w:rsid w:val="00E32EC6"/>
    <w:rsid w:val="00E33B7A"/>
    <w:rsid w:val="00E3578C"/>
    <w:rsid w:val="00E376E3"/>
    <w:rsid w:val="00E376FE"/>
    <w:rsid w:val="00E40719"/>
    <w:rsid w:val="00E46627"/>
    <w:rsid w:val="00E5255F"/>
    <w:rsid w:val="00E5298E"/>
    <w:rsid w:val="00E55970"/>
    <w:rsid w:val="00E71274"/>
    <w:rsid w:val="00E7298F"/>
    <w:rsid w:val="00E72B8E"/>
    <w:rsid w:val="00E73196"/>
    <w:rsid w:val="00E8086D"/>
    <w:rsid w:val="00E85EEE"/>
    <w:rsid w:val="00E86BB8"/>
    <w:rsid w:val="00E87EAF"/>
    <w:rsid w:val="00E9276B"/>
    <w:rsid w:val="00E967C0"/>
    <w:rsid w:val="00EA03DD"/>
    <w:rsid w:val="00EA3874"/>
    <w:rsid w:val="00EB223B"/>
    <w:rsid w:val="00EC04FE"/>
    <w:rsid w:val="00EC066D"/>
    <w:rsid w:val="00EC376C"/>
    <w:rsid w:val="00EC6717"/>
    <w:rsid w:val="00EC68D3"/>
    <w:rsid w:val="00EC6D1E"/>
    <w:rsid w:val="00ED2793"/>
    <w:rsid w:val="00ED55BC"/>
    <w:rsid w:val="00ED790E"/>
    <w:rsid w:val="00EE0F91"/>
    <w:rsid w:val="00EE684E"/>
    <w:rsid w:val="00EF451F"/>
    <w:rsid w:val="00EF4DC1"/>
    <w:rsid w:val="00F00B46"/>
    <w:rsid w:val="00F02081"/>
    <w:rsid w:val="00F109BB"/>
    <w:rsid w:val="00F131AA"/>
    <w:rsid w:val="00F16BF9"/>
    <w:rsid w:val="00F43049"/>
    <w:rsid w:val="00F5199C"/>
    <w:rsid w:val="00F534F3"/>
    <w:rsid w:val="00F54B43"/>
    <w:rsid w:val="00F61167"/>
    <w:rsid w:val="00F77DCA"/>
    <w:rsid w:val="00F80546"/>
    <w:rsid w:val="00F87527"/>
    <w:rsid w:val="00F87E91"/>
    <w:rsid w:val="00F92628"/>
    <w:rsid w:val="00FA33EE"/>
    <w:rsid w:val="00FA5E2A"/>
    <w:rsid w:val="00FA629B"/>
    <w:rsid w:val="00FB4290"/>
    <w:rsid w:val="00FB7F3A"/>
    <w:rsid w:val="00FC04C7"/>
    <w:rsid w:val="00FD7050"/>
    <w:rsid w:val="00FE00AB"/>
    <w:rsid w:val="00FE1538"/>
    <w:rsid w:val="00FE48C1"/>
    <w:rsid w:val="00FF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fr-FR" w:eastAsia="fr-FR"/>
    </w:rPr>
  </w:style>
  <w:style w:type="character" w:customStyle="1" w:styleId="Heading3Char">
    <w:name w:val="Heading 3 Char"/>
    <w:basedOn w:val="DefaultParagraphFont"/>
    <w:link w:val="Heading3"/>
    <w:uiPriority w:val="9"/>
    <w:rsid w:val="00EC6717"/>
    <w:rPr>
      <w:sz w:val="22"/>
      <w:lang w:val="fr-FR" w:eastAsia="fr-FR"/>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fr-FR" w:eastAsia="fr-FR"/>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 w:type="character" w:styleId="EndnoteReference">
    <w:name w:val="endnote reference"/>
    <w:basedOn w:val="DefaultParagraphFont"/>
    <w:rsid w:val="003B7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fr-FR" w:eastAsia="fr-FR"/>
    </w:rPr>
  </w:style>
  <w:style w:type="character" w:customStyle="1" w:styleId="Heading3Char">
    <w:name w:val="Heading 3 Char"/>
    <w:basedOn w:val="DefaultParagraphFont"/>
    <w:link w:val="Heading3"/>
    <w:uiPriority w:val="9"/>
    <w:rsid w:val="00EC6717"/>
    <w:rPr>
      <w:sz w:val="22"/>
      <w:lang w:val="fr-FR" w:eastAsia="fr-FR"/>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fr-FR" w:eastAsia="fr-FR"/>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 w:type="character" w:styleId="EndnoteReference">
    <w:name w:val="endnote reference"/>
    <w:basedOn w:val="DefaultParagraphFont"/>
    <w:rsid w:val="003B7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fr.int-opinions&amp;itemCode=3791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3XPXQ63Y2AW3-5-1816</_dlc_DocId>
    <_dlc_DocIdUrl xmlns="8835a8a4-5a07-4207-ac1e-223f88a8f7af">
      <Url>http://dm/EESC/2016/_layouts/DocIdRedir.aspx?ID=3XPXQ63Y2AW3-5-1816</Url>
      <Description>3XPXQ63Y2AW3-5-1816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2016-04-28T12:00:00+00:00</ProductionDate>
    <DocumentNumber xmlns="81b83a11-8bf4-4815-ab46-df1aa9d1dbfa">2533</DocumentNumber>
    <FicheYear xmlns="8835a8a4-5a07-4207-ac1e-223f88a8f7af">2016</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835a8a4-5a07-4207-ac1e-223f88a8f7af">
      <Value>22</Value>
      <Value>19</Value>
      <Value>15</Value>
      <Value>14</Value>
      <Value>10</Value>
      <Value>28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5109</FicheNumber>
    <DocumentYear xmlns="8835a8a4-5a07-4207-ac1e-223f88a8f7af">2016</DocumentYear>
    <AdoptionDate xmlns="8835a8a4-5a07-4207-ac1e-223f88a8f7af" xsi:nil="true"/>
    <DocumentPart xmlns="8835a8a4-5a07-4207-ac1e-223f88a8f7af">0</DocumentPart>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81b83a11-8bf4-4815-ab46-df1aa9d1dbfa" xsi:nil="true"/>
    <DossierName_0 xmlns="http://schemas.microsoft.com/sharepoint/v3/fields">
      <Terms xmlns="http://schemas.microsoft.com/office/infopath/2007/PartnerControls"/>
    </DossierName_0>
    <DocumentVersion xmlns="8835a8a4-5a07-4207-ac1e-223f88a8f7af">0</DocumentVersion>
    <DossierNumber xmlns="8835a8a4-5a07-4207-ac1e-223f88a8f7a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7B014668-AFC1-4603-A52F-A5845898B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CDE71E-CC95-4A1A-B619-6333EAF5267F}">
  <ds:schemaRefs>
    <ds:schemaRef ds:uri="http://schemas.microsoft.com/office/2006/documentManagement/types"/>
    <ds:schemaRef ds:uri="http://schemas.microsoft.com/sharepoint/v3/field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81b83a11-8bf4-4815-ab46-df1aa9d1dbfa"/>
    <ds:schemaRef ds:uri="8835a8a4-5a07-4207-ac1e-223f88a8f7af"/>
    <ds:schemaRef ds:uri="http://schemas.microsoft.com/office/2006/metadata/properties"/>
  </ds:schemaRefs>
</ds:datastoreItem>
</file>

<file path=customXml/itemProps6.xml><?xml version="1.0" encoding="utf-8"?>
<ds:datastoreItem xmlns:ds="http://schemas.openxmlformats.org/officeDocument/2006/customXml" ds:itemID="{FC25BEC6-1CFB-4718-A8CC-9E0E2CCD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CP FR 29 armes à feu communiqué de presse</vt:lpstr>
    </vt:vector>
  </TitlesOfParts>
  <Company>CESE-CdR</Company>
  <LinksUpToDate>false</LinksUpToDate>
  <CharactersWithSpaces>5336</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FR 29 armes à feu communiqué de presse</dc:title>
  <dc:subject>Communiqué de presse</dc:subject>
  <cp:lastModifiedBy>Agata Berdys</cp:lastModifiedBy>
  <cp:revision>3</cp:revision>
  <cp:lastPrinted>2016-04-11T06:22:00Z</cp:lastPrinted>
  <dcterms:created xsi:type="dcterms:W3CDTF">2016-04-28T13:28:00Z</dcterms:created>
  <dcterms:modified xsi:type="dcterms:W3CDTF">2016-04-28T13:32:00Z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28/04/2016, 08/01/2015, 08/01/2015</vt:lpwstr>
  </property>
  <property fmtid="{D5CDD505-2E9C-101B-9397-08002B2CF9AE}" pid="19" name="Pref_Time">
    <vt:lpwstr>10:40:53, 09/51/06, 09:34:59</vt:lpwstr>
  </property>
  <property fmtid="{D5CDD505-2E9C-101B-9397-08002B2CF9AE}" pid="20" name="Pref_User">
    <vt:lpwstr>mkop, amett, hnic</vt:lpwstr>
  </property>
  <property fmtid="{D5CDD505-2E9C-101B-9397-08002B2CF9AE}" pid="21" name="Pref_FileName">
    <vt:lpwstr>EESC-2016-02533-00-00-CP-ORI.docx, EESC-2015-00049-00-00-CP-TRA-EN-CRR.doc, EESC-2015-00049-00-00-CP-CRR-EN.doc</vt:lpwstr>
  </property>
  <property fmtid="{D5CDD505-2E9C-101B-9397-08002B2CF9AE}" pid="22" name="_dlc_DocId">
    <vt:lpwstr>SNS6YXTC77FS-3-93</vt:lpwstr>
  </property>
  <property fmtid="{D5CDD505-2E9C-101B-9397-08002B2CF9AE}" pid="23" name="_dlc_DocIdItemGuid">
    <vt:lpwstr>f161a6e5-600b-4603-8d4f-b07e50ed7f9c</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22;#DE|f6b31e5a-26fa-4935-b661-318e46daf27e;#19;#PT|50ccc04a-eadd-42ae-a0cb-acaf45f812ba;#15;#IT|0774613c-01ed-4e5d-a25d-11d2388de825;#28;#ES|e7a6b05b-ae16-40c8-add9-68b64b03aeba;#10;#EN|f2175f21-25d7-44a3-96da-d6a61b075e1b;#4;#FR|d2afafd3-4c81-4f60-8f52-</vt:lpwstr>
  </property>
  <property fmtid="{D5CDD505-2E9C-101B-9397-08002B2CF9AE}" pid="40" name="OriginalLanguage">
    <vt:lpwstr>10;#EN|f2175f21-25d7-44a3-96da-d6a61b075e1b</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14;#CP|de8ad211-9e8d-408b-8324-674d21bb7d18</vt:lpwstr>
  </property>
  <property fmtid="{D5CDD505-2E9C-101B-9397-08002B2CF9AE}" pid="46" name="Confidentiality">
    <vt:lpwstr>5;#Unrestricted|826e22d7-d029-4ec0-a450-0c28ff673572</vt:lpwstr>
  </property>
  <property fmtid="{D5CDD505-2E9C-101B-9397-08002B2CF9AE}" pid="47" name="DocumentLanguage">
    <vt:lpwstr>4;#FR|d2afafd3-4c81-4f60-8f52-ee33f2f54ff3</vt:lpwstr>
  </property>
  <property fmtid="{D5CDD505-2E9C-101B-9397-08002B2CF9AE}" pid="48" name="DocumentType_0">
    <vt:lpwstr>CP|de8ad211-9e8d-408b-8324-674d21bb7d18</vt:lpwstr>
  </property>
  <property fmtid="{D5CDD505-2E9C-101B-9397-08002B2CF9AE}" pid="49" name="DocumentSource_0">
    <vt:lpwstr>EESC|422833ec-8d7e-4e65-8e4e-8bed07ffb729</vt:lpwstr>
  </property>
  <property fmtid="{D5CDD505-2E9C-101B-9397-08002B2CF9AE}" pid="50" name="FicheYear">
    <vt:i4>2016</vt:i4>
  </property>
  <property fmtid="{D5CDD505-2E9C-101B-9397-08002B2CF9AE}" pid="51" name="DocumentNumber">
    <vt:i4>2533</vt:i4>
  </property>
  <property fmtid="{D5CDD505-2E9C-101B-9397-08002B2CF9AE}" pid="52" name="DocumentVersion">
    <vt:i4>0</vt:i4>
  </property>
  <property fmtid="{D5CDD505-2E9C-101B-9397-08002B2CF9AE}" pid="53" name="Confidentiality_0">
    <vt:lpwstr>Unrestricted|826e22d7-d029-4ec0-a450-0c28ff673572</vt:lpwstr>
  </property>
  <property fmtid="{D5CDD505-2E9C-101B-9397-08002B2CF9AE}" pid="54" name="DocumentLanguage_0">
    <vt:lpwstr>EN|f2175f21-25d7-44a3-96da-d6a61b075e1b</vt:lpwstr>
  </property>
  <property fmtid="{D5CDD505-2E9C-101B-9397-08002B2CF9AE}" pid="55" name="TaxCatchAll">
    <vt:lpwstr>22;#DE|f6b31e5a-26fa-4935-b661-318e46daf27e;#15;#IT|0774613c-01ed-4e5d-a25d-11d2388de825;#14;#CP|de8ad211-9e8d-408b-8324-674d21bb7d18;#10;#EN|f2175f21-25d7-44a3-96da-d6a61b075e1b;#9;#EN|f2175f21-25d7-44a3-96da-d6a61b075e1b;#28;#ES|e7a6b05b-ae16-40c8-add9-</vt:lpwstr>
  </property>
  <property fmtid="{D5CDD505-2E9C-101B-9397-08002B2CF9AE}" pid="56" name="VersionStatus">
    <vt:lpwstr>6;#Final|ea5e6674-7b27-4bac-b091-73adbb394efe</vt:lpwstr>
  </property>
  <property fmtid="{D5CDD505-2E9C-101B-9397-08002B2CF9AE}" pid="57" name="VersionStatus_0">
    <vt:lpwstr>Final|ea5e6674-7b27-4bac-b091-73adbb394efe</vt:lpwstr>
  </property>
  <property fmtid="{D5CDD505-2E9C-101B-9397-08002B2CF9AE}" pid="58" name="FicheNumber">
    <vt:i4>5109</vt:i4>
  </property>
  <property fmtid="{D5CDD505-2E9C-101B-9397-08002B2CF9AE}" pid="59" name="DocumentYear">
    <vt:i4>2016</vt:i4>
  </property>
  <property fmtid="{D5CDD505-2E9C-101B-9397-08002B2CF9AE}" pid="60" name="DocumentPart">
    <vt:i4>0</vt:i4>
  </property>
  <property fmtid="{D5CDD505-2E9C-101B-9397-08002B2CF9AE}" pid="61" name="RequestingService">
    <vt:lpwstr>Presse</vt:lpwstr>
  </property>
  <property fmtid="{D5CDD505-2E9C-101B-9397-08002B2CF9AE}" pid="62" name="MeetingName_0">
    <vt:lpwstr/>
  </property>
  <property fmtid="{D5CDD505-2E9C-101B-9397-08002B2CF9AE}" pid="63" name="DocumentStatus_0">
    <vt:lpwstr>TRA|150d2a88-1431-44e6-a8ca-0bb753ab8672</vt:lpwstr>
  </property>
  <property fmtid="{D5CDD505-2E9C-101B-9397-08002B2CF9AE}" pid="64" name="OriginalLanguage_0">
    <vt:lpwstr>EN|f2175f21-25d7-44a3-96da-d6a61b075e1b</vt:lpwstr>
  </property>
  <property fmtid="{D5CDD505-2E9C-101B-9397-08002B2CF9AE}" pid="65" name="AvailableTranslations_0">
    <vt:lpwstr>DE|f6b31e5a-26fa-4935-b661-318e46daf27e;IT|0774613c-01ed-4e5d-a25d-11d2388de825;ES|e7a6b05b-ae16-40c8-add9-68b64b03aeba;EN|f2175f21-25d7-44a3-96da-d6a61b075e1b</vt:lpwstr>
  </property>
  <property fmtid="{D5CDD505-2E9C-101B-9397-08002B2CF9AE}" pid="66" name="DossierName_0">
    <vt:lpwstr/>
  </property>
</Properties>
</file>