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7" w:type="dxa"/>
        <w:tblInd w:w="-9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2"/>
        <w:gridCol w:w="5245"/>
      </w:tblGrid>
      <w:tr w:rsidR="00916C90" w:rsidRPr="007F5D03" w:rsidTr="00916C90">
        <w:tc>
          <w:tcPr>
            <w:tcW w:w="5212" w:type="dxa"/>
          </w:tcPr>
          <w:p w:rsidR="00916C90" w:rsidRPr="007F5D03" w:rsidRDefault="00916C90" w:rsidP="00ED445B">
            <w:pPr>
              <w:jc w:val="center"/>
            </w:pPr>
            <w:bookmarkStart w:id="0" w:name="_GoBack"/>
            <w:bookmarkEnd w:id="0"/>
            <w:r w:rsidRPr="007F5D03">
              <w:rPr>
                <w:noProof/>
                <w:lang w:val="fr-BE" w:eastAsia="fr-BE" w:bidi="ar-SA"/>
              </w:rPr>
              <w:drawing>
                <wp:inline distT="0" distB="0" distL="0" distR="0" wp14:anchorId="560FEAA8" wp14:editId="3BAA0786">
                  <wp:extent cx="882650" cy="5645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p>
          <w:p w:rsidR="00916C90" w:rsidRPr="007F5D03" w:rsidRDefault="00916C90" w:rsidP="00ED445B">
            <w:pPr>
              <w:jc w:val="center"/>
              <w:rPr>
                <w:rFonts w:ascii="Arial" w:hAnsi="Arial" w:cs="Arial"/>
                <w:b/>
                <w:i/>
                <w:color w:val="000000"/>
                <w:sz w:val="20"/>
              </w:rPr>
            </w:pPr>
            <w:r w:rsidRPr="007F5D03">
              <w:rPr>
                <w:rFonts w:ascii="Arial" w:hAnsi="Arial" w:cs="Arial"/>
                <w:b/>
                <w:i/>
                <w:sz w:val="20"/>
              </w:rPr>
              <w:t>Europejski Komitet Ekonomiczno-Społeczny</w:t>
            </w:r>
          </w:p>
        </w:tc>
        <w:tc>
          <w:tcPr>
            <w:tcW w:w="5245" w:type="dxa"/>
          </w:tcPr>
          <w:p w:rsidR="00916C90" w:rsidRPr="007F5D03" w:rsidRDefault="00916C90" w:rsidP="00ED445B">
            <w:pPr>
              <w:jc w:val="center"/>
              <w:rPr>
                <w:rFonts w:ascii="Garamond" w:hAnsi="Garamond"/>
                <w:b/>
                <w:color w:val="000000"/>
                <w:sz w:val="20"/>
                <w:szCs w:val="24"/>
              </w:rPr>
            </w:pPr>
            <w:r w:rsidRPr="007F5D03">
              <w:rPr>
                <w:rFonts w:ascii="Garamond" w:hAnsi="Garamond"/>
                <w:b/>
                <w:noProof/>
                <w:sz w:val="28"/>
                <w:szCs w:val="24"/>
                <w:lang w:val="fr-BE" w:eastAsia="fr-BE" w:bidi="ar-SA"/>
              </w:rPr>
              <w:drawing>
                <wp:inline distT="0" distB="0" distL="0" distR="0" wp14:anchorId="04EF6704" wp14:editId="6F4FB4EE">
                  <wp:extent cx="1524000" cy="768350"/>
                  <wp:effectExtent l="0" t="0" r="0" b="0"/>
                  <wp:docPr id="12" name="Picture 12" descr="C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768350"/>
                          </a:xfrm>
                          <a:prstGeom prst="rect">
                            <a:avLst/>
                          </a:prstGeom>
                          <a:noFill/>
                          <a:ln>
                            <a:noFill/>
                          </a:ln>
                        </pic:spPr>
                      </pic:pic>
                    </a:graphicData>
                  </a:graphic>
                </wp:inline>
              </w:drawing>
            </w:r>
          </w:p>
        </w:tc>
      </w:tr>
    </w:tbl>
    <w:p w:rsidR="00916C90" w:rsidRPr="007F5D03" w:rsidRDefault="00916C90" w:rsidP="00ED445B">
      <w:pPr>
        <w:ind w:left="-993"/>
        <w:jc w:val="center"/>
        <w:rPr>
          <w:rFonts w:ascii="Garamond" w:hAnsi="Garamond"/>
          <w:b/>
          <w:color w:val="000000"/>
          <w:sz w:val="20"/>
          <w:szCs w:val="24"/>
        </w:rPr>
      </w:pPr>
    </w:p>
    <w:p w:rsidR="00916C90" w:rsidRPr="007F5D03" w:rsidRDefault="00916C90" w:rsidP="00ED445B">
      <w:pPr>
        <w:ind w:left="-993"/>
        <w:jc w:val="center"/>
        <w:rPr>
          <w:rFonts w:ascii="Garamond" w:hAnsi="Garamond"/>
          <w:b/>
          <w:color w:val="000000"/>
          <w:sz w:val="20"/>
          <w:szCs w:val="24"/>
        </w:rPr>
      </w:pPr>
    </w:p>
    <w:p w:rsidR="00ED445B" w:rsidRPr="007F5D03" w:rsidRDefault="00ED445B" w:rsidP="00ED445B">
      <w:pPr>
        <w:ind w:left="-993"/>
        <w:jc w:val="center"/>
        <w:rPr>
          <w:rFonts w:ascii="Garamond" w:hAnsi="Garamond"/>
          <w:b/>
          <w:color w:val="000000"/>
          <w:sz w:val="20"/>
          <w:szCs w:val="24"/>
        </w:rPr>
      </w:pPr>
      <w:r w:rsidRPr="007F5D03">
        <w:rPr>
          <w:noProof/>
          <w:lang w:val="fr-BE" w:eastAsia="fr-BE" w:bidi="ar-SA"/>
        </w:rPr>
        <w:drawing>
          <wp:anchor distT="0" distB="0" distL="114300" distR="114300" simplePos="0" relativeHeight="251662848" behindDoc="0" locked="0" layoutInCell="1" allowOverlap="1" wp14:anchorId="5FDCFC4E" wp14:editId="3BC8211D">
            <wp:simplePos x="0" y="0"/>
            <wp:positionH relativeFrom="column">
              <wp:posOffset>-414655</wp:posOffset>
            </wp:positionH>
            <wp:positionV relativeFrom="paragraph">
              <wp:posOffset>106349</wp:posOffset>
            </wp:positionV>
            <wp:extent cx="6531344" cy="659013"/>
            <wp:effectExtent l="0" t="0" r="3175" b="8255"/>
            <wp:wrapNone/>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rotWithShape="1">
                    <a:blip r:embed="rId16">
                      <a:extLst>
                        <a:ext uri="{28A0092B-C50C-407E-A947-70E740481C1C}">
                          <a14:useLocalDpi xmlns:a14="http://schemas.microsoft.com/office/drawing/2010/main" val="0"/>
                        </a:ext>
                      </a:extLst>
                    </a:blip>
                    <a:srcRect t="58411"/>
                    <a:stretch/>
                  </pic:blipFill>
                  <pic:spPr bwMode="auto">
                    <a:xfrm>
                      <a:off x="0" y="0"/>
                      <a:ext cx="6531344" cy="659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445B" w:rsidRPr="007F5D03" w:rsidRDefault="00ED445B" w:rsidP="00ED445B">
      <w:pPr>
        <w:ind w:left="-993"/>
        <w:jc w:val="center"/>
        <w:rPr>
          <w:rFonts w:ascii="Garamond" w:hAnsi="Garamond"/>
          <w:b/>
          <w:color w:val="000000"/>
          <w:sz w:val="20"/>
          <w:szCs w:val="24"/>
        </w:rPr>
      </w:pPr>
    </w:p>
    <w:p w:rsidR="00ED445B" w:rsidRPr="007F5D03" w:rsidRDefault="00ED445B" w:rsidP="00ED445B">
      <w:pPr>
        <w:ind w:left="-993"/>
        <w:jc w:val="center"/>
        <w:rPr>
          <w:rFonts w:ascii="Garamond" w:hAnsi="Garamond"/>
          <w:b/>
          <w:color w:val="000000"/>
          <w:sz w:val="20"/>
          <w:szCs w:val="24"/>
        </w:rPr>
      </w:pPr>
    </w:p>
    <w:p w:rsidR="007F385B" w:rsidRPr="007F5D03" w:rsidRDefault="007F385B" w:rsidP="00ED445B">
      <w:pPr>
        <w:ind w:left="-993"/>
        <w:jc w:val="center"/>
        <w:rPr>
          <w:rFonts w:ascii="Garamond" w:hAnsi="Garamond"/>
          <w:b/>
          <w:sz w:val="28"/>
          <w:szCs w:val="24"/>
        </w:rPr>
      </w:pPr>
    </w:p>
    <w:p w:rsidR="00ED445B" w:rsidRPr="007F5D03" w:rsidRDefault="00ED445B" w:rsidP="00ED445B">
      <w:pPr>
        <w:ind w:left="-993"/>
        <w:jc w:val="center"/>
      </w:pPr>
    </w:p>
    <w:tbl>
      <w:tblPr>
        <w:tblW w:w="0" w:type="auto"/>
        <w:tblLook w:val="0000" w:firstRow="0" w:lastRow="0" w:firstColumn="0" w:lastColumn="0" w:noHBand="0" w:noVBand="0"/>
      </w:tblPr>
      <w:tblGrid>
        <w:gridCol w:w="5168"/>
        <w:gridCol w:w="4119"/>
      </w:tblGrid>
      <w:tr w:rsidR="008820BE" w:rsidRPr="007F5D03">
        <w:trPr>
          <w:cantSplit/>
        </w:trPr>
        <w:tc>
          <w:tcPr>
            <w:tcW w:w="5168" w:type="dxa"/>
          </w:tcPr>
          <w:p w:rsidR="0070012D" w:rsidRPr="007F5D03" w:rsidRDefault="00B52818" w:rsidP="00E55CAF">
            <w:pPr>
              <w:spacing w:line="240" w:lineRule="auto"/>
              <w:rPr>
                <w:rFonts w:ascii="Verdana" w:hAnsi="Verdana"/>
                <w:b/>
                <w:bCs/>
                <w:sz w:val="20"/>
              </w:rPr>
            </w:pPr>
            <w:r w:rsidRPr="007F5D03">
              <w:rPr>
                <w:rFonts w:ascii="Verdana" w:hAnsi="Verdana"/>
                <w:b/>
                <w:sz w:val="20"/>
              </w:rPr>
              <w:t>KOMUNIKAT PRASOWY nr 70/2015</w:t>
            </w:r>
          </w:p>
        </w:tc>
        <w:tc>
          <w:tcPr>
            <w:tcW w:w="4119" w:type="dxa"/>
          </w:tcPr>
          <w:p w:rsidR="008820BE" w:rsidRPr="007F5D03" w:rsidRDefault="00C51442" w:rsidP="00C51442">
            <w:pPr>
              <w:spacing w:line="240" w:lineRule="auto"/>
              <w:jc w:val="right"/>
              <w:rPr>
                <w:rFonts w:ascii="Verdana" w:hAnsi="Verdana"/>
                <w:b/>
                <w:bCs/>
                <w:sz w:val="20"/>
              </w:rPr>
            </w:pPr>
            <w:r w:rsidRPr="007F5D03">
              <w:rPr>
                <w:rFonts w:ascii="Verdana" w:hAnsi="Verdana"/>
                <w:b/>
                <w:sz w:val="20"/>
              </w:rPr>
              <w:t>20 listopada 2015 r.</w:t>
            </w:r>
          </w:p>
        </w:tc>
      </w:tr>
    </w:tbl>
    <w:p w:rsidR="008820BE" w:rsidRPr="007F5D03" w:rsidRDefault="00CA2C5C" w:rsidP="00473E94">
      <w:pPr>
        <w:spacing w:line="240" w:lineRule="auto"/>
        <w:rPr>
          <w:rFonts w:ascii="Verdana" w:hAnsi="Verdana"/>
          <w:sz w:val="20"/>
        </w:rPr>
        <w:sectPr w:rsidR="008820BE" w:rsidRPr="007F5D03" w:rsidSect="00D93A6F">
          <w:footerReference w:type="default" r:id="rId17"/>
          <w:pgSz w:w="11907" w:h="16839" w:code="9"/>
          <w:pgMar w:top="426" w:right="1418" w:bottom="1418" w:left="1418" w:header="3062" w:footer="118" w:gutter="0"/>
          <w:cols w:space="720"/>
          <w:docGrid w:linePitch="299"/>
        </w:sectPr>
      </w:pPr>
      <w:r w:rsidRPr="007F5D03">
        <w:rPr>
          <w:noProof/>
          <w:lang w:val="fr-BE" w:eastAsia="fr-BE" w:bidi="ar-SA"/>
        </w:rPr>
        <mc:AlternateContent>
          <mc:Choice Requires="wps">
            <w:drawing>
              <wp:anchor distT="0" distB="0" distL="114300" distR="114300" simplePos="0" relativeHeight="251656704" behindDoc="1" locked="0" layoutInCell="0" allowOverlap="1" wp14:anchorId="07AB3B24" wp14:editId="4F08933E">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PL</w:t>
                      </w:r>
                    </w:p>
                  </w:txbxContent>
                </v:textbox>
                <w10:wrap anchorx="page" anchory="page"/>
              </v:shape>
            </w:pict>
          </mc:Fallback>
        </mc:AlternateContent>
      </w:r>
    </w:p>
    <w:p w:rsidR="00A62B8A" w:rsidRPr="007F5D03" w:rsidRDefault="00A62B8A" w:rsidP="003532CC">
      <w:pPr>
        <w:jc w:val="center"/>
        <w:rPr>
          <w:rFonts w:ascii="Verdana" w:hAnsi="Verdana"/>
          <w:b/>
          <w:sz w:val="18"/>
          <w:szCs w:val="18"/>
        </w:rPr>
      </w:pPr>
    </w:p>
    <w:p w:rsidR="008E0B1E" w:rsidRPr="007F5D03" w:rsidRDefault="008E0B1E" w:rsidP="008E0B1E">
      <w:pPr>
        <w:spacing w:line="276" w:lineRule="auto"/>
        <w:jc w:val="center"/>
        <w:rPr>
          <w:rFonts w:ascii="Verdana" w:hAnsi="Verdana"/>
          <w:b/>
          <w:color w:val="0070C0"/>
          <w:sz w:val="24"/>
          <w:szCs w:val="24"/>
        </w:rPr>
      </w:pPr>
      <w:r w:rsidRPr="007F5D03">
        <w:rPr>
          <w:rFonts w:ascii="Verdana" w:hAnsi="Verdana"/>
          <w:b/>
          <w:color w:val="0070C0"/>
          <w:sz w:val="24"/>
        </w:rPr>
        <w:t>„Potrzebujemy ambitnego i wiążącego porozumienia w sprawie klimatu”</w:t>
      </w:r>
    </w:p>
    <w:p w:rsidR="008E0B1E" w:rsidRPr="007F5D03" w:rsidRDefault="008E0B1E" w:rsidP="008E0B1E">
      <w:pPr>
        <w:spacing w:line="276" w:lineRule="auto"/>
        <w:jc w:val="center"/>
        <w:rPr>
          <w:rFonts w:ascii="Verdana" w:hAnsi="Verdana"/>
          <w:b/>
          <w:color w:val="00B0F0"/>
          <w:szCs w:val="22"/>
        </w:rPr>
      </w:pPr>
      <w:r w:rsidRPr="007F5D03">
        <w:rPr>
          <w:rFonts w:ascii="Verdana" w:hAnsi="Verdana"/>
          <w:b/>
          <w:color w:val="00B0F0"/>
        </w:rPr>
        <w:t xml:space="preserve">Władze lokalne i społeczeństwo obywatelskie wzywają negocjatorów COP 21 do osiągnięcia porozumienia </w:t>
      </w:r>
    </w:p>
    <w:p w:rsidR="008E0B1E" w:rsidRPr="007F5D03" w:rsidRDefault="008E0B1E" w:rsidP="008E0B1E">
      <w:pPr>
        <w:spacing w:line="276" w:lineRule="auto"/>
        <w:jc w:val="center"/>
        <w:rPr>
          <w:rFonts w:ascii="Verdana" w:hAnsi="Verdana"/>
          <w:b/>
          <w:color w:val="00B0F0"/>
          <w:sz w:val="24"/>
          <w:szCs w:val="24"/>
        </w:rPr>
      </w:pPr>
    </w:p>
    <w:p w:rsidR="008E0B1E" w:rsidRPr="007F5D03" w:rsidRDefault="008E0B1E" w:rsidP="008E0B1E">
      <w:pPr>
        <w:spacing w:line="276" w:lineRule="auto"/>
        <w:rPr>
          <w:rFonts w:ascii="Verdana" w:hAnsi="Verdana"/>
          <w:b/>
          <w:sz w:val="18"/>
          <w:szCs w:val="18"/>
        </w:rPr>
      </w:pPr>
      <w:r w:rsidRPr="007F5D03">
        <w:rPr>
          <w:rFonts w:ascii="Verdana" w:hAnsi="Verdana"/>
          <w:b/>
          <w:sz w:val="18"/>
        </w:rPr>
        <w:t xml:space="preserve">Na kilka dni przed konferencją COP 21 Europejski Komitet Ekonomiczno-Społeczny (EKES) i Europejski Komitet Regionów (KR) wezwały negocjatorów w Paryżu do osiągnięcia porozumienia. Przesłanie jest jasne: Faktyczne działania na rzecz ochrony klimatu i przejścia na gospodarkę niskoemisyjną mają miejsce poza obszarem decyzji politycznych. Nadszedł już czas, aby wkład podmiotów społeczeństwa obywatelskiego oraz władz lokalnych i regionalnych został uwzględniony w ramach wielopoziomowego systemu sprawowania rządów. </w:t>
      </w:r>
    </w:p>
    <w:p w:rsidR="008E0B1E" w:rsidRPr="007F5D03" w:rsidRDefault="008E0B1E" w:rsidP="008E0B1E">
      <w:pPr>
        <w:spacing w:line="276" w:lineRule="auto"/>
        <w:rPr>
          <w:rFonts w:ascii="Verdana" w:hAnsi="Verdana"/>
          <w:b/>
          <w:sz w:val="18"/>
          <w:szCs w:val="18"/>
        </w:rPr>
      </w:pPr>
    </w:p>
    <w:p w:rsidR="008E0B1E" w:rsidRPr="007F5D03" w:rsidRDefault="008E0B1E" w:rsidP="008E0B1E">
      <w:pPr>
        <w:spacing w:line="276" w:lineRule="auto"/>
        <w:rPr>
          <w:rFonts w:ascii="Verdana" w:hAnsi="Verdana"/>
          <w:i/>
          <w:sz w:val="18"/>
          <w:szCs w:val="18"/>
        </w:rPr>
      </w:pPr>
      <w:r w:rsidRPr="007F5D03">
        <w:rPr>
          <w:rFonts w:ascii="Verdana" w:hAnsi="Verdana"/>
          <w:sz w:val="18"/>
        </w:rPr>
        <w:t xml:space="preserve">Dwa Komitety zorganizowały 19 listopada wspólną konferencję w Brukseli. Pragną one uwzględnienia potencjału obu instytucji w zakresie przeciwdziałania zmianie klimatu na międzynarodowej konferencji w sprawie zmiany klimatu COP 21, która rozpocznie się pod koniec listopada w Paryżu. </w:t>
      </w:r>
    </w:p>
    <w:p w:rsidR="008E0B1E" w:rsidRPr="007F5D03" w:rsidRDefault="008E0B1E" w:rsidP="008E0B1E">
      <w:pPr>
        <w:spacing w:line="276" w:lineRule="auto"/>
        <w:rPr>
          <w:rFonts w:ascii="Verdana" w:hAnsi="Verdana"/>
          <w:sz w:val="18"/>
          <w:szCs w:val="18"/>
        </w:rPr>
      </w:pPr>
      <w:r w:rsidRPr="007F5D03">
        <w:rPr>
          <w:rFonts w:ascii="Verdana" w:hAnsi="Verdana"/>
          <w:sz w:val="18"/>
        </w:rPr>
        <w:t xml:space="preserve"> </w:t>
      </w:r>
    </w:p>
    <w:p w:rsidR="00314CEA" w:rsidRPr="007F5D03" w:rsidRDefault="00314CEA" w:rsidP="00314CEA">
      <w:pPr>
        <w:rPr>
          <w:rFonts w:ascii="Verdana" w:hAnsi="Verdana"/>
          <w:i/>
          <w:sz w:val="18"/>
          <w:szCs w:val="18"/>
        </w:rPr>
      </w:pPr>
      <w:r w:rsidRPr="007F5D03">
        <w:rPr>
          <w:rFonts w:ascii="Verdana" w:hAnsi="Verdana"/>
          <w:sz w:val="18"/>
        </w:rPr>
        <w:t xml:space="preserve">W przemówieniu inauguracyjnym przewodniczący EKES-u </w:t>
      </w:r>
      <w:r w:rsidRPr="007F5D03">
        <w:rPr>
          <w:rFonts w:ascii="Verdana" w:hAnsi="Verdana"/>
          <w:b/>
          <w:sz w:val="18"/>
        </w:rPr>
        <w:t>Georges Dassis</w:t>
      </w:r>
      <w:r w:rsidRPr="007F5D03">
        <w:rPr>
          <w:rFonts w:ascii="Verdana" w:hAnsi="Verdana"/>
          <w:sz w:val="18"/>
        </w:rPr>
        <w:t xml:space="preserve"> przypomniał przywódcom państw, którzy wezmą udział w konferencji COP 21, że Europejczycy i obywatele na całym świecie oczekują </w:t>
      </w:r>
      <w:r w:rsidRPr="007F5D03">
        <w:rPr>
          <w:rFonts w:ascii="Verdana" w:hAnsi="Verdana" w:cstheme="minorBidi"/>
          <w:i/>
          <w:sz w:val="18"/>
        </w:rPr>
        <w:t xml:space="preserve">„wiążącego, ambitnego i globalnego porozumienia oraz usystematyzowanego sposobu zaangażowania społeczeństwa obywatelskiego, co jest niezbędne dla </w:t>
      </w:r>
      <w:proofErr w:type="gramStart"/>
      <w:r w:rsidRPr="007F5D03">
        <w:rPr>
          <w:rFonts w:ascii="Verdana" w:hAnsi="Verdana" w:cstheme="minorBidi"/>
          <w:i/>
          <w:sz w:val="18"/>
        </w:rPr>
        <w:t>udanej</w:t>
      </w:r>
      <w:proofErr w:type="gramEnd"/>
      <w:r w:rsidRPr="007F5D03">
        <w:rPr>
          <w:rFonts w:ascii="Verdana" w:hAnsi="Verdana" w:cstheme="minorBidi"/>
          <w:i/>
          <w:sz w:val="18"/>
        </w:rPr>
        <w:t xml:space="preserve"> realizacji postanowień”</w:t>
      </w:r>
      <w:r w:rsidRPr="007F5D03">
        <w:rPr>
          <w:rFonts w:ascii="Verdana" w:hAnsi="Verdana"/>
          <w:sz w:val="18"/>
        </w:rPr>
        <w:t>.</w:t>
      </w:r>
      <w:r w:rsidRPr="007F5D03">
        <w:rPr>
          <w:rFonts w:ascii="Verdana" w:hAnsi="Verdana" w:cstheme="minorBidi"/>
          <w:i/>
          <w:sz w:val="18"/>
        </w:rPr>
        <w:t xml:space="preserve"> </w:t>
      </w:r>
      <w:r w:rsidRPr="007F5D03">
        <w:rPr>
          <w:rFonts w:ascii="Verdana" w:hAnsi="Verdana"/>
          <w:sz w:val="18"/>
        </w:rPr>
        <w:t xml:space="preserve">Zaapelował do negocjatorów, aby nie tracili kontaktu ze zwyczajnymi obywatelami: </w:t>
      </w:r>
      <w:r w:rsidRPr="007F5D03">
        <w:rPr>
          <w:rFonts w:ascii="Verdana" w:hAnsi="Verdana"/>
          <w:i/>
          <w:sz w:val="18"/>
        </w:rPr>
        <w:t>„Przywódcy państw nie mogą zapominać, że to obywatele będą odpowiedzialni za zmiany”</w:t>
      </w:r>
      <w:r w:rsidRPr="007F5D03">
        <w:rPr>
          <w:rFonts w:ascii="Verdana" w:hAnsi="Verdana"/>
          <w:sz w:val="18"/>
        </w:rPr>
        <w:t>.</w:t>
      </w:r>
    </w:p>
    <w:p w:rsidR="008E0B1E" w:rsidRPr="007F5D03" w:rsidRDefault="008E0B1E" w:rsidP="008E0B1E">
      <w:pPr>
        <w:spacing w:line="276" w:lineRule="auto"/>
        <w:rPr>
          <w:rFonts w:ascii="Verdana" w:hAnsi="Verdana"/>
          <w:sz w:val="18"/>
          <w:szCs w:val="18"/>
        </w:rPr>
      </w:pPr>
    </w:p>
    <w:p w:rsidR="00314CEA" w:rsidRPr="007F5D03" w:rsidRDefault="00314CEA" w:rsidP="00314CEA">
      <w:pPr>
        <w:spacing w:line="276" w:lineRule="auto"/>
        <w:rPr>
          <w:rFonts w:ascii="Verdana" w:hAnsi="Verdana"/>
          <w:i/>
          <w:sz w:val="18"/>
          <w:szCs w:val="18"/>
        </w:rPr>
      </w:pPr>
      <w:r w:rsidRPr="007F5D03">
        <w:rPr>
          <w:rFonts w:ascii="Verdana" w:hAnsi="Verdana"/>
          <w:b/>
          <w:sz w:val="18"/>
        </w:rPr>
        <w:t xml:space="preserve">Karl-Heinz </w:t>
      </w:r>
      <w:proofErr w:type="spellStart"/>
      <w:r w:rsidRPr="007F5D03">
        <w:rPr>
          <w:rFonts w:ascii="Verdana" w:hAnsi="Verdana"/>
          <w:b/>
          <w:sz w:val="18"/>
        </w:rPr>
        <w:t>Lambertz</w:t>
      </w:r>
      <w:proofErr w:type="spellEnd"/>
      <w:r w:rsidRPr="007F5D03">
        <w:rPr>
          <w:rFonts w:ascii="Verdana" w:hAnsi="Verdana"/>
          <w:sz w:val="18"/>
        </w:rPr>
        <w:t xml:space="preserve">, wiceprzewodniczący KR-u, stwierdził: </w:t>
      </w:r>
      <w:r w:rsidRPr="007F5D03">
        <w:rPr>
          <w:rFonts w:ascii="Verdana" w:hAnsi="Verdana"/>
          <w:i/>
          <w:sz w:val="18"/>
        </w:rPr>
        <w:t xml:space="preserve">„My – miasta i regiony, często prowadzimy ambitniejszą politykę przeciwdziałania zmianie klimatu niż państwo. Jesteśmy świadomi szans rozwojowych oraz słabości występujących w naszych miastach i regionach. Jesteśmy już gotowi na podjęcie dalszych działań w tej dziedzinie, jednak potrzebujemy odpowiedniego wsparcia. Potrzebujemy dobrze funkcjonującego systemu zarządzania klimatem, </w:t>
      </w:r>
      <w:proofErr w:type="gramStart"/>
      <w:r w:rsidRPr="007F5D03">
        <w:rPr>
          <w:rFonts w:ascii="Verdana" w:hAnsi="Verdana"/>
          <w:i/>
          <w:sz w:val="18"/>
        </w:rPr>
        <w:t>co do którego</w:t>
      </w:r>
      <w:proofErr w:type="gramEnd"/>
      <w:r w:rsidRPr="007F5D03">
        <w:rPr>
          <w:rFonts w:ascii="Verdana" w:hAnsi="Verdana"/>
          <w:i/>
          <w:sz w:val="18"/>
        </w:rPr>
        <w:t xml:space="preserve"> zgodziłyby się wszystkie szczeble rządów. Potrzeba nam również porozumienia wyraźnie nawiązującego do samorządów lokalnych”. </w:t>
      </w:r>
    </w:p>
    <w:p w:rsidR="008E0B1E" w:rsidRPr="007F5D03" w:rsidRDefault="008E0B1E" w:rsidP="008E0B1E">
      <w:pPr>
        <w:spacing w:line="276" w:lineRule="auto"/>
        <w:rPr>
          <w:rFonts w:ascii="Verdana" w:hAnsi="Verdana"/>
          <w:sz w:val="18"/>
          <w:szCs w:val="18"/>
        </w:rPr>
      </w:pPr>
    </w:p>
    <w:p w:rsidR="008E0B1E" w:rsidRPr="007F5D03" w:rsidRDefault="008E0B1E" w:rsidP="008E0B1E">
      <w:pPr>
        <w:spacing w:line="276" w:lineRule="auto"/>
        <w:rPr>
          <w:rFonts w:ascii="Verdana" w:hAnsi="Verdana"/>
          <w:sz w:val="18"/>
          <w:szCs w:val="18"/>
        </w:rPr>
      </w:pPr>
      <w:r w:rsidRPr="007F5D03">
        <w:rPr>
          <w:rFonts w:ascii="Verdana" w:hAnsi="Verdana"/>
          <w:sz w:val="18"/>
        </w:rPr>
        <w:t xml:space="preserve">Obie instytucje UE zbliżyły swoje stanowiska na temat szeregu ważnych kwestii, które zostaną uzgodnione na szczycie przez przywódców krajowych. Powinno to doprowadzić do osiągnięcia długofalowego globalnego porozumienia umożliwiającego powstrzymanie niekontrolowanej zmiany klimatu. </w:t>
      </w:r>
    </w:p>
    <w:p w:rsidR="008E0B1E" w:rsidRPr="007F5D03" w:rsidRDefault="008E0B1E" w:rsidP="008E0B1E">
      <w:pPr>
        <w:spacing w:line="276" w:lineRule="auto"/>
        <w:rPr>
          <w:rFonts w:ascii="Verdana" w:hAnsi="Verdana"/>
          <w:sz w:val="18"/>
          <w:szCs w:val="18"/>
        </w:rPr>
      </w:pPr>
    </w:p>
    <w:p w:rsidR="008E0B1E" w:rsidRPr="007F5D03" w:rsidRDefault="008E0B1E" w:rsidP="008E0B1E">
      <w:pPr>
        <w:spacing w:line="276" w:lineRule="auto"/>
        <w:rPr>
          <w:rFonts w:ascii="Verdana" w:hAnsi="Verdana"/>
          <w:sz w:val="18"/>
          <w:szCs w:val="18"/>
        </w:rPr>
      </w:pPr>
      <w:r w:rsidRPr="007F5D03">
        <w:rPr>
          <w:rFonts w:ascii="Verdana" w:hAnsi="Verdana"/>
          <w:sz w:val="18"/>
        </w:rPr>
        <w:t>Już obecnie mamy do czynienia z oddolnym przechodzenie</w:t>
      </w:r>
      <w:r w:rsidR="006E7732" w:rsidRPr="007F5D03">
        <w:rPr>
          <w:rFonts w:ascii="Verdana" w:hAnsi="Verdana"/>
          <w:sz w:val="18"/>
        </w:rPr>
        <w:t>m na gospodarkę niskoemisyjną i </w:t>
      </w:r>
      <w:r w:rsidRPr="007F5D03">
        <w:rPr>
          <w:rFonts w:ascii="Verdana" w:hAnsi="Verdana"/>
          <w:sz w:val="18"/>
        </w:rPr>
        <w:t xml:space="preserve">społeczeństwo wykorzystujące technologie niskoemisyjne. Wiele społeczności jest liderami w tej dziedzinie, przede wszystkim dzięki partnerstwom między samorządami a organizacjami </w:t>
      </w:r>
      <w:r w:rsidRPr="007F5D03">
        <w:rPr>
          <w:rFonts w:ascii="Verdana" w:hAnsi="Verdana"/>
          <w:sz w:val="18"/>
        </w:rPr>
        <w:lastRenderedPageBreak/>
        <w:t xml:space="preserve">społeczeństwa obywatelskiego. Rządy krajowe czasami nie doceniają ani nie wspierają inicjatyw oddolnych, tymczasem powodzenie globalnych działań w zakresie klimatu będzie zależeć od wykorzystania pomysłów, wiedzy i energii przedsiębiorców, konsumentów, związków zawodowych, organizacji pozarządowych, społeczności oraz władz lokalnych i regionalnych. </w:t>
      </w:r>
    </w:p>
    <w:p w:rsidR="008E0B1E" w:rsidRPr="007F5D03" w:rsidRDefault="008E0B1E" w:rsidP="008E0B1E">
      <w:pPr>
        <w:spacing w:line="276" w:lineRule="auto"/>
        <w:rPr>
          <w:rFonts w:ascii="Verdana" w:hAnsi="Verdana"/>
          <w:sz w:val="18"/>
          <w:szCs w:val="18"/>
        </w:rPr>
      </w:pPr>
    </w:p>
    <w:p w:rsidR="008E0B1E" w:rsidRPr="007F5D03" w:rsidRDefault="008E0B1E" w:rsidP="008E0B1E">
      <w:pPr>
        <w:spacing w:line="276" w:lineRule="auto"/>
        <w:rPr>
          <w:rFonts w:ascii="Verdana" w:hAnsi="Verdana"/>
          <w:sz w:val="18"/>
          <w:szCs w:val="18"/>
        </w:rPr>
      </w:pPr>
      <w:r w:rsidRPr="007F5D03">
        <w:rPr>
          <w:rFonts w:ascii="Verdana" w:hAnsi="Verdana"/>
          <w:sz w:val="18"/>
        </w:rPr>
        <w:t>Zarówno KR, jak i EKES dążą do tego, by porozumienie zawarte w Paryżu wyraźnie uznało rolę obywateli oraz władz lokalnych i regionalnych w przeciwdziałaniu zmianie klimatu, umocniło ich pozycję oraz zapewniło im więcej możliwości przekładania międzynarodowej polityki ochrony klimatu na konkretne, istotne działania prowadzące do zmian.</w:t>
      </w:r>
    </w:p>
    <w:p w:rsidR="008E0B1E" w:rsidRPr="007F5D03" w:rsidRDefault="008E0B1E" w:rsidP="008E0B1E">
      <w:pPr>
        <w:spacing w:line="276" w:lineRule="auto"/>
        <w:rPr>
          <w:rFonts w:ascii="Verdana" w:hAnsi="Verdana"/>
          <w:sz w:val="18"/>
          <w:szCs w:val="18"/>
        </w:rPr>
      </w:pPr>
    </w:p>
    <w:p w:rsidR="00DA47AF" w:rsidRPr="007F5D03" w:rsidRDefault="00DA47AF" w:rsidP="003851F9">
      <w:pPr>
        <w:keepNext/>
        <w:tabs>
          <w:tab w:val="left" w:pos="4395"/>
        </w:tabs>
        <w:overflowPunct/>
        <w:autoSpaceDE/>
        <w:autoSpaceDN/>
        <w:adjustRightInd/>
        <w:spacing w:line="240" w:lineRule="auto"/>
        <w:textAlignment w:val="auto"/>
        <w:rPr>
          <w:rFonts w:ascii="Verdana" w:eastAsia="PMingLiU" w:hAnsi="Verdana"/>
          <w:sz w:val="18"/>
          <w:szCs w:val="18"/>
        </w:rPr>
      </w:pPr>
      <w:r w:rsidRPr="007F5D03">
        <w:rPr>
          <w:rFonts w:ascii="Verdana" w:hAnsi="Verdana"/>
          <w:b/>
          <w:sz w:val="18"/>
        </w:rPr>
        <w:t>Dział Prasy EKES-u</w:t>
      </w:r>
      <w:r w:rsidR="00FA716B" w:rsidRPr="007F5D03">
        <w:rPr>
          <w:rFonts w:ascii="Verdana" w:hAnsi="Verdana"/>
          <w:b/>
          <w:sz w:val="18"/>
        </w:rPr>
        <w:tab/>
      </w:r>
      <w:r w:rsidRPr="007F5D03">
        <w:rPr>
          <w:rFonts w:ascii="Verdana" w:hAnsi="Verdana"/>
          <w:b/>
          <w:sz w:val="18"/>
        </w:rPr>
        <w:t>Dział Prasy KR-u</w:t>
      </w:r>
    </w:p>
    <w:p w:rsidR="00DA47AF" w:rsidRPr="007F5D03" w:rsidRDefault="00DA47AF" w:rsidP="003851F9">
      <w:pPr>
        <w:keepNext/>
        <w:tabs>
          <w:tab w:val="left" w:pos="4395"/>
        </w:tabs>
        <w:overflowPunct/>
        <w:autoSpaceDE/>
        <w:autoSpaceDN/>
        <w:adjustRightInd/>
        <w:spacing w:line="240" w:lineRule="auto"/>
        <w:textAlignment w:val="auto"/>
        <w:rPr>
          <w:rFonts w:ascii="Verdana" w:eastAsia="PMingLiU" w:hAnsi="Verdana"/>
          <w:sz w:val="18"/>
          <w:szCs w:val="18"/>
        </w:rPr>
      </w:pPr>
      <w:r w:rsidRPr="007F5D03">
        <w:rPr>
          <w:rFonts w:ascii="Verdana" w:hAnsi="Verdana"/>
          <w:sz w:val="18"/>
        </w:rPr>
        <w:t>Silvia Aumair</w:t>
      </w:r>
      <w:r w:rsidRPr="007F5D03">
        <w:tab/>
      </w:r>
      <w:r w:rsidRPr="007F5D03">
        <w:rPr>
          <w:rFonts w:ascii="Verdana" w:hAnsi="Verdana"/>
          <w:sz w:val="18"/>
        </w:rPr>
        <w:t>Andrew Gardner</w:t>
      </w:r>
    </w:p>
    <w:p w:rsidR="00DA47AF" w:rsidRPr="007F5D03" w:rsidRDefault="00DA47AF" w:rsidP="003851F9">
      <w:pPr>
        <w:keepNext/>
        <w:tabs>
          <w:tab w:val="left" w:pos="4395"/>
        </w:tabs>
        <w:overflowPunct/>
        <w:autoSpaceDE/>
        <w:autoSpaceDN/>
        <w:adjustRightInd/>
        <w:spacing w:line="240" w:lineRule="auto"/>
        <w:textAlignment w:val="auto"/>
        <w:rPr>
          <w:rFonts w:ascii="Verdana" w:eastAsia="PMingLiU" w:hAnsi="Verdana"/>
          <w:sz w:val="18"/>
          <w:szCs w:val="18"/>
        </w:rPr>
      </w:pPr>
      <w:proofErr w:type="gramStart"/>
      <w:r w:rsidRPr="007F5D03">
        <w:rPr>
          <w:rFonts w:ascii="Verdana" w:hAnsi="Verdana"/>
          <w:sz w:val="18"/>
        </w:rPr>
        <w:t>e-mail</w:t>
      </w:r>
      <w:proofErr w:type="gramEnd"/>
      <w:r w:rsidRPr="007F5D03">
        <w:rPr>
          <w:rFonts w:ascii="Verdana" w:hAnsi="Verdana"/>
          <w:sz w:val="18"/>
        </w:rPr>
        <w:t xml:space="preserve">: </w:t>
      </w:r>
      <w:hyperlink r:id="rId18">
        <w:r w:rsidRPr="007F5D03">
          <w:rPr>
            <w:rStyle w:val="Hyperlink"/>
            <w:rFonts w:ascii="Verdana" w:hAnsi="Verdana"/>
            <w:sz w:val="18"/>
          </w:rPr>
          <w:t>press@eesc.europa.eu</w:t>
        </w:r>
      </w:hyperlink>
      <w:r w:rsidR="00FA716B" w:rsidRPr="007F5D03">
        <w:rPr>
          <w:rStyle w:val="Hyperlink"/>
          <w:rFonts w:ascii="Verdana" w:hAnsi="Verdana"/>
          <w:sz w:val="18"/>
          <w:u w:val="none"/>
        </w:rPr>
        <w:t xml:space="preserve"> </w:t>
      </w:r>
      <w:r w:rsidR="00FA716B" w:rsidRPr="007F5D03">
        <w:rPr>
          <w:rStyle w:val="Hyperlink"/>
          <w:rFonts w:ascii="Verdana" w:hAnsi="Verdana"/>
          <w:sz w:val="18"/>
          <w:u w:val="none"/>
        </w:rPr>
        <w:tab/>
      </w:r>
      <w:r w:rsidRPr="007F5D03">
        <w:rPr>
          <w:rFonts w:ascii="Verdana" w:hAnsi="Verdana"/>
          <w:sz w:val="18"/>
        </w:rPr>
        <w:t xml:space="preserve">e-mail: </w:t>
      </w:r>
      <w:hyperlink r:id="rId19">
        <w:r w:rsidRPr="007F5D03">
          <w:rPr>
            <w:rStyle w:val="Hyperlink"/>
            <w:rFonts w:ascii="Verdana" w:hAnsi="Verdana"/>
            <w:sz w:val="18"/>
          </w:rPr>
          <w:t>andrew.gardner@cor.europa.eu</w:t>
        </w:r>
      </w:hyperlink>
    </w:p>
    <w:p w:rsidR="00DA47AF" w:rsidRPr="007F5D03" w:rsidRDefault="00DA47AF" w:rsidP="003851F9">
      <w:pPr>
        <w:keepNext/>
        <w:tabs>
          <w:tab w:val="left" w:pos="4395"/>
        </w:tabs>
        <w:spacing w:line="240" w:lineRule="auto"/>
        <w:rPr>
          <w:rFonts w:ascii="Verdana" w:eastAsia="PMingLiU" w:hAnsi="Verdana"/>
          <w:sz w:val="18"/>
          <w:szCs w:val="18"/>
        </w:rPr>
      </w:pPr>
      <w:proofErr w:type="gramStart"/>
      <w:r w:rsidRPr="007F5D03">
        <w:rPr>
          <w:rFonts w:ascii="Verdana" w:hAnsi="Verdana"/>
          <w:sz w:val="18"/>
        </w:rPr>
        <w:t>tel</w:t>
      </w:r>
      <w:proofErr w:type="gramEnd"/>
      <w:r w:rsidRPr="007F5D03">
        <w:rPr>
          <w:rFonts w:ascii="Verdana" w:hAnsi="Verdana"/>
          <w:sz w:val="18"/>
        </w:rPr>
        <w:t>. 32 2 546 8141</w:t>
      </w:r>
      <w:r w:rsidR="00FA716B" w:rsidRPr="007F5D03">
        <w:rPr>
          <w:rFonts w:ascii="Verdana" w:hAnsi="Verdana"/>
          <w:sz w:val="18"/>
        </w:rPr>
        <w:tab/>
      </w:r>
      <w:r w:rsidRPr="007F5D03">
        <w:rPr>
          <w:rFonts w:ascii="Verdana" w:hAnsi="Verdana"/>
          <w:sz w:val="18"/>
        </w:rPr>
        <w:t>tel.: +32 (0) 473 84 39 814</w:t>
      </w:r>
    </w:p>
    <w:p w:rsidR="00DA47AF" w:rsidRPr="007F5D03" w:rsidRDefault="00DA47AF" w:rsidP="0067794C">
      <w:pPr>
        <w:rPr>
          <w:rFonts w:ascii="Verdana" w:hAnsi="Verdana"/>
          <w:b/>
          <w:i/>
          <w:sz w:val="16"/>
          <w:szCs w:val="16"/>
        </w:rPr>
      </w:pPr>
      <w:r w:rsidRPr="007F5D03">
        <w:rPr>
          <w:rFonts w:ascii="Verdana" w:hAnsi="Verdana"/>
          <w:i/>
          <w:sz w:val="16"/>
        </w:rPr>
        <w:t>__</w:t>
      </w:r>
      <w:r w:rsidRPr="007F5D03">
        <w:rPr>
          <w:rFonts w:ascii="Verdana" w:hAnsi="Verdana"/>
          <w:b/>
          <w:i/>
          <w:sz w:val="16"/>
        </w:rPr>
        <w:t>____________________________________________________________________________</w:t>
      </w:r>
    </w:p>
    <w:p w:rsidR="00DA47AF" w:rsidRPr="007F5D03" w:rsidRDefault="00DA47AF" w:rsidP="0067794C">
      <w:pPr>
        <w:rPr>
          <w:rFonts w:ascii="Verdana" w:hAnsi="Verdana"/>
          <w:i/>
          <w:sz w:val="16"/>
          <w:szCs w:val="16"/>
        </w:rPr>
      </w:pPr>
      <w:r w:rsidRPr="007F5D03">
        <w:rPr>
          <w:rFonts w:ascii="Verdana" w:hAnsi="Verdana"/>
          <w:b/>
          <w:i/>
          <w:sz w:val="16"/>
        </w:rPr>
        <w:t>Europejski Komitet Ekonomiczno-Społeczny</w:t>
      </w:r>
      <w:r w:rsidRPr="007F5D03">
        <w:rPr>
          <w:rFonts w:ascii="Verdana" w:hAnsi="Verdana"/>
          <w:i/>
          <w:sz w:val="16"/>
        </w:rPr>
        <w:t xml:space="preserve"> (EKES) reprezentuje różnorodne środowiska społeczne i gospodarcze zorganizowanego społeczeństwa obywatelskiego. Jest instytucjonalnym organem doradczym powołanym w 1957 r. na mocy traktatu rzymskiego. Doradcza funkcja EK</w:t>
      </w:r>
      <w:r w:rsidR="006E7732" w:rsidRPr="007F5D03">
        <w:rPr>
          <w:rFonts w:ascii="Verdana" w:hAnsi="Verdana"/>
          <w:i/>
          <w:sz w:val="16"/>
        </w:rPr>
        <w:t>ES-u umożliwia jego członkom, a </w:t>
      </w:r>
      <w:r w:rsidRPr="007F5D03">
        <w:rPr>
          <w:rFonts w:ascii="Verdana" w:hAnsi="Verdana"/>
          <w:i/>
          <w:sz w:val="16"/>
        </w:rPr>
        <w:t>zatem i reprezentowanym przez nich organizacjom, uczestniczenie w unijnym procesie decyzyjnym. Komitet liczy 350 członków z całej Europy, którzy są powoływani przez Radę Unii Europejskiej.</w:t>
      </w:r>
    </w:p>
    <w:p w:rsidR="00DA47AF" w:rsidRPr="007F5D03" w:rsidRDefault="00DA47AF" w:rsidP="0067794C">
      <w:pPr>
        <w:rPr>
          <w:rFonts w:ascii="Verdana" w:hAnsi="Verdana"/>
          <w:i/>
          <w:sz w:val="16"/>
          <w:szCs w:val="16"/>
        </w:rPr>
      </w:pPr>
      <w:r w:rsidRPr="007F5D03">
        <w:rPr>
          <w:rFonts w:ascii="Verdana" w:hAnsi="Verdana"/>
          <w:b/>
          <w:i/>
          <w:sz w:val="16"/>
        </w:rPr>
        <w:t xml:space="preserve">Europejski Komitet Regionów </w:t>
      </w:r>
      <w:r w:rsidRPr="007F5D03">
        <w:rPr>
          <w:rFonts w:ascii="Verdana" w:hAnsi="Verdana"/>
          <w:i/>
          <w:sz w:val="16"/>
        </w:rPr>
        <w:t>jest zgromadzeniem przedstawicieli samorządów regionalnych i lokalnych UE ze wszystkich 28 państw członkowskich. Został utworzony w 1994 r. w na</w:t>
      </w:r>
      <w:r w:rsidR="006E7732" w:rsidRPr="007F5D03">
        <w:rPr>
          <w:rFonts w:ascii="Verdana" w:hAnsi="Verdana"/>
          <w:i/>
          <w:sz w:val="16"/>
        </w:rPr>
        <w:t>stępstwie podpisania traktatu z </w:t>
      </w:r>
      <w:proofErr w:type="spellStart"/>
      <w:r w:rsidRPr="007F5D03">
        <w:rPr>
          <w:rFonts w:ascii="Verdana" w:hAnsi="Verdana"/>
          <w:i/>
          <w:sz w:val="16"/>
        </w:rPr>
        <w:t>Maastricht</w:t>
      </w:r>
      <w:proofErr w:type="spellEnd"/>
      <w:r w:rsidRPr="007F5D03">
        <w:rPr>
          <w:rFonts w:ascii="Verdana" w:hAnsi="Verdana"/>
          <w:i/>
          <w:sz w:val="16"/>
        </w:rPr>
        <w:t xml:space="preserve">, a jego misją jest włączenie samorządów regionalnych i lokalnych w proces decyzyjny UE oraz informowanie ich o strategiach politycznych UE. Parlament Europejski, Rada i Komisja Europejska zasięgają opinii Komitetu w odniesieniu do dziedzin polityki mających wpływ na regiony i miasta. </w:t>
      </w:r>
    </w:p>
    <w:p w:rsidR="00DA47AF" w:rsidRPr="007F5D03" w:rsidRDefault="00DA47AF" w:rsidP="0067794C">
      <w:pPr>
        <w:rPr>
          <w:rFonts w:ascii="Verdana" w:hAnsi="Verdana"/>
          <w:b/>
          <w:i/>
          <w:sz w:val="16"/>
          <w:szCs w:val="16"/>
        </w:rPr>
      </w:pPr>
      <w:r w:rsidRPr="007F5D03">
        <w:rPr>
          <w:rFonts w:ascii="Verdana" w:hAnsi="Verdana"/>
          <w:i/>
          <w:sz w:val="16"/>
        </w:rPr>
        <w:t>__</w:t>
      </w:r>
      <w:r w:rsidRPr="007F5D03">
        <w:rPr>
          <w:rFonts w:ascii="Verdana" w:hAnsi="Verdana"/>
          <w:b/>
          <w:i/>
          <w:sz w:val="16"/>
        </w:rPr>
        <w:t>_____________________________________________________________________________</w:t>
      </w:r>
    </w:p>
    <w:p w:rsidR="009F7B3B" w:rsidRPr="007F5D03" w:rsidRDefault="009F7B3B" w:rsidP="0067794C">
      <w:pPr>
        <w:spacing w:line="276" w:lineRule="auto"/>
        <w:rPr>
          <w:rFonts w:ascii="Verdana" w:hAnsi="Verdana"/>
          <w:b/>
          <w:i/>
          <w:sz w:val="16"/>
          <w:szCs w:val="16"/>
        </w:rPr>
      </w:pPr>
    </w:p>
    <w:sectPr w:rsidR="009F7B3B" w:rsidRPr="007F5D03"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53" w:rsidRDefault="008C5453">
      <w:r>
        <w:separator/>
      </w:r>
    </w:p>
  </w:endnote>
  <w:endnote w:type="continuationSeparator" w:id="0">
    <w:p w:rsidR="008C5453" w:rsidRDefault="008C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12168" w:rsidRPr="00EA5513" w:rsidRDefault="00E12168" w:rsidP="0004715C">
    <w:pPr>
      <w:spacing w:line="240" w:lineRule="auto"/>
      <w:jc w:val="center"/>
      <w:rPr>
        <w:rFonts w:ascii="Verdana" w:hAnsi="Verdana"/>
        <w:sz w:val="16"/>
      </w:rPr>
    </w:pPr>
    <w:proofErr w:type="gramStart"/>
    <w:r>
      <w:rPr>
        <w:rFonts w:ascii="Verdana" w:hAnsi="Verdana"/>
        <w:sz w:val="16"/>
      </w:rPr>
      <w:t>tel</w:t>
    </w:r>
    <w:proofErr w:type="gramEnd"/>
    <w:r>
      <w:rPr>
        <w:rFonts w:ascii="Verdana" w:hAnsi="Verdana"/>
        <w:sz w:val="16"/>
      </w:rPr>
      <w:t>. +32 2 5469779 – faks +32 25469764</w:t>
    </w:r>
  </w:p>
  <w:p w:rsidR="00E12168" w:rsidRPr="00EA5513" w:rsidRDefault="00E12168" w:rsidP="0004715C">
    <w:pPr>
      <w:spacing w:line="240" w:lineRule="auto"/>
      <w:jc w:val="center"/>
      <w:rPr>
        <w:rFonts w:ascii="Verdana" w:hAnsi="Verdana"/>
        <w:sz w:val="16"/>
      </w:rPr>
    </w:pPr>
    <w:proofErr w:type="gramStart"/>
    <w:r>
      <w:rPr>
        <w:rFonts w:ascii="Verdana" w:hAnsi="Verdana"/>
        <w:sz w:val="16"/>
      </w:rPr>
      <w:t>e-mail</w:t>
    </w:r>
    <w:proofErr w:type="gram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w:t>
    </w:r>
    <w:proofErr w:type="spellStart"/>
    <w:r>
      <w:rPr>
        <w:rFonts w:ascii="Verdana" w:hAnsi="Verdana"/>
        <w:sz w:val="16"/>
      </w:rPr>
      <w:t>internet</w:t>
    </w:r>
    <w:proofErr w:type="spellEnd"/>
    <w:r>
      <w:rPr>
        <w:rFonts w:ascii="Verdana" w:hAnsi="Verdana"/>
        <w:sz w:val="16"/>
      </w:rPr>
      <w:t xml:space="preserve">: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Śledź EKES na </w:t>
    </w:r>
    <w:r>
      <w:rPr>
        <w:noProof/>
        <w:lang w:val="fr-BE" w:eastAsia="fr-BE" w:bidi="ar-SA"/>
      </w:rPr>
      <w:drawing>
        <wp:inline distT="0" distB="0" distL="0" distR="0" wp14:anchorId="67399D14" wp14:editId="284BE7F3">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30E2D66" wp14:editId="51F0468B">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09CF2DF3" wp14:editId="6C227986">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53" w:rsidRDefault="008C5453">
      <w:r>
        <w:separator/>
      </w:r>
    </w:p>
  </w:footnote>
  <w:footnote w:type="continuationSeparator" w:id="0">
    <w:p w:rsidR="008C5453" w:rsidRDefault="008C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6"/>
  </w:num>
  <w:num w:numId="6">
    <w:abstractNumId w:val="12"/>
  </w:num>
  <w:num w:numId="7">
    <w:abstractNumId w:val="2"/>
  </w:num>
  <w:num w:numId="8">
    <w:abstractNumId w:val="17"/>
  </w:num>
  <w:num w:numId="9">
    <w:abstractNumId w:val="16"/>
  </w:num>
  <w:num w:numId="10">
    <w:abstractNumId w:val="15"/>
  </w:num>
  <w:num w:numId="11">
    <w:abstractNumId w:val="13"/>
  </w:num>
  <w:num w:numId="12">
    <w:abstractNumId w:val="7"/>
  </w:num>
  <w:num w:numId="13">
    <w:abstractNumId w:val="3"/>
  </w:num>
  <w:num w:numId="14">
    <w:abstractNumId w:val="10"/>
  </w:num>
  <w:num w:numId="15">
    <w:abstractNumId w:val="14"/>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47C"/>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1E4A"/>
    <w:rsid w:val="00052678"/>
    <w:rsid w:val="00052F16"/>
    <w:rsid w:val="000538AA"/>
    <w:rsid w:val="00055FCC"/>
    <w:rsid w:val="00060A4A"/>
    <w:rsid w:val="000615BB"/>
    <w:rsid w:val="000619B0"/>
    <w:rsid w:val="00061B3C"/>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D74E9"/>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05171"/>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363CC"/>
    <w:rsid w:val="002431C3"/>
    <w:rsid w:val="002439E3"/>
    <w:rsid w:val="00244B53"/>
    <w:rsid w:val="0024520B"/>
    <w:rsid w:val="002474B4"/>
    <w:rsid w:val="00247BB5"/>
    <w:rsid w:val="00251322"/>
    <w:rsid w:val="002562CD"/>
    <w:rsid w:val="00257B3A"/>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3668"/>
    <w:rsid w:val="002B04A8"/>
    <w:rsid w:val="002B290E"/>
    <w:rsid w:val="002B561A"/>
    <w:rsid w:val="002B6234"/>
    <w:rsid w:val="002B640B"/>
    <w:rsid w:val="002B67A9"/>
    <w:rsid w:val="002B7F00"/>
    <w:rsid w:val="002C5AD0"/>
    <w:rsid w:val="002C5CBB"/>
    <w:rsid w:val="002D08ED"/>
    <w:rsid w:val="002D12B2"/>
    <w:rsid w:val="002D22E9"/>
    <w:rsid w:val="002D685E"/>
    <w:rsid w:val="002D6898"/>
    <w:rsid w:val="002D7A8C"/>
    <w:rsid w:val="002E14FC"/>
    <w:rsid w:val="002E1924"/>
    <w:rsid w:val="002E6F72"/>
    <w:rsid w:val="002E75A0"/>
    <w:rsid w:val="002F1539"/>
    <w:rsid w:val="002F2262"/>
    <w:rsid w:val="002F2468"/>
    <w:rsid w:val="002F3534"/>
    <w:rsid w:val="002F3853"/>
    <w:rsid w:val="002F3A5B"/>
    <w:rsid w:val="002F4A2E"/>
    <w:rsid w:val="002F6696"/>
    <w:rsid w:val="002F6738"/>
    <w:rsid w:val="002F7233"/>
    <w:rsid w:val="002F7A9E"/>
    <w:rsid w:val="002F7E3D"/>
    <w:rsid w:val="00304A79"/>
    <w:rsid w:val="00304E7A"/>
    <w:rsid w:val="003054B2"/>
    <w:rsid w:val="003148CD"/>
    <w:rsid w:val="00314CEA"/>
    <w:rsid w:val="00316F54"/>
    <w:rsid w:val="00321325"/>
    <w:rsid w:val="003220A9"/>
    <w:rsid w:val="00324538"/>
    <w:rsid w:val="00325F72"/>
    <w:rsid w:val="00326801"/>
    <w:rsid w:val="0032772F"/>
    <w:rsid w:val="003305C3"/>
    <w:rsid w:val="00330C30"/>
    <w:rsid w:val="003327CC"/>
    <w:rsid w:val="00335A37"/>
    <w:rsid w:val="00337F0A"/>
    <w:rsid w:val="00340947"/>
    <w:rsid w:val="00341608"/>
    <w:rsid w:val="00343D5E"/>
    <w:rsid w:val="0034531E"/>
    <w:rsid w:val="003532CC"/>
    <w:rsid w:val="00353453"/>
    <w:rsid w:val="00354CB8"/>
    <w:rsid w:val="0035564F"/>
    <w:rsid w:val="00356045"/>
    <w:rsid w:val="00356F52"/>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1F9"/>
    <w:rsid w:val="0038574A"/>
    <w:rsid w:val="00386F1F"/>
    <w:rsid w:val="003874EA"/>
    <w:rsid w:val="003915BE"/>
    <w:rsid w:val="00392CB8"/>
    <w:rsid w:val="00394D81"/>
    <w:rsid w:val="003A66C0"/>
    <w:rsid w:val="003B0ACC"/>
    <w:rsid w:val="003B25EA"/>
    <w:rsid w:val="003B2616"/>
    <w:rsid w:val="003B4BF8"/>
    <w:rsid w:val="003B62F4"/>
    <w:rsid w:val="003B714A"/>
    <w:rsid w:val="003C05D0"/>
    <w:rsid w:val="003C1CFE"/>
    <w:rsid w:val="003C21F5"/>
    <w:rsid w:val="003C3451"/>
    <w:rsid w:val="003C5624"/>
    <w:rsid w:val="003C6D1A"/>
    <w:rsid w:val="003C73FE"/>
    <w:rsid w:val="003C7BF9"/>
    <w:rsid w:val="003D2255"/>
    <w:rsid w:val="003D3552"/>
    <w:rsid w:val="003D3772"/>
    <w:rsid w:val="003D465F"/>
    <w:rsid w:val="003D64E9"/>
    <w:rsid w:val="003E1E99"/>
    <w:rsid w:val="003E52DC"/>
    <w:rsid w:val="003E5EB2"/>
    <w:rsid w:val="003F4711"/>
    <w:rsid w:val="003F5C5E"/>
    <w:rsid w:val="003F73CB"/>
    <w:rsid w:val="00401766"/>
    <w:rsid w:val="00404BEC"/>
    <w:rsid w:val="00406F00"/>
    <w:rsid w:val="00406FBD"/>
    <w:rsid w:val="00411D04"/>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7FF"/>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815"/>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584"/>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1278"/>
    <w:rsid w:val="006371D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7794C"/>
    <w:rsid w:val="00680869"/>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464D"/>
    <w:rsid w:val="006E5144"/>
    <w:rsid w:val="006E75D0"/>
    <w:rsid w:val="006E7732"/>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894"/>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5D03"/>
    <w:rsid w:val="007F647B"/>
    <w:rsid w:val="007F764E"/>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5681"/>
    <w:rsid w:val="008605DC"/>
    <w:rsid w:val="00862C04"/>
    <w:rsid w:val="00863AB1"/>
    <w:rsid w:val="0086606E"/>
    <w:rsid w:val="00866272"/>
    <w:rsid w:val="00867162"/>
    <w:rsid w:val="0087205A"/>
    <w:rsid w:val="00876120"/>
    <w:rsid w:val="008775D1"/>
    <w:rsid w:val="008820BE"/>
    <w:rsid w:val="00883365"/>
    <w:rsid w:val="008927DF"/>
    <w:rsid w:val="008971F6"/>
    <w:rsid w:val="008A0E9A"/>
    <w:rsid w:val="008A1257"/>
    <w:rsid w:val="008A2477"/>
    <w:rsid w:val="008A70B5"/>
    <w:rsid w:val="008A7BC8"/>
    <w:rsid w:val="008B1A2E"/>
    <w:rsid w:val="008B4E71"/>
    <w:rsid w:val="008C222D"/>
    <w:rsid w:val="008C3D7F"/>
    <w:rsid w:val="008C5453"/>
    <w:rsid w:val="008C573E"/>
    <w:rsid w:val="008C6814"/>
    <w:rsid w:val="008C705E"/>
    <w:rsid w:val="008C7101"/>
    <w:rsid w:val="008C7206"/>
    <w:rsid w:val="008D45B3"/>
    <w:rsid w:val="008D58F4"/>
    <w:rsid w:val="008D66DC"/>
    <w:rsid w:val="008E0B1E"/>
    <w:rsid w:val="008E3731"/>
    <w:rsid w:val="008E5B09"/>
    <w:rsid w:val="008E77A7"/>
    <w:rsid w:val="008F17AB"/>
    <w:rsid w:val="008F6BD3"/>
    <w:rsid w:val="00900C21"/>
    <w:rsid w:val="00903521"/>
    <w:rsid w:val="00904D1E"/>
    <w:rsid w:val="0091006B"/>
    <w:rsid w:val="00910EE7"/>
    <w:rsid w:val="00912242"/>
    <w:rsid w:val="00913BE8"/>
    <w:rsid w:val="00913FEC"/>
    <w:rsid w:val="00915DBB"/>
    <w:rsid w:val="009165FC"/>
    <w:rsid w:val="00916C90"/>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36D8"/>
    <w:rsid w:val="0096626F"/>
    <w:rsid w:val="0096658E"/>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7D9"/>
    <w:rsid w:val="009C2FCF"/>
    <w:rsid w:val="009C6426"/>
    <w:rsid w:val="009D02B8"/>
    <w:rsid w:val="009D3988"/>
    <w:rsid w:val="009D663A"/>
    <w:rsid w:val="009D7FA3"/>
    <w:rsid w:val="009E0550"/>
    <w:rsid w:val="009E095D"/>
    <w:rsid w:val="009E3148"/>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4752B"/>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87B34"/>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01A0"/>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23FD"/>
    <w:rsid w:val="00B52818"/>
    <w:rsid w:val="00B54123"/>
    <w:rsid w:val="00B55085"/>
    <w:rsid w:val="00B57D80"/>
    <w:rsid w:val="00B60B16"/>
    <w:rsid w:val="00B62589"/>
    <w:rsid w:val="00B66941"/>
    <w:rsid w:val="00B7000E"/>
    <w:rsid w:val="00B70056"/>
    <w:rsid w:val="00B71203"/>
    <w:rsid w:val="00B73294"/>
    <w:rsid w:val="00B738CE"/>
    <w:rsid w:val="00B74E7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1442"/>
    <w:rsid w:val="00C51729"/>
    <w:rsid w:val="00C52473"/>
    <w:rsid w:val="00C52BBD"/>
    <w:rsid w:val="00C56B37"/>
    <w:rsid w:val="00C56D06"/>
    <w:rsid w:val="00C62A3C"/>
    <w:rsid w:val="00C676E8"/>
    <w:rsid w:val="00C70063"/>
    <w:rsid w:val="00C73D4D"/>
    <w:rsid w:val="00C755F1"/>
    <w:rsid w:val="00C818A3"/>
    <w:rsid w:val="00C82A73"/>
    <w:rsid w:val="00C83074"/>
    <w:rsid w:val="00C83428"/>
    <w:rsid w:val="00C83470"/>
    <w:rsid w:val="00C84283"/>
    <w:rsid w:val="00C86A64"/>
    <w:rsid w:val="00C87415"/>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5498"/>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896"/>
    <w:rsid w:val="00DA396F"/>
    <w:rsid w:val="00DA3997"/>
    <w:rsid w:val="00DA3F3D"/>
    <w:rsid w:val="00DA47AF"/>
    <w:rsid w:val="00DA4907"/>
    <w:rsid w:val="00DA4DCC"/>
    <w:rsid w:val="00DA708C"/>
    <w:rsid w:val="00DA7ACD"/>
    <w:rsid w:val="00DB2340"/>
    <w:rsid w:val="00DB3D58"/>
    <w:rsid w:val="00DB4187"/>
    <w:rsid w:val="00DB5355"/>
    <w:rsid w:val="00DC5ECF"/>
    <w:rsid w:val="00DC66B3"/>
    <w:rsid w:val="00DC7B2C"/>
    <w:rsid w:val="00DD0142"/>
    <w:rsid w:val="00DD3986"/>
    <w:rsid w:val="00DD4CAB"/>
    <w:rsid w:val="00DD5AC2"/>
    <w:rsid w:val="00DD7AD5"/>
    <w:rsid w:val="00DE1D9B"/>
    <w:rsid w:val="00DE4A32"/>
    <w:rsid w:val="00DE7FD8"/>
    <w:rsid w:val="00DF0FEF"/>
    <w:rsid w:val="00DF138C"/>
    <w:rsid w:val="00DF3083"/>
    <w:rsid w:val="00DF3164"/>
    <w:rsid w:val="00DF4F75"/>
    <w:rsid w:val="00DF5584"/>
    <w:rsid w:val="00DF6144"/>
    <w:rsid w:val="00E00727"/>
    <w:rsid w:val="00E03A2E"/>
    <w:rsid w:val="00E058F9"/>
    <w:rsid w:val="00E108E9"/>
    <w:rsid w:val="00E12168"/>
    <w:rsid w:val="00E14D03"/>
    <w:rsid w:val="00E161D4"/>
    <w:rsid w:val="00E25A4B"/>
    <w:rsid w:val="00E27624"/>
    <w:rsid w:val="00E3088D"/>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445B"/>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6B30"/>
    <w:rsid w:val="00F576F3"/>
    <w:rsid w:val="00F61167"/>
    <w:rsid w:val="00F61B8C"/>
    <w:rsid w:val="00F654B3"/>
    <w:rsid w:val="00F67E91"/>
    <w:rsid w:val="00F70AE1"/>
    <w:rsid w:val="00F70D20"/>
    <w:rsid w:val="00F72C33"/>
    <w:rsid w:val="00F76360"/>
    <w:rsid w:val="00F772D5"/>
    <w:rsid w:val="00F77DCA"/>
    <w:rsid w:val="00F80546"/>
    <w:rsid w:val="00F80D83"/>
    <w:rsid w:val="00F8165C"/>
    <w:rsid w:val="00F8319B"/>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16B"/>
    <w:rsid w:val="00FA7FFE"/>
    <w:rsid w:val="00FB55A1"/>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pl-PL"/>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pl-P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pl-PL" w:eastAsia="pl-P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pl-PL" w:eastAsia="pl-P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pl-PL"/>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pl-PL"/>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pl-P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pl-PL" w:eastAsia="pl-P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pl-PL" w:eastAsia="pl-P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pl-PL"/>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0315280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mailto:andrew.gardner@cor.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SNS6YXTC77FS-9-355</_dlc_DocId>
    <_dlc_DocIdUrl xmlns="9f264e46-9252-4f01-a3b2-4cb67eb6fc3c">
      <Url>http://dm/EESC/2015/_layouts/DocIdRedir.aspx?ID=SNS6YXTC77FS-9-355</Url>
      <Description>SNS6YXTC77FS-9-355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2015-11-24T12:00:00+00:00</ProductionDate>
    <DocumentNumber xmlns="ae52afa4-c322-454e-8472-1d2b1900674c">6138</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17</Value>
      <Value>16</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11511</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fields"/>
    <ds:schemaRef ds:uri="ae52afa4-c322-454e-8472-1d2b1900674c"/>
    <ds:schemaRef ds:uri="http://purl.org/dc/terms/"/>
    <ds:schemaRef ds:uri="9f264e46-9252-4f01-a3b2-4cb67eb6fc3c"/>
    <ds:schemaRef ds:uri="http://purl.org/dc/dcmitype/"/>
  </ds:schemaRefs>
</ds:datastoreItem>
</file>

<file path=customXml/itemProps4.xml><?xml version="1.0" encoding="utf-8"?>
<ds:datastoreItem xmlns:ds="http://schemas.openxmlformats.org/officeDocument/2006/customXml" ds:itemID="{656E2E75-271D-46C7-AA49-5D488233FC86}">
  <ds:schemaRefs>
    <ds:schemaRef ds:uri="http://schemas.microsoft.com/sharepoint/events"/>
  </ds:schemaRefs>
</ds:datastoreItem>
</file>

<file path=customXml/itemProps5.xml><?xml version="1.0" encoding="utf-8"?>
<ds:datastoreItem xmlns:ds="http://schemas.openxmlformats.org/officeDocument/2006/customXml" ds:itemID="{B3C6A003-599D-4ABD-A8EB-4FB137AE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A618A4-1283-4A4A-B0E0-5551A1FF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748</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 70 PL Wspólna konferencja EKES-u i KR-u_COP 21 </vt:lpstr>
    </vt:vector>
  </TitlesOfParts>
  <Company>CESE-CdR</Company>
  <LinksUpToDate>false</LinksUpToDate>
  <CharactersWithSpaces>4859</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70 PL Wspólna konferencja EKES-u i KR-u_COP 21</dc:title>
  <dc:subject>Komunikat prasowy</dc:subject>
  <cp:lastModifiedBy>Agata Berdys</cp:lastModifiedBy>
  <cp:revision>2</cp:revision>
  <cp:lastPrinted>2015-11-20T09:06:00Z</cp:lastPrinted>
  <dcterms:created xsi:type="dcterms:W3CDTF">2015-11-24T13:05:00Z</dcterms:created>
  <dcterms:modified xsi:type="dcterms:W3CDTF">2015-11-24T13:05:00Z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20/11/2015</vt:lpwstr>
  </property>
  <property fmtid="{D5CDD505-2E9C-101B-9397-08002B2CF9AE}" pid="7" name="Pref_Time">
    <vt:lpwstr>17:01:09</vt:lpwstr>
  </property>
  <property fmtid="{D5CDD505-2E9C-101B-9397-08002B2CF9AE}" pid="8" name="Pref_User">
    <vt:lpwstr>jhvi</vt:lpwstr>
  </property>
  <property fmtid="{D5CDD505-2E9C-101B-9397-08002B2CF9AE}" pid="9" name="Pref_FileName">
    <vt:lpwstr>EESC-2015-06138-00-00-CP-ORI.docx</vt:lpwstr>
  </property>
  <property fmtid="{D5CDD505-2E9C-101B-9397-08002B2CF9AE}" pid="10" name="_dlc_DocIdItemGuid">
    <vt:lpwstr>9a197af8-e4f4-436a-a486-67a2be64b0d2</vt:lpwstr>
  </property>
  <property fmtid="{D5CDD505-2E9C-101B-9397-08002B2CF9AE}" pid="11" name="DocumentType_0">
    <vt:lpwstr>CP|de8ad211-9e8d-408b-8324-674d21bb7d18</vt:lpwstr>
  </property>
  <property fmtid="{D5CDD505-2E9C-101B-9397-08002B2CF9AE}" pid="12" name="AvailableTranslations">
    <vt:lpwstr>4;#FR|d2afafd3-4c81-4f60-8f52-ee33f2f54ff3;#38;#IT|0774613c-01ed-4e5d-a25d-11d2388de825;#9;#EN|f2175f21-25d7-44a3-96da-d6a61b075e1b;#16;#PL|1e03da61-4678-4e07-b136-b5024ca9197b;#17;#ES|e7a6b05b-ae16-40c8-add9-68b64b03aeba;#20;#DE|f6b31e5a-26fa-4935-b661-3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6138</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20;#DE|f6b31e5a-26fa-4935-b661-318e46daf27e;#17;#ES|e7a6b05b-ae16-40c8-add9-68b64b03aeba;#38;#IT|0774613c-01ed-4e5d-a25d-11d2388de825;#34;#CP|de8ad211-9e8d-408b-8324-674d21bb7d18;#120;#Final|ea5e6674-7b27-4bac-b091-73adbb394efe;#9;#EN|f2175f21-25d7-44a3-9</vt:lpwstr>
  </property>
  <property fmtid="{D5CDD505-2E9C-101B-9397-08002B2CF9AE}" pid="32" name="AvailableTranslations_0">
    <vt:lpwstr>FR|d2afafd3-4c81-4f60-8f52-ee33f2f54ff3;IT|0774613c-01ed-4e5d-a25d-11d2388de825;EN|f2175f21-25d7-44a3-96da-d6a61b075e1b;ES|e7a6b05b-ae16-40c8-add9-68b64b03aeba;DE|f6b31e5a-26fa-4935-b661-318e46daf27e</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11511</vt:i4>
  </property>
  <property fmtid="{D5CDD505-2E9C-101B-9397-08002B2CF9AE}" pid="36" name="DocumentYear">
    <vt:i4>2015</vt:i4>
  </property>
  <property fmtid="{D5CDD505-2E9C-101B-9397-08002B2CF9AE}" pid="37" name="DocumentLanguage">
    <vt:lpwstr>16;#PL|1e03da61-4678-4e07-b136-b5024ca9197b</vt:lpwstr>
  </property>
</Properties>
</file>