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5B" w:rsidRPr="00D77302" w:rsidRDefault="00AA2DA1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  <w:r w:rsidRPr="00D77302">
        <w:rPr>
          <w:b/>
          <w:bCs/>
          <w:noProof/>
          <w:sz w:val="32"/>
          <w:lang w:val="fr-BE" w:eastAsia="fr-BE" w:bidi="ar-SA"/>
        </w:rPr>
        <w:drawing>
          <wp:anchor distT="0" distB="0" distL="114300" distR="114300" simplePos="0" relativeHeight="251663872" behindDoc="0" locked="0" layoutInCell="1" allowOverlap="1" wp14:anchorId="3B96DC3B" wp14:editId="258B9FE6">
            <wp:simplePos x="0" y="0"/>
            <wp:positionH relativeFrom="column">
              <wp:posOffset>3343910</wp:posOffset>
            </wp:positionH>
            <wp:positionV relativeFrom="paragraph">
              <wp:posOffset>141605</wp:posOffset>
            </wp:positionV>
            <wp:extent cx="1876425" cy="755650"/>
            <wp:effectExtent l="0" t="0" r="952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AB" w:rsidRPr="00D77302">
        <w:rPr>
          <w:noProof/>
          <w:lang w:val="fr-BE" w:eastAsia="fr-BE" w:bidi="ar-SA"/>
        </w:rPr>
        <w:drawing>
          <wp:anchor distT="0" distB="0" distL="114300" distR="114300" simplePos="0" relativeHeight="251658752" behindDoc="0" locked="0" layoutInCell="1" allowOverlap="1" wp14:anchorId="7881F392" wp14:editId="2C6A3102">
            <wp:simplePos x="0" y="0"/>
            <wp:positionH relativeFrom="column">
              <wp:posOffset>339725</wp:posOffset>
            </wp:positionH>
            <wp:positionV relativeFrom="paragraph">
              <wp:posOffset>31115</wp:posOffset>
            </wp:positionV>
            <wp:extent cx="2066925" cy="8636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  <w:r w:rsidRPr="00D77302">
        <w:rPr>
          <w:noProof/>
          <w:lang w:val="fr-BE" w:eastAsia="fr-BE" w:bidi="ar-SA"/>
        </w:rPr>
        <w:drawing>
          <wp:anchor distT="0" distB="0" distL="114300" distR="114300" simplePos="0" relativeHeight="251662848" behindDoc="0" locked="0" layoutInCell="1" allowOverlap="1" wp14:anchorId="00E6F511" wp14:editId="375450C3">
            <wp:simplePos x="0" y="0"/>
            <wp:positionH relativeFrom="column">
              <wp:posOffset>-414655</wp:posOffset>
            </wp:positionH>
            <wp:positionV relativeFrom="paragraph">
              <wp:posOffset>106349</wp:posOffset>
            </wp:positionV>
            <wp:extent cx="6531344" cy="659013"/>
            <wp:effectExtent l="0" t="0" r="3175" b="8255"/>
            <wp:wrapNone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11"/>
                    <a:stretch/>
                  </pic:blipFill>
                  <pic:spPr bwMode="auto">
                    <a:xfrm>
                      <a:off x="0" y="0"/>
                      <a:ext cx="6531344" cy="65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</w:p>
    <w:p w:rsidR="00ED445B" w:rsidRPr="00D77302" w:rsidRDefault="00ED445B" w:rsidP="00ED445B">
      <w:pPr>
        <w:ind w:left="-993"/>
        <w:jc w:val="center"/>
        <w:rPr>
          <w:rFonts w:ascii="Garamond" w:hAnsi="Garamond"/>
          <w:b/>
          <w:color w:val="000000"/>
          <w:sz w:val="20"/>
          <w:szCs w:val="24"/>
        </w:rPr>
      </w:pPr>
    </w:p>
    <w:p w:rsidR="007F385B" w:rsidRPr="00D77302" w:rsidRDefault="007F385B" w:rsidP="00ED445B">
      <w:pPr>
        <w:ind w:left="-993"/>
        <w:jc w:val="center"/>
        <w:rPr>
          <w:rFonts w:ascii="Garamond" w:hAnsi="Garamond"/>
          <w:b/>
          <w:sz w:val="28"/>
          <w:szCs w:val="24"/>
        </w:rPr>
      </w:pPr>
    </w:p>
    <w:p w:rsidR="00ED445B" w:rsidRPr="00D77302" w:rsidRDefault="00ED445B" w:rsidP="00ED445B">
      <w:pPr>
        <w:ind w:left="-993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D77302">
        <w:trPr>
          <w:cantSplit/>
        </w:trPr>
        <w:tc>
          <w:tcPr>
            <w:tcW w:w="5168" w:type="dxa"/>
          </w:tcPr>
          <w:p w:rsidR="0070012D" w:rsidRPr="00D77302" w:rsidRDefault="00B52818" w:rsidP="00E55CAF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D77302">
              <w:rPr>
                <w:rFonts w:ascii="Verdana" w:hAnsi="Verdana"/>
                <w:b/>
                <w:sz w:val="20"/>
              </w:rPr>
              <w:t>COMUNICATO STAMPA n. 70/2015</w:t>
            </w:r>
          </w:p>
        </w:tc>
        <w:tc>
          <w:tcPr>
            <w:tcW w:w="4119" w:type="dxa"/>
          </w:tcPr>
          <w:p w:rsidR="008820BE" w:rsidRPr="00D77302" w:rsidRDefault="00C51442" w:rsidP="00C51442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D77302">
              <w:rPr>
                <w:rFonts w:ascii="Verdana" w:hAnsi="Verdana"/>
                <w:b/>
                <w:sz w:val="20"/>
              </w:rPr>
              <w:t>20 novembre 2015</w:t>
            </w:r>
          </w:p>
        </w:tc>
      </w:tr>
    </w:tbl>
    <w:p w:rsidR="008820BE" w:rsidRPr="00D77302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D77302" w:rsidSect="00D93A6F">
          <w:footerReference w:type="default" r:id="rId17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D77302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8AB1C89" wp14:editId="177294F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2B8A" w:rsidRPr="00D77302" w:rsidRDefault="00A62B8A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8E0B1E" w:rsidRPr="00D77302" w:rsidRDefault="008E0B1E" w:rsidP="008E0B1E">
      <w:pPr>
        <w:spacing w:line="276" w:lineRule="auto"/>
        <w:jc w:val="center"/>
        <w:rPr>
          <w:rFonts w:ascii="Verdana" w:hAnsi="Verdana"/>
          <w:b/>
          <w:color w:val="0070C0"/>
          <w:sz w:val="24"/>
          <w:szCs w:val="24"/>
        </w:rPr>
      </w:pPr>
      <w:r w:rsidRPr="00D77302">
        <w:rPr>
          <w:rFonts w:ascii="Verdana" w:hAnsi="Verdana"/>
          <w:b/>
          <w:color w:val="0070C0"/>
          <w:sz w:val="24"/>
        </w:rPr>
        <w:t>"Abbiamo bisogno di un accordo sul clima che sia ambizioso e vincolante</w:t>
      </w:r>
      <w:proofErr w:type="gramStart"/>
      <w:r w:rsidRPr="00D77302">
        <w:rPr>
          <w:rFonts w:ascii="Verdana" w:hAnsi="Verdana"/>
          <w:b/>
          <w:color w:val="0070C0"/>
          <w:sz w:val="24"/>
        </w:rPr>
        <w:t>"</w:t>
      </w:r>
      <w:proofErr w:type="gramEnd"/>
    </w:p>
    <w:p w:rsidR="008E0B1E" w:rsidRPr="00D77302" w:rsidRDefault="008E0B1E" w:rsidP="008E0B1E">
      <w:pPr>
        <w:spacing w:line="276" w:lineRule="auto"/>
        <w:jc w:val="center"/>
        <w:rPr>
          <w:rFonts w:ascii="Verdana" w:hAnsi="Verdana"/>
          <w:b/>
          <w:color w:val="00B0F0"/>
          <w:szCs w:val="22"/>
        </w:rPr>
      </w:pPr>
      <w:r w:rsidRPr="00D77302">
        <w:rPr>
          <w:rFonts w:ascii="Verdana" w:hAnsi="Verdana"/>
          <w:b/>
          <w:color w:val="00B0F0"/>
        </w:rPr>
        <w:t xml:space="preserve">Gli enti locali e la società civile esortano i negoziatori della COP-21 a non </w:t>
      </w:r>
      <w:proofErr w:type="gramStart"/>
      <w:r w:rsidRPr="00D77302">
        <w:rPr>
          <w:rFonts w:ascii="Verdana" w:hAnsi="Verdana"/>
          <w:b/>
          <w:color w:val="00B0F0"/>
        </w:rPr>
        <w:t>fallire</w:t>
      </w:r>
      <w:proofErr w:type="gramEnd"/>
      <w:r w:rsidRPr="00D77302">
        <w:rPr>
          <w:rFonts w:ascii="Verdana" w:hAnsi="Verdana"/>
          <w:b/>
          <w:color w:val="00B0F0"/>
        </w:rPr>
        <w:t xml:space="preserve"> </w:t>
      </w:r>
    </w:p>
    <w:p w:rsidR="008E0B1E" w:rsidRPr="00D77302" w:rsidRDefault="008E0B1E" w:rsidP="008E0B1E">
      <w:pPr>
        <w:spacing w:line="276" w:lineRule="auto"/>
        <w:jc w:val="center"/>
        <w:rPr>
          <w:rFonts w:ascii="Verdana" w:hAnsi="Verdana"/>
          <w:b/>
          <w:color w:val="00B0F0"/>
          <w:sz w:val="24"/>
          <w:szCs w:val="24"/>
        </w:rPr>
      </w:pPr>
    </w:p>
    <w:p w:rsidR="008E0B1E" w:rsidRPr="00D77302" w:rsidRDefault="008E0B1E" w:rsidP="008E0B1E">
      <w:pPr>
        <w:spacing w:line="276" w:lineRule="auto"/>
        <w:rPr>
          <w:rFonts w:ascii="Verdana" w:hAnsi="Verdana"/>
          <w:b/>
          <w:sz w:val="18"/>
          <w:szCs w:val="18"/>
        </w:rPr>
      </w:pPr>
      <w:r w:rsidRPr="00D77302">
        <w:rPr>
          <w:rFonts w:ascii="Verdana" w:hAnsi="Verdana"/>
          <w:b/>
          <w:sz w:val="18"/>
        </w:rPr>
        <w:t>Alla vigilia della COP-21, il Comitato economico e sociale europeo (CESE) e il Comitato delle regioni (</w:t>
      </w:r>
      <w:proofErr w:type="spellStart"/>
      <w:r w:rsidRPr="00D77302">
        <w:rPr>
          <w:rFonts w:ascii="Verdana" w:hAnsi="Verdana"/>
          <w:b/>
          <w:sz w:val="18"/>
        </w:rPr>
        <w:t>CdR</w:t>
      </w:r>
      <w:proofErr w:type="spellEnd"/>
      <w:r w:rsidRPr="00D77302">
        <w:rPr>
          <w:rFonts w:ascii="Verdana" w:hAnsi="Verdana"/>
          <w:b/>
          <w:sz w:val="18"/>
        </w:rPr>
        <w:t xml:space="preserve">) hanno esortato i negoziatori a Parigi a non fallire, inviando loro un messaggio chiaro: le azioni reali in materia di clima e per la transizione verso un'economia a basse emissioni di carbonio </w:t>
      </w:r>
      <w:proofErr w:type="gramStart"/>
      <w:r w:rsidRPr="00D77302">
        <w:rPr>
          <w:rFonts w:ascii="Verdana" w:hAnsi="Verdana"/>
          <w:b/>
          <w:sz w:val="18"/>
        </w:rPr>
        <w:t>vengono</w:t>
      </w:r>
      <w:proofErr w:type="gramEnd"/>
      <w:r w:rsidRPr="00D77302">
        <w:rPr>
          <w:rFonts w:ascii="Verdana" w:hAnsi="Verdana"/>
          <w:b/>
          <w:sz w:val="18"/>
        </w:rPr>
        <w:t xml:space="preserve"> messe in atto</w:t>
      </w:r>
      <w:bookmarkStart w:id="0" w:name="_GoBack"/>
      <w:bookmarkEnd w:id="0"/>
      <w:r w:rsidRPr="00D77302">
        <w:rPr>
          <w:rFonts w:ascii="Verdana" w:hAnsi="Verdana"/>
          <w:b/>
          <w:sz w:val="18"/>
        </w:rPr>
        <w:t xml:space="preserve"> al di fuori del processo decisionale politico, ed è giunto il momento di inquadrare il contributo dei soggetti della società civile e degli enti locali e regionali in un sistema di </w:t>
      </w:r>
      <w:proofErr w:type="spellStart"/>
      <w:r w:rsidRPr="00D77302">
        <w:rPr>
          <w:rFonts w:ascii="Verdana" w:hAnsi="Verdana"/>
          <w:b/>
          <w:sz w:val="18"/>
        </w:rPr>
        <w:t>governance</w:t>
      </w:r>
      <w:proofErr w:type="spellEnd"/>
      <w:r w:rsidRPr="00D77302">
        <w:rPr>
          <w:rFonts w:ascii="Verdana" w:hAnsi="Verdana"/>
          <w:b/>
          <w:sz w:val="18"/>
        </w:rPr>
        <w:t xml:space="preserve"> multilivello. </w:t>
      </w:r>
    </w:p>
    <w:p w:rsidR="008E0B1E" w:rsidRPr="00D77302" w:rsidRDefault="008E0B1E" w:rsidP="008E0B1E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77302" w:rsidRPr="00D77302" w:rsidRDefault="008E0B1E" w:rsidP="008E0B1E">
      <w:pPr>
        <w:spacing w:line="276" w:lineRule="auto"/>
        <w:rPr>
          <w:rFonts w:ascii="Verdana" w:hAnsi="Verdana"/>
          <w:i/>
          <w:sz w:val="18"/>
          <w:szCs w:val="18"/>
        </w:rPr>
      </w:pPr>
      <w:r w:rsidRPr="00D77302">
        <w:rPr>
          <w:rFonts w:ascii="Verdana" w:hAnsi="Verdana"/>
          <w:sz w:val="18"/>
        </w:rPr>
        <w:t>I due Comitati hanno organizzato un convegno congiunto il 19 novembre a Bruxelles per garantire che il loro potenziale di contribuire alla lotta contro i cambiamenti climatici sia riconosciuto nei negoziati internazionali sul clima della C</w:t>
      </w:r>
      <w:r w:rsidR="00903DF7" w:rsidRPr="00D77302">
        <w:rPr>
          <w:rFonts w:ascii="Verdana" w:hAnsi="Verdana"/>
          <w:sz w:val="18"/>
        </w:rPr>
        <w:t xml:space="preserve">OP-21 che inizieranno alla fine di </w:t>
      </w:r>
      <w:r w:rsidRPr="00D77302">
        <w:rPr>
          <w:rFonts w:ascii="Verdana" w:hAnsi="Verdana"/>
          <w:sz w:val="18"/>
        </w:rPr>
        <w:t xml:space="preserve">novembre a Parigi. </w:t>
      </w:r>
    </w:p>
    <w:p w:rsidR="00D77302" w:rsidRPr="00D77302" w:rsidRDefault="00D77302" w:rsidP="008E0B1E">
      <w:pPr>
        <w:spacing w:line="276" w:lineRule="auto"/>
        <w:rPr>
          <w:rFonts w:ascii="Verdana" w:hAnsi="Verdana"/>
          <w:sz w:val="18"/>
          <w:szCs w:val="18"/>
        </w:rPr>
      </w:pPr>
      <w:r w:rsidRPr="00D77302">
        <w:rPr>
          <w:rFonts w:ascii="Verdana" w:hAnsi="Verdana"/>
          <w:sz w:val="18"/>
        </w:rPr>
        <w:t xml:space="preserve"> </w:t>
      </w:r>
    </w:p>
    <w:p w:rsidR="00314CEA" w:rsidRPr="00D77302" w:rsidRDefault="00314CEA" w:rsidP="00314CEA">
      <w:pPr>
        <w:rPr>
          <w:rFonts w:ascii="Verdana" w:hAnsi="Verdana"/>
          <w:i/>
          <w:sz w:val="18"/>
          <w:szCs w:val="18"/>
        </w:rPr>
      </w:pPr>
      <w:r w:rsidRPr="00D77302">
        <w:rPr>
          <w:rFonts w:ascii="Verdana" w:hAnsi="Verdana"/>
          <w:sz w:val="18"/>
        </w:rPr>
        <w:t xml:space="preserve">In apertura dei lavori, il Presidente </w:t>
      </w:r>
      <w:proofErr w:type="gramStart"/>
      <w:r w:rsidRPr="00D77302">
        <w:rPr>
          <w:rFonts w:ascii="Verdana" w:hAnsi="Verdana"/>
          <w:sz w:val="18"/>
        </w:rPr>
        <w:t>del</w:t>
      </w:r>
      <w:proofErr w:type="gramEnd"/>
      <w:r w:rsidRPr="00D77302">
        <w:rPr>
          <w:rFonts w:ascii="Verdana" w:hAnsi="Verdana"/>
          <w:sz w:val="18"/>
        </w:rPr>
        <w:t xml:space="preserve"> CESE </w:t>
      </w:r>
      <w:r w:rsidRPr="00D77302">
        <w:rPr>
          <w:rFonts w:ascii="Verdana" w:hAnsi="Verdana"/>
          <w:b/>
          <w:sz w:val="18"/>
        </w:rPr>
        <w:t>Georges Dassis</w:t>
      </w:r>
      <w:r w:rsidRPr="00D77302">
        <w:rPr>
          <w:rFonts w:ascii="Verdana" w:hAnsi="Verdana"/>
          <w:sz w:val="18"/>
        </w:rPr>
        <w:t xml:space="preserve"> ha ricordato ai leader nazionali che parteciperanno alla COP-21 che i cittadini dell'Europa e del resto del mondo si aspettano "</w:t>
      </w:r>
      <w:r w:rsidRPr="00D77302">
        <w:rPr>
          <w:rFonts w:ascii="Verdana" w:hAnsi="Verdana" w:cstheme="minorBidi"/>
          <w:i/>
          <w:sz w:val="18"/>
        </w:rPr>
        <w:t>un accordo vincolante, ambizioso e universale come anche un sistema strutturato per coinvolgere la società civile, il che è indispensabile per il buon esito della conferenza</w:t>
      </w:r>
      <w:r w:rsidRPr="00D77302">
        <w:rPr>
          <w:rFonts w:ascii="Verdana" w:hAnsi="Verdana"/>
          <w:sz w:val="18"/>
        </w:rPr>
        <w:t>".</w:t>
      </w:r>
      <w:r w:rsidRPr="00D77302">
        <w:rPr>
          <w:rFonts w:ascii="Verdana" w:hAnsi="Verdana" w:cstheme="minorBidi"/>
          <w:i/>
          <w:sz w:val="18"/>
        </w:rPr>
        <w:t xml:space="preserve"> </w:t>
      </w:r>
      <w:r w:rsidRPr="00D77302">
        <w:rPr>
          <w:rFonts w:ascii="Verdana" w:hAnsi="Verdana"/>
          <w:sz w:val="18"/>
        </w:rPr>
        <w:t>Dassis ha invitato i negoziatori a non perdere il contatto con i cittadini: "</w:t>
      </w:r>
      <w:proofErr w:type="gramStart"/>
      <w:r w:rsidRPr="00D77302">
        <w:rPr>
          <w:rFonts w:ascii="Verdana" w:hAnsi="Verdana"/>
          <w:i/>
          <w:sz w:val="18"/>
        </w:rPr>
        <w:t>i</w:t>
      </w:r>
      <w:proofErr w:type="gramEnd"/>
      <w:r w:rsidRPr="00D77302">
        <w:rPr>
          <w:rFonts w:ascii="Verdana" w:hAnsi="Verdana"/>
          <w:i/>
          <w:sz w:val="18"/>
        </w:rPr>
        <w:t xml:space="preserve"> capi di Stato non devono dimenticare che saranno i cittadini a guidare il cambiamento</w:t>
      </w:r>
      <w:r w:rsidRPr="00D77302">
        <w:rPr>
          <w:rFonts w:ascii="Verdana" w:hAnsi="Verdana"/>
          <w:sz w:val="18"/>
        </w:rPr>
        <w:t>".</w:t>
      </w: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</w:p>
    <w:p w:rsidR="00314CEA" w:rsidRPr="00D77302" w:rsidRDefault="00314CEA" w:rsidP="00314CEA">
      <w:pPr>
        <w:spacing w:line="276" w:lineRule="auto"/>
        <w:rPr>
          <w:rFonts w:ascii="Verdana" w:hAnsi="Verdana"/>
          <w:i/>
          <w:sz w:val="18"/>
          <w:szCs w:val="18"/>
        </w:rPr>
      </w:pPr>
      <w:proofErr w:type="gramStart"/>
      <w:r w:rsidRPr="00D77302">
        <w:rPr>
          <w:rFonts w:ascii="Verdana" w:hAnsi="Verdana"/>
          <w:sz w:val="18"/>
        </w:rPr>
        <w:t xml:space="preserve">Da parte sua, </w:t>
      </w:r>
      <w:r w:rsidRPr="00D77302">
        <w:rPr>
          <w:rFonts w:ascii="Verdana" w:hAnsi="Verdana"/>
          <w:b/>
          <w:sz w:val="18"/>
        </w:rPr>
        <w:t xml:space="preserve">Karl-Heinz </w:t>
      </w:r>
      <w:proofErr w:type="spellStart"/>
      <w:r w:rsidRPr="00D77302">
        <w:rPr>
          <w:rFonts w:ascii="Verdana" w:hAnsi="Verdana"/>
          <w:b/>
          <w:sz w:val="18"/>
        </w:rPr>
        <w:t>Lambertz</w:t>
      </w:r>
      <w:proofErr w:type="spellEnd"/>
      <w:r w:rsidRPr="00D77302">
        <w:rPr>
          <w:rFonts w:ascii="Verdana" w:hAnsi="Verdana"/>
          <w:sz w:val="18"/>
        </w:rPr>
        <w:t xml:space="preserve">, vicepresidente del </w:t>
      </w:r>
      <w:proofErr w:type="spellStart"/>
      <w:r w:rsidRPr="00D77302">
        <w:rPr>
          <w:rFonts w:ascii="Verdana" w:hAnsi="Verdana"/>
          <w:sz w:val="18"/>
        </w:rPr>
        <w:t>CdR</w:t>
      </w:r>
      <w:proofErr w:type="spellEnd"/>
      <w:r w:rsidRPr="00D77302">
        <w:rPr>
          <w:rFonts w:ascii="Verdana" w:hAnsi="Verdana"/>
          <w:sz w:val="18"/>
        </w:rPr>
        <w:t>, ha dichiarato: "</w:t>
      </w:r>
      <w:r w:rsidRPr="00D77302">
        <w:rPr>
          <w:rFonts w:ascii="Verdana" w:hAnsi="Verdana"/>
          <w:i/>
          <w:sz w:val="18"/>
        </w:rPr>
        <w:t>in materia di politica climatica, noi, le regioni e le città, abbiamo spesso un livello di ambizione superiore a quello degli Stati</w:t>
      </w:r>
      <w:proofErr w:type="gramEnd"/>
      <w:r w:rsidRPr="00D77302">
        <w:rPr>
          <w:rFonts w:ascii="Verdana" w:hAnsi="Verdana"/>
          <w:i/>
          <w:sz w:val="18"/>
        </w:rPr>
        <w:t xml:space="preserve">. Conosciamo le opportunità di sviluppo e le </w:t>
      </w:r>
      <w:proofErr w:type="gramStart"/>
      <w:r w:rsidRPr="00D77302">
        <w:rPr>
          <w:rFonts w:ascii="Verdana" w:hAnsi="Verdana"/>
          <w:i/>
          <w:sz w:val="18"/>
        </w:rPr>
        <w:t>carenze</w:t>
      </w:r>
      <w:proofErr w:type="gramEnd"/>
      <w:r w:rsidRPr="00D77302">
        <w:rPr>
          <w:rFonts w:ascii="Verdana" w:hAnsi="Verdana"/>
          <w:i/>
          <w:sz w:val="18"/>
        </w:rPr>
        <w:t xml:space="preserve"> delle nostre città e delle nostre regioni, e siamo ormai pronti a fare di più nell'azione per il clima. Ma abbiamo bisogno di un sostegno adeguato, di una </w:t>
      </w:r>
      <w:proofErr w:type="spellStart"/>
      <w:r w:rsidRPr="00D77302">
        <w:rPr>
          <w:rFonts w:ascii="Verdana" w:hAnsi="Verdana"/>
          <w:i/>
          <w:sz w:val="18"/>
        </w:rPr>
        <w:t>governance</w:t>
      </w:r>
      <w:proofErr w:type="spellEnd"/>
      <w:r w:rsidRPr="00D77302">
        <w:rPr>
          <w:rFonts w:ascii="Verdana" w:hAnsi="Verdana"/>
          <w:i/>
          <w:sz w:val="18"/>
        </w:rPr>
        <w:t xml:space="preserve"> climatica che funzioni e che trovi in sintonia tutti i livelli di governo e di un accordo che faccia esplicito riferimento ai governi locali.</w:t>
      </w:r>
      <w:proofErr w:type="gramStart"/>
      <w:r w:rsidRPr="00D77302">
        <w:rPr>
          <w:rFonts w:ascii="Verdana" w:hAnsi="Verdana"/>
          <w:sz w:val="18"/>
        </w:rPr>
        <w:t>"</w:t>
      </w:r>
      <w:proofErr w:type="gramEnd"/>
      <w:r w:rsidRPr="00D77302">
        <w:rPr>
          <w:rFonts w:ascii="Verdana" w:hAnsi="Verdana"/>
          <w:i/>
          <w:sz w:val="18"/>
        </w:rPr>
        <w:t xml:space="preserve"> </w:t>
      </w: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  <w:r w:rsidRPr="00D77302">
        <w:rPr>
          <w:rFonts w:ascii="Verdana" w:hAnsi="Verdana"/>
          <w:sz w:val="18"/>
        </w:rPr>
        <w:t xml:space="preserve">I due organi dell'UE hanno allineato le loro posizioni in merito a molte delle principali questioni sulle quali i leader nazionali che parteciperanno al summit saranno chiamati a decidere e che dovrebbero sfociare in un accordo globale di lungo periodo su come combattere i cambiamenti climatici ormai sempre più disastrosi. </w:t>
      </w: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  <w:r w:rsidRPr="00D77302">
        <w:rPr>
          <w:rFonts w:ascii="Verdana" w:hAnsi="Verdana"/>
          <w:sz w:val="18"/>
        </w:rPr>
        <w:t xml:space="preserve">La transizione verso un'economia e una società a basse emissioni di carbonio </w:t>
      </w:r>
      <w:proofErr w:type="gramStart"/>
      <w:r w:rsidRPr="00D77302">
        <w:rPr>
          <w:rFonts w:ascii="Verdana" w:hAnsi="Verdana"/>
          <w:sz w:val="18"/>
        </w:rPr>
        <w:t>è</w:t>
      </w:r>
      <w:proofErr w:type="gramEnd"/>
      <w:r w:rsidRPr="00D77302">
        <w:rPr>
          <w:rFonts w:ascii="Verdana" w:hAnsi="Verdana"/>
          <w:sz w:val="18"/>
        </w:rPr>
        <w:t xml:space="preserve"> già in atto al livello più vicino ai cittadini, e molte comunità hanno assunto un ruolo guida, soprattutto grazie a partenariati tra governi subnazionali e organizzazioni della società civile. Talvolta i governi nazionali non danno riconoscimento alle iniziative che partono dal basso e non conferiscono loro i poteri necessari, ma il successo dell'azione internazionale sul clima dipenderà dalla capacità di mettere a frutto le idee, le conoscenze e l'energia degli imprenditori, dei consumatori, dei sindacati, </w:t>
      </w:r>
      <w:proofErr w:type="gramStart"/>
      <w:r w:rsidRPr="00D77302">
        <w:rPr>
          <w:rFonts w:ascii="Verdana" w:hAnsi="Verdana"/>
          <w:sz w:val="18"/>
        </w:rPr>
        <w:t>delle ONG e degli enti locali e regionali</w:t>
      </w:r>
      <w:proofErr w:type="gramEnd"/>
      <w:r w:rsidRPr="00D77302">
        <w:rPr>
          <w:rFonts w:ascii="Verdana" w:hAnsi="Verdana"/>
          <w:sz w:val="18"/>
        </w:rPr>
        <w:t xml:space="preserve">. </w:t>
      </w: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  <w:r w:rsidRPr="00D77302">
        <w:rPr>
          <w:rFonts w:ascii="Verdana" w:hAnsi="Verdana"/>
          <w:sz w:val="18"/>
        </w:rPr>
        <w:lastRenderedPageBreak/>
        <w:t xml:space="preserve">Il </w:t>
      </w:r>
      <w:proofErr w:type="spellStart"/>
      <w:r w:rsidRPr="00D77302">
        <w:rPr>
          <w:rFonts w:ascii="Verdana" w:hAnsi="Verdana"/>
          <w:sz w:val="18"/>
        </w:rPr>
        <w:t>CdR</w:t>
      </w:r>
      <w:proofErr w:type="spellEnd"/>
      <w:r w:rsidRPr="00D77302">
        <w:rPr>
          <w:rFonts w:ascii="Verdana" w:hAnsi="Verdana"/>
          <w:sz w:val="18"/>
        </w:rPr>
        <w:t xml:space="preserve"> e il CESE stanno intensificando gli sforzi intesi a garantire che l'accordo che sarà raggiunto a Parigi riconosca esplicitamente il ruolo dei cittadini e degli enti locali e regionali nella lotta ai cambiamenti climatici, mettendoli in grado di agire e dando loro maggiori possibilità di tradurre le decisioni prese a livello mondiale in materia di clima in azioni concrete, </w:t>
      </w:r>
      <w:proofErr w:type="gramStart"/>
      <w:r w:rsidRPr="00D77302">
        <w:rPr>
          <w:rFonts w:ascii="Verdana" w:hAnsi="Verdana"/>
          <w:sz w:val="18"/>
        </w:rPr>
        <w:t>significative</w:t>
      </w:r>
      <w:proofErr w:type="gramEnd"/>
      <w:r w:rsidRPr="00D77302">
        <w:rPr>
          <w:rFonts w:ascii="Verdana" w:hAnsi="Verdana"/>
          <w:sz w:val="18"/>
        </w:rPr>
        <w:t xml:space="preserve"> e innovative.</w:t>
      </w:r>
    </w:p>
    <w:p w:rsidR="008E0B1E" w:rsidRPr="00D77302" w:rsidRDefault="008E0B1E" w:rsidP="008E0B1E">
      <w:pPr>
        <w:spacing w:line="276" w:lineRule="auto"/>
        <w:rPr>
          <w:rFonts w:ascii="Verdana" w:hAnsi="Verdana"/>
          <w:sz w:val="18"/>
          <w:szCs w:val="18"/>
        </w:rPr>
      </w:pPr>
    </w:p>
    <w:p w:rsidR="00DA47AF" w:rsidRPr="00D77302" w:rsidRDefault="00DA47AF" w:rsidP="003851F9">
      <w:pPr>
        <w:keepNext/>
        <w:tabs>
          <w:tab w:val="left" w:pos="4395"/>
        </w:tabs>
        <w:overflowPunct/>
        <w:autoSpaceDE/>
        <w:autoSpaceDN/>
        <w:adjustRightInd/>
        <w:spacing w:line="240" w:lineRule="auto"/>
        <w:textAlignment w:val="auto"/>
        <w:rPr>
          <w:rFonts w:ascii="Verdana" w:eastAsia="PMingLiU" w:hAnsi="Verdana"/>
          <w:sz w:val="18"/>
          <w:szCs w:val="18"/>
        </w:rPr>
      </w:pPr>
      <w:r w:rsidRPr="00D77302">
        <w:rPr>
          <w:rFonts w:ascii="Verdana" w:hAnsi="Verdana"/>
          <w:b/>
          <w:sz w:val="18"/>
        </w:rPr>
        <w:t>Unità stampa del CESE:</w:t>
      </w:r>
      <w:r w:rsidRPr="00D77302">
        <w:tab/>
      </w:r>
      <w:r w:rsidRPr="00D77302">
        <w:rPr>
          <w:rFonts w:ascii="Verdana" w:hAnsi="Verdana"/>
          <w:b/>
          <w:sz w:val="18"/>
        </w:rPr>
        <w:t xml:space="preserve">Unità stampa del </w:t>
      </w:r>
      <w:proofErr w:type="spellStart"/>
      <w:r w:rsidRPr="00D77302">
        <w:rPr>
          <w:rFonts w:ascii="Verdana" w:hAnsi="Verdana"/>
          <w:b/>
          <w:sz w:val="18"/>
        </w:rPr>
        <w:t>CdR</w:t>
      </w:r>
      <w:proofErr w:type="spellEnd"/>
      <w:r w:rsidRPr="00D77302">
        <w:rPr>
          <w:rFonts w:ascii="Verdana" w:hAnsi="Verdana"/>
          <w:b/>
          <w:sz w:val="18"/>
        </w:rPr>
        <w:t>:</w:t>
      </w:r>
    </w:p>
    <w:p w:rsidR="00DA47AF" w:rsidRPr="00D77302" w:rsidRDefault="00DA47AF" w:rsidP="003851F9">
      <w:pPr>
        <w:keepNext/>
        <w:tabs>
          <w:tab w:val="left" w:pos="4395"/>
        </w:tabs>
        <w:overflowPunct/>
        <w:autoSpaceDE/>
        <w:autoSpaceDN/>
        <w:adjustRightInd/>
        <w:spacing w:line="240" w:lineRule="auto"/>
        <w:textAlignment w:val="auto"/>
        <w:rPr>
          <w:rFonts w:ascii="Verdana" w:eastAsia="PMingLiU" w:hAnsi="Verdana"/>
          <w:sz w:val="18"/>
          <w:szCs w:val="18"/>
        </w:rPr>
      </w:pPr>
      <w:r w:rsidRPr="00D77302">
        <w:rPr>
          <w:rFonts w:ascii="Verdana" w:hAnsi="Verdana"/>
          <w:sz w:val="18"/>
        </w:rPr>
        <w:t>Silvia Aumair</w:t>
      </w:r>
      <w:r w:rsidRPr="00D77302">
        <w:tab/>
      </w:r>
      <w:r w:rsidRPr="00D77302">
        <w:rPr>
          <w:rFonts w:ascii="Verdana" w:hAnsi="Verdana"/>
          <w:sz w:val="18"/>
        </w:rPr>
        <w:t>Andrew Gardner</w:t>
      </w:r>
    </w:p>
    <w:p w:rsidR="00DA47AF" w:rsidRPr="00D77302" w:rsidRDefault="00D77302" w:rsidP="003851F9">
      <w:pPr>
        <w:keepNext/>
        <w:tabs>
          <w:tab w:val="left" w:pos="4395"/>
        </w:tabs>
        <w:overflowPunct/>
        <w:autoSpaceDE/>
        <w:autoSpaceDN/>
        <w:adjustRightInd/>
        <w:spacing w:line="240" w:lineRule="auto"/>
        <w:textAlignment w:val="auto"/>
        <w:rPr>
          <w:rFonts w:ascii="Verdana" w:eastAsia="PMingLiU" w:hAnsi="Verdana"/>
          <w:sz w:val="18"/>
          <w:szCs w:val="18"/>
        </w:rPr>
      </w:pPr>
      <w:r w:rsidRPr="00D77302">
        <w:rPr>
          <w:rFonts w:ascii="Verdana" w:hAnsi="Verdana"/>
          <w:sz w:val="18"/>
        </w:rPr>
        <w:t>E</w:t>
      </w:r>
      <w:r w:rsidR="00DA47AF" w:rsidRPr="00D77302">
        <w:rPr>
          <w:rFonts w:ascii="Verdana" w:hAnsi="Verdana"/>
          <w:sz w:val="18"/>
        </w:rPr>
        <w:t xml:space="preserve">-mail: </w:t>
      </w:r>
      <w:hyperlink r:id="rId18">
        <w:r w:rsidR="00DA47AF" w:rsidRPr="00D77302">
          <w:rPr>
            <w:rStyle w:val="Hyperlink"/>
            <w:rFonts w:ascii="Verdana" w:hAnsi="Verdana"/>
            <w:sz w:val="18"/>
          </w:rPr>
          <w:t>press@eesc.europa.eu</w:t>
        </w:r>
      </w:hyperlink>
      <w:r w:rsidR="00DA47AF" w:rsidRPr="00D77302">
        <w:tab/>
      </w:r>
      <w:r w:rsidRPr="00D77302">
        <w:rPr>
          <w:rFonts w:ascii="Verdana" w:hAnsi="Verdana"/>
          <w:sz w:val="18"/>
        </w:rPr>
        <w:t>E</w:t>
      </w:r>
      <w:r w:rsidR="00DA47AF" w:rsidRPr="00D77302">
        <w:rPr>
          <w:rFonts w:ascii="Verdana" w:hAnsi="Verdana"/>
          <w:sz w:val="18"/>
        </w:rPr>
        <w:t xml:space="preserve">-mail: </w:t>
      </w:r>
      <w:hyperlink r:id="rId19">
        <w:r w:rsidR="00DA47AF" w:rsidRPr="00D77302">
          <w:rPr>
            <w:rStyle w:val="Hyperlink"/>
            <w:rFonts w:ascii="Verdana" w:hAnsi="Verdana"/>
            <w:sz w:val="18"/>
          </w:rPr>
          <w:t>andrew.gardner@cor.europa.eu</w:t>
        </w:r>
      </w:hyperlink>
    </w:p>
    <w:p w:rsidR="00DA47AF" w:rsidRPr="00D77302" w:rsidRDefault="0030776F" w:rsidP="003851F9">
      <w:pPr>
        <w:keepNext/>
        <w:tabs>
          <w:tab w:val="left" w:pos="4395"/>
        </w:tabs>
        <w:spacing w:line="240" w:lineRule="auto"/>
        <w:rPr>
          <w:rFonts w:ascii="Verdana" w:eastAsia="PMingLiU" w:hAnsi="Verdana"/>
          <w:sz w:val="18"/>
          <w:szCs w:val="18"/>
        </w:rPr>
      </w:pPr>
      <w:r w:rsidRPr="00D77302">
        <w:rPr>
          <w:rFonts w:ascii="Verdana" w:hAnsi="Verdana"/>
          <w:sz w:val="18"/>
        </w:rPr>
        <w:t>Tel. + 32 2546</w:t>
      </w:r>
      <w:r w:rsidR="00DA47AF" w:rsidRPr="00D77302">
        <w:rPr>
          <w:rFonts w:ascii="Verdana" w:hAnsi="Verdana"/>
          <w:sz w:val="18"/>
        </w:rPr>
        <w:t xml:space="preserve">8141 </w:t>
      </w:r>
      <w:r w:rsidR="00DA47AF" w:rsidRPr="00D77302">
        <w:tab/>
      </w:r>
      <w:r w:rsidRPr="00D77302">
        <w:rPr>
          <w:rFonts w:ascii="Verdana" w:hAnsi="Verdana"/>
          <w:sz w:val="18"/>
        </w:rPr>
        <w:t>Tel. +32 473</w:t>
      </w:r>
      <w:r w:rsidR="00DA47AF" w:rsidRPr="00D77302">
        <w:rPr>
          <w:rFonts w:ascii="Verdana" w:hAnsi="Verdana"/>
          <w:sz w:val="18"/>
        </w:rPr>
        <w:t>84</w:t>
      </w:r>
      <w:r w:rsidRPr="00D77302">
        <w:rPr>
          <w:rFonts w:ascii="Verdana" w:hAnsi="Verdana"/>
          <w:sz w:val="18"/>
        </w:rPr>
        <w:t>39</w:t>
      </w:r>
      <w:r w:rsidR="00DA47AF" w:rsidRPr="00D77302">
        <w:rPr>
          <w:rFonts w:ascii="Verdana" w:hAnsi="Verdana"/>
          <w:sz w:val="18"/>
        </w:rPr>
        <w:t>814</w:t>
      </w:r>
    </w:p>
    <w:p w:rsidR="00DA47AF" w:rsidRPr="00D77302" w:rsidRDefault="00DA47AF" w:rsidP="0067794C">
      <w:pPr>
        <w:rPr>
          <w:rFonts w:ascii="Verdana" w:hAnsi="Verdana"/>
          <w:b/>
          <w:i/>
          <w:sz w:val="16"/>
          <w:szCs w:val="16"/>
        </w:rPr>
      </w:pPr>
      <w:r w:rsidRPr="00D77302">
        <w:rPr>
          <w:rFonts w:ascii="Verdana" w:hAnsi="Verdana"/>
          <w:i/>
          <w:sz w:val="16"/>
        </w:rPr>
        <w:t>__</w:t>
      </w:r>
      <w:r w:rsidRPr="00D77302"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DA47AF" w:rsidRPr="00D77302" w:rsidRDefault="00DA47AF" w:rsidP="0067794C">
      <w:pPr>
        <w:rPr>
          <w:rFonts w:ascii="Verdana" w:hAnsi="Verdana"/>
          <w:i/>
          <w:sz w:val="16"/>
          <w:szCs w:val="16"/>
        </w:rPr>
      </w:pPr>
      <w:r w:rsidRPr="00D77302">
        <w:rPr>
          <w:rFonts w:ascii="Verdana" w:hAnsi="Verdana"/>
          <w:i/>
          <w:sz w:val="16"/>
        </w:rPr>
        <w:t xml:space="preserve">Il </w:t>
      </w:r>
      <w:r w:rsidRPr="00D77302">
        <w:rPr>
          <w:rFonts w:ascii="Verdana" w:hAnsi="Verdana"/>
          <w:b/>
          <w:i/>
          <w:sz w:val="16"/>
        </w:rPr>
        <w:t>Comitato economico e sociale europeo</w:t>
      </w:r>
      <w:r w:rsidRPr="00D77302">
        <w:rPr>
          <w:rFonts w:ascii="Verdana" w:hAnsi="Verdana"/>
          <w:i/>
          <w:sz w:val="16"/>
        </w:rPr>
        <w:t xml:space="preserve"> rappresenta le diverse </w:t>
      </w:r>
      <w:proofErr w:type="gramStart"/>
      <w:r w:rsidRPr="00D77302">
        <w:rPr>
          <w:rFonts w:ascii="Verdana" w:hAnsi="Verdana"/>
          <w:i/>
          <w:sz w:val="16"/>
        </w:rPr>
        <w:t>componenti</w:t>
      </w:r>
      <w:proofErr w:type="gramEnd"/>
      <w:r w:rsidRPr="00D77302">
        <w:rPr>
          <w:rFonts w:ascii="Verdana" w:hAnsi="Verdana"/>
          <w:i/>
          <w:sz w:val="16"/>
        </w:rPr>
        <w:t xml:space="preserve"> economiche e sociali della società civile organizzata. È un organo istituzionale consultivo, istituito nel 1957 dal Trattato di Roma. La funzione consultiva del Comitato permette ai suoi membri, e quindi alle organizzazioni che essi rappresentano, di partecipare al processo decisionale dell'Unione. Il Comitato si compone di 350 membri, provenienti da tutta l'UE, nominati dal Consiglio dell'Unione europea.</w:t>
      </w:r>
    </w:p>
    <w:p w:rsidR="00DA47AF" w:rsidRPr="00D77302" w:rsidRDefault="00DA47AF" w:rsidP="0067794C">
      <w:pPr>
        <w:rPr>
          <w:rFonts w:ascii="Verdana" w:hAnsi="Verdana"/>
          <w:i/>
          <w:sz w:val="16"/>
          <w:szCs w:val="16"/>
        </w:rPr>
      </w:pPr>
      <w:r w:rsidRPr="00D77302">
        <w:rPr>
          <w:rFonts w:ascii="Verdana" w:hAnsi="Verdana"/>
          <w:i/>
          <w:sz w:val="16"/>
        </w:rPr>
        <w:t xml:space="preserve">Il </w:t>
      </w:r>
      <w:r w:rsidRPr="00D77302">
        <w:rPr>
          <w:rFonts w:ascii="Verdana" w:hAnsi="Verdana"/>
          <w:b/>
          <w:i/>
          <w:sz w:val="16"/>
        </w:rPr>
        <w:t>Comitato europeo delle regioni</w:t>
      </w:r>
      <w:r w:rsidRPr="00D77302">
        <w:rPr>
          <w:rFonts w:ascii="Verdana" w:hAnsi="Verdana"/>
          <w:i/>
          <w:sz w:val="16"/>
        </w:rPr>
        <w:t xml:space="preserve"> è l'assemblea dei rappresentanti regionali e locali dell'UE, provenienti da tutti i </w:t>
      </w:r>
      <w:proofErr w:type="gramStart"/>
      <w:r w:rsidRPr="00D77302">
        <w:rPr>
          <w:rFonts w:ascii="Verdana" w:hAnsi="Verdana"/>
          <w:i/>
          <w:sz w:val="16"/>
        </w:rPr>
        <w:t>28</w:t>
      </w:r>
      <w:proofErr w:type="gramEnd"/>
      <w:r w:rsidRPr="00D77302">
        <w:rPr>
          <w:rFonts w:ascii="Verdana" w:hAnsi="Verdana"/>
          <w:i/>
          <w:sz w:val="16"/>
        </w:rPr>
        <w:t xml:space="preserve"> Stati membri. Istituito nel 1994 con il Trattato di Maastricht, ha il compito di coinvolgere nel processo decisionale dell'Unione europea gli enti regionali e locali e di informarli sulle politiche dell'UE. Il Parlamento europeo, il Consiglio e la Commissione europea consultano il </w:t>
      </w:r>
      <w:proofErr w:type="spellStart"/>
      <w:r w:rsidRPr="00D77302">
        <w:rPr>
          <w:rFonts w:ascii="Verdana" w:hAnsi="Verdana"/>
          <w:i/>
          <w:sz w:val="16"/>
        </w:rPr>
        <w:t>CdR</w:t>
      </w:r>
      <w:proofErr w:type="spellEnd"/>
      <w:r w:rsidRPr="00D77302">
        <w:rPr>
          <w:rFonts w:ascii="Verdana" w:hAnsi="Verdana"/>
          <w:i/>
          <w:sz w:val="16"/>
        </w:rPr>
        <w:t xml:space="preserve"> </w:t>
      </w:r>
      <w:proofErr w:type="gramStart"/>
      <w:r w:rsidRPr="00D77302">
        <w:rPr>
          <w:rFonts w:ascii="Verdana" w:hAnsi="Verdana"/>
          <w:i/>
          <w:sz w:val="16"/>
        </w:rPr>
        <w:t>in relazione alle</w:t>
      </w:r>
      <w:proofErr w:type="gramEnd"/>
      <w:r w:rsidRPr="00D77302">
        <w:rPr>
          <w:rFonts w:ascii="Verdana" w:hAnsi="Verdana"/>
          <w:i/>
          <w:sz w:val="16"/>
        </w:rPr>
        <w:t xml:space="preserve"> politiche europee che possono avere un'incidenza sulle regioni e sulle città. </w:t>
      </w:r>
    </w:p>
    <w:p w:rsidR="00DA47AF" w:rsidRPr="00D77302" w:rsidRDefault="00DA47AF" w:rsidP="0067794C">
      <w:pPr>
        <w:rPr>
          <w:rFonts w:ascii="Verdana" w:hAnsi="Verdana"/>
          <w:b/>
          <w:i/>
          <w:sz w:val="16"/>
          <w:szCs w:val="16"/>
        </w:rPr>
      </w:pPr>
      <w:r w:rsidRPr="00D77302">
        <w:rPr>
          <w:rFonts w:ascii="Verdana" w:hAnsi="Verdana"/>
          <w:i/>
          <w:sz w:val="16"/>
        </w:rPr>
        <w:t>__</w:t>
      </w:r>
      <w:r w:rsidRPr="00D77302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9F7B3B" w:rsidRPr="00D77302" w:rsidRDefault="009F7B3B" w:rsidP="0067794C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sectPr w:rsidR="009F7B3B" w:rsidRPr="00D77302" w:rsidSect="005666AE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53" w:rsidRDefault="008C5453">
      <w:r>
        <w:separator/>
      </w:r>
    </w:p>
  </w:endnote>
  <w:endnote w:type="continuationSeparator" w:id="0">
    <w:p w:rsidR="008C5453" w:rsidRDefault="008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E12168" w:rsidRPr="00EA5513" w:rsidRDefault="0030776F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2546</w:t>
    </w:r>
    <w:r w:rsidR="00E12168">
      <w:rPr>
        <w:rFonts w:ascii="Verdana" w:hAnsi="Verdana"/>
        <w:sz w:val="16"/>
      </w:rPr>
      <w:t>9779 – Fax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Seguici </w:t>
    </w:r>
    <w:proofErr w:type="gramStart"/>
    <w:r>
      <w:rPr>
        <w:rFonts w:ascii="Verdana" w:hAnsi="Verdana"/>
        <w:sz w:val="16"/>
      </w:rPr>
      <w:t>su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fr-BE" w:eastAsia="fr-BE" w:bidi="ar-SA"/>
      </w:rPr>
      <w:drawing>
        <wp:inline distT="0" distB="0" distL="0" distR="0" wp14:anchorId="090F2B9F" wp14:editId="260921AB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475D6BB9" wp14:editId="65FA6070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5152866C" wp14:editId="65FBBFFD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53" w:rsidRDefault="008C5453">
      <w:r>
        <w:separator/>
      </w:r>
    </w:p>
  </w:footnote>
  <w:footnote w:type="continuationSeparator" w:id="0">
    <w:p w:rsidR="008C5453" w:rsidRDefault="008C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47C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364B"/>
    <w:rsid w:val="00033B19"/>
    <w:rsid w:val="0003423E"/>
    <w:rsid w:val="00034390"/>
    <w:rsid w:val="00034652"/>
    <w:rsid w:val="00034AD4"/>
    <w:rsid w:val="0003721F"/>
    <w:rsid w:val="000404B0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1B3C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D74E9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68E1"/>
    <w:rsid w:val="000F7AED"/>
    <w:rsid w:val="000F7DB1"/>
    <w:rsid w:val="00102967"/>
    <w:rsid w:val="00104DFA"/>
    <w:rsid w:val="00105171"/>
    <w:rsid w:val="00110E35"/>
    <w:rsid w:val="00111E4B"/>
    <w:rsid w:val="00120D27"/>
    <w:rsid w:val="00122176"/>
    <w:rsid w:val="001277F0"/>
    <w:rsid w:val="0013137C"/>
    <w:rsid w:val="00134081"/>
    <w:rsid w:val="0013475E"/>
    <w:rsid w:val="00140B6A"/>
    <w:rsid w:val="00140C54"/>
    <w:rsid w:val="00142677"/>
    <w:rsid w:val="00143087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363CC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3668"/>
    <w:rsid w:val="002B04A8"/>
    <w:rsid w:val="002B290E"/>
    <w:rsid w:val="002B561A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2468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0776F"/>
    <w:rsid w:val="003148CD"/>
    <w:rsid w:val="00314CEA"/>
    <w:rsid w:val="00316F54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1608"/>
    <w:rsid w:val="00343D5E"/>
    <w:rsid w:val="0034531E"/>
    <w:rsid w:val="003532CC"/>
    <w:rsid w:val="00353453"/>
    <w:rsid w:val="00354CB8"/>
    <w:rsid w:val="0035564F"/>
    <w:rsid w:val="00356045"/>
    <w:rsid w:val="00356F52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1F9"/>
    <w:rsid w:val="0038574A"/>
    <w:rsid w:val="00386F1F"/>
    <w:rsid w:val="003874EA"/>
    <w:rsid w:val="003915BE"/>
    <w:rsid w:val="00392CB8"/>
    <w:rsid w:val="00394D81"/>
    <w:rsid w:val="003A66C0"/>
    <w:rsid w:val="003B0ACC"/>
    <w:rsid w:val="003B25EA"/>
    <w:rsid w:val="003B2616"/>
    <w:rsid w:val="003B4BF8"/>
    <w:rsid w:val="003B62F4"/>
    <w:rsid w:val="003B714A"/>
    <w:rsid w:val="003C05D0"/>
    <w:rsid w:val="003C1CFE"/>
    <w:rsid w:val="003C21F5"/>
    <w:rsid w:val="003C3451"/>
    <w:rsid w:val="003C5624"/>
    <w:rsid w:val="003C6D1A"/>
    <w:rsid w:val="003C73FE"/>
    <w:rsid w:val="003C7BF9"/>
    <w:rsid w:val="003D2255"/>
    <w:rsid w:val="003D3552"/>
    <w:rsid w:val="003D3772"/>
    <w:rsid w:val="003D465F"/>
    <w:rsid w:val="003D64E9"/>
    <w:rsid w:val="003E1E99"/>
    <w:rsid w:val="003E52DC"/>
    <w:rsid w:val="003E5EB2"/>
    <w:rsid w:val="003F4711"/>
    <w:rsid w:val="003F5C5E"/>
    <w:rsid w:val="003F73CB"/>
    <w:rsid w:val="00401766"/>
    <w:rsid w:val="00404BEC"/>
    <w:rsid w:val="00406F00"/>
    <w:rsid w:val="00406FBD"/>
    <w:rsid w:val="00411D04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7FF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815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2CAA"/>
    <w:rsid w:val="005A3584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6C38"/>
    <w:rsid w:val="00627902"/>
    <w:rsid w:val="006300C9"/>
    <w:rsid w:val="006309A7"/>
    <w:rsid w:val="00631278"/>
    <w:rsid w:val="006371D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7794C"/>
    <w:rsid w:val="00680869"/>
    <w:rsid w:val="0068233E"/>
    <w:rsid w:val="00685B4B"/>
    <w:rsid w:val="00686EC2"/>
    <w:rsid w:val="006962DB"/>
    <w:rsid w:val="00696394"/>
    <w:rsid w:val="00697C97"/>
    <w:rsid w:val="00697E02"/>
    <w:rsid w:val="006A011F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464D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47C"/>
    <w:rsid w:val="00764771"/>
    <w:rsid w:val="007730F1"/>
    <w:rsid w:val="007744F6"/>
    <w:rsid w:val="0077777F"/>
    <w:rsid w:val="00780037"/>
    <w:rsid w:val="00782894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28F9"/>
    <w:rsid w:val="007A5486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7F764E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5681"/>
    <w:rsid w:val="008605DC"/>
    <w:rsid w:val="00862C04"/>
    <w:rsid w:val="00863AB1"/>
    <w:rsid w:val="0086606E"/>
    <w:rsid w:val="00866272"/>
    <w:rsid w:val="00867162"/>
    <w:rsid w:val="0087205A"/>
    <w:rsid w:val="00876120"/>
    <w:rsid w:val="008775D1"/>
    <w:rsid w:val="008820BE"/>
    <w:rsid w:val="00883365"/>
    <w:rsid w:val="008927DF"/>
    <w:rsid w:val="008971F6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453"/>
    <w:rsid w:val="008C573E"/>
    <w:rsid w:val="008C6814"/>
    <w:rsid w:val="008C705E"/>
    <w:rsid w:val="008C7101"/>
    <w:rsid w:val="008C7206"/>
    <w:rsid w:val="008D45B3"/>
    <w:rsid w:val="008D58F4"/>
    <w:rsid w:val="008D66DC"/>
    <w:rsid w:val="008E0B1E"/>
    <w:rsid w:val="008E3731"/>
    <w:rsid w:val="008E5B09"/>
    <w:rsid w:val="008E77A7"/>
    <w:rsid w:val="008F17AB"/>
    <w:rsid w:val="008F6BD3"/>
    <w:rsid w:val="00900C21"/>
    <w:rsid w:val="00903521"/>
    <w:rsid w:val="00903DF7"/>
    <w:rsid w:val="00904D1E"/>
    <w:rsid w:val="0091006B"/>
    <w:rsid w:val="00910EE7"/>
    <w:rsid w:val="00912242"/>
    <w:rsid w:val="00913BE8"/>
    <w:rsid w:val="00913FEC"/>
    <w:rsid w:val="00915DBB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36D8"/>
    <w:rsid w:val="0096626F"/>
    <w:rsid w:val="0096658E"/>
    <w:rsid w:val="00967844"/>
    <w:rsid w:val="009678A3"/>
    <w:rsid w:val="0097280B"/>
    <w:rsid w:val="00980840"/>
    <w:rsid w:val="009852B8"/>
    <w:rsid w:val="00990350"/>
    <w:rsid w:val="00994326"/>
    <w:rsid w:val="00996D8C"/>
    <w:rsid w:val="00997755"/>
    <w:rsid w:val="009A098F"/>
    <w:rsid w:val="009A0D29"/>
    <w:rsid w:val="009A124F"/>
    <w:rsid w:val="009A1B0D"/>
    <w:rsid w:val="009A299E"/>
    <w:rsid w:val="009A348E"/>
    <w:rsid w:val="009B00D5"/>
    <w:rsid w:val="009B1FEF"/>
    <w:rsid w:val="009B3DCB"/>
    <w:rsid w:val="009B5355"/>
    <w:rsid w:val="009C11F1"/>
    <w:rsid w:val="009C27D9"/>
    <w:rsid w:val="009C2FCF"/>
    <w:rsid w:val="009C6426"/>
    <w:rsid w:val="009D02B8"/>
    <w:rsid w:val="009D3988"/>
    <w:rsid w:val="009D663A"/>
    <w:rsid w:val="009D7FA3"/>
    <w:rsid w:val="009E0550"/>
    <w:rsid w:val="009E095D"/>
    <w:rsid w:val="009E3148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590B"/>
    <w:rsid w:val="00A37599"/>
    <w:rsid w:val="00A37B51"/>
    <w:rsid w:val="00A425AD"/>
    <w:rsid w:val="00A4462E"/>
    <w:rsid w:val="00A463F8"/>
    <w:rsid w:val="00A4752B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87B34"/>
    <w:rsid w:val="00A9124D"/>
    <w:rsid w:val="00A94C10"/>
    <w:rsid w:val="00A94D22"/>
    <w:rsid w:val="00A95040"/>
    <w:rsid w:val="00A959B3"/>
    <w:rsid w:val="00A96AAE"/>
    <w:rsid w:val="00AA0C32"/>
    <w:rsid w:val="00AA1840"/>
    <w:rsid w:val="00AA2DA1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03B1"/>
    <w:rsid w:val="00B017D5"/>
    <w:rsid w:val="00B01A42"/>
    <w:rsid w:val="00B02D84"/>
    <w:rsid w:val="00B03F1A"/>
    <w:rsid w:val="00B04EEE"/>
    <w:rsid w:val="00B05B15"/>
    <w:rsid w:val="00B068AD"/>
    <w:rsid w:val="00B07C64"/>
    <w:rsid w:val="00B101A0"/>
    <w:rsid w:val="00B124EA"/>
    <w:rsid w:val="00B14944"/>
    <w:rsid w:val="00B14B92"/>
    <w:rsid w:val="00B14F1F"/>
    <w:rsid w:val="00B172A0"/>
    <w:rsid w:val="00B227EA"/>
    <w:rsid w:val="00B239E2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2818"/>
    <w:rsid w:val="00B54123"/>
    <w:rsid w:val="00B55085"/>
    <w:rsid w:val="00B57D80"/>
    <w:rsid w:val="00B60B16"/>
    <w:rsid w:val="00B62589"/>
    <w:rsid w:val="00B66941"/>
    <w:rsid w:val="00B7000E"/>
    <w:rsid w:val="00B70056"/>
    <w:rsid w:val="00B71203"/>
    <w:rsid w:val="00B73294"/>
    <w:rsid w:val="00B738CE"/>
    <w:rsid w:val="00B74E74"/>
    <w:rsid w:val="00B864B3"/>
    <w:rsid w:val="00B86F7D"/>
    <w:rsid w:val="00B87414"/>
    <w:rsid w:val="00B9349D"/>
    <w:rsid w:val="00B94224"/>
    <w:rsid w:val="00B96D77"/>
    <w:rsid w:val="00B96EB7"/>
    <w:rsid w:val="00B97CC4"/>
    <w:rsid w:val="00BA3111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1442"/>
    <w:rsid w:val="00C51729"/>
    <w:rsid w:val="00C52473"/>
    <w:rsid w:val="00C52BBD"/>
    <w:rsid w:val="00C56B37"/>
    <w:rsid w:val="00C56D06"/>
    <w:rsid w:val="00C62A3C"/>
    <w:rsid w:val="00C676E8"/>
    <w:rsid w:val="00C70063"/>
    <w:rsid w:val="00C73D4D"/>
    <w:rsid w:val="00C755F1"/>
    <w:rsid w:val="00C818A3"/>
    <w:rsid w:val="00C82A73"/>
    <w:rsid w:val="00C83074"/>
    <w:rsid w:val="00C83428"/>
    <w:rsid w:val="00C83470"/>
    <w:rsid w:val="00C84283"/>
    <w:rsid w:val="00C86A64"/>
    <w:rsid w:val="00C87415"/>
    <w:rsid w:val="00C92538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C036A"/>
    <w:rsid w:val="00CC2EEE"/>
    <w:rsid w:val="00CC51C7"/>
    <w:rsid w:val="00CC66BE"/>
    <w:rsid w:val="00CC6D33"/>
    <w:rsid w:val="00CC7B71"/>
    <w:rsid w:val="00CD0945"/>
    <w:rsid w:val="00CE42C2"/>
    <w:rsid w:val="00CE439D"/>
    <w:rsid w:val="00CE4DF9"/>
    <w:rsid w:val="00CF25A1"/>
    <w:rsid w:val="00CF3A7A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5498"/>
    <w:rsid w:val="00D31E98"/>
    <w:rsid w:val="00D34F52"/>
    <w:rsid w:val="00D37A25"/>
    <w:rsid w:val="00D37C30"/>
    <w:rsid w:val="00D46BF9"/>
    <w:rsid w:val="00D5051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56D2"/>
    <w:rsid w:val="00D77302"/>
    <w:rsid w:val="00D821FD"/>
    <w:rsid w:val="00D9312D"/>
    <w:rsid w:val="00D93A6F"/>
    <w:rsid w:val="00D97D8E"/>
    <w:rsid w:val="00DA0D4D"/>
    <w:rsid w:val="00DA1AC4"/>
    <w:rsid w:val="00DA3896"/>
    <w:rsid w:val="00DA396F"/>
    <w:rsid w:val="00DA3997"/>
    <w:rsid w:val="00DA3F3D"/>
    <w:rsid w:val="00DA47AF"/>
    <w:rsid w:val="00DA4907"/>
    <w:rsid w:val="00DA4DCC"/>
    <w:rsid w:val="00DA708C"/>
    <w:rsid w:val="00DA7ACD"/>
    <w:rsid w:val="00DB2340"/>
    <w:rsid w:val="00DB3D58"/>
    <w:rsid w:val="00DB4187"/>
    <w:rsid w:val="00DB5355"/>
    <w:rsid w:val="00DC5ECF"/>
    <w:rsid w:val="00DC66B3"/>
    <w:rsid w:val="00DC7B2C"/>
    <w:rsid w:val="00DD0142"/>
    <w:rsid w:val="00DD3986"/>
    <w:rsid w:val="00DD4CAB"/>
    <w:rsid w:val="00DD5AC2"/>
    <w:rsid w:val="00DD7AD5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4B"/>
    <w:rsid w:val="00E27624"/>
    <w:rsid w:val="00E3088D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445B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6B30"/>
    <w:rsid w:val="00F576F3"/>
    <w:rsid w:val="00F61167"/>
    <w:rsid w:val="00F61B8C"/>
    <w:rsid w:val="00F654B3"/>
    <w:rsid w:val="00F67E91"/>
    <w:rsid w:val="00F70AE1"/>
    <w:rsid w:val="00F70D20"/>
    <w:rsid w:val="00F72C33"/>
    <w:rsid w:val="00F76360"/>
    <w:rsid w:val="00F772D5"/>
    <w:rsid w:val="00F77DCA"/>
    <w:rsid w:val="00F80546"/>
    <w:rsid w:val="00F80D83"/>
    <w:rsid w:val="00F8165C"/>
    <w:rsid w:val="00F8319B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55A1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ess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yperlink" Target="mailto:andrew.gardner@cor.europa.e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SNS6YXTC77FS-9-318</_dlc_DocId>
    <_dlc_DocIdUrl xmlns="9f264e46-9252-4f01-a3b2-4cb67eb6fc3c">
      <Url>http://dm/EESC/2015/_layouts/DocIdRedir.aspx?ID=SNS6YXTC77FS-9-318</Url>
      <Description>SNS6YXTC77FS-9-318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e52afa4-c322-454e-8472-1d2b1900674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2015-11-23T12:00:00+00:00</ProductionDate>
    <DocumentNumber xmlns="ae52afa4-c322-454e-8472-1d2b1900674c">6138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TaxCatchAll xmlns="9f264e46-9252-4f01-a3b2-4cb67eb6fc3c">
      <Value>20</Value>
      <Value>17</Value>
      <Value>16</Value>
      <Value>38</Value>
      <Value>34</Value>
      <Value>120</Value>
      <Value>9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11511</FicheNumber>
    <DocumentYear xmlns="9f264e46-9252-4f01-a3b2-4cb67eb6fc3c">2015</DocumentYea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7D2B1FD55A9544EB8E25229FA72FDDF" ma:contentTypeVersion="6" ma:contentTypeDescription="Defines the documents for Document Manager V2" ma:contentTypeScope="" ma:versionID="6da63f0e7b64b5ad38ffc84374d8e0c6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ae52afa4-c322-454e-8472-1d2b1900674c" targetNamespace="http://schemas.microsoft.com/office/2006/metadata/properties" ma:root="true" ma:fieldsID="84e1d7706c1bfffc02b31319c51b7638" ns2:_="" ns3:_="" ns4:_="">
    <xsd:import namespace="9f264e46-9252-4f01-a3b2-4cb67eb6fc3c"/>
    <xsd:import namespace="http://schemas.microsoft.com/sharepoint/v3/fields"/>
    <xsd:import namespace="ae52afa4-c322-454e-8472-1d2b19006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fa4-c322-454e-8472-1d2b1900674c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schemas.microsoft.com/sharepoint/v3/fields"/>
    <ds:schemaRef ds:uri="ae52afa4-c322-454e-8472-1d2b1900674c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f264e46-9252-4f01-a3b2-4cb67eb6fc3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BAC805-47CE-4214-96CA-745A78E2F6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D69DDE-3365-4C23-AF66-BAE2B5D3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ae52afa4-c322-454e-8472-1d2b1900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04F254-C52B-4774-BDC1-23B30CC9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URGENTE Comunicato stampa congiunto CESE-CdR - PR-COP21</vt:lpstr>
    </vt:vector>
  </TitlesOfParts>
  <Company>CESE-CdR</Company>
  <LinksUpToDate>false</LinksUpToDate>
  <CharactersWithSpaces>4951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congiunto CESE-CdR - PR-COP21</dc:title>
  <dc:subject>Comunicato stampa</dc:subject>
  <cp:lastModifiedBy>Agata Berdys</cp:lastModifiedBy>
  <cp:revision>2</cp:revision>
  <cp:lastPrinted>2015-11-20T09:06:00Z</cp:lastPrinted>
  <dcterms:created xsi:type="dcterms:W3CDTF">2015-11-24T13:04:00Z</dcterms:created>
  <dcterms:modified xsi:type="dcterms:W3CDTF">2015-11-24T13:04:00Z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0x010100EA97B91038054C99906057A708A1480A00E7D2B1FD55A9544EB8E25229FA72FDDF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20/11/2015</vt:lpwstr>
  </property>
  <property fmtid="{D5CDD505-2E9C-101B-9397-08002B2CF9AE}" pid="7" name="Pref_Time">
    <vt:lpwstr>17:01:09</vt:lpwstr>
  </property>
  <property fmtid="{D5CDD505-2E9C-101B-9397-08002B2CF9AE}" pid="8" name="Pref_User">
    <vt:lpwstr>jhvi</vt:lpwstr>
  </property>
  <property fmtid="{D5CDD505-2E9C-101B-9397-08002B2CF9AE}" pid="9" name="Pref_FileName">
    <vt:lpwstr>EESC-2015-06138-00-00-CP-ORI.docx</vt:lpwstr>
  </property>
  <property fmtid="{D5CDD505-2E9C-101B-9397-08002B2CF9AE}" pid="10" name="_dlc_DocIdItemGuid">
    <vt:lpwstr>85b12398-82fd-46b8-95ed-3e47716eb811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4;#FR|d2afafd3-4c81-4f60-8f52-ee33f2f54ff3;#38;#IT|0774613c-01ed-4e5d-a25d-11d2388de825;#9;#EN|f2175f21-25d7-44a3-96da-d6a61b075e1b;#16;#PL|1e03da61-4678-4e07-b136-b5024ca9197b;#17;#ES|e7a6b05b-ae16-40c8-add9-68b64b03aeba;#20;#DE|f6b31e5a-26fa-4935-b661-3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2015</vt:i4>
  </property>
  <property fmtid="{D5CDD505-2E9C-101B-9397-08002B2CF9AE}" pid="16" name="DocumentNumber">
    <vt:i4>6138</vt:i4>
  </property>
  <property fmtid="{D5CDD505-2E9C-101B-9397-08002B2CF9AE}" pid="17" name="DocumentVersion">
    <vt:i4>0</vt:i4>
  </property>
  <property fmtid="{D5CDD505-2E9C-101B-9397-08002B2CF9AE}" pid="18" name="DocumentType">
    <vt:lpwstr>34;#CP|de8ad211-9e8d-408b-8324-674d21bb7d18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Source">
    <vt:lpwstr>1;#EESC|422833ec-8d7e-4e65-8e4e-8bed07ffb729</vt:lpwstr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17;#ES|e7a6b05b-ae16-40c8-add9-68b64b03aeba;#34;#CP|de8ad211-9e8d-408b-8324-674d21bb7d18;#120;#Final|ea5e6674-7b27-4bac-b091-73adbb394efe;#9;#EN|f2175f21-25d7-44a3-96da-d6a61b075e1b;#5;#Unrestricted|826e22d7-d029-4ec0-a450-0c28ff673572;#4;#FR|d2afafd3-4c8</vt:lpwstr>
  </property>
  <property fmtid="{D5CDD505-2E9C-101B-9397-08002B2CF9AE}" pid="32" name="AvailableTranslations_0">
    <vt:lpwstr>FR|d2afafd3-4c81-4f60-8f52-ee33f2f54ff3;EN|f2175f21-25d7-44a3-96da-d6a61b075e1b;ES|e7a6b05b-ae16-40c8-add9-68b64b03aeba</vt:lpwstr>
  </property>
  <property fmtid="{D5CDD505-2E9C-101B-9397-08002B2CF9AE}" pid="33" name="VersionStatus">
    <vt:lpwstr>120;#Final|ea5e6674-7b27-4bac-b091-73adbb394efe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11511</vt:i4>
  </property>
  <property fmtid="{D5CDD505-2E9C-101B-9397-08002B2CF9AE}" pid="36" name="DocumentYear">
    <vt:i4>2015</vt:i4>
  </property>
  <property fmtid="{D5CDD505-2E9C-101B-9397-08002B2CF9AE}" pid="37" name="DocumentLanguage">
    <vt:lpwstr>38;#IT|0774613c-01ed-4e5d-a25d-11d2388de825</vt:lpwstr>
  </property>
</Properties>
</file>