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5B" w:rsidRPr="00467D7E" w:rsidRDefault="00DD4CAB" w:rsidP="00ED445B">
      <w:pPr>
        <w:ind w:left="-993"/>
        <w:jc w:val="center"/>
        <w:rPr>
          <w:rFonts w:ascii="Garamond" w:hAnsi="Garamond"/>
          <w:b/>
          <w:color w:val="000000"/>
          <w:sz w:val="20"/>
          <w:szCs w:val="24"/>
          <w:lang w:val="es-ES_tradnl"/>
        </w:rPr>
      </w:pPr>
      <w:r w:rsidRPr="00467D7E">
        <w:rPr>
          <w:noProof/>
          <w:lang w:val="fr-BE" w:eastAsia="fr-BE" w:bidi="ar-SA"/>
        </w:rPr>
        <w:drawing>
          <wp:anchor distT="0" distB="0" distL="114300" distR="114300" simplePos="0" relativeHeight="251658752" behindDoc="0" locked="0" layoutInCell="1" allowOverlap="1" wp14:anchorId="477BCD04" wp14:editId="7374DC8E">
            <wp:simplePos x="0" y="0"/>
            <wp:positionH relativeFrom="column">
              <wp:posOffset>339725</wp:posOffset>
            </wp:positionH>
            <wp:positionV relativeFrom="paragraph">
              <wp:posOffset>31115</wp:posOffset>
            </wp:positionV>
            <wp:extent cx="2066925" cy="8636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66925" cy="863600"/>
                    </a:xfrm>
                    <a:prstGeom prst="rect">
                      <a:avLst/>
                    </a:prstGeom>
                  </pic:spPr>
                </pic:pic>
              </a:graphicData>
            </a:graphic>
            <wp14:sizeRelH relativeFrom="page">
              <wp14:pctWidth>0</wp14:pctWidth>
            </wp14:sizeRelH>
            <wp14:sizeRelV relativeFrom="page">
              <wp14:pctHeight>0</wp14:pctHeight>
            </wp14:sizeRelV>
          </wp:anchor>
        </w:drawing>
      </w:r>
      <w:r w:rsidRPr="00467D7E">
        <w:rPr>
          <w:noProof/>
          <w:lang w:val="fr-BE" w:eastAsia="fr-BE" w:bidi="ar-SA"/>
        </w:rPr>
        <w:drawing>
          <wp:anchor distT="0" distB="0" distL="114300" distR="114300" simplePos="0" relativeHeight="251660800" behindDoc="0" locked="0" layoutInCell="1" allowOverlap="1" wp14:anchorId="653E2613" wp14:editId="1C4795B9">
            <wp:simplePos x="0" y="0"/>
            <wp:positionH relativeFrom="column">
              <wp:posOffset>3409109</wp:posOffset>
            </wp:positionH>
            <wp:positionV relativeFrom="paragraph">
              <wp:posOffset>142958</wp:posOffset>
            </wp:positionV>
            <wp:extent cx="1860408" cy="691724"/>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0408" cy="691724"/>
                    </a:xfrm>
                    <a:prstGeom prst="rect">
                      <a:avLst/>
                    </a:prstGeom>
                    <a:noFill/>
                    <a:ln>
                      <a:noFill/>
                    </a:ln>
                  </pic:spPr>
                </pic:pic>
              </a:graphicData>
            </a:graphic>
          </wp:anchor>
        </w:drawing>
      </w:r>
    </w:p>
    <w:p w:rsidR="00ED445B" w:rsidRPr="00467D7E" w:rsidRDefault="00ED445B" w:rsidP="00ED445B">
      <w:pPr>
        <w:ind w:left="-993"/>
        <w:jc w:val="center"/>
        <w:rPr>
          <w:rFonts w:ascii="Garamond" w:hAnsi="Garamond"/>
          <w:b/>
          <w:color w:val="000000"/>
          <w:sz w:val="20"/>
          <w:szCs w:val="24"/>
          <w:lang w:val="es-ES_tradnl"/>
        </w:rPr>
      </w:pPr>
    </w:p>
    <w:p w:rsidR="00ED445B" w:rsidRPr="00467D7E" w:rsidRDefault="00ED445B" w:rsidP="00ED445B">
      <w:pPr>
        <w:ind w:left="-993"/>
        <w:jc w:val="center"/>
        <w:rPr>
          <w:rFonts w:ascii="Garamond" w:hAnsi="Garamond"/>
          <w:b/>
          <w:color w:val="000000"/>
          <w:sz w:val="20"/>
          <w:szCs w:val="24"/>
          <w:lang w:val="es-ES_tradnl"/>
        </w:rPr>
      </w:pPr>
    </w:p>
    <w:p w:rsidR="00ED445B" w:rsidRPr="00467D7E" w:rsidRDefault="00ED445B" w:rsidP="00ED445B">
      <w:pPr>
        <w:ind w:left="-993"/>
        <w:jc w:val="center"/>
        <w:rPr>
          <w:rFonts w:ascii="Garamond" w:hAnsi="Garamond"/>
          <w:b/>
          <w:color w:val="000000"/>
          <w:sz w:val="20"/>
          <w:szCs w:val="24"/>
          <w:lang w:val="es-ES_tradnl"/>
        </w:rPr>
      </w:pPr>
    </w:p>
    <w:p w:rsidR="00ED445B" w:rsidRPr="00467D7E" w:rsidRDefault="00ED445B" w:rsidP="00ED445B">
      <w:pPr>
        <w:ind w:left="-993"/>
        <w:jc w:val="center"/>
        <w:rPr>
          <w:rFonts w:ascii="Garamond" w:hAnsi="Garamond"/>
          <w:b/>
          <w:color w:val="000000"/>
          <w:sz w:val="20"/>
          <w:szCs w:val="24"/>
          <w:lang w:val="es-ES_tradnl"/>
        </w:rPr>
      </w:pPr>
    </w:p>
    <w:p w:rsidR="00ED445B" w:rsidRPr="00467D7E" w:rsidRDefault="00ED445B" w:rsidP="00ED445B">
      <w:pPr>
        <w:ind w:left="-993"/>
        <w:jc w:val="center"/>
        <w:rPr>
          <w:rFonts w:ascii="Garamond" w:hAnsi="Garamond"/>
          <w:b/>
          <w:color w:val="000000"/>
          <w:sz w:val="20"/>
          <w:szCs w:val="24"/>
          <w:lang w:val="es-ES_tradnl"/>
        </w:rPr>
      </w:pPr>
    </w:p>
    <w:p w:rsidR="00ED445B" w:rsidRPr="00467D7E" w:rsidRDefault="00ED445B" w:rsidP="00ED445B">
      <w:pPr>
        <w:ind w:left="-993"/>
        <w:jc w:val="center"/>
        <w:rPr>
          <w:rFonts w:ascii="Garamond" w:hAnsi="Garamond"/>
          <w:b/>
          <w:color w:val="000000"/>
          <w:sz w:val="20"/>
          <w:szCs w:val="24"/>
          <w:lang w:val="es-ES_tradnl"/>
        </w:rPr>
      </w:pPr>
      <w:r w:rsidRPr="00467D7E">
        <w:rPr>
          <w:noProof/>
          <w:lang w:val="fr-BE" w:eastAsia="fr-BE" w:bidi="ar-SA"/>
        </w:rPr>
        <w:drawing>
          <wp:anchor distT="0" distB="0" distL="114300" distR="114300" simplePos="0" relativeHeight="251662848" behindDoc="0" locked="0" layoutInCell="1" allowOverlap="1" wp14:anchorId="0147A67D" wp14:editId="34CAB971">
            <wp:simplePos x="0" y="0"/>
            <wp:positionH relativeFrom="column">
              <wp:posOffset>-414655</wp:posOffset>
            </wp:positionH>
            <wp:positionV relativeFrom="paragraph">
              <wp:posOffset>106349</wp:posOffset>
            </wp:positionV>
            <wp:extent cx="6531344" cy="659013"/>
            <wp:effectExtent l="0" t="0" r="3175" b="8255"/>
            <wp:wrapNone/>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rotWithShape="1">
                    <a:blip r:embed="rId16">
                      <a:extLst>
                        <a:ext uri="{28A0092B-C50C-407E-A947-70E740481C1C}">
                          <a14:useLocalDpi xmlns:a14="http://schemas.microsoft.com/office/drawing/2010/main" val="0"/>
                        </a:ext>
                      </a:extLst>
                    </a:blip>
                    <a:srcRect t="58411"/>
                    <a:stretch/>
                  </pic:blipFill>
                  <pic:spPr bwMode="auto">
                    <a:xfrm>
                      <a:off x="0" y="0"/>
                      <a:ext cx="6531344" cy="6590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445B" w:rsidRPr="00467D7E" w:rsidRDefault="00ED445B" w:rsidP="00ED445B">
      <w:pPr>
        <w:ind w:left="-993"/>
        <w:jc w:val="center"/>
        <w:rPr>
          <w:rFonts w:ascii="Garamond" w:hAnsi="Garamond"/>
          <w:b/>
          <w:color w:val="000000"/>
          <w:sz w:val="20"/>
          <w:szCs w:val="24"/>
          <w:lang w:val="es-ES_tradnl"/>
        </w:rPr>
      </w:pPr>
    </w:p>
    <w:p w:rsidR="00ED445B" w:rsidRPr="00467D7E" w:rsidRDefault="00ED445B" w:rsidP="00ED445B">
      <w:pPr>
        <w:ind w:left="-993"/>
        <w:jc w:val="center"/>
        <w:rPr>
          <w:rFonts w:ascii="Garamond" w:hAnsi="Garamond"/>
          <w:b/>
          <w:color w:val="000000"/>
          <w:sz w:val="20"/>
          <w:szCs w:val="24"/>
          <w:lang w:val="es-ES_tradnl"/>
        </w:rPr>
      </w:pPr>
    </w:p>
    <w:p w:rsidR="007F385B" w:rsidRPr="00467D7E" w:rsidRDefault="007F385B" w:rsidP="00ED445B">
      <w:pPr>
        <w:ind w:left="-993"/>
        <w:jc w:val="center"/>
        <w:rPr>
          <w:rFonts w:ascii="Garamond" w:hAnsi="Garamond"/>
          <w:b/>
          <w:sz w:val="28"/>
          <w:szCs w:val="24"/>
          <w:lang w:val="es-ES_tradnl"/>
        </w:rPr>
      </w:pPr>
    </w:p>
    <w:p w:rsidR="00ED445B" w:rsidRPr="00467D7E" w:rsidRDefault="00ED445B" w:rsidP="00ED445B">
      <w:pPr>
        <w:ind w:left="-993"/>
        <w:jc w:val="center"/>
        <w:rPr>
          <w:lang w:val="es-ES_tradnl"/>
        </w:rPr>
      </w:pPr>
    </w:p>
    <w:tbl>
      <w:tblPr>
        <w:tblW w:w="0" w:type="auto"/>
        <w:tblLook w:val="0000" w:firstRow="0" w:lastRow="0" w:firstColumn="0" w:lastColumn="0" w:noHBand="0" w:noVBand="0"/>
      </w:tblPr>
      <w:tblGrid>
        <w:gridCol w:w="5168"/>
        <w:gridCol w:w="4119"/>
      </w:tblGrid>
      <w:tr w:rsidR="008820BE" w:rsidRPr="00467D7E">
        <w:trPr>
          <w:cantSplit/>
        </w:trPr>
        <w:tc>
          <w:tcPr>
            <w:tcW w:w="5168" w:type="dxa"/>
          </w:tcPr>
          <w:p w:rsidR="0070012D" w:rsidRPr="00467D7E" w:rsidRDefault="00B52818" w:rsidP="00E55CAF">
            <w:pPr>
              <w:spacing w:line="240" w:lineRule="auto"/>
              <w:rPr>
                <w:rFonts w:ascii="Verdana" w:hAnsi="Verdana"/>
                <w:b/>
                <w:bCs/>
                <w:sz w:val="20"/>
                <w:lang w:val="es-ES_tradnl"/>
              </w:rPr>
            </w:pPr>
            <w:r w:rsidRPr="00467D7E">
              <w:rPr>
                <w:rFonts w:ascii="Verdana" w:hAnsi="Verdana"/>
                <w:b/>
                <w:sz w:val="20"/>
                <w:lang w:val="es-ES_tradnl"/>
              </w:rPr>
              <w:t>COMUNICADO DE PRENSA nº 70/2015</w:t>
            </w:r>
          </w:p>
        </w:tc>
        <w:tc>
          <w:tcPr>
            <w:tcW w:w="4119" w:type="dxa"/>
          </w:tcPr>
          <w:p w:rsidR="008820BE" w:rsidRPr="00467D7E" w:rsidRDefault="00C51442" w:rsidP="00C51442">
            <w:pPr>
              <w:spacing w:line="240" w:lineRule="auto"/>
              <w:jc w:val="right"/>
              <w:rPr>
                <w:rFonts w:ascii="Verdana" w:hAnsi="Verdana"/>
                <w:b/>
                <w:bCs/>
                <w:sz w:val="20"/>
                <w:lang w:val="es-ES_tradnl"/>
              </w:rPr>
            </w:pPr>
            <w:r w:rsidRPr="00467D7E">
              <w:rPr>
                <w:rFonts w:ascii="Verdana" w:hAnsi="Verdana"/>
                <w:b/>
                <w:sz w:val="20"/>
                <w:lang w:val="es-ES_tradnl"/>
              </w:rPr>
              <w:t>20 de noviembre de 2015</w:t>
            </w:r>
          </w:p>
        </w:tc>
      </w:tr>
    </w:tbl>
    <w:p w:rsidR="008820BE" w:rsidRPr="00467D7E" w:rsidRDefault="00CA2C5C" w:rsidP="00473E94">
      <w:pPr>
        <w:spacing w:line="240" w:lineRule="auto"/>
        <w:rPr>
          <w:rFonts w:ascii="Verdana" w:hAnsi="Verdana"/>
          <w:sz w:val="20"/>
          <w:lang w:val="es-ES_tradnl"/>
        </w:rPr>
        <w:sectPr w:rsidR="008820BE" w:rsidRPr="00467D7E" w:rsidSect="00D93A6F">
          <w:footerReference w:type="default" r:id="rId17"/>
          <w:pgSz w:w="11907" w:h="16839" w:code="9"/>
          <w:pgMar w:top="426" w:right="1418" w:bottom="1418" w:left="1418" w:header="3062" w:footer="118" w:gutter="0"/>
          <w:cols w:space="720"/>
          <w:docGrid w:linePitch="299"/>
        </w:sectPr>
      </w:pPr>
      <w:r w:rsidRPr="00467D7E">
        <w:rPr>
          <w:noProof/>
          <w:lang w:val="fr-BE" w:eastAsia="fr-BE" w:bidi="ar-SA"/>
        </w:rPr>
        <mc:AlternateContent>
          <mc:Choice Requires="wps">
            <w:drawing>
              <wp:anchor distT="0" distB="0" distL="114300" distR="114300" simplePos="0" relativeHeight="251656704" behindDoc="1" locked="0" layoutInCell="0" allowOverlap="1" wp14:anchorId="6038E816" wp14:editId="022C76A4">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168" w:rsidRPr="00473E94" w:rsidRDefault="00E12168" w:rsidP="00473E94">
                            <w:pPr>
                              <w:jc w:val="center"/>
                              <w:rPr>
                                <w:rFonts w:ascii="Arial" w:hAnsi="Arial" w:cs="Arial"/>
                                <w:b/>
                                <w:sz w:val="48"/>
                              </w:rP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o:spid="_x0000_s1026" type="#_x0000_t202"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12168" w:rsidRPr="00473E94" w:rsidRDefault="00E12168" w:rsidP="00473E94">
                      <w:pPr>
                        <w:jc w:val="center"/>
                        <w:rPr>
                          <w:rFonts w:ascii="Arial" w:hAnsi="Arial" w:cs="Arial"/>
                          <w:b/>
                          <w:sz w:val="48"/>
                        </w:rPr>
                      </w:pPr>
                      <w:r>
                        <w:rPr>
                          <w:rFonts w:ascii="Arial" w:hAnsi="Arial"/>
                          <w:b/>
                          <w:sz w:val="48"/>
                        </w:rPr>
                        <w:t>ES</w:t>
                      </w:r>
                    </w:p>
                  </w:txbxContent>
                </v:textbox>
                <w10:wrap xmlns:w10="urn:schemas-microsoft-com:office:word" anchorx="page" anchory="page"/>
              </v:shape>
            </w:pict>
          </mc:Fallback>
        </mc:AlternateContent>
      </w:r>
    </w:p>
    <w:p w:rsidR="00A62B8A" w:rsidRPr="00467D7E" w:rsidRDefault="00A62B8A" w:rsidP="003532CC">
      <w:pPr>
        <w:jc w:val="center"/>
        <w:rPr>
          <w:rFonts w:ascii="Verdana" w:hAnsi="Verdana"/>
          <w:b/>
          <w:sz w:val="18"/>
          <w:szCs w:val="18"/>
          <w:lang w:val="es-ES_tradnl"/>
        </w:rPr>
      </w:pPr>
    </w:p>
    <w:p w:rsidR="008E0B1E" w:rsidRPr="00467D7E" w:rsidRDefault="008E0B1E" w:rsidP="008E0B1E">
      <w:pPr>
        <w:spacing w:line="276" w:lineRule="auto"/>
        <w:jc w:val="center"/>
        <w:rPr>
          <w:rFonts w:ascii="Verdana" w:hAnsi="Verdana"/>
          <w:b/>
          <w:color w:val="0070C0"/>
          <w:sz w:val="24"/>
          <w:szCs w:val="24"/>
          <w:lang w:val="es-ES_tradnl"/>
        </w:rPr>
      </w:pPr>
      <w:r w:rsidRPr="00467D7E">
        <w:rPr>
          <w:rFonts w:ascii="Verdana" w:hAnsi="Verdana"/>
          <w:b/>
          <w:color w:val="0070C0"/>
          <w:sz w:val="24"/>
          <w:lang w:val="es-ES_tradnl"/>
        </w:rPr>
        <w:t>«Necesitamos un acuerdo climático ambicioso y vinculante»</w:t>
      </w:r>
    </w:p>
    <w:p w:rsidR="008E0B1E" w:rsidRPr="00467D7E" w:rsidRDefault="008E0B1E" w:rsidP="008E0B1E">
      <w:pPr>
        <w:spacing w:line="276" w:lineRule="auto"/>
        <w:jc w:val="center"/>
        <w:rPr>
          <w:rFonts w:ascii="Verdana" w:hAnsi="Verdana"/>
          <w:b/>
          <w:color w:val="00B0F0"/>
          <w:szCs w:val="22"/>
          <w:lang w:val="es-ES_tradnl"/>
        </w:rPr>
      </w:pPr>
      <w:r w:rsidRPr="00467D7E">
        <w:rPr>
          <w:rFonts w:ascii="Verdana" w:hAnsi="Verdana"/>
          <w:b/>
          <w:color w:val="00B0F0"/>
          <w:lang w:val="es-ES_tradnl"/>
        </w:rPr>
        <w:t xml:space="preserve">Las administraciones locales y la sociedad civil instan </w:t>
      </w:r>
      <w:r w:rsidR="005A24E3" w:rsidRPr="00467D7E">
        <w:rPr>
          <w:rFonts w:ascii="Verdana" w:hAnsi="Verdana"/>
          <w:b/>
          <w:color w:val="00B0F0"/>
          <w:lang w:val="es-ES_tradnl"/>
        </w:rPr>
        <w:br/>
      </w:r>
      <w:r w:rsidRPr="00467D7E">
        <w:rPr>
          <w:rFonts w:ascii="Verdana" w:hAnsi="Verdana"/>
          <w:b/>
          <w:color w:val="00B0F0"/>
          <w:lang w:val="es-ES_tradnl"/>
        </w:rPr>
        <w:t xml:space="preserve">a los negociadores de la COP21 a evitar el fracaso </w:t>
      </w:r>
    </w:p>
    <w:p w:rsidR="008E0B1E" w:rsidRPr="00467D7E" w:rsidRDefault="008E0B1E" w:rsidP="008E0B1E">
      <w:pPr>
        <w:spacing w:line="276" w:lineRule="auto"/>
        <w:jc w:val="center"/>
        <w:rPr>
          <w:rFonts w:ascii="Verdana" w:hAnsi="Verdana"/>
          <w:b/>
          <w:color w:val="00B0F0"/>
          <w:sz w:val="24"/>
          <w:szCs w:val="24"/>
          <w:lang w:val="es-ES_tradnl"/>
        </w:rPr>
      </w:pPr>
    </w:p>
    <w:p w:rsidR="008E0B1E" w:rsidRPr="00467D7E" w:rsidRDefault="008E0B1E" w:rsidP="008E0B1E">
      <w:pPr>
        <w:spacing w:line="276" w:lineRule="auto"/>
        <w:rPr>
          <w:rFonts w:ascii="Verdana" w:hAnsi="Verdana"/>
          <w:b/>
          <w:sz w:val="18"/>
          <w:szCs w:val="18"/>
          <w:lang w:val="es-ES_tradnl"/>
        </w:rPr>
      </w:pPr>
      <w:r w:rsidRPr="00467D7E">
        <w:rPr>
          <w:rFonts w:ascii="Verdana" w:hAnsi="Verdana"/>
          <w:b/>
          <w:sz w:val="18"/>
          <w:lang w:val="es-ES_tradnl"/>
        </w:rPr>
        <w:t>En vísperas de la COP21, el Comité Económico y Social Europeo (CESE) y el Comité de las Regiones (CDR) han instado a los negociadores de P</w:t>
      </w:r>
      <w:bookmarkStart w:id="0" w:name="_GoBack"/>
      <w:bookmarkEnd w:id="0"/>
      <w:r w:rsidRPr="00467D7E">
        <w:rPr>
          <w:rFonts w:ascii="Verdana" w:hAnsi="Verdana"/>
          <w:b/>
          <w:sz w:val="18"/>
          <w:lang w:val="es-ES_tradnl"/>
        </w:rPr>
        <w:t xml:space="preserve">arís a evitar el fracaso con un claro mensaje:  se están tomando iniciativas sobre el clima y la transición hipocarbónica al margen del proceso decisorio político. Es el momento de que la contribución de los agentes de la sociedad civil, así como a las autoridades locales y regionales, se encuadre en un sistema de gobernanza multinivel. </w:t>
      </w:r>
    </w:p>
    <w:p w:rsidR="008E0B1E" w:rsidRPr="00467D7E" w:rsidRDefault="008E0B1E" w:rsidP="008E0B1E">
      <w:pPr>
        <w:spacing w:line="276" w:lineRule="auto"/>
        <w:rPr>
          <w:rFonts w:ascii="Verdana" w:hAnsi="Verdana"/>
          <w:b/>
          <w:sz w:val="18"/>
          <w:szCs w:val="18"/>
          <w:lang w:val="es-ES_tradnl"/>
        </w:rPr>
      </w:pPr>
    </w:p>
    <w:p w:rsidR="008E0B1E" w:rsidRPr="00467D7E" w:rsidRDefault="008E0B1E" w:rsidP="008E0B1E">
      <w:pPr>
        <w:spacing w:line="276" w:lineRule="auto"/>
        <w:rPr>
          <w:rFonts w:ascii="Verdana" w:hAnsi="Verdana"/>
          <w:i/>
          <w:sz w:val="18"/>
          <w:szCs w:val="18"/>
          <w:lang w:val="es-ES_tradnl"/>
        </w:rPr>
      </w:pPr>
      <w:r w:rsidRPr="00467D7E">
        <w:rPr>
          <w:rFonts w:ascii="Verdana" w:hAnsi="Verdana"/>
          <w:sz w:val="18"/>
          <w:lang w:val="es-ES_tradnl"/>
        </w:rPr>
        <w:t xml:space="preserve">Ambos comités organizaron una conferencia conjunta en Bruselas el 19 de noviembre con el fin de que su capacidad para contribuir a la lucha contra el cambio climático quede reconocida en las conversaciones internacionales sobre el clima de la COP 21, que comenzará en París a finales de noviembre. </w:t>
      </w:r>
    </w:p>
    <w:p w:rsidR="008E0B1E" w:rsidRPr="00467D7E" w:rsidRDefault="008E0B1E" w:rsidP="008E0B1E">
      <w:pPr>
        <w:spacing w:line="276" w:lineRule="auto"/>
        <w:rPr>
          <w:rFonts w:ascii="Verdana" w:hAnsi="Verdana"/>
          <w:sz w:val="18"/>
          <w:szCs w:val="18"/>
          <w:lang w:val="es-ES_tradnl"/>
        </w:rPr>
      </w:pPr>
      <w:r w:rsidRPr="00467D7E">
        <w:rPr>
          <w:rFonts w:ascii="Verdana" w:hAnsi="Verdana"/>
          <w:sz w:val="18"/>
          <w:lang w:val="es-ES_tradnl"/>
        </w:rPr>
        <w:t xml:space="preserve"> </w:t>
      </w:r>
    </w:p>
    <w:p w:rsidR="00314CEA" w:rsidRPr="00467D7E" w:rsidRDefault="00314CEA" w:rsidP="00314CEA">
      <w:pPr>
        <w:rPr>
          <w:rFonts w:ascii="Verdana" w:hAnsi="Verdana"/>
          <w:i/>
          <w:sz w:val="18"/>
          <w:szCs w:val="18"/>
          <w:lang w:val="es-ES_tradnl"/>
        </w:rPr>
      </w:pPr>
      <w:r w:rsidRPr="00467D7E">
        <w:rPr>
          <w:rFonts w:ascii="Verdana" w:hAnsi="Verdana"/>
          <w:sz w:val="18"/>
          <w:lang w:val="es-ES_tradnl"/>
        </w:rPr>
        <w:t xml:space="preserve">En su discurso inaugural, el Presidente del CESE, </w:t>
      </w:r>
      <w:r w:rsidRPr="00467D7E">
        <w:rPr>
          <w:rFonts w:ascii="Verdana" w:hAnsi="Verdana"/>
          <w:b/>
          <w:sz w:val="18"/>
          <w:lang w:val="es-ES_tradnl"/>
        </w:rPr>
        <w:t xml:space="preserve">Georges Dassis </w:t>
      </w:r>
      <w:r w:rsidRPr="00467D7E">
        <w:rPr>
          <w:rFonts w:ascii="Verdana" w:hAnsi="Verdana"/>
          <w:sz w:val="18"/>
          <w:lang w:val="es-ES_tradnl"/>
        </w:rPr>
        <w:t xml:space="preserve">recordó a los líderes nacionales asistentes a la conferencia COP 21 que los europeos y los ciudadanos de todo el mundo esperan </w:t>
      </w:r>
      <w:r w:rsidRPr="00467D7E">
        <w:rPr>
          <w:rFonts w:ascii="Verdana" w:hAnsi="Verdana"/>
          <w:i/>
          <w:sz w:val="18"/>
          <w:lang w:val="es-ES_tradnl"/>
        </w:rPr>
        <w:t>«un acuerdo universal, ambicioso y vinculante, y también modalidades para estructurar la participación de la sociedad civil, que es indispensable para su éxito»</w:t>
      </w:r>
      <w:r w:rsidRPr="00467D7E">
        <w:rPr>
          <w:rFonts w:ascii="Verdana" w:hAnsi="Verdana"/>
          <w:sz w:val="18"/>
          <w:lang w:val="es-ES_tradnl"/>
        </w:rPr>
        <w:t>.</w:t>
      </w:r>
      <w:r w:rsidRPr="00467D7E">
        <w:rPr>
          <w:rFonts w:ascii="Verdana" w:hAnsi="Verdana" w:cstheme="minorBidi"/>
          <w:i/>
          <w:sz w:val="18"/>
          <w:lang w:val="es-ES_tradnl"/>
        </w:rPr>
        <w:t xml:space="preserve"> </w:t>
      </w:r>
      <w:r w:rsidRPr="00467D7E">
        <w:rPr>
          <w:rFonts w:ascii="Verdana" w:hAnsi="Verdana"/>
          <w:sz w:val="18"/>
          <w:lang w:val="es-ES_tradnl"/>
        </w:rPr>
        <w:t xml:space="preserve">Pide a los negociadores que no pierdan el contacto con la gente de la calle: </w:t>
      </w:r>
      <w:r w:rsidRPr="00467D7E">
        <w:rPr>
          <w:rFonts w:ascii="Verdana" w:hAnsi="Verdana"/>
          <w:i/>
          <w:sz w:val="18"/>
          <w:lang w:val="es-ES_tradnl"/>
        </w:rPr>
        <w:t>«los líderes políticos no debe olvidar que son los ciudadanos quienes impulsarán el cambio».</w:t>
      </w:r>
    </w:p>
    <w:p w:rsidR="008E0B1E" w:rsidRPr="00467D7E" w:rsidRDefault="008E0B1E" w:rsidP="008E0B1E">
      <w:pPr>
        <w:spacing w:line="276" w:lineRule="auto"/>
        <w:rPr>
          <w:rFonts w:ascii="Verdana" w:hAnsi="Verdana"/>
          <w:sz w:val="18"/>
          <w:szCs w:val="18"/>
          <w:lang w:val="es-ES_tradnl"/>
        </w:rPr>
      </w:pPr>
    </w:p>
    <w:p w:rsidR="00314CEA" w:rsidRPr="00467D7E" w:rsidRDefault="00314CEA" w:rsidP="00314CEA">
      <w:pPr>
        <w:spacing w:line="276" w:lineRule="auto"/>
        <w:rPr>
          <w:rFonts w:ascii="Verdana" w:hAnsi="Verdana"/>
          <w:i/>
          <w:sz w:val="18"/>
          <w:szCs w:val="18"/>
          <w:lang w:val="es-ES_tradnl"/>
        </w:rPr>
      </w:pPr>
      <w:r w:rsidRPr="00467D7E">
        <w:rPr>
          <w:rFonts w:ascii="Verdana" w:hAnsi="Verdana"/>
          <w:b/>
          <w:sz w:val="18"/>
          <w:lang w:val="es-ES_tradnl"/>
        </w:rPr>
        <w:t>Karl-Heinz Lambertz</w:t>
      </w:r>
      <w:r w:rsidRPr="00467D7E">
        <w:rPr>
          <w:rFonts w:ascii="Verdana" w:hAnsi="Verdana"/>
          <w:sz w:val="18"/>
          <w:lang w:val="es-ES_tradnl"/>
        </w:rPr>
        <w:t xml:space="preserve">, vicepresidente del CDR, afirmó: </w:t>
      </w:r>
      <w:r w:rsidRPr="00467D7E">
        <w:rPr>
          <w:rFonts w:ascii="Verdana" w:hAnsi="Verdana"/>
          <w:i/>
          <w:sz w:val="18"/>
          <w:lang w:val="es-ES_tradnl"/>
        </w:rPr>
        <w:t xml:space="preserve">«Nosotros, las regiones y las ciudades, somos a menudo más ambiciosos que los Estados en materia de clima. Somos conscientes de las oportunidades de desarrollo que ofrecen nuestras ciudades y regiones, así como de sus deficiencias. Ahora estamos dispuestos a ir más lejos en la acción por el clima. Pero necesitamos el apoyo adecuado. Necesitamos un sistema de gobernanza climática que funcione y coordine todos los niveles de gobierno, así como de un acuerdo que mencione explícitamente a las administraciones locales.» </w:t>
      </w:r>
    </w:p>
    <w:p w:rsidR="008E0B1E" w:rsidRPr="00467D7E" w:rsidRDefault="008E0B1E" w:rsidP="008E0B1E">
      <w:pPr>
        <w:spacing w:line="276" w:lineRule="auto"/>
        <w:rPr>
          <w:rFonts w:ascii="Verdana" w:hAnsi="Verdana"/>
          <w:sz w:val="18"/>
          <w:szCs w:val="18"/>
          <w:lang w:val="es-ES_tradnl"/>
        </w:rPr>
      </w:pPr>
    </w:p>
    <w:p w:rsidR="008E0B1E" w:rsidRPr="00467D7E" w:rsidRDefault="008E0B1E" w:rsidP="008E0B1E">
      <w:pPr>
        <w:spacing w:line="276" w:lineRule="auto"/>
        <w:rPr>
          <w:rFonts w:ascii="Verdana" w:hAnsi="Verdana"/>
          <w:sz w:val="18"/>
          <w:szCs w:val="18"/>
          <w:lang w:val="es-ES_tradnl"/>
        </w:rPr>
      </w:pPr>
      <w:r w:rsidRPr="00467D7E">
        <w:rPr>
          <w:rFonts w:ascii="Verdana" w:hAnsi="Verdana"/>
          <w:sz w:val="18"/>
          <w:lang w:val="es-ES_tradnl"/>
        </w:rPr>
        <w:t xml:space="preserve">Los dos órganos de la UE han alineado estrechamente sus posiciones en muchos de los grandes temas sobre los que decidirán los líderes nacionales en la Cumbre, que debería culminar en un acuerdo mundial a largo plazo sobre la prevención del galopante cambio climático. </w:t>
      </w:r>
    </w:p>
    <w:p w:rsidR="008E0B1E" w:rsidRPr="00467D7E" w:rsidRDefault="008E0B1E" w:rsidP="008E0B1E">
      <w:pPr>
        <w:spacing w:line="276" w:lineRule="auto"/>
        <w:rPr>
          <w:rFonts w:ascii="Verdana" w:hAnsi="Verdana"/>
          <w:sz w:val="18"/>
          <w:szCs w:val="18"/>
          <w:lang w:val="es-ES_tradnl"/>
        </w:rPr>
      </w:pPr>
    </w:p>
    <w:p w:rsidR="008E0B1E" w:rsidRPr="00467D7E" w:rsidRDefault="008E0B1E" w:rsidP="008E0B1E">
      <w:pPr>
        <w:spacing w:line="276" w:lineRule="auto"/>
        <w:rPr>
          <w:rFonts w:ascii="Verdana" w:hAnsi="Verdana"/>
          <w:sz w:val="18"/>
          <w:szCs w:val="18"/>
          <w:lang w:val="es-ES_tradnl"/>
        </w:rPr>
      </w:pPr>
      <w:r w:rsidRPr="00467D7E">
        <w:rPr>
          <w:rFonts w:ascii="Verdana" w:hAnsi="Verdana"/>
          <w:sz w:val="18"/>
          <w:lang w:val="es-ES_tradnl"/>
        </w:rPr>
        <w:t xml:space="preserve">La transición hacia una economía y una sociedad hipocarbónicas ya se está produciendo en la base bajo el liderazgo de muchas comunidades, sobre todo gracias a las asociaciones entre los administraciones locales y las organizaciones de la sociedad civil. Las administraciones nacionales a veces son incapaces de reconocer y empoderar a las iniciativas que viene de la base, pero el éxito de la lucha internacional contra el cambio climático dependerá de aprovechar las ideas, conocimientos y energía de los empresarios, los consumidores, los sindicatos, las ONG, las comunidades y las administraciones locales y regionales. </w:t>
      </w:r>
    </w:p>
    <w:p w:rsidR="008E0B1E" w:rsidRPr="00467D7E" w:rsidRDefault="008E0B1E" w:rsidP="008E0B1E">
      <w:pPr>
        <w:spacing w:line="276" w:lineRule="auto"/>
        <w:rPr>
          <w:rFonts w:ascii="Verdana" w:hAnsi="Verdana"/>
          <w:sz w:val="18"/>
          <w:szCs w:val="18"/>
          <w:lang w:val="es-ES_tradnl"/>
        </w:rPr>
      </w:pPr>
    </w:p>
    <w:p w:rsidR="008E0B1E" w:rsidRPr="00467D7E" w:rsidRDefault="008E0B1E" w:rsidP="008E0B1E">
      <w:pPr>
        <w:spacing w:line="276" w:lineRule="auto"/>
        <w:rPr>
          <w:rFonts w:ascii="Verdana" w:hAnsi="Verdana"/>
          <w:sz w:val="18"/>
          <w:szCs w:val="18"/>
          <w:lang w:val="es-ES_tradnl"/>
        </w:rPr>
      </w:pPr>
      <w:r w:rsidRPr="00467D7E">
        <w:rPr>
          <w:rFonts w:ascii="Verdana" w:hAnsi="Verdana"/>
          <w:sz w:val="18"/>
          <w:lang w:val="es-ES_tradnl"/>
        </w:rPr>
        <w:lastRenderedPageBreak/>
        <w:t>Tanto el CDR como el CESE están intensificando sus esfuerzos para que el acuerdo a que se llegue en París reconozca explícitamente el papel de los ciudadanos y de los entes locales y regionales en la lucha contra el cambio climático, dándoles competencias y más posibilidades de traducir las decisiones políticas mundiales sobre el clima en medidas más concretas, significativas, innovadoras.</w:t>
      </w:r>
    </w:p>
    <w:p w:rsidR="008E0B1E" w:rsidRPr="00467D7E" w:rsidRDefault="008E0B1E" w:rsidP="008E0B1E">
      <w:pPr>
        <w:spacing w:line="276" w:lineRule="auto"/>
        <w:rPr>
          <w:rFonts w:ascii="Verdana" w:hAnsi="Verdana"/>
          <w:sz w:val="18"/>
          <w:szCs w:val="18"/>
          <w:lang w:val="es-ES_tradnl"/>
        </w:rPr>
      </w:pPr>
    </w:p>
    <w:p w:rsidR="00DA47AF" w:rsidRPr="00467D7E" w:rsidRDefault="00DA47AF" w:rsidP="003851F9">
      <w:pPr>
        <w:keepNext/>
        <w:tabs>
          <w:tab w:val="left" w:pos="4395"/>
        </w:tabs>
        <w:overflowPunct/>
        <w:autoSpaceDE/>
        <w:autoSpaceDN/>
        <w:adjustRightInd/>
        <w:spacing w:line="240" w:lineRule="auto"/>
        <w:textAlignment w:val="auto"/>
        <w:rPr>
          <w:rFonts w:ascii="Verdana" w:eastAsia="PMingLiU" w:hAnsi="Verdana"/>
          <w:sz w:val="18"/>
          <w:szCs w:val="18"/>
          <w:lang w:val="es-ES_tradnl"/>
        </w:rPr>
      </w:pPr>
      <w:r w:rsidRPr="00467D7E">
        <w:rPr>
          <w:rFonts w:ascii="Verdana" w:hAnsi="Verdana"/>
          <w:b/>
          <w:sz w:val="18"/>
          <w:lang w:val="es-ES_tradnl"/>
        </w:rPr>
        <w:t>Unidad de prensa del CESE</w:t>
      </w:r>
      <w:r w:rsidRPr="00467D7E">
        <w:rPr>
          <w:lang w:val="es-ES_tradnl"/>
        </w:rPr>
        <w:t xml:space="preserve"> </w:t>
      </w:r>
      <w:r w:rsidRPr="00467D7E">
        <w:rPr>
          <w:rFonts w:ascii="Verdana" w:hAnsi="Verdana"/>
          <w:b/>
          <w:sz w:val="18"/>
          <w:lang w:val="es-ES_tradnl"/>
        </w:rPr>
        <w:t>Unidad de prensa del CDR</w:t>
      </w:r>
    </w:p>
    <w:p w:rsidR="00DA47AF" w:rsidRPr="00467D7E" w:rsidRDefault="00DA47AF" w:rsidP="003851F9">
      <w:pPr>
        <w:keepNext/>
        <w:tabs>
          <w:tab w:val="left" w:pos="4395"/>
        </w:tabs>
        <w:overflowPunct/>
        <w:autoSpaceDE/>
        <w:autoSpaceDN/>
        <w:adjustRightInd/>
        <w:spacing w:line="240" w:lineRule="auto"/>
        <w:textAlignment w:val="auto"/>
        <w:rPr>
          <w:rFonts w:ascii="Verdana" w:eastAsia="PMingLiU" w:hAnsi="Verdana"/>
          <w:sz w:val="18"/>
          <w:szCs w:val="18"/>
          <w:lang w:val="es-ES_tradnl"/>
        </w:rPr>
      </w:pPr>
      <w:r w:rsidRPr="00467D7E">
        <w:rPr>
          <w:rFonts w:ascii="Verdana" w:hAnsi="Verdana"/>
          <w:sz w:val="18"/>
          <w:lang w:val="es-ES_tradnl"/>
        </w:rPr>
        <w:t>Silvia Aumair</w:t>
      </w:r>
      <w:r w:rsidRPr="00467D7E">
        <w:rPr>
          <w:lang w:val="es-ES_tradnl"/>
        </w:rPr>
        <w:t xml:space="preserve"> </w:t>
      </w:r>
      <w:r w:rsidRPr="00467D7E">
        <w:rPr>
          <w:rFonts w:ascii="Verdana" w:hAnsi="Verdana"/>
          <w:sz w:val="18"/>
          <w:lang w:val="es-ES_tradnl"/>
        </w:rPr>
        <w:t xml:space="preserve">Andrew Gardner </w:t>
      </w:r>
    </w:p>
    <w:p w:rsidR="00DA47AF" w:rsidRPr="00467D7E" w:rsidRDefault="00DA47AF" w:rsidP="003851F9">
      <w:pPr>
        <w:keepNext/>
        <w:tabs>
          <w:tab w:val="left" w:pos="4395"/>
        </w:tabs>
        <w:overflowPunct/>
        <w:autoSpaceDE/>
        <w:autoSpaceDN/>
        <w:adjustRightInd/>
        <w:spacing w:line="240" w:lineRule="auto"/>
        <w:textAlignment w:val="auto"/>
        <w:rPr>
          <w:rFonts w:ascii="Verdana" w:eastAsia="PMingLiU" w:hAnsi="Verdana"/>
          <w:sz w:val="18"/>
          <w:szCs w:val="18"/>
          <w:lang w:val="es-ES_tradnl"/>
        </w:rPr>
      </w:pPr>
      <w:r w:rsidRPr="00467D7E">
        <w:rPr>
          <w:rFonts w:ascii="Verdana" w:hAnsi="Verdana"/>
          <w:sz w:val="18"/>
          <w:lang w:val="es-ES_tradnl"/>
        </w:rPr>
        <w:t xml:space="preserve">E-mail: </w:t>
      </w:r>
      <w:hyperlink r:id="rId18">
        <w:r w:rsidRPr="00467D7E">
          <w:rPr>
            <w:rStyle w:val="Hyperlink"/>
            <w:rFonts w:ascii="Verdana" w:hAnsi="Verdana"/>
            <w:sz w:val="18"/>
            <w:lang w:val="es-ES_tradnl"/>
          </w:rPr>
          <w:t>press@eesc.europa.eu</w:t>
        </w:r>
      </w:hyperlink>
      <w:r w:rsidRPr="00467D7E">
        <w:rPr>
          <w:lang w:val="es-ES_tradnl"/>
        </w:rPr>
        <w:t xml:space="preserve"> </w:t>
      </w:r>
      <w:r w:rsidRPr="00467D7E">
        <w:rPr>
          <w:rFonts w:ascii="Verdana" w:hAnsi="Verdana"/>
          <w:sz w:val="18"/>
          <w:lang w:val="es-ES_tradnl"/>
        </w:rPr>
        <w:t xml:space="preserve">E-mail: </w:t>
      </w:r>
      <w:hyperlink r:id="rId19">
        <w:r w:rsidRPr="00467D7E">
          <w:rPr>
            <w:rStyle w:val="Hyperlink"/>
            <w:rFonts w:ascii="Verdana" w:hAnsi="Verdana"/>
            <w:sz w:val="18"/>
            <w:lang w:val="es-ES_tradnl"/>
          </w:rPr>
          <w:t>andrew.gardner@cor.europa.eu</w:t>
        </w:r>
      </w:hyperlink>
    </w:p>
    <w:p w:rsidR="00DA47AF" w:rsidRPr="00467D7E" w:rsidRDefault="00DA47AF" w:rsidP="003851F9">
      <w:pPr>
        <w:keepNext/>
        <w:tabs>
          <w:tab w:val="left" w:pos="4395"/>
        </w:tabs>
        <w:spacing w:line="240" w:lineRule="auto"/>
        <w:rPr>
          <w:rFonts w:ascii="Verdana" w:eastAsia="PMingLiU" w:hAnsi="Verdana"/>
          <w:sz w:val="18"/>
          <w:szCs w:val="18"/>
          <w:lang w:val="es-ES_tradnl"/>
        </w:rPr>
      </w:pPr>
      <w:r w:rsidRPr="00467D7E">
        <w:rPr>
          <w:rFonts w:ascii="Verdana" w:hAnsi="Verdana"/>
          <w:sz w:val="18"/>
          <w:lang w:val="es-ES_tradnl"/>
        </w:rPr>
        <w:t>Tel. 32 2 546 8141Tel: +32 (0)473 84 39 814</w:t>
      </w:r>
    </w:p>
    <w:p w:rsidR="00DA47AF" w:rsidRPr="00467D7E" w:rsidRDefault="00DA47AF" w:rsidP="0067794C">
      <w:pPr>
        <w:rPr>
          <w:rFonts w:ascii="Verdana" w:hAnsi="Verdana"/>
          <w:b/>
          <w:i/>
          <w:sz w:val="16"/>
          <w:szCs w:val="16"/>
          <w:lang w:val="es-ES_tradnl"/>
        </w:rPr>
      </w:pPr>
      <w:r w:rsidRPr="00467D7E">
        <w:rPr>
          <w:rFonts w:ascii="Verdana" w:hAnsi="Verdana"/>
          <w:i/>
          <w:sz w:val="16"/>
          <w:lang w:val="es-ES_tradnl"/>
        </w:rPr>
        <w:t>__</w:t>
      </w:r>
      <w:r w:rsidRPr="00467D7E">
        <w:rPr>
          <w:rFonts w:ascii="Verdana" w:hAnsi="Verdana"/>
          <w:b/>
          <w:i/>
          <w:sz w:val="16"/>
          <w:lang w:val="es-ES_tradnl"/>
        </w:rPr>
        <w:t>____________________________________________________________________________</w:t>
      </w:r>
    </w:p>
    <w:p w:rsidR="00DA47AF" w:rsidRPr="00467D7E" w:rsidRDefault="00DA47AF" w:rsidP="0067794C">
      <w:pPr>
        <w:rPr>
          <w:rFonts w:ascii="Verdana" w:hAnsi="Verdana"/>
          <w:i/>
          <w:sz w:val="16"/>
          <w:szCs w:val="16"/>
          <w:lang w:val="es-ES_tradnl"/>
        </w:rPr>
      </w:pPr>
      <w:r w:rsidRPr="00467D7E">
        <w:rPr>
          <w:rFonts w:ascii="Verdana" w:hAnsi="Verdana"/>
          <w:b/>
          <w:i/>
          <w:sz w:val="16"/>
          <w:lang w:val="es-ES_tradnl"/>
        </w:rPr>
        <w:t>El Comité Económico y Social Europeo</w:t>
      </w:r>
      <w:r w:rsidRPr="00467D7E">
        <w:rPr>
          <w:rFonts w:ascii="Verdana" w:hAnsi="Verdana"/>
          <w:i/>
          <w:sz w:val="16"/>
          <w:lang w:val="es-ES_tradnl"/>
        </w:rPr>
        <w:t xml:space="preserve"> garantiza la representación de los diferentes componentes de carácter económico y social de la sociedad civil organizada. Es un órgano institucional consultivo, creado por el Tratado de Roma en 1957. Su función consultiva hace posible que sus miembros–y, por tanto, las organizaciones a las que representan– participen en el proceso de decisión de la UE. El Comité cuenta con 350 miembros, procedentes de toda Europa, que son designados por el Consejo de la Unión Europea.</w:t>
      </w:r>
    </w:p>
    <w:p w:rsidR="00DA47AF" w:rsidRPr="00467D7E" w:rsidRDefault="00DA47AF" w:rsidP="0067794C">
      <w:pPr>
        <w:rPr>
          <w:rFonts w:ascii="Verdana" w:hAnsi="Verdana"/>
          <w:i/>
          <w:sz w:val="16"/>
          <w:szCs w:val="16"/>
          <w:lang w:val="es-ES_tradnl"/>
        </w:rPr>
      </w:pPr>
      <w:r w:rsidRPr="00467D7E">
        <w:rPr>
          <w:rFonts w:ascii="Verdana" w:hAnsi="Verdana"/>
          <w:i/>
          <w:sz w:val="16"/>
          <w:lang w:val="es-ES_tradnl"/>
        </w:rPr>
        <w:t xml:space="preserve">El </w:t>
      </w:r>
      <w:r w:rsidRPr="00467D7E">
        <w:rPr>
          <w:rFonts w:ascii="Verdana" w:hAnsi="Verdana"/>
          <w:b/>
          <w:i/>
          <w:sz w:val="16"/>
          <w:lang w:val="es-ES_tradnl"/>
        </w:rPr>
        <w:t>Comité de las Regiones Europeo</w:t>
      </w:r>
      <w:r w:rsidRPr="00467D7E">
        <w:rPr>
          <w:rFonts w:ascii="Verdana" w:hAnsi="Verdana"/>
          <w:i/>
          <w:sz w:val="16"/>
          <w:lang w:val="es-ES_tradnl"/>
        </w:rPr>
        <w:t xml:space="preserve"> es la asamblea de la UE de los representantes regionales y locales de los veintiocho Estados miembros. Creado en 1994 en virtud del Tratado de Maastricht, su misión consiste en hacer participar a los entes regionales y locales en el proceso decisorio de la UE e informarles acerca de las políticas de la Unión. El Parlamento Europeo, el Consejo y la Comisión Europea consultan al Comité en aquellos ámbitos políticos que afectan a las regiones y ciudades. </w:t>
      </w:r>
    </w:p>
    <w:p w:rsidR="00DA47AF" w:rsidRPr="00467D7E" w:rsidRDefault="00DA47AF" w:rsidP="0067794C">
      <w:pPr>
        <w:rPr>
          <w:rFonts w:ascii="Verdana" w:hAnsi="Verdana"/>
          <w:b/>
          <w:i/>
          <w:sz w:val="16"/>
          <w:szCs w:val="16"/>
          <w:lang w:val="es-ES_tradnl"/>
        </w:rPr>
      </w:pPr>
      <w:r w:rsidRPr="00467D7E">
        <w:rPr>
          <w:rFonts w:ascii="Verdana" w:hAnsi="Verdana"/>
          <w:i/>
          <w:sz w:val="16"/>
          <w:lang w:val="es-ES_tradnl"/>
        </w:rPr>
        <w:t>__</w:t>
      </w:r>
      <w:r w:rsidRPr="00467D7E">
        <w:rPr>
          <w:rFonts w:ascii="Verdana" w:hAnsi="Verdana"/>
          <w:b/>
          <w:i/>
          <w:sz w:val="16"/>
          <w:lang w:val="es-ES_tradnl"/>
        </w:rPr>
        <w:t>_____________________________________________________________________________</w:t>
      </w:r>
    </w:p>
    <w:p w:rsidR="009F7B3B" w:rsidRPr="00467D7E" w:rsidRDefault="009F7B3B" w:rsidP="0067794C">
      <w:pPr>
        <w:spacing w:line="276" w:lineRule="auto"/>
        <w:rPr>
          <w:rFonts w:ascii="Verdana" w:hAnsi="Verdana"/>
          <w:b/>
          <w:i/>
          <w:sz w:val="16"/>
          <w:szCs w:val="16"/>
          <w:lang w:val="es-ES_tradnl"/>
        </w:rPr>
      </w:pPr>
    </w:p>
    <w:sectPr w:rsidR="009F7B3B" w:rsidRPr="00467D7E" w:rsidSect="005666AE">
      <w:type w:val="continuous"/>
      <w:pgSz w:w="11907" w:h="16839" w:code="9"/>
      <w:pgMar w:top="993"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53" w:rsidRDefault="008C5453">
      <w:r>
        <w:separator/>
      </w:r>
    </w:p>
  </w:endnote>
  <w:endnote w:type="continuationSeparator" w:id="0">
    <w:p w:rsidR="008C5453" w:rsidRDefault="008C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168" w:rsidRPr="00EA5513" w:rsidRDefault="00E12168" w:rsidP="0004715C">
    <w:pPr>
      <w:spacing w:line="240" w:lineRule="auto"/>
      <w:jc w:val="center"/>
      <w:rPr>
        <w:rFonts w:ascii="Verdana" w:hAnsi="Verdana"/>
        <w:sz w:val="16"/>
      </w:rPr>
    </w:pPr>
    <w:r>
      <w:rPr>
        <w:rFonts w:ascii="Verdana" w:hAnsi="Verdana"/>
        <w:sz w:val="16"/>
      </w:rPr>
      <w:t>Rue Belliard/Belliardstraat 99 – 1040 Bruxelles/Brussel – BELGIQUE/BELGIË</w:t>
    </w:r>
  </w:p>
  <w:p w:rsidR="00E12168" w:rsidRPr="00EA5513" w:rsidRDefault="00E12168" w:rsidP="0004715C">
    <w:pPr>
      <w:spacing w:line="240" w:lineRule="auto"/>
      <w:jc w:val="center"/>
      <w:rPr>
        <w:rFonts w:ascii="Verdana" w:hAnsi="Verdana"/>
        <w:sz w:val="16"/>
      </w:rPr>
    </w:pPr>
    <w:r>
      <w:rPr>
        <w:rFonts w:ascii="Verdana" w:hAnsi="Verdana"/>
        <w:sz w:val="16"/>
      </w:rPr>
      <w:t>Tel.: +32 2 546 9779 – Fax: +32 25469764</w:t>
    </w:r>
  </w:p>
  <w:p w:rsidR="00E12168" w:rsidRPr="00EA5513" w:rsidRDefault="00E12168" w:rsidP="0004715C">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12168" w:rsidRPr="00473E94" w:rsidRDefault="00E12168" w:rsidP="00F61167">
    <w:pPr>
      <w:spacing w:line="240" w:lineRule="auto"/>
      <w:jc w:val="center"/>
    </w:pPr>
    <w:r>
      <w:rPr>
        <w:rFonts w:ascii="Verdana" w:hAnsi="Verdana"/>
        <w:sz w:val="16"/>
      </w:rPr>
      <w:t xml:space="preserve">Síganos en </w:t>
    </w:r>
    <w:r>
      <w:rPr>
        <w:noProof/>
        <w:lang w:val="fr-BE" w:eastAsia="fr-BE" w:bidi="ar-SA"/>
      </w:rPr>
      <w:drawing>
        <wp:inline distT="0" distB="0" distL="0" distR="0" wp14:anchorId="5DCD53E5" wp14:editId="29186FB4">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29821B5E" wp14:editId="7F60A9DB">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3A61260D" wp14:editId="3BFDA55A">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53" w:rsidRDefault="008C5453">
      <w:r>
        <w:separator/>
      </w:r>
    </w:p>
  </w:footnote>
  <w:footnote w:type="continuationSeparator" w:id="0">
    <w:p w:rsidR="008C5453" w:rsidRDefault="008C5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6"/>
  </w:num>
  <w:num w:numId="6">
    <w:abstractNumId w:val="12"/>
  </w:num>
  <w:num w:numId="7">
    <w:abstractNumId w:val="2"/>
  </w:num>
  <w:num w:numId="8">
    <w:abstractNumId w:val="17"/>
  </w:num>
  <w:num w:numId="9">
    <w:abstractNumId w:val="16"/>
  </w:num>
  <w:num w:numId="10">
    <w:abstractNumId w:val="15"/>
  </w:num>
  <w:num w:numId="11">
    <w:abstractNumId w:val="13"/>
  </w:num>
  <w:num w:numId="12">
    <w:abstractNumId w:val="7"/>
  </w:num>
  <w:num w:numId="13">
    <w:abstractNumId w:val="3"/>
  </w:num>
  <w:num w:numId="14">
    <w:abstractNumId w:val="10"/>
  </w:num>
  <w:num w:numId="15">
    <w:abstractNumId w:val="14"/>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47C"/>
    <w:rsid w:val="000005B3"/>
    <w:rsid w:val="00000C61"/>
    <w:rsid w:val="000018BE"/>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364B"/>
    <w:rsid w:val="0003423E"/>
    <w:rsid w:val="00034390"/>
    <w:rsid w:val="00034652"/>
    <w:rsid w:val="00034AD4"/>
    <w:rsid w:val="0003721F"/>
    <w:rsid w:val="000404B0"/>
    <w:rsid w:val="0004507B"/>
    <w:rsid w:val="0004647E"/>
    <w:rsid w:val="000465B9"/>
    <w:rsid w:val="0004715C"/>
    <w:rsid w:val="00051E4A"/>
    <w:rsid w:val="00052678"/>
    <w:rsid w:val="00052F16"/>
    <w:rsid w:val="000538AA"/>
    <w:rsid w:val="00055FCC"/>
    <w:rsid w:val="00060A4A"/>
    <w:rsid w:val="000615BB"/>
    <w:rsid w:val="000619B0"/>
    <w:rsid w:val="00061B3C"/>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6E97"/>
    <w:rsid w:val="00096F3D"/>
    <w:rsid w:val="000A1EAD"/>
    <w:rsid w:val="000A270E"/>
    <w:rsid w:val="000A4A23"/>
    <w:rsid w:val="000B2D57"/>
    <w:rsid w:val="000B5D55"/>
    <w:rsid w:val="000B7D90"/>
    <w:rsid w:val="000C303E"/>
    <w:rsid w:val="000C364F"/>
    <w:rsid w:val="000C6069"/>
    <w:rsid w:val="000C627B"/>
    <w:rsid w:val="000C716C"/>
    <w:rsid w:val="000C7C0C"/>
    <w:rsid w:val="000C7FAF"/>
    <w:rsid w:val="000D486C"/>
    <w:rsid w:val="000D50AD"/>
    <w:rsid w:val="000D5B36"/>
    <w:rsid w:val="000D74E9"/>
    <w:rsid w:val="000E05AC"/>
    <w:rsid w:val="000E51CA"/>
    <w:rsid w:val="000F0EA4"/>
    <w:rsid w:val="000F0ECB"/>
    <w:rsid w:val="000F282C"/>
    <w:rsid w:val="000F3377"/>
    <w:rsid w:val="000F5238"/>
    <w:rsid w:val="000F5572"/>
    <w:rsid w:val="000F56F6"/>
    <w:rsid w:val="000F68E1"/>
    <w:rsid w:val="000F7AED"/>
    <w:rsid w:val="000F7DB1"/>
    <w:rsid w:val="00102967"/>
    <w:rsid w:val="00104DFA"/>
    <w:rsid w:val="00105171"/>
    <w:rsid w:val="00110E35"/>
    <w:rsid w:val="00111E4B"/>
    <w:rsid w:val="00120D27"/>
    <w:rsid w:val="00122176"/>
    <w:rsid w:val="001277F0"/>
    <w:rsid w:val="0013137C"/>
    <w:rsid w:val="00134081"/>
    <w:rsid w:val="0013475E"/>
    <w:rsid w:val="00140B6A"/>
    <w:rsid w:val="00140C54"/>
    <w:rsid w:val="00142677"/>
    <w:rsid w:val="00143087"/>
    <w:rsid w:val="00147673"/>
    <w:rsid w:val="00150E62"/>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363CC"/>
    <w:rsid w:val="002431C3"/>
    <w:rsid w:val="002439E3"/>
    <w:rsid w:val="00244B53"/>
    <w:rsid w:val="0024520B"/>
    <w:rsid w:val="002474B4"/>
    <w:rsid w:val="00247BB5"/>
    <w:rsid w:val="00251322"/>
    <w:rsid w:val="002562CD"/>
    <w:rsid w:val="00257B3A"/>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3668"/>
    <w:rsid w:val="002B04A8"/>
    <w:rsid w:val="002B290E"/>
    <w:rsid w:val="002B561A"/>
    <w:rsid w:val="002B6234"/>
    <w:rsid w:val="002B640B"/>
    <w:rsid w:val="002B67A9"/>
    <w:rsid w:val="002B7F00"/>
    <w:rsid w:val="002C5AD0"/>
    <w:rsid w:val="002C5CBB"/>
    <w:rsid w:val="002D08ED"/>
    <w:rsid w:val="002D12B2"/>
    <w:rsid w:val="002D22E9"/>
    <w:rsid w:val="002D685E"/>
    <w:rsid w:val="002D6898"/>
    <w:rsid w:val="002D7A8C"/>
    <w:rsid w:val="002E14FC"/>
    <w:rsid w:val="002E1924"/>
    <w:rsid w:val="002E6F72"/>
    <w:rsid w:val="002E75A0"/>
    <w:rsid w:val="002F1539"/>
    <w:rsid w:val="002F2262"/>
    <w:rsid w:val="002F2468"/>
    <w:rsid w:val="002F3534"/>
    <w:rsid w:val="002F3853"/>
    <w:rsid w:val="002F3A5B"/>
    <w:rsid w:val="002F4A2E"/>
    <w:rsid w:val="002F6696"/>
    <w:rsid w:val="002F6738"/>
    <w:rsid w:val="002F7233"/>
    <w:rsid w:val="002F7A9E"/>
    <w:rsid w:val="002F7E3D"/>
    <w:rsid w:val="00304A79"/>
    <w:rsid w:val="00304E7A"/>
    <w:rsid w:val="003054B2"/>
    <w:rsid w:val="003148CD"/>
    <w:rsid w:val="00314CEA"/>
    <w:rsid w:val="00316F54"/>
    <w:rsid w:val="00321325"/>
    <w:rsid w:val="003220A9"/>
    <w:rsid w:val="00324538"/>
    <w:rsid w:val="00325F72"/>
    <w:rsid w:val="00326801"/>
    <w:rsid w:val="0032772F"/>
    <w:rsid w:val="003305C3"/>
    <w:rsid w:val="00330C30"/>
    <w:rsid w:val="003327CC"/>
    <w:rsid w:val="00335A37"/>
    <w:rsid w:val="00337F0A"/>
    <w:rsid w:val="00340947"/>
    <w:rsid w:val="00341608"/>
    <w:rsid w:val="00343D5E"/>
    <w:rsid w:val="0034531E"/>
    <w:rsid w:val="003532CC"/>
    <w:rsid w:val="00353453"/>
    <w:rsid w:val="00354CB8"/>
    <w:rsid w:val="0035564F"/>
    <w:rsid w:val="00356045"/>
    <w:rsid w:val="00356F52"/>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1F9"/>
    <w:rsid w:val="0038574A"/>
    <w:rsid w:val="00386F1F"/>
    <w:rsid w:val="003874EA"/>
    <w:rsid w:val="003915BE"/>
    <w:rsid w:val="00392CB8"/>
    <w:rsid w:val="00394D81"/>
    <w:rsid w:val="003A66C0"/>
    <w:rsid w:val="003B0ACC"/>
    <w:rsid w:val="003B25EA"/>
    <w:rsid w:val="003B2616"/>
    <w:rsid w:val="003B4BF8"/>
    <w:rsid w:val="003B62F4"/>
    <w:rsid w:val="003B714A"/>
    <w:rsid w:val="003C05D0"/>
    <w:rsid w:val="003C1CFE"/>
    <w:rsid w:val="003C21F5"/>
    <w:rsid w:val="003C3451"/>
    <w:rsid w:val="003C5624"/>
    <w:rsid w:val="003C6D1A"/>
    <w:rsid w:val="003C73FE"/>
    <w:rsid w:val="003C7BF9"/>
    <w:rsid w:val="003D2255"/>
    <w:rsid w:val="003D3552"/>
    <w:rsid w:val="003D3772"/>
    <w:rsid w:val="003D465F"/>
    <w:rsid w:val="003D64E9"/>
    <w:rsid w:val="003E1E99"/>
    <w:rsid w:val="003E52DC"/>
    <w:rsid w:val="003E5EB2"/>
    <w:rsid w:val="003F4711"/>
    <w:rsid w:val="003F5C5E"/>
    <w:rsid w:val="003F73CB"/>
    <w:rsid w:val="00401766"/>
    <w:rsid w:val="00404BEC"/>
    <w:rsid w:val="00406F00"/>
    <w:rsid w:val="00406FBD"/>
    <w:rsid w:val="00411D04"/>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7FF"/>
    <w:rsid w:val="0045424F"/>
    <w:rsid w:val="004605FD"/>
    <w:rsid w:val="00460FE4"/>
    <w:rsid w:val="00462AF4"/>
    <w:rsid w:val="00465C38"/>
    <w:rsid w:val="00467D7E"/>
    <w:rsid w:val="00470B59"/>
    <w:rsid w:val="0047111F"/>
    <w:rsid w:val="00471681"/>
    <w:rsid w:val="00472D63"/>
    <w:rsid w:val="00473E94"/>
    <w:rsid w:val="00485300"/>
    <w:rsid w:val="00487258"/>
    <w:rsid w:val="00490528"/>
    <w:rsid w:val="00492D0F"/>
    <w:rsid w:val="00494BBC"/>
    <w:rsid w:val="00495BF2"/>
    <w:rsid w:val="004969A2"/>
    <w:rsid w:val="00496C47"/>
    <w:rsid w:val="004A114B"/>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5C1F"/>
    <w:rsid w:val="00537C43"/>
    <w:rsid w:val="005407F1"/>
    <w:rsid w:val="0054102F"/>
    <w:rsid w:val="00541396"/>
    <w:rsid w:val="00543D51"/>
    <w:rsid w:val="0054403F"/>
    <w:rsid w:val="00546680"/>
    <w:rsid w:val="00546BAC"/>
    <w:rsid w:val="0054780C"/>
    <w:rsid w:val="0055255F"/>
    <w:rsid w:val="00552815"/>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24E3"/>
    <w:rsid w:val="005A3584"/>
    <w:rsid w:val="005A3FBA"/>
    <w:rsid w:val="005A45C0"/>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7648"/>
    <w:rsid w:val="005F080E"/>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6C38"/>
    <w:rsid w:val="00627902"/>
    <w:rsid w:val="006300C9"/>
    <w:rsid w:val="006309A7"/>
    <w:rsid w:val="00631278"/>
    <w:rsid w:val="006371D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7794C"/>
    <w:rsid w:val="00680869"/>
    <w:rsid w:val="0068233E"/>
    <w:rsid w:val="00685B4B"/>
    <w:rsid w:val="00686EC2"/>
    <w:rsid w:val="006962DB"/>
    <w:rsid w:val="00696394"/>
    <w:rsid w:val="00697C97"/>
    <w:rsid w:val="00697E02"/>
    <w:rsid w:val="006A011F"/>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464D"/>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79"/>
    <w:rsid w:val="00741FFA"/>
    <w:rsid w:val="007423BD"/>
    <w:rsid w:val="007423E6"/>
    <w:rsid w:val="00742761"/>
    <w:rsid w:val="00742CC2"/>
    <w:rsid w:val="00745939"/>
    <w:rsid w:val="007459F3"/>
    <w:rsid w:val="00753402"/>
    <w:rsid w:val="007542C6"/>
    <w:rsid w:val="0075747C"/>
    <w:rsid w:val="00764771"/>
    <w:rsid w:val="007730F1"/>
    <w:rsid w:val="007744F6"/>
    <w:rsid w:val="0077777F"/>
    <w:rsid w:val="00780037"/>
    <w:rsid w:val="00782894"/>
    <w:rsid w:val="00782B9E"/>
    <w:rsid w:val="00783124"/>
    <w:rsid w:val="007853D6"/>
    <w:rsid w:val="00785892"/>
    <w:rsid w:val="00790C12"/>
    <w:rsid w:val="00790EE8"/>
    <w:rsid w:val="0079480D"/>
    <w:rsid w:val="0079639D"/>
    <w:rsid w:val="007965B7"/>
    <w:rsid w:val="007A080D"/>
    <w:rsid w:val="007A1010"/>
    <w:rsid w:val="007A28F9"/>
    <w:rsid w:val="007A5486"/>
    <w:rsid w:val="007B03FF"/>
    <w:rsid w:val="007B0A91"/>
    <w:rsid w:val="007B245C"/>
    <w:rsid w:val="007B3175"/>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7F764E"/>
    <w:rsid w:val="008011A2"/>
    <w:rsid w:val="008045A0"/>
    <w:rsid w:val="00804624"/>
    <w:rsid w:val="00806C16"/>
    <w:rsid w:val="00811FCE"/>
    <w:rsid w:val="00812900"/>
    <w:rsid w:val="00813AE3"/>
    <w:rsid w:val="00814120"/>
    <w:rsid w:val="00814C98"/>
    <w:rsid w:val="00822FAC"/>
    <w:rsid w:val="008259DF"/>
    <w:rsid w:val="00825E10"/>
    <w:rsid w:val="00826D10"/>
    <w:rsid w:val="00831D12"/>
    <w:rsid w:val="008331BA"/>
    <w:rsid w:val="00842B81"/>
    <w:rsid w:val="00844A5C"/>
    <w:rsid w:val="008512DF"/>
    <w:rsid w:val="008534A3"/>
    <w:rsid w:val="0085352B"/>
    <w:rsid w:val="00854001"/>
    <w:rsid w:val="0085464F"/>
    <w:rsid w:val="00855681"/>
    <w:rsid w:val="008605DC"/>
    <w:rsid w:val="00862C04"/>
    <w:rsid w:val="00863AB1"/>
    <w:rsid w:val="0086606E"/>
    <w:rsid w:val="00866272"/>
    <w:rsid w:val="00867162"/>
    <w:rsid w:val="0087205A"/>
    <w:rsid w:val="00876120"/>
    <w:rsid w:val="008775D1"/>
    <w:rsid w:val="008820BE"/>
    <w:rsid w:val="00883365"/>
    <w:rsid w:val="008927DF"/>
    <w:rsid w:val="008971F6"/>
    <w:rsid w:val="008A0E9A"/>
    <w:rsid w:val="008A1257"/>
    <w:rsid w:val="008A2477"/>
    <w:rsid w:val="008A70B5"/>
    <w:rsid w:val="008A7BC8"/>
    <w:rsid w:val="008B1A2E"/>
    <w:rsid w:val="008B4E71"/>
    <w:rsid w:val="008C222D"/>
    <w:rsid w:val="008C3D7F"/>
    <w:rsid w:val="008C5453"/>
    <w:rsid w:val="008C573E"/>
    <w:rsid w:val="008C6814"/>
    <w:rsid w:val="008C705E"/>
    <w:rsid w:val="008C7101"/>
    <w:rsid w:val="008C7206"/>
    <w:rsid w:val="008D45B3"/>
    <w:rsid w:val="008D58F4"/>
    <w:rsid w:val="008D66DC"/>
    <w:rsid w:val="008E0B1E"/>
    <w:rsid w:val="008E3731"/>
    <w:rsid w:val="008E5B09"/>
    <w:rsid w:val="008E77A7"/>
    <w:rsid w:val="008F17AB"/>
    <w:rsid w:val="008F6BD3"/>
    <w:rsid w:val="00900C21"/>
    <w:rsid w:val="00903521"/>
    <w:rsid w:val="00904D1E"/>
    <w:rsid w:val="0091006B"/>
    <w:rsid w:val="00910EE7"/>
    <w:rsid w:val="00912242"/>
    <w:rsid w:val="00913BE8"/>
    <w:rsid w:val="00913FEC"/>
    <w:rsid w:val="00915DBB"/>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36D8"/>
    <w:rsid w:val="0096626F"/>
    <w:rsid w:val="0096658E"/>
    <w:rsid w:val="00967844"/>
    <w:rsid w:val="009678A3"/>
    <w:rsid w:val="0097280B"/>
    <w:rsid w:val="00980840"/>
    <w:rsid w:val="009852B8"/>
    <w:rsid w:val="00990350"/>
    <w:rsid w:val="00994326"/>
    <w:rsid w:val="00996D8C"/>
    <w:rsid w:val="00997755"/>
    <w:rsid w:val="009A098F"/>
    <w:rsid w:val="009A0D29"/>
    <w:rsid w:val="009A124F"/>
    <w:rsid w:val="009A1B0D"/>
    <w:rsid w:val="009A299E"/>
    <w:rsid w:val="009A348E"/>
    <w:rsid w:val="009B00D5"/>
    <w:rsid w:val="009B1FEF"/>
    <w:rsid w:val="009B3DCB"/>
    <w:rsid w:val="009B5355"/>
    <w:rsid w:val="009C11F1"/>
    <w:rsid w:val="009C27D9"/>
    <w:rsid w:val="009C2FCF"/>
    <w:rsid w:val="009C6426"/>
    <w:rsid w:val="009D02B8"/>
    <w:rsid w:val="009D3988"/>
    <w:rsid w:val="009D663A"/>
    <w:rsid w:val="009D7FA3"/>
    <w:rsid w:val="009E0550"/>
    <w:rsid w:val="009E095D"/>
    <w:rsid w:val="009E3148"/>
    <w:rsid w:val="009E6BF7"/>
    <w:rsid w:val="009E6DD9"/>
    <w:rsid w:val="009E6EA1"/>
    <w:rsid w:val="009E79A3"/>
    <w:rsid w:val="009F1222"/>
    <w:rsid w:val="009F271A"/>
    <w:rsid w:val="009F401B"/>
    <w:rsid w:val="009F5812"/>
    <w:rsid w:val="009F601D"/>
    <w:rsid w:val="009F7B3B"/>
    <w:rsid w:val="00A00EAD"/>
    <w:rsid w:val="00A020E6"/>
    <w:rsid w:val="00A022FA"/>
    <w:rsid w:val="00A0571E"/>
    <w:rsid w:val="00A11825"/>
    <w:rsid w:val="00A1195A"/>
    <w:rsid w:val="00A1273D"/>
    <w:rsid w:val="00A14889"/>
    <w:rsid w:val="00A15E07"/>
    <w:rsid w:val="00A16E4D"/>
    <w:rsid w:val="00A21AF7"/>
    <w:rsid w:val="00A31439"/>
    <w:rsid w:val="00A32E71"/>
    <w:rsid w:val="00A3590B"/>
    <w:rsid w:val="00A37599"/>
    <w:rsid w:val="00A37B51"/>
    <w:rsid w:val="00A425AD"/>
    <w:rsid w:val="00A4462E"/>
    <w:rsid w:val="00A463F8"/>
    <w:rsid w:val="00A4752B"/>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87B34"/>
    <w:rsid w:val="00A9124D"/>
    <w:rsid w:val="00A94C10"/>
    <w:rsid w:val="00A94D22"/>
    <w:rsid w:val="00A95040"/>
    <w:rsid w:val="00A959B3"/>
    <w:rsid w:val="00A96AAE"/>
    <w:rsid w:val="00AA0C32"/>
    <w:rsid w:val="00AA1840"/>
    <w:rsid w:val="00AA417D"/>
    <w:rsid w:val="00AA4F6C"/>
    <w:rsid w:val="00AA61D9"/>
    <w:rsid w:val="00AA7F6C"/>
    <w:rsid w:val="00AB2016"/>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01A0"/>
    <w:rsid w:val="00B124EA"/>
    <w:rsid w:val="00B14944"/>
    <w:rsid w:val="00B14B92"/>
    <w:rsid w:val="00B14F1F"/>
    <w:rsid w:val="00B172A0"/>
    <w:rsid w:val="00B227EA"/>
    <w:rsid w:val="00B239E2"/>
    <w:rsid w:val="00B31D91"/>
    <w:rsid w:val="00B33636"/>
    <w:rsid w:val="00B33867"/>
    <w:rsid w:val="00B3478A"/>
    <w:rsid w:val="00B3530C"/>
    <w:rsid w:val="00B36E03"/>
    <w:rsid w:val="00B403EA"/>
    <w:rsid w:val="00B41CDB"/>
    <w:rsid w:val="00B43F58"/>
    <w:rsid w:val="00B45742"/>
    <w:rsid w:val="00B523FD"/>
    <w:rsid w:val="00B52818"/>
    <w:rsid w:val="00B54123"/>
    <w:rsid w:val="00B55085"/>
    <w:rsid w:val="00B57D80"/>
    <w:rsid w:val="00B60B16"/>
    <w:rsid w:val="00B62589"/>
    <w:rsid w:val="00B66941"/>
    <w:rsid w:val="00B7000E"/>
    <w:rsid w:val="00B70056"/>
    <w:rsid w:val="00B71203"/>
    <w:rsid w:val="00B73294"/>
    <w:rsid w:val="00B738CE"/>
    <w:rsid w:val="00B74E74"/>
    <w:rsid w:val="00B864B3"/>
    <w:rsid w:val="00B86F7D"/>
    <w:rsid w:val="00B87414"/>
    <w:rsid w:val="00B9349D"/>
    <w:rsid w:val="00B94224"/>
    <w:rsid w:val="00B96D77"/>
    <w:rsid w:val="00B96EB7"/>
    <w:rsid w:val="00B97CC4"/>
    <w:rsid w:val="00BA3111"/>
    <w:rsid w:val="00BA6EEC"/>
    <w:rsid w:val="00BB070E"/>
    <w:rsid w:val="00BB0EE2"/>
    <w:rsid w:val="00BB36F5"/>
    <w:rsid w:val="00BC1747"/>
    <w:rsid w:val="00BC27A7"/>
    <w:rsid w:val="00BC54AB"/>
    <w:rsid w:val="00BC6025"/>
    <w:rsid w:val="00BC60C2"/>
    <w:rsid w:val="00BD4347"/>
    <w:rsid w:val="00BD437C"/>
    <w:rsid w:val="00BE1AD1"/>
    <w:rsid w:val="00BE1DAF"/>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1442"/>
    <w:rsid w:val="00C51729"/>
    <w:rsid w:val="00C52473"/>
    <w:rsid w:val="00C52BBD"/>
    <w:rsid w:val="00C56B37"/>
    <w:rsid w:val="00C56D06"/>
    <w:rsid w:val="00C62A3C"/>
    <w:rsid w:val="00C676E8"/>
    <w:rsid w:val="00C70063"/>
    <w:rsid w:val="00C73D4D"/>
    <w:rsid w:val="00C755F1"/>
    <w:rsid w:val="00C818A3"/>
    <w:rsid w:val="00C82A73"/>
    <w:rsid w:val="00C83074"/>
    <w:rsid w:val="00C83428"/>
    <w:rsid w:val="00C83470"/>
    <w:rsid w:val="00C84283"/>
    <w:rsid w:val="00C86A64"/>
    <w:rsid w:val="00C87415"/>
    <w:rsid w:val="00C92538"/>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C036A"/>
    <w:rsid w:val="00CC2EEE"/>
    <w:rsid w:val="00CC51C7"/>
    <w:rsid w:val="00CC66BE"/>
    <w:rsid w:val="00CC6D33"/>
    <w:rsid w:val="00CC7B71"/>
    <w:rsid w:val="00CD0945"/>
    <w:rsid w:val="00CE42C2"/>
    <w:rsid w:val="00CE439D"/>
    <w:rsid w:val="00CE4DF9"/>
    <w:rsid w:val="00CF25A1"/>
    <w:rsid w:val="00CF3A7A"/>
    <w:rsid w:val="00D000D0"/>
    <w:rsid w:val="00D0041E"/>
    <w:rsid w:val="00D026A5"/>
    <w:rsid w:val="00D04716"/>
    <w:rsid w:val="00D05BD4"/>
    <w:rsid w:val="00D0661E"/>
    <w:rsid w:val="00D107B7"/>
    <w:rsid w:val="00D11AF6"/>
    <w:rsid w:val="00D12BAF"/>
    <w:rsid w:val="00D1468B"/>
    <w:rsid w:val="00D15E24"/>
    <w:rsid w:val="00D161DC"/>
    <w:rsid w:val="00D1634B"/>
    <w:rsid w:val="00D1685A"/>
    <w:rsid w:val="00D169E7"/>
    <w:rsid w:val="00D17036"/>
    <w:rsid w:val="00D20202"/>
    <w:rsid w:val="00D25498"/>
    <w:rsid w:val="00D31E98"/>
    <w:rsid w:val="00D34F52"/>
    <w:rsid w:val="00D37A25"/>
    <w:rsid w:val="00D37C30"/>
    <w:rsid w:val="00D46BF9"/>
    <w:rsid w:val="00D5051B"/>
    <w:rsid w:val="00D52E14"/>
    <w:rsid w:val="00D55465"/>
    <w:rsid w:val="00D60FF1"/>
    <w:rsid w:val="00D6198E"/>
    <w:rsid w:val="00D62DF8"/>
    <w:rsid w:val="00D65555"/>
    <w:rsid w:val="00D71673"/>
    <w:rsid w:val="00D7221D"/>
    <w:rsid w:val="00D72DCD"/>
    <w:rsid w:val="00D72FBC"/>
    <w:rsid w:val="00D735E3"/>
    <w:rsid w:val="00D73916"/>
    <w:rsid w:val="00D756D2"/>
    <w:rsid w:val="00D821FD"/>
    <w:rsid w:val="00D9312D"/>
    <w:rsid w:val="00D93A6F"/>
    <w:rsid w:val="00D97D8E"/>
    <w:rsid w:val="00DA0D4D"/>
    <w:rsid w:val="00DA1AC4"/>
    <w:rsid w:val="00DA3896"/>
    <w:rsid w:val="00DA396F"/>
    <w:rsid w:val="00DA3997"/>
    <w:rsid w:val="00DA3F3D"/>
    <w:rsid w:val="00DA47AF"/>
    <w:rsid w:val="00DA4907"/>
    <w:rsid w:val="00DA4DCC"/>
    <w:rsid w:val="00DA708C"/>
    <w:rsid w:val="00DA7ACD"/>
    <w:rsid w:val="00DB2340"/>
    <w:rsid w:val="00DB3D58"/>
    <w:rsid w:val="00DB4187"/>
    <w:rsid w:val="00DB5355"/>
    <w:rsid w:val="00DC5ECF"/>
    <w:rsid w:val="00DC66B3"/>
    <w:rsid w:val="00DC7B2C"/>
    <w:rsid w:val="00DD0142"/>
    <w:rsid w:val="00DD3986"/>
    <w:rsid w:val="00DD4CAB"/>
    <w:rsid w:val="00DD5AC2"/>
    <w:rsid w:val="00DD7AD5"/>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4B"/>
    <w:rsid w:val="00E27624"/>
    <w:rsid w:val="00E3088D"/>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5419"/>
    <w:rsid w:val="00E666FE"/>
    <w:rsid w:val="00E7107D"/>
    <w:rsid w:val="00E71274"/>
    <w:rsid w:val="00E74CF2"/>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445B"/>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30C0"/>
    <w:rsid w:val="00F15743"/>
    <w:rsid w:val="00F159B3"/>
    <w:rsid w:val="00F15B0F"/>
    <w:rsid w:val="00F15F8F"/>
    <w:rsid w:val="00F238FC"/>
    <w:rsid w:val="00F24415"/>
    <w:rsid w:val="00F25C20"/>
    <w:rsid w:val="00F2626A"/>
    <w:rsid w:val="00F31D8E"/>
    <w:rsid w:val="00F338BB"/>
    <w:rsid w:val="00F36732"/>
    <w:rsid w:val="00F36AE9"/>
    <w:rsid w:val="00F36F0E"/>
    <w:rsid w:val="00F4613F"/>
    <w:rsid w:val="00F4650B"/>
    <w:rsid w:val="00F4753A"/>
    <w:rsid w:val="00F5199C"/>
    <w:rsid w:val="00F52E5B"/>
    <w:rsid w:val="00F534F3"/>
    <w:rsid w:val="00F53D11"/>
    <w:rsid w:val="00F54B43"/>
    <w:rsid w:val="00F56B30"/>
    <w:rsid w:val="00F576F3"/>
    <w:rsid w:val="00F61167"/>
    <w:rsid w:val="00F61B8C"/>
    <w:rsid w:val="00F654B3"/>
    <w:rsid w:val="00F67E91"/>
    <w:rsid w:val="00F70AE1"/>
    <w:rsid w:val="00F70D20"/>
    <w:rsid w:val="00F72C33"/>
    <w:rsid w:val="00F76360"/>
    <w:rsid w:val="00F772D5"/>
    <w:rsid w:val="00F77DCA"/>
    <w:rsid w:val="00F80546"/>
    <w:rsid w:val="00F80D83"/>
    <w:rsid w:val="00F8165C"/>
    <w:rsid w:val="00F8319B"/>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55A1"/>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s-ES"/>
    </w:rPr>
  </w:style>
  <w:style w:type="character" w:styleId="FootnoteReference">
    <w:name w:val="footnote reference"/>
    <w:rsid w:val="00F80546"/>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es-E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s-ES" w:eastAsia="es-E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s-ES" w:eastAsia="es-ES"/>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customStyle="1" w:styleId="ColorfulList-Accent11">
    <w:name w:val="Colorful List - Accent 11"/>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es-ES"/>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ListParagraph">
    <w:name w:val="List Paragraph"/>
    <w:basedOn w:val="Normal"/>
    <w:uiPriority w:val="34"/>
    <w:qFormat/>
    <w:rsid w:val="00DF3083"/>
    <w:pPr>
      <w:ind w:left="720"/>
      <w:contextualSpacing/>
    </w:pPr>
  </w:style>
  <w:style w:type="character" w:styleId="Emphasis">
    <w:name w:val="Emphasis"/>
    <w:uiPriority w:val="20"/>
    <w:qFormat/>
    <w:rsid w:val="00942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03152802">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ess@eesc.europa.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mailto:andrew.gardner@cor.europa.e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SNS6YXTC77FS-9-271</_dlc_DocId>
    <_dlc_DocIdUrl xmlns="9f264e46-9252-4f01-a3b2-4cb67eb6fc3c">
      <Url>http://dm/EESC/2015/_layouts/DocIdRedir.aspx?ID=SNS6YXTC77FS-9-271</Url>
      <Description>SNS6YXTC77FS-9-271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2015-11-23T12:00:00+00:00</ProductionDate>
    <DocumentNumber xmlns="ae52afa4-c322-454e-8472-1d2b1900674c">6138</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17</Value>
      <Value>16</Value>
      <Value>38</Value>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11511</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57FA50DE-30E8-429C-9347-389B7573CD32}">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sharepoint/v3/fields"/>
    <ds:schemaRef ds:uri="ae52afa4-c322-454e-8472-1d2b1900674c"/>
    <ds:schemaRef ds:uri="http://schemas.microsoft.com/office/infopath/2007/PartnerControls"/>
    <ds:schemaRef ds:uri="http://purl.org/dc/terms/"/>
    <ds:schemaRef ds:uri="9f264e46-9252-4f01-a3b2-4cb67eb6fc3c"/>
    <ds:schemaRef ds:uri="http://www.w3.org/XML/1998/namespace"/>
    <ds:schemaRef ds:uri="http://purl.org/dc/dcmitype/"/>
  </ds:schemaRefs>
</ds:datastoreItem>
</file>

<file path=customXml/itemProps4.xml><?xml version="1.0" encoding="utf-8"?>
<ds:datastoreItem xmlns:ds="http://schemas.openxmlformats.org/officeDocument/2006/customXml" ds:itemID="{81DAA3A5-2C0A-4D29-A900-1F0AB875D524}">
  <ds:schemaRefs>
    <ds:schemaRef ds:uri="http://schemas.microsoft.com/sharepoint/events"/>
  </ds:schemaRefs>
</ds:datastoreItem>
</file>

<file path=customXml/itemProps5.xml><?xml version="1.0" encoding="utf-8"?>
<ds:datastoreItem xmlns:ds="http://schemas.openxmlformats.org/officeDocument/2006/customXml" ds:itemID="{E58E24F9-9B19-48A7-8571-5997C9BD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B425A0-2FB1-4A37-BB7D-8EC69C8D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730</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URGENTE CP 70 ES conjunto CESE-CDR_PR-COP21</vt:lpstr>
    </vt:vector>
  </TitlesOfParts>
  <Company>CESE-CdR</Company>
  <LinksUpToDate>false</LinksUpToDate>
  <CharactersWithSpaces>4857</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70 ES conjunto CESE-CDR_PR-COP21</dc:title>
  <dc:subject>Comunicado de prensa</dc:subject>
  <cp:lastModifiedBy>Agata Berdys</cp:lastModifiedBy>
  <cp:revision>2</cp:revision>
  <cp:lastPrinted>2015-11-20T09:06:00Z</cp:lastPrinted>
  <dcterms:created xsi:type="dcterms:W3CDTF">2015-11-24T13:05:00Z</dcterms:created>
  <dcterms:modified xsi:type="dcterms:W3CDTF">2015-11-24T13:05:00Z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20/11/2015</vt:lpwstr>
  </property>
  <property fmtid="{D5CDD505-2E9C-101B-9397-08002B2CF9AE}" pid="7" name="Pref_Time">
    <vt:lpwstr>17:01:09</vt:lpwstr>
  </property>
  <property fmtid="{D5CDD505-2E9C-101B-9397-08002B2CF9AE}" pid="8" name="Pref_User">
    <vt:lpwstr>jhvi</vt:lpwstr>
  </property>
  <property fmtid="{D5CDD505-2E9C-101B-9397-08002B2CF9AE}" pid="9" name="Pref_FileName">
    <vt:lpwstr>EESC-2015-06138-00-00-CP-ORI.docx</vt:lpwstr>
  </property>
  <property fmtid="{D5CDD505-2E9C-101B-9397-08002B2CF9AE}" pid="10" name="_dlc_DocIdItemGuid">
    <vt:lpwstr>fba71335-11bb-4316-b62a-a2bb720eebdc</vt:lpwstr>
  </property>
  <property fmtid="{D5CDD505-2E9C-101B-9397-08002B2CF9AE}" pid="11" name="DocumentType_0">
    <vt:lpwstr>CP|de8ad211-9e8d-408b-8324-674d21bb7d18</vt:lpwstr>
  </property>
  <property fmtid="{D5CDD505-2E9C-101B-9397-08002B2CF9AE}" pid="12" name="AvailableTranslations">
    <vt:lpwstr>4;#FR|d2afafd3-4c81-4f60-8f52-ee33f2f54ff3;#38;#IT|0774613c-01ed-4e5d-a25d-11d2388de825;#9;#EN|f2175f21-25d7-44a3-96da-d6a61b075e1b;#16;#PL|1e03da61-4678-4e07-b136-b5024ca9197b;#17;#ES|e7a6b05b-ae16-40c8-add9-68b64b03aeba;#20;#DE|f6b31e5a-26fa-4935-b661-3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6138</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120;#Final|ea5e6674-7b27-4bac-b091-73adbb394efe;#9;#EN|f2175f21-25d7-44a3-96da-d6a61b075e1b;#5;#Unrestricted|826e22d7-d029-4ec0-a450-0c28ff673572;#34;#CP|de8ad211-9e8d-408b-8324-674d21bb7d18;#2;#TRA|150d2a88-1431-44e6-a8ca-0bb753ab8672;#1;#EESC|422833ec-8</vt:lpwstr>
  </property>
  <property fmtid="{D5CDD505-2E9C-101B-9397-08002B2CF9AE}" pid="32" name="AvailableTranslations_0">
    <vt:lpwstr>EN|f2175f21-25d7-44a3-96da-d6a61b075e1b</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11511</vt:i4>
  </property>
  <property fmtid="{D5CDD505-2E9C-101B-9397-08002B2CF9AE}" pid="36" name="DocumentYear">
    <vt:i4>2015</vt:i4>
  </property>
  <property fmtid="{D5CDD505-2E9C-101B-9397-08002B2CF9AE}" pid="37" name="DocumentLanguage">
    <vt:lpwstr>17;#ES|e7a6b05b-ae16-40c8-add9-68b64b03aeba</vt:lpwstr>
  </property>
</Properties>
</file>