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ED2277" w:rsidRDefault="003B7AE3" w:rsidP="003B7AE3">
      <w:pPr>
        <w:jc w:val="center"/>
      </w:pPr>
      <w:bookmarkStart w:id="0" w:name="_GoBack"/>
      <w:bookmarkEnd w:id="0"/>
      <w:r w:rsidRPr="00ED2277">
        <w:rPr>
          <w:noProof/>
          <w:lang w:val="fr-BE" w:eastAsia="fr-BE" w:bidi="ar-SA"/>
        </w:rPr>
        <w:drawing>
          <wp:inline distT="0" distB="0" distL="0" distR="0" wp14:anchorId="0F04FD0B" wp14:editId="4D6C46F8">
            <wp:extent cx="571500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139065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8820BE" w:rsidRPr="00ED2277">
        <w:trPr>
          <w:cantSplit/>
        </w:trPr>
        <w:tc>
          <w:tcPr>
            <w:tcW w:w="5168" w:type="dxa"/>
          </w:tcPr>
          <w:p w:rsidR="0070012D" w:rsidRPr="00ED2277" w:rsidRDefault="001F2DFD" w:rsidP="00007BD3">
            <w:pPr>
              <w:spacing w:line="240" w:lineRule="auto"/>
              <w:rPr>
                <w:rFonts w:ascii="Verdana" w:hAnsi="Verdana"/>
                <w:b/>
                <w:bCs/>
                <w:sz w:val="18"/>
                <w:szCs w:val="18"/>
              </w:rPr>
            </w:pPr>
            <w:r w:rsidRPr="00ED2277">
              <w:rPr>
                <w:rFonts w:ascii="Verdana" w:hAnsi="Verdana"/>
                <w:b/>
                <w:sz w:val="18"/>
              </w:rPr>
              <w:t>N° 66/2015</w:t>
            </w:r>
          </w:p>
        </w:tc>
        <w:tc>
          <w:tcPr>
            <w:tcW w:w="4119" w:type="dxa"/>
          </w:tcPr>
          <w:p w:rsidR="008820BE" w:rsidRPr="00ED2277" w:rsidRDefault="00DF3164" w:rsidP="000716CB">
            <w:pPr>
              <w:spacing w:line="240" w:lineRule="auto"/>
              <w:jc w:val="right"/>
              <w:rPr>
                <w:rFonts w:ascii="Verdana" w:hAnsi="Verdana"/>
                <w:b/>
                <w:bCs/>
                <w:sz w:val="18"/>
                <w:szCs w:val="18"/>
              </w:rPr>
            </w:pPr>
            <w:r w:rsidRPr="00ED2277">
              <w:rPr>
                <w:rFonts w:ascii="Verdana" w:hAnsi="Verdana"/>
                <w:b/>
                <w:sz w:val="18"/>
              </w:rPr>
              <w:t>18 novembre 2015</w:t>
            </w:r>
          </w:p>
        </w:tc>
      </w:tr>
    </w:tbl>
    <w:p w:rsidR="008820BE" w:rsidRPr="00ED2277" w:rsidRDefault="00CA2C5C" w:rsidP="00473E94">
      <w:pPr>
        <w:spacing w:line="240" w:lineRule="auto"/>
        <w:rPr>
          <w:rFonts w:ascii="Verdana" w:hAnsi="Verdana"/>
          <w:sz w:val="20"/>
        </w:rPr>
        <w:sectPr w:rsidR="008820BE" w:rsidRPr="00ED2277" w:rsidSect="00B95A18">
          <w:footerReference w:type="default" r:id="rId15"/>
          <w:pgSz w:w="11907" w:h="16839" w:code="9"/>
          <w:pgMar w:top="425" w:right="1418" w:bottom="1418" w:left="1418" w:header="3062" w:footer="454" w:gutter="0"/>
          <w:cols w:space="720"/>
          <w:docGrid w:linePitch="299"/>
        </w:sectPr>
      </w:pPr>
      <w:r w:rsidRPr="00ED2277">
        <w:rPr>
          <w:noProof/>
          <w:lang w:val="fr-BE" w:eastAsia="fr-BE" w:bidi="ar-SA"/>
        </w:rPr>
        <mc:AlternateContent>
          <mc:Choice Requires="wps">
            <w:drawing>
              <wp:anchor distT="0" distB="0" distL="114300" distR="114300" simplePos="0" relativeHeight="251657728" behindDoc="1" locked="0" layoutInCell="0" allowOverlap="1" wp14:anchorId="4DEB65DE" wp14:editId="5AAFE451">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E91D8B" w:rsidRPr="00ED2277" w:rsidRDefault="00E91D8B" w:rsidP="000716CB">
      <w:pPr>
        <w:jc w:val="center"/>
        <w:rPr>
          <w:rFonts w:ascii="Verdana" w:hAnsi="Verdana"/>
          <w:b/>
          <w:sz w:val="28"/>
          <w:szCs w:val="28"/>
        </w:rPr>
      </w:pPr>
    </w:p>
    <w:p w:rsidR="00E91D8B" w:rsidRPr="00ED2277" w:rsidRDefault="00E91D8B" w:rsidP="000716CB">
      <w:pPr>
        <w:jc w:val="center"/>
        <w:rPr>
          <w:rFonts w:ascii="Verdana" w:hAnsi="Verdana"/>
          <w:b/>
          <w:sz w:val="28"/>
          <w:szCs w:val="28"/>
        </w:rPr>
      </w:pPr>
    </w:p>
    <w:p w:rsidR="00BF5A0B" w:rsidRPr="00ED2277" w:rsidRDefault="000716CB" w:rsidP="000716CB">
      <w:pPr>
        <w:jc w:val="center"/>
        <w:rPr>
          <w:rFonts w:ascii="Verdana" w:hAnsi="Verdana"/>
          <w:b/>
          <w:color w:val="0070C0"/>
          <w:sz w:val="28"/>
          <w:szCs w:val="28"/>
        </w:rPr>
      </w:pPr>
      <w:r w:rsidRPr="00ED2277">
        <w:rPr>
          <w:rFonts w:ascii="Verdana" w:hAnsi="Verdana"/>
          <w:b/>
          <w:color w:val="0070C0"/>
          <w:sz w:val="28"/>
        </w:rPr>
        <w:t>M. Georges Dassis, président du CESE, et M. Sandro </w:t>
      </w:r>
      <w:proofErr w:type="spellStart"/>
      <w:r w:rsidRPr="00ED2277">
        <w:rPr>
          <w:rFonts w:ascii="Verdana" w:hAnsi="Verdana"/>
          <w:b/>
          <w:color w:val="0070C0"/>
          <w:sz w:val="28"/>
        </w:rPr>
        <w:t>Gozi</w:t>
      </w:r>
      <w:proofErr w:type="spellEnd"/>
      <w:r w:rsidRPr="00ED2277">
        <w:rPr>
          <w:rFonts w:ascii="Verdana" w:hAnsi="Verdana"/>
          <w:b/>
          <w:color w:val="0070C0"/>
          <w:sz w:val="28"/>
        </w:rPr>
        <w:t>, secrétaire d’État italien, discutent de l’achèvement de</w:t>
      </w:r>
      <w:r w:rsidR="003B7AE3" w:rsidRPr="00ED2277">
        <w:rPr>
          <w:rFonts w:ascii="Verdana" w:hAnsi="Verdana"/>
          <w:b/>
          <w:color w:val="0070C0"/>
          <w:sz w:val="28"/>
        </w:rPr>
        <w:t> </w:t>
      </w:r>
      <w:r w:rsidRPr="00ED2277">
        <w:rPr>
          <w:rFonts w:ascii="Verdana" w:hAnsi="Verdana"/>
          <w:b/>
          <w:color w:val="0070C0"/>
          <w:sz w:val="28"/>
        </w:rPr>
        <w:t>l’UEM pour soutenir l’intégration européenne</w:t>
      </w:r>
    </w:p>
    <w:p w:rsidR="000716CB" w:rsidRPr="00ED2277" w:rsidRDefault="000716CB" w:rsidP="00E91D8B">
      <w:pPr>
        <w:spacing w:line="240" w:lineRule="auto"/>
        <w:jc w:val="center"/>
        <w:rPr>
          <w:rFonts w:ascii="Verdana" w:hAnsi="Verdana"/>
          <w:sz w:val="28"/>
          <w:szCs w:val="28"/>
        </w:rPr>
      </w:pPr>
    </w:p>
    <w:p w:rsidR="000716CB" w:rsidRPr="00ED2277" w:rsidRDefault="000716CB" w:rsidP="00E91D8B">
      <w:pPr>
        <w:spacing w:line="240" w:lineRule="auto"/>
        <w:jc w:val="center"/>
        <w:rPr>
          <w:rFonts w:ascii="Verdana" w:hAnsi="Verdana"/>
          <w:sz w:val="28"/>
          <w:szCs w:val="28"/>
        </w:rPr>
      </w:pPr>
    </w:p>
    <w:p w:rsidR="003C727E" w:rsidRPr="00ED2277" w:rsidRDefault="00B5720B" w:rsidP="000716CB">
      <w:pPr>
        <w:spacing w:line="240" w:lineRule="auto"/>
        <w:rPr>
          <w:rFonts w:ascii="Verdana" w:hAnsi="Verdana"/>
          <w:b/>
          <w:sz w:val="18"/>
          <w:szCs w:val="18"/>
        </w:rPr>
      </w:pPr>
      <w:r w:rsidRPr="00ED2277">
        <w:rPr>
          <w:rFonts w:ascii="Verdana" w:hAnsi="Verdana"/>
          <w:b/>
          <w:sz w:val="18"/>
        </w:rPr>
        <w:t>Hier, M. Georges Dassis, président du CESE, a rencontré M. Sandro </w:t>
      </w:r>
      <w:proofErr w:type="spellStart"/>
      <w:r w:rsidRPr="00ED2277">
        <w:rPr>
          <w:rFonts w:ascii="Verdana" w:hAnsi="Verdana"/>
          <w:b/>
          <w:sz w:val="18"/>
        </w:rPr>
        <w:t>Gozi</w:t>
      </w:r>
      <w:proofErr w:type="spellEnd"/>
      <w:r w:rsidRPr="00ED2277">
        <w:rPr>
          <w:rFonts w:ascii="Verdana" w:hAnsi="Verdana"/>
          <w:b/>
          <w:sz w:val="18"/>
        </w:rPr>
        <w:t>, secrétaire d’État italien à la présidence du Conseil des ministres, chargé des affaires européennes, en présence de M. Joost van Iersel, président de la section «Union économique et monétaire, cohésion économique et sociale» (ECO) du CESE, et de M. Carmelo Cedrone, vice-président de la section. La réunion a porté sur le processus de l’intégration européenne et plus particulièrement l’achèvement de l’Union économique et monétaire (UEM), à la lumière du récent rapport des cinq présidents (</w:t>
      </w:r>
      <w:hyperlink r:id="rId16">
        <w:r w:rsidRPr="00ED2277">
          <w:rPr>
            <w:rStyle w:val="Hyperlink"/>
            <w:rFonts w:ascii="Verdana" w:hAnsi="Verdana"/>
            <w:b/>
            <w:sz w:val="18"/>
          </w:rPr>
          <w:t>http://ec.europa.eu/priorities/economic-monetary-union/docs/5-presidents-report_fr.pdf</w:t>
        </w:r>
      </w:hyperlink>
      <w:r w:rsidRPr="00ED2277">
        <w:rPr>
          <w:rFonts w:ascii="Verdana" w:hAnsi="Verdana"/>
          <w:b/>
          <w:sz w:val="18"/>
        </w:rPr>
        <w:t>) et du paquet de mesures élaboré par la Commission pour approfondir l’UEM (</w:t>
      </w:r>
      <w:hyperlink r:id="rId17">
        <w:r w:rsidRPr="00ED2277">
          <w:rPr>
            <w:rStyle w:val="Hyperlink"/>
            <w:rFonts w:ascii="Verdana" w:hAnsi="Verdana"/>
            <w:b/>
            <w:sz w:val="18"/>
          </w:rPr>
          <w:t>http://ec.europa.eu/priorities/economic-monetary-union</w:t>
        </w:r>
      </w:hyperlink>
      <w:r w:rsidRPr="00ED2277">
        <w:rPr>
          <w:rFonts w:ascii="Verdana" w:hAnsi="Verdana"/>
          <w:b/>
          <w:sz w:val="18"/>
        </w:rPr>
        <w:t>).</w:t>
      </w:r>
    </w:p>
    <w:p w:rsidR="003C727E" w:rsidRPr="00ED2277" w:rsidRDefault="003C727E" w:rsidP="000716CB">
      <w:pPr>
        <w:spacing w:line="240" w:lineRule="auto"/>
        <w:rPr>
          <w:rFonts w:ascii="Verdana" w:hAnsi="Verdana"/>
          <w:sz w:val="18"/>
          <w:szCs w:val="18"/>
        </w:rPr>
      </w:pPr>
    </w:p>
    <w:p w:rsidR="000716CB" w:rsidRPr="00ED2277" w:rsidRDefault="000716CB" w:rsidP="009E703D">
      <w:pPr>
        <w:spacing w:line="240" w:lineRule="auto"/>
        <w:rPr>
          <w:rFonts w:ascii="Verdana" w:hAnsi="Verdana"/>
          <w:sz w:val="18"/>
          <w:szCs w:val="18"/>
        </w:rPr>
      </w:pPr>
      <w:r w:rsidRPr="00ED2277">
        <w:rPr>
          <w:rFonts w:ascii="Verdana" w:hAnsi="Verdana"/>
          <w:sz w:val="18"/>
        </w:rPr>
        <w:t xml:space="preserve">Le </w:t>
      </w:r>
      <w:r w:rsidRPr="00ED2277">
        <w:rPr>
          <w:rFonts w:ascii="Verdana" w:hAnsi="Verdana"/>
          <w:b/>
          <w:sz w:val="18"/>
        </w:rPr>
        <w:t>président Dassis</w:t>
      </w:r>
      <w:r w:rsidRPr="00ED2277">
        <w:rPr>
          <w:rFonts w:ascii="Verdana" w:hAnsi="Verdana"/>
          <w:sz w:val="18"/>
        </w:rPr>
        <w:t xml:space="preserve"> a précisé: «</w:t>
      </w:r>
      <w:r w:rsidRPr="00ED2277">
        <w:rPr>
          <w:rFonts w:ascii="Verdana" w:hAnsi="Verdana"/>
          <w:i/>
          <w:sz w:val="18"/>
        </w:rPr>
        <w:t>Compte tenu de la période difficile que nos citoyens de l’Union traversent actuellement, l’Europe a besoin d’un nouvel élan. L’achèvement de l’UEM est indispensable pour rétablir la confiance dans le projet européen. Le moment est venu de prendre des mesures concrètes.»</w:t>
      </w:r>
      <w:r w:rsidRPr="00ED2277">
        <w:rPr>
          <w:rFonts w:ascii="Verdana" w:hAnsi="Verdana"/>
          <w:sz w:val="18"/>
        </w:rPr>
        <w:t xml:space="preserve"> Pour </w:t>
      </w:r>
      <w:r w:rsidRPr="00ED2277">
        <w:rPr>
          <w:rFonts w:ascii="Verdana" w:hAnsi="Verdana"/>
          <w:b/>
          <w:sz w:val="18"/>
        </w:rPr>
        <w:t>M. van Iersel</w:t>
      </w:r>
      <w:r w:rsidRPr="00ED2277">
        <w:rPr>
          <w:rFonts w:ascii="Verdana" w:hAnsi="Verdana"/>
          <w:sz w:val="18"/>
        </w:rPr>
        <w:t xml:space="preserve">, «associer le processus de décision économique à un pilier politique et institutionnel de l'UEM est essentiel si l'on veut stimuler l'économie, créer des emplois et renforcer l'UE dans son ensemble; le coût de la non-Europe est tout simplement trop élevé dans la situation actuelle de l'Union». </w:t>
      </w:r>
      <w:r w:rsidRPr="00ED2277">
        <w:rPr>
          <w:rFonts w:ascii="Verdana" w:hAnsi="Verdana"/>
          <w:i/>
          <w:sz w:val="18"/>
        </w:rPr>
        <w:t>«Il est essentiel d’établir la croissance en tant que priorité absolue de l’Union et d'aborder la question des limites de l’UEM en créant une architecture constitutionnelle, tout au moins dans la zone euro. Cela signifie qu’il faut achever le pilier économique, le pilier politique et le pilier social de l’UEM»</w:t>
      </w:r>
      <w:r w:rsidRPr="00ED2277">
        <w:rPr>
          <w:rFonts w:ascii="Verdana" w:hAnsi="Verdana"/>
          <w:sz w:val="18"/>
        </w:rPr>
        <w:t xml:space="preserve">, a déclaré </w:t>
      </w:r>
      <w:r w:rsidRPr="00ED2277">
        <w:rPr>
          <w:rFonts w:ascii="Verdana" w:hAnsi="Verdana"/>
          <w:b/>
          <w:sz w:val="18"/>
        </w:rPr>
        <w:t>M. Carmelo Cedrone</w:t>
      </w:r>
      <w:r w:rsidRPr="00ED2277">
        <w:rPr>
          <w:rFonts w:ascii="Verdana" w:hAnsi="Verdana"/>
          <w:sz w:val="18"/>
        </w:rPr>
        <w:t xml:space="preserve">. M. van Iersel et M. Cedrone sont les </w:t>
      </w:r>
      <w:proofErr w:type="spellStart"/>
      <w:r w:rsidRPr="00ED2277">
        <w:rPr>
          <w:rFonts w:ascii="Verdana" w:hAnsi="Verdana"/>
          <w:sz w:val="18"/>
        </w:rPr>
        <w:t>corapporteurs</w:t>
      </w:r>
      <w:proofErr w:type="spellEnd"/>
      <w:r w:rsidRPr="00ED2277">
        <w:rPr>
          <w:rFonts w:ascii="Verdana" w:hAnsi="Verdana"/>
          <w:sz w:val="18"/>
        </w:rPr>
        <w:t xml:space="preserve"> des avis du CESE intitulés «</w:t>
      </w:r>
      <w:hyperlink r:id="rId18">
        <w:r w:rsidRPr="00ED2277">
          <w:rPr>
            <w:rStyle w:val="Hyperlink"/>
            <w:rFonts w:ascii="Verdana" w:hAnsi="Verdana"/>
            <w:sz w:val="18"/>
          </w:rPr>
          <w:t>Achever l'UEM: le pilier politique</w:t>
        </w:r>
      </w:hyperlink>
      <w:r w:rsidRPr="00ED2277">
        <w:t>» et «</w:t>
      </w:r>
      <w:hyperlink r:id="rId19">
        <w:r w:rsidRPr="00ED2277">
          <w:rPr>
            <w:rStyle w:val="Hyperlink"/>
            <w:rFonts w:ascii="Verdana" w:hAnsi="Verdana"/>
            <w:sz w:val="18"/>
          </w:rPr>
          <w:t>Achever l'UEM: la prochaine législature européenne</w:t>
        </w:r>
      </w:hyperlink>
      <w:r w:rsidRPr="00ED2277">
        <w:t>».</w:t>
      </w:r>
    </w:p>
    <w:p w:rsidR="000716CB" w:rsidRPr="00ED2277" w:rsidRDefault="000716CB" w:rsidP="000716CB">
      <w:pPr>
        <w:spacing w:line="240" w:lineRule="auto"/>
        <w:rPr>
          <w:rFonts w:ascii="Verdana" w:hAnsi="Verdana"/>
          <w:sz w:val="18"/>
          <w:szCs w:val="18"/>
        </w:rPr>
      </w:pPr>
    </w:p>
    <w:p w:rsidR="00B36AE1" w:rsidRPr="00ED2277" w:rsidRDefault="000716CB" w:rsidP="000716CB">
      <w:pPr>
        <w:spacing w:line="240" w:lineRule="auto"/>
        <w:rPr>
          <w:rFonts w:ascii="Verdana" w:hAnsi="Verdana"/>
          <w:sz w:val="18"/>
          <w:szCs w:val="18"/>
        </w:rPr>
      </w:pPr>
      <w:r w:rsidRPr="00ED2277">
        <w:rPr>
          <w:rFonts w:ascii="Verdana" w:hAnsi="Verdana"/>
          <w:sz w:val="18"/>
        </w:rPr>
        <w:t xml:space="preserve">Le secrétaire d'État a indiqué partager les inquiétudes exprimées par le CESE et a approuvé un certain nombre de propositions formulées dans les avis du Comité. À cet égard, il a fait référence à son article récemment paru dans le quotidien italien Corriere </w:t>
      </w:r>
      <w:proofErr w:type="spellStart"/>
      <w:r w:rsidRPr="00ED2277">
        <w:rPr>
          <w:rFonts w:ascii="Verdana" w:hAnsi="Verdana"/>
          <w:sz w:val="18"/>
        </w:rPr>
        <w:t>della</w:t>
      </w:r>
      <w:proofErr w:type="spellEnd"/>
      <w:r w:rsidRPr="00ED2277">
        <w:rPr>
          <w:rFonts w:ascii="Verdana" w:hAnsi="Verdana"/>
          <w:sz w:val="18"/>
        </w:rPr>
        <w:t xml:space="preserve"> Sera, qui présente le programme italien de réforme de l’UE (</w:t>
      </w:r>
      <w:hyperlink r:id="rId20">
        <w:r w:rsidRPr="00ED2277">
          <w:rPr>
            <w:rStyle w:val="Hyperlink"/>
            <w:rFonts w:ascii="Verdana" w:hAnsi="Verdana"/>
            <w:sz w:val="18"/>
          </w:rPr>
          <w:t>http://www.politicheeuropee.it/comunicazione/19465/lagenda-italiana-per-riformare-leuropa</w:t>
        </w:r>
      </w:hyperlink>
      <w:r w:rsidRPr="00ED2277">
        <w:t>).</w:t>
      </w:r>
    </w:p>
    <w:p w:rsidR="00B36AE1" w:rsidRPr="00ED2277" w:rsidRDefault="00B36AE1" w:rsidP="000716CB">
      <w:pPr>
        <w:spacing w:line="240" w:lineRule="auto"/>
        <w:rPr>
          <w:rFonts w:ascii="Verdana" w:hAnsi="Verdana"/>
          <w:sz w:val="18"/>
          <w:szCs w:val="18"/>
        </w:rPr>
      </w:pPr>
    </w:p>
    <w:p w:rsidR="000716CB" w:rsidRPr="00ED2277" w:rsidRDefault="00334D8E" w:rsidP="000716CB">
      <w:pPr>
        <w:spacing w:line="240" w:lineRule="auto"/>
        <w:rPr>
          <w:rFonts w:ascii="Verdana" w:hAnsi="Verdana"/>
          <w:color w:val="1F497D"/>
          <w:sz w:val="18"/>
          <w:szCs w:val="18"/>
        </w:rPr>
      </w:pPr>
      <w:r w:rsidRPr="00ED2277">
        <w:rPr>
          <w:rFonts w:ascii="Verdana" w:hAnsi="Verdana"/>
          <w:sz w:val="18"/>
        </w:rPr>
        <w:t>Il a également répondu positivement à une invitation à participer aux travaux d'une prochaine session plénière du CESE. Il s’agissait de la deuxième visite officielle de M. </w:t>
      </w:r>
      <w:proofErr w:type="spellStart"/>
      <w:r w:rsidRPr="00ED2277">
        <w:rPr>
          <w:rFonts w:ascii="Verdana" w:hAnsi="Verdana"/>
          <w:sz w:val="18"/>
        </w:rPr>
        <w:t>Gozi</w:t>
      </w:r>
      <w:proofErr w:type="spellEnd"/>
      <w:r w:rsidRPr="00ED2277">
        <w:rPr>
          <w:rFonts w:ascii="Verdana" w:hAnsi="Verdana"/>
          <w:sz w:val="18"/>
        </w:rPr>
        <w:t xml:space="preserve"> au Comité, à la suite de sa participation à la 500</w:t>
      </w:r>
      <w:r w:rsidRPr="00ED2277">
        <w:rPr>
          <w:rFonts w:ascii="Verdana" w:hAnsi="Verdana"/>
          <w:sz w:val="18"/>
          <w:vertAlign w:val="superscript"/>
        </w:rPr>
        <w:t>e</w:t>
      </w:r>
      <w:r w:rsidRPr="00ED2277">
        <w:rPr>
          <w:rFonts w:ascii="Verdana" w:hAnsi="Verdana"/>
          <w:sz w:val="18"/>
        </w:rPr>
        <w:t> session plénière du CESE, le 10 juillet 2014, date à laquelle il avait participé, avec les membres du CESE, à un débat sur les priorités de la présidence italienne du Conseil de l’UE.</w:t>
      </w:r>
    </w:p>
    <w:p w:rsidR="003C727E" w:rsidRPr="00ED2277" w:rsidRDefault="003C727E" w:rsidP="003C727E">
      <w:pPr>
        <w:jc w:val="center"/>
        <w:rPr>
          <w:rFonts w:ascii="Verdana" w:hAnsi="Verdana"/>
          <w:b/>
          <w:sz w:val="18"/>
          <w:szCs w:val="18"/>
        </w:rPr>
      </w:pPr>
    </w:p>
    <w:p w:rsidR="003C727E" w:rsidRPr="00ED2277" w:rsidRDefault="003C727E" w:rsidP="003C727E">
      <w:pPr>
        <w:jc w:val="center"/>
        <w:rPr>
          <w:rFonts w:ascii="Verdana" w:hAnsi="Verdana"/>
          <w:b/>
          <w:sz w:val="18"/>
          <w:szCs w:val="18"/>
        </w:rPr>
      </w:pPr>
    </w:p>
    <w:p w:rsidR="003C727E" w:rsidRPr="00ED2277" w:rsidRDefault="003C727E" w:rsidP="003C727E">
      <w:pPr>
        <w:jc w:val="center"/>
        <w:rPr>
          <w:rFonts w:ascii="Verdana" w:hAnsi="Verdana"/>
          <w:b/>
          <w:sz w:val="18"/>
          <w:szCs w:val="18"/>
        </w:rPr>
      </w:pPr>
      <w:r w:rsidRPr="00ED2277">
        <w:rPr>
          <w:rFonts w:ascii="Verdana" w:hAnsi="Verdana"/>
          <w:b/>
          <w:sz w:val="18"/>
        </w:rPr>
        <w:t xml:space="preserve">Pour plus d'informations, veuillez contacter: </w:t>
      </w:r>
    </w:p>
    <w:p w:rsidR="003C727E" w:rsidRPr="00ED2277" w:rsidRDefault="003C727E" w:rsidP="003C727E">
      <w:pPr>
        <w:overflowPunct/>
        <w:autoSpaceDE/>
        <w:autoSpaceDN/>
        <w:adjustRightInd/>
        <w:spacing w:line="240" w:lineRule="auto"/>
        <w:jc w:val="center"/>
        <w:textAlignment w:val="auto"/>
        <w:rPr>
          <w:rFonts w:ascii="Verdana" w:eastAsia="PMingLiU" w:hAnsi="Verdana"/>
          <w:sz w:val="18"/>
          <w:szCs w:val="18"/>
        </w:rPr>
      </w:pPr>
      <w:r w:rsidRPr="00ED2277">
        <w:rPr>
          <w:rFonts w:ascii="Verdana" w:hAnsi="Verdana"/>
          <w:sz w:val="18"/>
        </w:rPr>
        <w:t>Milen Minchev</w:t>
      </w:r>
    </w:p>
    <w:p w:rsidR="003C727E" w:rsidRPr="00ED2277" w:rsidRDefault="003C727E" w:rsidP="003C727E">
      <w:pPr>
        <w:overflowPunct/>
        <w:autoSpaceDE/>
        <w:autoSpaceDN/>
        <w:adjustRightInd/>
        <w:spacing w:line="240" w:lineRule="auto"/>
        <w:jc w:val="center"/>
        <w:textAlignment w:val="auto"/>
        <w:rPr>
          <w:rFonts w:ascii="Verdana" w:eastAsia="PMingLiU" w:hAnsi="Verdana"/>
          <w:sz w:val="18"/>
          <w:szCs w:val="18"/>
        </w:rPr>
      </w:pPr>
      <w:r w:rsidRPr="00ED2277">
        <w:rPr>
          <w:rFonts w:ascii="Verdana" w:hAnsi="Verdana"/>
          <w:sz w:val="18"/>
        </w:rPr>
        <w:t>Courrier électronique:</w:t>
      </w:r>
      <w:r w:rsidRPr="00ED2277">
        <w:t xml:space="preserve"> </w:t>
      </w:r>
      <w:hyperlink r:id="rId21">
        <w:r w:rsidRPr="00ED2277">
          <w:rPr>
            <w:rStyle w:val="Hyperlink"/>
            <w:rFonts w:ascii="Verdana" w:hAnsi="Verdana"/>
            <w:sz w:val="18"/>
          </w:rPr>
          <w:t>press@eesc.europa.eu</w:t>
        </w:r>
      </w:hyperlink>
    </w:p>
    <w:p w:rsidR="003C727E" w:rsidRPr="00ED2277" w:rsidRDefault="003C727E" w:rsidP="003C727E">
      <w:pPr>
        <w:spacing w:line="240" w:lineRule="auto"/>
        <w:jc w:val="center"/>
        <w:rPr>
          <w:rFonts w:ascii="Verdana" w:eastAsia="PMingLiU" w:hAnsi="Verdana"/>
          <w:sz w:val="18"/>
          <w:szCs w:val="18"/>
        </w:rPr>
      </w:pPr>
      <w:r w:rsidRPr="00ED2277">
        <w:rPr>
          <w:rFonts w:ascii="Verdana" w:hAnsi="Verdana"/>
          <w:sz w:val="18"/>
        </w:rPr>
        <w:t>Tél.: +32 2 546 8753</w:t>
      </w:r>
    </w:p>
    <w:p w:rsidR="000716CB" w:rsidRPr="00ED2277" w:rsidRDefault="003C727E" w:rsidP="003C727E">
      <w:pPr>
        <w:spacing w:line="240" w:lineRule="auto"/>
        <w:jc w:val="center"/>
        <w:rPr>
          <w:rFonts w:ascii="Verdana" w:eastAsia="PMingLiU" w:hAnsi="Verdana"/>
          <w:b/>
          <w:sz w:val="16"/>
          <w:szCs w:val="16"/>
        </w:rPr>
      </w:pPr>
      <w:r w:rsidRPr="00ED2277">
        <w:rPr>
          <w:rFonts w:ascii="Verdana" w:hAnsi="Verdana"/>
          <w:b/>
          <w:sz w:val="16"/>
        </w:rPr>
        <w:t>@EESC_PRESS</w:t>
      </w:r>
    </w:p>
    <w:p w:rsidR="003C727E" w:rsidRPr="00ED2277" w:rsidRDefault="003C727E" w:rsidP="003C727E">
      <w:pPr>
        <w:spacing w:line="240" w:lineRule="auto"/>
        <w:jc w:val="center"/>
        <w:rPr>
          <w:rFonts w:ascii="Verdana" w:eastAsia="PMingLiU" w:hAnsi="Verdana"/>
          <w:b/>
          <w:sz w:val="16"/>
          <w:szCs w:val="16"/>
        </w:rPr>
      </w:pPr>
    </w:p>
    <w:p w:rsidR="00BF275A" w:rsidRPr="00ED2277" w:rsidRDefault="00BF275A" w:rsidP="000716CB">
      <w:pPr>
        <w:spacing w:line="240" w:lineRule="auto"/>
        <w:rPr>
          <w:rFonts w:ascii="Verdana" w:hAnsi="Verdana"/>
          <w:color w:val="1F497D"/>
          <w:sz w:val="18"/>
          <w:szCs w:val="18"/>
        </w:rPr>
      </w:pPr>
    </w:p>
    <w:p w:rsidR="000716CB" w:rsidRPr="00ED2277" w:rsidRDefault="000716CB" w:rsidP="00B95A18">
      <w:pPr>
        <w:spacing w:line="240" w:lineRule="auto"/>
        <w:jc w:val="left"/>
        <w:rPr>
          <w:rFonts w:ascii="Verdana" w:hAnsi="Verdana"/>
          <w:color w:val="1F497D"/>
          <w:sz w:val="18"/>
          <w:szCs w:val="18"/>
        </w:rPr>
      </w:pPr>
      <w:r w:rsidRPr="00ED2277">
        <w:rPr>
          <w:rFonts w:ascii="Verdana" w:hAnsi="Verdana"/>
          <w:color w:val="1F497D"/>
          <w:sz w:val="18"/>
        </w:rPr>
        <w:lastRenderedPageBreak/>
        <w:t>---</w:t>
      </w:r>
    </w:p>
    <w:p w:rsidR="000716CB" w:rsidRPr="00ED2277" w:rsidRDefault="000716CB" w:rsidP="00970A15">
      <w:pPr>
        <w:keepNext/>
        <w:keepLines/>
        <w:spacing w:line="240" w:lineRule="auto"/>
        <w:rPr>
          <w:rFonts w:ascii="Verdana" w:hAnsi="Verdana"/>
          <w:sz w:val="18"/>
          <w:szCs w:val="18"/>
        </w:rPr>
      </w:pPr>
      <w:r w:rsidRPr="00ED2277">
        <w:rPr>
          <w:rFonts w:ascii="Verdana" w:hAnsi="Verdana"/>
          <w:b/>
          <w:sz w:val="18"/>
        </w:rPr>
        <w:t>Points clés</w:t>
      </w:r>
      <w:r w:rsidRPr="00ED2277">
        <w:rPr>
          <w:rFonts w:ascii="Verdana" w:hAnsi="Verdana"/>
          <w:sz w:val="18"/>
        </w:rPr>
        <w:t xml:space="preserve"> de l'avis du CESE intitulé «</w:t>
      </w:r>
      <w:r w:rsidRPr="00ED2277">
        <w:rPr>
          <w:rFonts w:ascii="Verdana" w:hAnsi="Verdana"/>
          <w:i/>
          <w:sz w:val="18"/>
        </w:rPr>
        <w:t>Achever l'UEM: le pilier politique</w:t>
      </w:r>
      <w:r w:rsidRPr="00ED2277">
        <w:rPr>
          <w:rFonts w:ascii="Verdana" w:hAnsi="Verdana"/>
          <w:sz w:val="18"/>
        </w:rPr>
        <w:t>», adopté le 27 mai 2015:</w:t>
      </w:r>
      <w:r w:rsidRPr="00ED2277">
        <w:rPr>
          <w:rFonts w:ascii="Verdana" w:hAnsi="Verdana"/>
          <w:b/>
          <w:sz w:val="18"/>
        </w:rPr>
        <w:t xml:space="preserve"> </w:t>
      </w:r>
    </w:p>
    <w:p w:rsidR="000716CB" w:rsidRPr="00ED2277" w:rsidRDefault="000716CB" w:rsidP="00970A15">
      <w:pPr>
        <w:keepNext/>
        <w:keepLines/>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rPr>
      </w:pPr>
      <w:r w:rsidRPr="00ED2277">
        <w:rPr>
          <w:rFonts w:ascii="Verdana" w:hAnsi="Verdana"/>
          <w:sz w:val="18"/>
        </w:rPr>
        <w:t>il est nécessaire de disposer d'une gouvernance économique plus efficace et démocratique, notamment au sein de la zone euro, pour répondre aux déséquilibres persistants et instaurer un climat de confiance dans l'Europe entière;</w:t>
      </w:r>
    </w:p>
    <w:p w:rsidR="003B7AE3" w:rsidRPr="00ED2277" w:rsidRDefault="003B7AE3" w:rsidP="003B7AE3">
      <w:pPr>
        <w:keepNext/>
        <w:keepLines/>
        <w:overflowPunct/>
        <w:autoSpaceDE/>
        <w:autoSpaceDN/>
        <w:adjustRightInd/>
        <w:spacing w:line="240" w:lineRule="auto"/>
        <w:ind w:left="567"/>
        <w:textAlignment w:val="auto"/>
        <w:rPr>
          <w:rFonts w:ascii="Verdana" w:hAnsi="Verdana"/>
          <w:sz w:val="18"/>
          <w:szCs w:val="18"/>
        </w:rPr>
      </w:pPr>
    </w:p>
    <w:p w:rsidR="000716CB" w:rsidRPr="00ED2277" w:rsidRDefault="000716CB" w:rsidP="00970A15">
      <w:pPr>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rPr>
      </w:pPr>
      <w:r w:rsidRPr="00ED2277">
        <w:rPr>
          <w:rFonts w:ascii="Verdana" w:hAnsi="Verdana"/>
          <w:sz w:val="18"/>
        </w:rPr>
        <w:t>il est possible, à cette fin, de mettre en œuvre des mesures concrètes dans le cadre du traité et des règles actuellement en vigueur. À moyen et à long terme, une révision du traité pourrait mettre les dispositions institutionnelles en cohérence avec les exigences et impératifs d'une véritable Union économique et politique;</w:t>
      </w:r>
    </w:p>
    <w:p w:rsidR="003B7AE3" w:rsidRPr="00ED2277" w:rsidRDefault="003B7AE3" w:rsidP="003B7AE3">
      <w:pPr>
        <w:overflowPunct/>
        <w:autoSpaceDE/>
        <w:autoSpaceDN/>
        <w:adjustRightInd/>
        <w:spacing w:line="240" w:lineRule="auto"/>
        <w:ind w:left="567"/>
        <w:textAlignment w:val="auto"/>
        <w:rPr>
          <w:rFonts w:ascii="Verdana" w:hAnsi="Verdana"/>
          <w:sz w:val="18"/>
          <w:szCs w:val="18"/>
        </w:rPr>
      </w:pPr>
    </w:p>
    <w:p w:rsidR="000716CB" w:rsidRPr="00ED2277" w:rsidRDefault="000716CB" w:rsidP="00970A15">
      <w:pPr>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rPr>
      </w:pPr>
      <w:r w:rsidRPr="00ED2277">
        <w:rPr>
          <w:rFonts w:ascii="Verdana" w:hAnsi="Verdana"/>
          <w:sz w:val="18"/>
        </w:rPr>
        <w:t>il est désormais clair que le système actuel des règles qui sont à la base de l'UE et, particulièrement de la zone euro, a généré de la confusion sur les plans juridique, institutionnel et démocratique. Dès lors, une nouvelle approche doit être développée. Le CESE est d'avis que l'approfondissement du processus d'intégration de la zone euro est indispensable;</w:t>
      </w:r>
    </w:p>
    <w:p w:rsidR="003B7AE3" w:rsidRPr="00ED2277" w:rsidRDefault="003B7AE3" w:rsidP="003B7AE3">
      <w:pPr>
        <w:overflowPunct/>
        <w:autoSpaceDE/>
        <w:autoSpaceDN/>
        <w:adjustRightInd/>
        <w:spacing w:line="240" w:lineRule="auto"/>
        <w:ind w:left="567"/>
        <w:textAlignment w:val="auto"/>
        <w:rPr>
          <w:rFonts w:ascii="Verdana" w:hAnsi="Verdana"/>
          <w:sz w:val="18"/>
          <w:szCs w:val="18"/>
        </w:rPr>
      </w:pPr>
    </w:p>
    <w:p w:rsidR="000716CB" w:rsidRPr="00ED2277" w:rsidRDefault="000716CB" w:rsidP="00970A15">
      <w:pPr>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rPr>
      </w:pPr>
      <w:r w:rsidRPr="00ED2277">
        <w:rPr>
          <w:rFonts w:ascii="Verdana" w:hAnsi="Verdana"/>
          <w:sz w:val="18"/>
        </w:rPr>
        <w:t>dans cet esprit, le CESE souhaiterait présenter une feuille de route reprenant les étapes suivantes:</w:t>
      </w:r>
    </w:p>
    <w:p w:rsidR="00152E7B" w:rsidRPr="00ED2277" w:rsidRDefault="00152E7B" w:rsidP="00B95A18">
      <w:pPr>
        <w:spacing w:line="240" w:lineRule="auto"/>
        <w:ind w:left="567"/>
        <w:rPr>
          <w:rFonts w:ascii="Verdana" w:hAnsi="Verdana"/>
          <w:b/>
          <w:bCs/>
          <w:sz w:val="18"/>
          <w:szCs w:val="18"/>
        </w:rPr>
      </w:pPr>
    </w:p>
    <w:p w:rsidR="000716CB" w:rsidRPr="00ED2277" w:rsidRDefault="000716CB" w:rsidP="00970A15">
      <w:pPr>
        <w:spacing w:line="240" w:lineRule="auto"/>
        <w:ind w:left="567"/>
        <w:rPr>
          <w:rFonts w:ascii="Verdana" w:hAnsi="Verdana"/>
          <w:sz w:val="18"/>
          <w:szCs w:val="18"/>
        </w:rPr>
      </w:pPr>
      <w:r w:rsidRPr="00ED2277">
        <w:rPr>
          <w:rFonts w:ascii="Verdana" w:hAnsi="Verdana"/>
          <w:b/>
          <w:sz w:val="18"/>
        </w:rPr>
        <w:t>1</w:t>
      </w:r>
      <w:r w:rsidRPr="00ED2277">
        <w:rPr>
          <w:rFonts w:ascii="Verdana" w:hAnsi="Verdana"/>
          <w:b/>
          <w:sz w:val="18"/>
          <w:vertAlign w:val="superscript"/>
        </w:rPr>
        <w:t>re</w:t>
      </w:r>
      <w:r w:rsidRPr="00ED2277">
        <w:rPr>
          <w:rFonts w:ascii="Verdana" w:hAnsi="Verdana"/>
          <w:b/>
          <w:sz w:val="18"/>
        </w:rPr>
        <w:t> étape</w:t>
      </w:r>
      <w:r w:rsidRPr="00ED2277">
        <w:rPr>
          <w:rFonts w:ascii="Verdana" w:hAnsi="Verdana"/>
          <w:sz w:val="18"/>
        </w:rPr>
        <w:t xml:space="preserve"> - un président stable de l'</w:t>
      </w:r>
      <w:proofErr w:type="spellStart"/>
      <w:r w:rsidRPr="00ED2277">
        <w:rPr>
          <w:rFonts w:ascii="Verdana" w:hAnsi="Verdana"/>
          <w:sz w:val="18"/>
        </w:rPr>
        <w:t>Eurogroupe</w:t>
      </w:r>
      <w:proofErr w:type="spellEnd"/>
      <w:r w:rsidRPr="00ED2277">
        <w:rPr>
          <w:rFonts w:ascii="Verdana" w:hAnsi="Verdana"/>
          <w:sz w:val="18"/>
        </w:rPr>
        <w:t>; rendre la conférence interparlementaire opérationnelle; zone euro (grande commission du PE)</w:t>
      </w:r>
    </w:p>
    <w:p w:rsidR="00152E7B" w:rsidRPr="00ED2277" w:rsidRDefault="00152E7B" w:rsidP="00970A15">
      <w:pPr>
        <w:spacing w:line="240" w:lineRule="auto"/>
        <w:ind w:left="567"/>
        <w:rPr>
          <w:rFonts w:ascii="Verdana" w:hAnsi="Verdana"/>
          <w:b/>
          <w:bCs/>
          <w:sz w:val="18"/>
          <w:szCs w:val="18"/>
        </w:rPr>
      </w:pPr>
    </w:p>
    <w:p w:rsidR="000716CB" w:rsidRPr="00ED2277" w:rsidRDefault="000716CB" w:rsidP="00970A15">
      <w:pPr>
        <w:spacing w:line="240" w:lineRule="auto"/>
        <w:ind w:left="567"/>
        <w:rPr>
          <w:rFonts w:ascii="Verdana" w:hAnsi="Verdana"/>
          <w:sz w:val="18"/>
          <w:szCs w:val="18"/>
        </w:rPr>
      </w:pPr>
      <w:r w:rsidRPr="00ED2277">
        <w:rPr>
          <w:rFonts w:ascii="Verdana" w:hAnsi="Verdana"/>
          <w:b/>
          <w:sz w:val="18"/>
        </w:rPr>
        <w:t>2</w:t>
      </w:r>
      <w:r w:rsidRPr="00ED2277">
        <w:rPr>
          <w:rFonts w:ascii="Verdana" w:hAnsi="Verdana"/>
          <w:b/>
          <w:sz w:val="18"/>
          <w:vertAlign w:val="superscript"/>
        </w:rPr>
        <w:t>e</w:t>
      </w:r>
      <w:r w:rsidRPr="00ED2277">
        <w:rPr>
          <w:rFonts w:ascii="Verdana" w:hAnsi="Verdana"/>
          <w:b/>
          <w:sz w:val="18"/>
        </w:rPr>
        <w:t> étape</w:t>
      </w:r>
      <w:r w:rsidRPr="00ED2277">
        <w:rPr>
          <w:rFonts w:ascii="Verdana" w:hAnsi="Verdana"/>
          <w:sz w:val="18"/>
        </w:rPr>
        <w:t xml:space="preserve"> - Conseil «Affaires législatives» de l'UEM; vote par les parlementaires de la zone </w:t>
      </w:r>
      <w:proofErr w:type="gramStart"/>
      <w:r w:rsidRPr="00ED2277">
        <w:rPr>
          <w:rFonts w:ascii="Verdana" w:hAnsi="Verdana"/>
          <w:sz w:val="18"/>
        </w:rPr>
        <w:t>euro</w:t>
      </w:r>
      <w:proofErr w:type="gramEnd"/>
      <w:r w:rsidRPr="00ED2277">
        <w:rPr>
          <w:rFonts w:ascii="Verdana" w:hAnsi="Verdana"/>
          <w:sz w:val="18"/>
        </w:rPr>
        <w:t xml:space="preserve"> sur des questions relevant de la compétence de l'UEM; un exécutif de l'UEM; renforcement des pouvoirs et des compétences de la conférence interparlementaire</w:t>
      </w:r>
    </w:p>
    <w:p w:rsidR="000716CB" w:rsidRPr="00ED2277" w:rsidRDefault="000716CB" w:rsidP="00970A15">
      <w:pPr>
        <w:spacing w:line="240" w:lineRule="auto"/>
        <w:ind w:left="567"/>
        <w:rPr>
          <w:rFonts w:ascii="Verdana" w:hAnsi="Verdana"/>
          <w:sz w:val="18"/>
          <w:szCs w:val="18"/>
        </w:rPr>
      </w:pPr>
    </w:p>
    <w:p w:rsidR="000716CB" w:rsidRPr="00ED2277" w:rsidRDefault="000716CB" w:rsidP="00970A15">
      <w:pPr>
        <w:spacing w:line="240" w:lineRule="auto"/>
        <w:ind w:left="567"/>
        <w:rPr>
          <w:rFonts w:ascii="Verdana" w:hAnsi="Verdana"/>
          <w:sz w:val="18"/>
          <w:szCs w:val="18"/>
        </w:rPr>
      </w:pPr>
      <w:r w:rsidRPr="00ED2277">
        <w:rPr>
          <w:rFonts w:ascii="Verdana" w:hAnsi="Verdana"/>
          <w:b/>
          <w:sz w:val="18"/>
        </w:rPr>
        <w:t>3</w:t>
      </w:r>
      <w:r w:rsidRPr="00ED2277">
        <w:rPr>
          <w:rFonts w:ascii="Verdana" w:hAnsi="Verdana"/>
          <w:b/>
          <w:sz w:val="18"/>
          <w:vertAlign w:val="superscript"/>
        </w:rPr>
        <w:t>e</w:t>
      </w:r>
      <w:r w:rsidRPr="00ED2277">
        <w:rPr>
          <w:rFonts w:ascii="Verdana" w:hAnsi="Verdana"/>
          <w:b/>
          <w:sz w:val="18"/>
        </w:rPr>
        <w:t> étape</w:t>
      </w:r>
      <w:r w:rsidRPr="00ED2277">
        <w:rPr>
          <w:rFonts w:ascii="Verdana" w:hAnsi="Verdana"/>
          <w:sz w:val="18"/>
        </w:rPr>
        <w:t xml:space="preserve"> - renforcement des pouvoirs du PE en ce qui concerne l'UEM et la création de véritables partis politiques européens; Chambre des États; séparation des pouvoirs législatifs et exécutifs; abolition du vote à l'unanimité</w:t>
      </w:r>
    </w:p>
    <w:p w:rsidR="000716CB" w:rsidRPr="00ED2277" w:rsidRDefault="000716CB" w:rsidP="000716CB">
      <w:pPr>
        <w:spacing w:line="240" w:lineRule="auto"/>
        <w:rPr>
          <w:rFonts w:ascii="Verdana" w:hAnsi="Verdana"/>
          <w:sz w:val="18"/>
          <w:szCs w:val="18"/>
        </w:rPr>
      </w:pPr>
    </w:p>
    <w:p w:rsidR="000716CB" w:rsidRPr="00ED2277" w:rsidRDefault="000716CB" w:rsidP="000716CB">
      <w:pPr>
        <w:spacing w:line="240" w:lineRule="auto"/>
        <w:rPr>
          <w:rFonts w:ascii="Verdana" w:hAnsi="Verdana"/>
          <w:sz w:val="18"/>
          <w:szCs w:val="18"/>
        </w:rPr>
      </w:pPr>
      <w:r w:rsidRPr="00ED2277">
        <w:rPr>
          <w:rFonts w:ascii="Verdana" w:hAnsi="Verdana"/>
          <w:sz w:val="18"/>
        </w:rPr>
        <w:t>Il conviendrait de lancer les initiatives suivantes pour élaborer et mettre en œuvre les étapes précédemment citées:</w:t>
      </w:r>
    </w:p>
    <w:p w:rsidR="000716CB" w:rsidRPr="00ED2277"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rPr>
      </w:pPr>
      <w:r w:rsidRPr="00ED2277">
        <w:rPr>
          <w:rFonts w:ascii="Verdana" w:hAnsi="Verdana"/>
          <w:sz w:val="18"/>
        </w:rPr>
        <w:t>états généraux de la société civile;</w:t>
      </w:r>
    </w:p>
    <w:p w:rsidR="000716CB" w:rsidRPr="00ED2277"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rPr>
      </w:pPr>
      <w:r w:rsidRPr="00ED2277">
        <w:rPr>
          <w:rFonts w:ascii="Verdana" w:hAnsi="Verdana"/>
          <w:sz w:val="18"/>
        </w:rPr>
        <w:t>assises interparlementaires;</w:t>
      </w:r>
    </w:p>
    <w:p w:rsidR="000716CB" w:rsidRPr="00ED2277"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rPr>
      </w:pPr>
      <w:r w:rsidRPr="00ED2277">
        <w:rPr>
          <w:rFonts w:ascii="Verdana" w:hAnsi="Verdana"/>
          <w:sz w:val="18"/>
        </w:rPr>
        <w:t>propositions du PE pour agir à traité constant et en vue d'une révision du traité de Lisbonne;</w:t>
      </w:r>
    </w:p>
    <w:p w:rsidR="000716CB" w:rsidRPr="00ED2277"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rPr>
      </w:pPr>
      <w:r w:rsidRPr="00ED2277">
        <w:rPr>
          <w:rFonts w:ascii="Verdana" w:hAnsi="Verdana"/>
          <w:sz w:val="18"/>
        </w:rPr>
        <w:t>convention constitutionnelle;</w:t>
      </w:r>
    </w:p>
    <w:p w:rsidR="000716CB" w:rsidRPr="00ED2277"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rPr>
      </w:pPr>
      <w:r w:rsidRPr="00ED2277">
        <w:rPr>
          <w:rFonts w:ascii="Verdana" w:hAnsi="Verdana"/>
          <w:sz w:val="18"/>
        </w:rPr>
        <w:t>évaluation potentielle de la possibilité d'organiser des référendums paneuropéens.</w:t>
      </w:r>
    </w:p>
    <w:p w:rsidR="00152E7B" w:rsidRPr="00ED2277" w:rsidRDefault="00152E7B" w:rsidP="000716CB">
      <w:pPr>
        <w:spacing w:line="240" w:lineRule="auto"/>
        <w:rPr>
          <w:rFonts w:ascii="Verdana" w:hAnsi="Verdana"/>
          <w:sz w:val="18"/>
          <w:szCs w:val="18"/>
        </w:rPr>
      </w:pPr>
    </w:p>
    <w:p w:rsidR="00BF275A" w:rsidRPr="00ED2277" w:rsidRDefault="00BF275A" w:rsidP="000716CB">
      <w:pPr>
        <w:spacing w:line="240" w:lineRule="auto"/>
        <w:rPr>
          <w:rFonts w:ascii="Verdana" w:hAnsi="Verdana"/>
          <w:sz w:val="18"/>
          <w:szCs w:val="18"/>
        </w:rPr>
      </w:pPr>
      <w:r w:rsidRPr="00ED2277">
        <w:rPr>
          <w:rFonts w:ascii="Verdana" w:hAnsi="Verdana"/>
          <w:sz w:val="18"/>
        </w:rPr>
        <w:t>---</w:t>
      </w:r>
    </w:p>
    <w:p w:rsidR="00BF275A" w:rsidRPr="00ED2277" w:rsidRDefault="00BF275A" w:rsidP="000716CB">
      <w:pPr>
        <w:spacing w:line="240" w:lineRule="auto"/>
        <w:rPr>
          <w:rFonts w:ascii="Verdana" w:hAnsi="Verdana"/>
          <w:color w:val="1F497D"/>
          <w:sz w:val="18"/>
          <w:szCs w:val="18"/>
        </w:rPr>
      </w:pPr>
    </w:p>
    <w:p w:rsidR="000716CB" w:rsidRPr="00ED2277" w:rsidRDefault="000716CB">
      <w:pPr>
        <w:spacing w:line="240" w:lineRule="auto"/>
        <w:rPr>
          <w:rFonts w:ascii="Verdana" w:hAnsi="Verdana"/>
          <w:color w:val="1F497D"/>
          <w:sz w:val="18"/>
          <w:szCs w:val="18"/>
        </w:rPr>
      </w:pPr>
      <w:r w:rsidRPr="00ED2277">
        <w:rPr>
          <w:rFonts w:ascii="Verdana" w:hAnsi="Verdana"/>
          <w:b/>
          <w:sz w:val="18"/>
        </w:rPr>
        <w:t>Points clés</w:t>
      </w:r>
      <w:r w:rsidRPr="00ED2277">
        <w:rPr>
          <w:rFonts w:ascii="Verdana" w:hAnsi="Verdana"/>
          <w:sz w:val="18"/>
        </w:rPr>
        <w:t xml:space="preserve"> de l'avis du CESE intitulé </w:t>
      </w:r>
      <w:r w:rsidRPr="00ED2277">
        <w:rPr>
          <w:rFonts w:ascii="Verdana" w:hAnsi="Verdana"/>
          <w:i/>
          <w:sz w:val="18"/>
        </w:rPr>
        <w:t>«Achever l'Union économique et monétaire – Les propositions du Comité économique et social européen pour la prochaine législature européenne»</w:t>
      </w:r>
      <w:r w:rsidRPr="00ED2277">
        <w:rPr>
          <w:rFonts w:ascii="Verdana" w:hAnsi="Verdana"/>
          <w:sz w:val="18"/>
        </w:rPr>
        <w:t>, adopté le 9 juillet 2014:</w:t>
      </w:r>
    </w:p>
    <w:p w:rsidR="000716CB" w:rsidRPr="00ED2277" w:rsidRDefault="000716CB" w:rsidP="00970A15">
      <w:pPr>
        <w:pStyle w:val="ListParagraph"/>
        <w:numPr>
          <w:ilvl w:val="0"/>
          <w:numId w:val="20"/>
        </w:numPr>
        <w:spacing w:line="240" w:lineRule="auto"/>
        <w:ind w:left="567" w:hanging="567"/>
        <w:rPr>
          <w:rFonts w:ascii="Verdana" w:hAnsi="Verdana"/>
          <w:sz w:val="18"/>
          <w:szCs w:val="18"/>
        </w:rPr>
      </w:pPr>
      <w:r w:rsidRPr="00ED2277">
        <w:rPr>
          <w:rFonts w:ascii="Verdana" w:hAnsi="Verdana"/>
          <w:b/>
          <w:sz w:val="18"/>
        </w:rPr>
        <w:t>L'achèvement de l'UEM</w:t>
      </w:r>
      <w:r w:rsidRPr="00ED2277">
        <w:rPr>
          <w:rFonts w:ascii="Verdana" w:hAnsi="Verdana"/>
          <w:sz w:val="18"/>
        </w:rPr>
        <w:t>, garanti par une solide structure de gouvernance et de gestion de la zone euro, et fondé sur:</w:t>
      </w:r>
    </w:p>
    <w:p w:rsidR="003B7AE3" w:rsidRPr="00ED2277" w:rsidRDefault="003B7AE3" w:rsidP="003B7AE3">
      <w:pPr>
        <w:pStyle w:val="ListParagraph"/>
        <w:spacing w:line="240" w:lineRule="auto"/>
        <w:ind w:left="567"/>
        <w:rPr>
          <w:rFonts w:ascii="Verdana" w:hAnsi="Verdana"/>
          <w:sz w:val="18"/>
          <w:szCs w:val="18"/>
        </w:rPr>
      </w:pPr>
    </w:p>
    <w:p w:rsidR="000716CB" w:rsidRPr="00ED2277"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rPr>
      </w:pPr>
      <w:r w:rsidRPr="00ED2277">
        <w:rPr>
          <w:rFonts w:ascii="Verdana" w:hAnsi="Verdana"/>
          <w:sz w:val="18"/>
        </w:rPr>
        <w:t xml:space="preserve">un </w:t>
      </w:r>
      <w:r w:rsidRPr="00ED2277">
        <w:rPr>
          <w:rFonts w:ascii="Verdana" w:hAnsi="Verdana"/>
          <w:b/>
          <w:sz w:val="18"/>
        </w:rPr>
        <w:t>pilier monétaire et financier</w:t>
      </w:r>
      <w:r w:rsidRPr="00ED2277">
        <w:rPr>
          <w:rFonts w:ascii="Verdana" w:hAnsi="Verdana"/>
          <w:sz w:val="18"/>
        </w:rPr>
        <w:t xml:space="preserve"> comprenant la mise en œuvre d'une véritable union bancaire pilotée par l'UE afin d'instaurer un marché paneuropéen des capitaux tout en protégeant les contribuables contre des prises de risques excessives et des défaillances désordonnées;</w:t>
      </w:r>
    </w:p>
    <w:p w:rsidR="000716CB" w:rsidRPr="00ED2277"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rPr>
      </w:pPr>
      <w:r w:rsidRPr="00ED2277">
        <w:rPr>
          <w:rFonts w:ascii="Verdana" w:hAnsi="Verdana"/>
          <w:sz w:val="18"/>
        </w:rPr>
        <w:t xml:space="preserve">un </w:t>
      </w:r>
      <w:r w:rsidRPr="00ED2277">
        <w:rPr>
          <w:rFonts w:ascii="Verdana" w:hAnsi="Verdana"/>
          <w:b/>
          <w:sz w:val="18"/>
        </w:rPr>
        <w:t>pilier économique</w:t>
      </w:r>
      <w:r w:rsidRPr="00ED2277">
        <w:rPr>
          <w:rFonts w:ascii="Verdana" w:hAnsi="Verdana"/>
          <w:sz w:val="18"/>
        </w:rPr>
        <w:t xml:space="preserve"> afin de renforcer le processus décisionnel propre à la politique économique, ce qui permettra de favoriser la croissance, l'emploi, la compétitivité, la convergence et </w:t>
      </w:r>
      <w:proofErr w:type="gramStart"/>
      <w:r w:rsidRPr="00ED2277">
        <w:rPr>
          <w:rFonts w:ascii="Verdana" w:hAnsi="Verdana"/>
          <w:sz w:val="18"/>
        </w:rPr>
        <w:t>la solidarité européennes</w:t>
      </w:r>
      <w:proofErr w:type="gramEnd"/>
      <w:r w:rsidRPr="00ED2277">
        <w:rPr>
          <w:rFonts w:ascii="Verdana" w:hAnsi="Verdana"/>
          <w:sz w:val="18"/>
        </w:rPr>
        <w:t>;</w:t>
      </w:r>
    </w:p>
    <w:p w:rsidR="000716CB" w:rsidRPr="00ED2277"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rPr>
      </w:pPr>
      <w:r w:rsidRPr="00ED2277">
        <w:rPr>
          <w:rFonts w:ascii="Verdana" w:hAnsi="Verdana"/>
          <w:sz w:val="18"/>
        </w:rPr>
        <w:t xml:space="preserve">un </w:t>
      </w:r>
      <w:r w:rsidRPr="00ED2277">
        <w:rPr>
          <w:rFonts w:ascii="Verdana" w:hAnsi="Verdana"/>
          <w:b/>
          <w:sz w:val="18"/>
        </w:rPr>
        <w:t>pilier social</w:t>
      </w:r>
      <w:r w:rsidRPr="00ED2277">
        <w:rPr>
          <w:rFonts w:ascii="Verdana" w:hAnsi="Verdana"/>
          <w:sz w:val="18"/>
        </w:rPr>
        <w:t xml:space="preserve"> afin de tenir dûment compte, entre autres facteurs, des retombées sociales qu'auront les ajustements économiques;</w:t>
      </w:r>
    </w:p>
    <w:p w:rsidR="000716CB" w:rsidRPr="00ED2277"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rPr>
      </w:pPr>
      <w:r w:rsidRPr="00ED2277">
        <w:rPr>
          <w:rFonts w:ascii="Verdana" w:hAnsi="Verdana"/>
          <w:sz w:val="18"/>
        </w:rPr>
        <w:t xml:space="preserve">un </w:t>
      </w:r>
      <w:r w:rsidRPr="00ED2277">
        <w:rPr>
          <w:rFonts w:ascii="Verdana" w:hAnsi="Verdana"/>
          <w:b/>
          <w:sz w:val="18"/>
        </w:rPr>
        <w:t>pilier politique</w:t>
      </w:r>
      <w:r w:rsidRPr="00ED2277">
        <w:rPr>
          <w:rFonts w:ascii="Verdana" w:hAnsi="Verdana"/>
          <w:sz w:val="18"/>
        </w:rPr>
        <w:t xml:space="preserve"> garantissant davantage de responsabilité et de légitimité démocratique en vue d'accroître la crédibilité et la confiance.</w:t>
      </w:r>
    </w:p>
    <w:p w:rsidR="003B7AE3" w:rsidRPr="00ED2277" w:rsidRDefault="003B7AE3">
      <w:pPr>
        <w:overflowPunct/>
        <w:autoSpaceDE/>
        <w:autoSpaceDN/>
        <w:adjustRightInd/>
        <w:spacing w:line="240" w:lineRule="auto"/>
        <w:jc w:val="left"/>
        <w:textAlignment w:val="auto"/>
        <w:rPr>
          <w:rFonts w:ascii="Verdana" w:hAnsi="Verdana"/>
          <w:sz w:val="18"/>
        </w:rPr>
      </w:pPr>
      <w:r w:rsidRPr="00ED2277">
        <w:rPr>
          <w:rFonts w:ascii="Verdana" w:hAnsi="Verdana"/>
          <w:sz w:val="18"/>
        </w:rPr>
        <w:br w:type="page"/>
      </w:r>
    </w:p>
    <w:p w:rsidR="003B7AE3" w:rsidRPr="00ED2277" w:rsidRDefault="003B7AE3" w:rsidP="003B7AE3">
      <w:pPr>
        <w:overflowPunct/>
        <w:autoSpaceDE/>
        <w:autoSpaceDN/>
        <w:adjustRightInd/>
        <w:spacing w:line="240" w:lineRule="auto"/>
        <w:ind w:left="936"/>
        <w:textAlignment w:val="auto"/>
        <w:rPr>
          <w:rFonts w:ascii="Verdana" w:hAnsi="Verdana"/>
          <w:sz w:val="18"/>
          <w:szCs w:val="18"/>
        </w:rPr>
      </w:pPr>
    </w:p>
    <w:p w:rsidR="000716CB" w:rsidRPr="00ED2277" w:rsidRDefault="000716CB" w:rsidP="00970A15">
      <w:pPr>
        <w:pStyle w:val="ListParagraph"/>
        <w:numPr>
          <w:ilvl w:val="0"/>
          <w:numId w:val="20"/>
        </w:numPr>
        <w:spacing w:line="240" w:lineRule="auto"/>
        <w:ind w:left="567" w:hanging="567"/>
        <w:rPr>
          <w:rFonts w:ascii="Verdana" w:hAnsi="Verdana"/>
          <w:sz w:val="18"/>
          <w:szCs w:val="18"/>
        </w:rPr>
      </w:pPr>
      <w:r w:rsidRPr="00ED2277">
        <w:rPr>
          <w:rFonts w:ascii="Verdana" w:hAnsi="Verdana"/>
          <w:sz w:val="18"/>
        </w:rPr>
        <w:t xml:space="preserve">Il est urgent de lancer un véritable </w:t>
      </w:r>
      <w:r w:rsidRPr="00ED2277">
        <w:rPr>
          <w:rFonts w:ascii="Verdana" w:hAnsi="Verdana"/>
          <w:b/>
          <w:sz w:val="18"/>
        </w:rPr>
        <w:t>plan européen pour la croissance et l'emploi,</w:t>
      </w:r>
      <w:r w:rsidRPr="00ED2277">
        <w:rPr>
          <w:rFonts w:ascii="Verdana" w:hAnsi="Verdana"/>
          <w:sz w:val="18"/>
        </w:rPr>
        <w:t xml:space="preserve"> fondé sur un important programme d'investissement qui provoque une impulsion budgétaire. Il convient d'assurer le rééquilibrage et </w:t>
      </w:r>
      <w:r w:rsidRPr="00ED2277">
        <w:rPr>
          <w:rFonts w:ascii="Verdana" w:hAnsi="Verdana"/>
          <w:b/>
          <w:sz w:val="18"/>
        </w:rPr>
        <w:t>une mise en œuvre adéquate de divers instruments existants</w:t>
      </w:r>
      <w:r w:rsidRPr="00ED2277">
        <w:rPr>
          <w:rFonts w:ascii="Verdana" w:hAnsi="Verdana"/>
          <w:sz w:val="18"/>
        </w:rPr>
        <w:t>;</w:t>
      </w:r>
    </w:p>
    <w:p w:rsidR="000716CB" w:rsidRPr="00ED2277" w:rsidRDefault="000716CB" w:rsidP="00970A15">
      <w:pPr>
        <w:pStyle w:val="ListParagraph"/>
        <w:numPr>
          <w:ilvl w:val="0"/>
          <w:numId w:val="20"/>
        </w:numPr>
        <w:spacing w:line="240" w:lineRule="auto"/>
        <w:ind w:left="567" w:hanging="567"/>
        <w:rPr>
          <w:rFonts w:ascii="Verdana" w:hAnsi="Verdana"/>
          <w:sz w:val="18"/>
          <w:szCs w:val="18"/>
        </w:rPr>
      </w:pPr>
      <w:r w:rsidRPr="00ED2277">
        <w:rPr>
          <w:rFonts w:ascii="Verdana" w:hAnsi="Verdana"/>
          <w:sz w:val="18"/>
        </w:rPr>
        <w:t xml:space="preserve">La définition d'un calendrier et de mesures en vue du </w:t>
      </w:r>
      <w:r w:rsidRPr="00ED2277">
        <w:rPr>
          <w:rFonts w:ascii="Verdana" w:hAnsi="Verdana"/>
          <w:b/>
          <w:sz w:val="18"/>
        </w:rPr>
        <w:t>lancement d'une Europe politique</w:t>
      </w:r>
      <w:r w:rsidRPr="00ED2277">
        <w:rPr>
          <w:rFonts w:ascii="Verdana" w:hAnsi="Verdana"/>
          <w:sz w:val="18"/>
        </w:rPr>
        <w:t xml:space="preserve"> dans son ensemble, y compris par le biais d'un processus de réflexion sur sa structure institutionnelle dans le contexte d'une nouvelle convention européenne;</w:t>
      </w:r>
    </w:p>
    <w:p w:rsidR="000716CB" w:rsidRPr="00ED2277" w:rsidRDefault="000716CB" w:rsidP="00970A15">
      <w:pPr>
        <w:pStyle w:val="ListParagraph"/>
        <w:numPr>
          <w:ilvl w:val="0"/>
          <w:numId w:val="20"/>
        </w:numPr>
        <w:spacing w:line="240" w:lineRule="auto"/>
        <w:ind w:left="567" w:hanging="567"/>
        <w:rPr>
          <w:rFonts w:ascii="Verdana" w:hAnsi="Verdana"/>
          <w:sz w:val="18"/>
          <w:szCs w:val="18"/>
        </w:rPr>
      </w:pPr>
      <w:r w:rsidRPr="00ED2277">
        <w:rPr>
          <w:rFonts w:ascii="Verdana" w:hAnsi="Verdana"/>
          <w:sz w:val="18"/>
        </w:rPr>
        <w:t xml:space="preserve">Le lancement d'une stratégie de </w:t>
      </w:r>
      <w:r w:rsidRPr="00ED2277">
        <w:rPr>
          <w:rFonts w:ascii="Verdana" w:hAnsi="Verdana"/>
          <w:b/>
          <w:sz w:val="18"/>
        </w:rPr>
        <w:t>communication et de simplification</w:t>
      </w:r>
      <w:r w:rsidRPr="00ED2277">
        <w:rPr>
          <w:rFonts w:ascii="Verdana" w:hAnsi="Verdana"/>
          <w:sz w:val="18"/>
        </w:rPr>
        <w:t xml:space="preserve"> portant sur l'UEM, en tant qu'effort conjoint de la Commission, du Parlement européen, des États membres et de la société civile.</w:t>
      </w:r>
    </w:p>
    <w:p w:rsidR="00B95A18" w:rsidRPr="00ED2277" w:rsidRDefault="00B95A18" w:rsidP="00822FAC">
      <w:pPr>
        <w:spacing w:line="240" w:lineRule="auto"/>
        <w:jc w:val="center"/>
        <w:rPr>
          <w:rFonts w:ascii="Verdana" w:hAnsi="Verdana"/>
          <w:sz w:val="18"/>
          <w:szCs w:val="18"/>
        </w:rPr>
      </w:pPr>
    </w:p>
    <w:p w:rsidR="00DB2340" w:rsidRPr="00ED2277" w:rsidRDefault="00DB2340" w:rsidP="00822FAC">
      <w:pPr>
        <w:spacing w:line="240" w:lineRule="auto"/>
        <w:jc w:val="center"/>
        <w:rPr>
          <w:rFonts w:ascii="Verdana" w:eastAsia="PMingLiU" w:hAnsi="Verdana"/>
          <w:b/>
          <w:sz w:val="16"/>
          <w:szCs w:val="16"/>
        </w:rPr>
      </w:pPr>
    </w:p>
    <w:p w:rsidR="00CE439D" w:rsidRPr="00ED2277" w:rsidRDefault="00CE439D" w:rsidP="00B95A18">
      <w:pPr>
        <w:pBdr>
          <w:top w:val="single" w:sz="4" w:space="1" w:color="auto"/>
          <w:bottom w:val="single" w:sz="4" w:space="1" w:color="auto"/>
        </w:pBdr>
        <w:rPr>
          <w:rFonts w:ascii="Verdana" w:hAnsi="Verdana"/>
          <w:i/>
          <w:sz w:val="14"/>
        </w:rPr>
      </w:pPr>
      <w:r w:rsidRPr="00ED2277">
        <w:rPr>
          <w:rFonts w:ascii="Verdana" w:hAnsi="Verdana"/>
          <w:i/>
          <w:sz w:val="14"/>
        </w:rPr>
        <w:t>Le Comité économique et social européen assure la représentation des différentes composantes socio-économiques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9F7B3B" w:rsidRPr="00ED2277" w:rsidRDefault="009F7B3B" w:rsidP="00473E94">
      <w:pPr>
        <w:rPr>
          <w:rFonts w:ascii="Verdana" w:hAnsi="Verdana"/>
          <w:b/>
          <w:i/>
          <w:sz w:val="16"/>
        </w:rPr>
      </w:pPr>
    </w:p>
    <w:sectPr w:rsidR="009F7B3B" w:rsidRPr="00ED2277" w:rsidSect="00B95A18">
      <w:type w:val="continuous"/>
      <w:pgSz w:w="11907" w:h="16839" w:code="9"/>
      <w:pgMar w:top="992"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4F" w:rsidRDefault="00807D4F">
      <w:r>
        <w:separator/>
      </w:r>
    </w:p>
  </w:endnote>
  <w:endnote w:type="continuationSeparator" w:id="0">
    <w:p w:rsidR="00807D4F" w:rsidRDefault="0080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 99 – 1040 Bruxelles – BELGIQUE</w:t>
    </w:r>
  </w:p>
  <w:p w:rsidR="00E12168" w:rsidRPr="00EA5513" w:rsidRDefault="00E12168" w:rsidP="0004715C">
    <w:pPr>
      <w:spacing w:line="240" w:lineRule="auto"/>
      <w:jc w:val="center"/>
      <w:rPr>
        <w:rFonts w:ascii="Verdana" w:hAnsi="Verdana"/>
        <w:sz w:val="16"/>
      </w:rPr>
    </w:pPr>
    <w:r>
      <w:rPr>
        <w:rFonts w:ascii="Verdana" w:hAnsi="Verdana"/>
        <w:sz w:val="16"/>
      </w:rPr>
      <w:t>Tél. +32 2 546 9779 – Fax +32 2 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Courriel: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700D8664" wp14:editId="51E98E48">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80445D6" wp14:editId="26F7E8E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0FADB3D1" wp14:editId="15D8159F">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4F" w:rsidRDefault="00807D4F">
      <w:r>
        <w:separator/>
      </w:r>
    </w:p>
  </w:footnote>
  <w:footnote w:type="continuationSeparator" w:id="0">
    <w:p w:rsidR="00807D4F" w:rsidRDefault="0080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4195794"/>
    <w:multiLevelType w:val="hybridMultilevel"/>
    <w:tmpl w:val="7B4EC2D4"/>
    <w:lvl w:ilvl="0" w:tplc="75B62BC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4821095"/>
    <w:multiLevelType w:val="hybridMultilevel"/>
    <w:tmpl w:val="8C5C183E"/>
    <w:lvl w:ilvl="0" w:tplc="DE3415A0">
      <w:start w:val="1"/>
      <w:numFmt w:val="decimal"/>
      <w:lvlText w:val="%1."/>
      <w:lvlJc w:val="left"/>
      <w:pPr>
        <w:ind w:left="1004" w:hanging="360"/>
      </w:pPr>
      <w:rPr>
        <w:rFonts w:hint="default"/>
        <w:vanish/>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E95D75"/>
    <w:multiLevelType w:val="hybridMultilevel"/>
    <w:tmpl w:val="F484EE54"/>
    <w:lvl w:ilvl="0" w:tplc="DE3415A0">
      <w:start w:val="1"/>
      <w:numFmt w:val="decimal"/>
      <w:lvlText w:val="%1."/>
      <w:lvlJc w:val="left"/>
      <w:pPr>
        <w:ind w:left="1004" w:hanging="360"/>
      </w:pPr>
      <w:rPr>
        <w:rFonts w:hint="default"/>
        <w:vanish/>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3265DA4"/>
    <w:multiLevelType w:val="multilevel"/>
    <w:tmpl w:val="2B746FA0"/>
    <w:lvl w:ilvl="0">
      <w:start w:val="1"/>
      <w:numFmt w:val="decimal"/>
      <w:lvlText w:val="%1."/>
      <w:lvlJc w:val="left"/>
      <w:pPr>
        <w:tabs>
          <w:tab w:val="num" w:pos="720"/>
        </w:tabs>
        <w:ind w:left="720" w:hanging="360"/>
      </w:pPr>
      <w:rPr>
        <w:rFonts w:hint="default"/>
        <w:vanish/>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71A7F31"/>
    <w:multiLevelType w:val="multilevel"/>
    <w:tmpl w:val="A77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72D6E88"/>
    <w:multiLevelType w:val="multilevel"/>
    <w:tmpl w:val="5F1AED74"/>
    <w:lvl w:ilvl="0">
      <w:start w:val="1"/>
      <w:numFmt w:val="bullet"/>
      <w:lvlText w:val=""/>
      <w:lvlJc w:val="left"/>
      <w:pPr>
        <w:tabs>
          <w:tab w:val="num" w:pos="720"/>
        </w:tabs>
        <w:ind w:left="720" w:hanging="360"/>
      </w:pPr>
      <w:rPr>
        <w:rFonts w:ascii="Symbol" w:hAnsi="Symbol" w:hint="default"/>
        <w:vanish/>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79766F3A"/>
    <w:multiLevelType w:val="hybridMultilevel"/>
    <w:tmpl w:val="0D90B1CC"/>
    <w:lvl w:ilvl="0" w:tplc="DE3415A0">
      <w:start w:val="1"/>
      <w:numFmt w:val="decimal"/>
      <w:lvlText w:val="%1."/>
      <w:lvlJc w:val="left"/>
      <w:pPr>
        <w:ind w:left="1004" w:hanging="360"/>
      </w:pPr>
      <w:rPr>
        <w:rFonts w:hint="default"/>
        <w:vanish/>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0"/>
  </w:num>
  <w:num w:numId="5">
    <w:abstractNumId w:val="11"/>
  </w:num>
  <w:num w:numId="6">
    <w:abstractNumId w:val="17"/>
  </w:num>
  <w:num w:numId="7">
    <w:abstractNumId w:val="4"/>
  </w:num>
  <w:num w:numId="8">
    <w:abstractNumId w:val="24"/>
  </w:num>
  <w:num w:numId="9">
    <w:abstractNumId w:val="22"/>
  </w:num>
  <w:num w:numId="10">
    <w:abstractNumId w:val="21"/>
  </w:num>
  <w:num w:numId="11">
    <w:abstractNumId w:val="19"/>
  </w:num>
  <w:num w:numId="12">
    <w:abstractNumId w:val="12"/>
  </w:num>
  <w:num w:numId="13">
    <w:abstractNumId w:val="6"/>
  </w:num>
  <w:num w:numId="14">
    <w:abstractNumId w:val="15"/>
  </w:num>
  <w:num w:numId="15">
    <w:abstractNumId w:val="20"/>
  </w:num>
  <w:num w:numId="16">
    <w:abstractNumId w:val="13"/>
  </w:num>
  <w:num w:numId="17">
    <w:abstractNumId w:val="9"/>
  </w:num>
  <w:num w:numId="18">
    <w:abstractNumId w:val="8"/>
  </w:num>
  <w:num w:numId="19">
    <w:abstractNumId w:val="10"/>
  </w:num>
  <w:num w:numId="20">
    <w:abstractNumId w:val="23"/>
  </w:num>
  <w:num w:numId="21">
    <w:abstractNumId w:val="2"/>
  </w:num>
  <w:num w:numId="22">
    <w:abstractNumId w:val="3"/>
  </w:num>
  <w:num w:numId="23">
    <w:abstractNumId w:val="5"/>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3B8D"/>
    <w:rsid w:val="00003F81"/>
    <w:rsid w:val="000043FE"/>
    <w:rsid w:val="00007BAE"/>
    <w:rsid w:val="00007BD3"/>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6CB"/>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2E7B"/>
    <w:rsid w:val="001606A0"/>
    <w:rsid w:val="00161E2C"/>
    <w:rsid w:val="0016320F"/>
    <w:rsid w:val="00163DC2"/>
    <w:rsid w:val="001659B2"/>
    <w:rsid w:val="001660D3"/>
    <w:rsid w:val="00166961"/>
    <w:rsid w:val="00166F36"/>
    <w:rsid w:val="001719C4"/>
    <w:rsid w:val="00171A3C"/>
    <w:rsid w:val="00175643"/>
    <w:rsid w:val="00175E42"/>
    <w:rsid w:val="00176074"/>
    <w:rsid w:val="00176265"/>
    <w:rsid w:val="001835ED"/>
    <w:rsid w:val="00184FF0"/>
    <w:rsid w:val="0018613F"/>
    <w:rsid w:val="00186AFA"/>
    <w:rsid w:val="00187163"/>
    <w:rsid w:val="001904EC"/>
    <w:rsid w:val="00192518"/>
    <w:rsid w:val="00194E8E"/>
    <w:rsid w:val="00195EC3"/>
    <w:rsid w:val="00195FF1"/>
    <w:rsid w:val="0019737E"/>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7D5E"/>
    <w:rsid w:val="0020436C"/>
    <w:rsid w:val="00205AEA"/>
    <w:rsid w:val="00210581"/>
    <w:rsid w:val="002123FF"/>
    <w:rsid w:val="002143F5"/>
    <w:rsid w:val="00216FC7"/>
    <w:rsid w:val="00221FFA"/>
    <w:rsid w:val="0022235E"/>
    <w:rsid w:val="00223635"/>
    <w:rsid w:val="0022628B"/>
    <w:rsid w:val="00227A31"/>
    <w:rsid w:val="00231EA2"/>
    <w:rsid w:val="00235A71"/>
    <w:rsid w:val="002431C3"/>
    <w:rsid w:val="002439E3"/>
    <w:rsid w:val="00244B53"/>
    <w:rsid w:val="0024520B"/>
    <w:rsid w:val="002474B4"/>
    <w:rsid w:val="00247BB5"/>
    <w:rsid w:val="00251322"/>
    <w:rsid w:val="0025526A"/>
    <w:rsid w:val="002562CD"/>
    <w:rsid w:val="00257B3A"/>
    <w:rsid w:val="00273102"/>
    <w:rsid w:val="002734F3"/>
    <w:rsid w:val="00274CA5"/>
    <w:rsid w:val="0027565F"/>
    <w:rsid w:val="002771BA"/>
    <w:rsid w:val="00277A96"/>
    <w:rsid w:val="0028064E"/>
    <w:rsid w:val="002814CB"/>
    <w:rsid w:val="00283BAD"/>
    <w:rsid w:val="00283C06"/>
    <w:rsid w:val="00286BD7"/>
    <w:rsid w:val="00286C6B"/>
    <w:rsid w:val="0029167B"/>
    <w:rsid w:val="00294C2A"/>
    <w:rsid w:val="002953EA"/>
    <w:rsid w:val="00295537"/>
    <w:rsid w:val="002A2433"/>
    <w:rsid w:val="002A3668"/>
    <w:rsid w:val="002B04A8"/>
    <w:rsid w:val="002B290E"/>
    <w:rsid w:val="002B6234"/>
    <w:rsid w:val="002B640B"/>
    <w:rsid w:val="002B67A9"/>
    <w:rsid w:val="002B7F00"/>
    <w:rsid w:val="002C5AD0"/>
    <w:rsid w:val="002C5CBB"/>
    <w:rsid w:val="002D08ED"/>
    <w:rsid w:val="002D12B2"/>
    <w:rsid w:val="002D22E9"/>
    <w:rsid w:val="002D685E"/>
    <w:rsid w:val="002D6898"/>
    <w:rsid w:val="002D6C19"/>
    <w:rsid w:val="002D7A8C"/>
    <w:rsid w:val="002E14FC"/>
    <w:rsid w:val="002E1924"/>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5F72"/>
    <w:rsid w:val="0032772F"/>
    <w:rsid w:val="003305C3"/>
    <w:rsid w:val="00330C30"/>
    <w:rsid w:val="003327CC"/>
    <w:rsid w:val="00334D8E"/>
    <w:rsid w:val="00335A37"/>
    <w:rsid w:val="00337F0A"/>
    <w:rsid w:val="00340947"/>
    <w:rsid w:val="00343D5E"/>
    <w:rsid w:val="0034531E"/>
    <w:rsid w:val="003532CC"/>
    <w:rsid w:val="00353453"/>
    <w:rsid w:val="00353F90"/>
    <w:rsid w:val="00354CB8"/>
    <w:rsid w:val="0035564F"/>
    <w:rsid w:val="00356045"/>
    <w:rsid w:val="00357B53"/>
    <w:rsid w:val="00357D8C"/>
    <w:rsid w:val="0036045A"/>
    <w:rsid w:val="003623F9"/>
    <w:rsid w:val="00362786"/>
    <w:rsid w:val="00364AEC"/>
    <w:rsid w:val="00364ED2"/>
    <w:rsid w:val="00365D48"/>
    <w:rsid w:val="00370239"/>
    <w:rsid w:val="003705D5"/>
    <w:rsid w:val="003708A5"/>
    <w:rsid w:val="00374C88"/>
    <w:rsid w:val="00376637"/>
    <w:rsid w:val="0037685C"/>
    <w:rsid w:val="003834F7"/>
    <w:rsid w:val="00384E41"/>
    <w:rsid w:val="0038574A"/>
    <w:rsid w:val="00386F1F"/>
    <w:rsid w:val="003874EA"/>
    <w:rsid w:val="003915BE"/>
    <w:rsid w:val="00392CB8"/>
    <w:rsid w:val="00394D81"/>
    <w:rsid w:val="003A66C0"/>
    <w:rsid w:val="003B0ACC"/>
    <w:rsid w:val="003B2616"/>
    <w:rsid w:val="003B2A25"/>
    <w:rsid w:val="003B62F4"/>
    <w:rsid w:val="003B714A"/>
    <w:rsid w:val="003B7AE3"/>
    <w:rsid w:val="003C05D0"/>
    <w:rsid w:val="003C21F5"/>
    <w:rsid w:val="003C3451"/>
    <w:rsid w:val="003C5624"/>
    <w:rsid w:val="003C6D1A"/>
    <w:rsid w:val="003C727E"/>
    <w:rsid w:val="003C7BF9"/>
    <w:rsid w:val="003D2255"/>
    <w:rsid w:val="003D3552"/>
    <w:rsid w:val="003D3772"/>
    <w:rsid w:val="003D465F"/>
    <w:rsid w:val="003D64E9"/>
    <w:rsid w:val="003E1E99"/>
    <w:rsid w:val="003E5EB2"/>
    <w:rsid w:val="003F4711"/>
    <w:rsid w:val="003F5C5E"/>
    <w:rsid w:val="003F73CB"/>
    <w:rsid w:val="00401766"/>
    <w:rsid w:val="00406F00"/>
    <w:rsid w:val="00412D3D"/>
    <w:rsid w:val="00415811"/>
    <w:rsid w:val="004161B8"/>
    <w:rsid w:val="00420C6F"/>
    <w:rsid w:val="00421579"/>
    <w:rsid w:val="004219B7"/>
    <w:rsid w:val="00422C7A"/>
    <w:rsid w:val="004258C4"/>
    <w:rsid w:val="00425C6D"/>
    <w:rsid w:val="0043055C"/>
    <w:rsid w:val="00430A45"/>
    <w:rsid w:val="00431CA6"/>
    <w:rsid w:val="00436BF3"/>
    <w:rsid w:val="0044429E"/>
    <w:rsid w:val="004443A5"/>
    <w:rsid w:val="0044594F"/>
    <w:rsid w:val="00445F73"/>
    <w:rsid w:val="0045424F"/>
    <w:rsid w:val="004605FD"/>
    <w:rsid w:val="00462AF4"/>
    <w:rsid w:val="00465C38"/>
    <w:rsid w:val="00470B59"/>
    <w:rsid w:val="0047111F"/>
    <w:rsid w:val="00471681"/>
    <w:rsid w:val="00473E94"/>
    <w:rsid w:val="00485300"/>
    <w:rsid w:val="00487258"/>
    <w:rsid w:val="00490528"/>
    <w:rsid w:val="00492D0F"/>
    <w:rsid w:val="00494BBC"/>
    <w:rsid w:val="00495BF2"/>
    <w:rsid w:val="004969A2"/>
    <w:rsid w:val="00496C47"/>
    <w:rsid w:val="004A114B"/>
    <w:rsid w:val="004A35E4"/>
    <w:rsid w:val="004A391C"/>
    <w:rsid w:val="004A7307"/>
    <w:rsid w:val="004B05C0"/>
    <w:rsid w:val="004B5BC1"/>
    <w:rsid w:val="004C230E"/>
    <w:rsid w:val="004C3C68"/>
    <w:rsid w:val="004C44EE"/>
    <w:rsid w:val="004C5DAA"/>
    <w:rsid w:val="004C75C9"/>
    <w:rsid w:val="004D1CDB"/>
    <w:rsid w:val="004D1E68"/>
    <w:rsid w:val="004D47BD"/>
    <w:rsid w:val="004D4A2F"/>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403F"/>
    <w:rsid w:val="00546BAC"/>
    <w:rsid w:val="0054780C"/>
    <w:rsid w:val="0055255F"/>
    <w:rsid w:val="0055294F"/>
    <w:rsid w:val="00553B5B"/>
    <w:rsid w:val="00553E7C"/>
    <w:rsid w:val="005549A1"/>
    <w:rsid w:val="00555AB0"/>
    <w:rsid w:val="00556CD0"/>
    <w:rsid w:val="00560644"/>
    <w:rsid w:val="0056215A"/>
    <w:rsid w:val="005658B4"/>
    <w:rsid w:val="005666AE"/>
    <w:rsid w:val="00573726"/>
    <w:rsid w:val="00575DF5"/>
    <w:rsid w:val="00577478"/>
    <w:rsid w:val="00585DFE"/>
    <w:rsid w:val="00586088"/>
    <w:rsid w:val="00593672"/>
    <w:rsid w:val="00593FD0"/>
    <w:rsid w:val="00594C5F"/>
    <w:rsid w:val="00597197"/>
    <w:rsid w:val="005A0E90"/>
    <w:rsid w:val="005A3FBA"/>
    <w:rsid w:val="005A5F44"/>
    <w:rsid w:val="005A6AA2"/>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6B30"/>
    <w:rsid w:val="005D6FC8"/>
    <w:rsid w:val="005E1BBF"/>
    <w:rsid w:val="005E2EAF"/>
    <w:rsid w:val="005E391A"/>
    <w:rsid w:val="005E7648"/>
    <w:rsid w:val="005F080E"/>
    <w:rsid w:val="005F1943"/>
    <w:rsid w:val="005F42C5"/>
    <w:rsid w:val="005F76F2"/>
    <w:rsid w:val="006032C8"/>
    <w:rsid w:val="00604FB8"/>
    <w:rsid w:val="006076F5"/>
    <w:rsid w:val="0060771D"/>
    <w:rsid w:val="00610D74"/>
    <w:rsid w:val="0061288B"/>
    <w:rsid w:val="006143C2"/>
    <w:rsid w:val="006148A6"/>
    <w:rsid w:val="006171F3"/>
    <w:rsid w:val="00626C38"/>
    <w:rsid w:val="00627902"/>
    <w:rsid w:val="006300C9"/>
    <w:rsid w:val="006371D8"/>
    <w:rsid w:val="00643B6D"/>
    <w:rsid w:val="00644672"/>
    <w:rsid w:val="006479E7"/>
    <w:rsid w:val="00647E74"/>
    <w:rsid w:val="00661B63"/>
    <w:rsid w:val="00662EE3"/>
    <w:rsid w:val="00663F9C"/>
    <w:rsid w:val="006643D9"/>
    <w:rsid w:val="00664630"/>
    <w:rsid w:val="00664DF7"/>
    <w:rsid w:val="00667152"/>
    <w:rsid w:val="0067262C"/>
    <w:rsid w:val="006755EE"/>
    <w:rsid w:val="00676157"/>
    <w:rsid w:val="00680869"/>
    <w:rsid w:val="0068233E"/>
    <w:rsid w:val="00685B4B"/>
    <w:rsid w:val="00686EC2"/>
    <w:rsid w:val="00692668"/>
    <w:rsid w:val="00696394"/>
    <w:rsid w:val="00697C97"/>
    <w:rsid w:val="00697E02"/>
    <w:rsid w:val="006A011F"/>
    <w:rsid w:val="006A551E"/>
    <w:rsid w:val="006A7CB6"/>
    <w:rsid w:val="006B1A72"/>
    <w:rsid w:val="006B49A6"/>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14D0"/>
    <w:rsid w:val="00732E78"/>
    <w:rsid w:val="00734330"/>
    <w:rsid w:val="00740F79"/>
    <w:rsid w:val="00741FFA"/>
    <w:rsid w:val="007423BD"/>
    <w:rsid w:val="007423E6"/>
    <w:rsid w:val="00742761"/>
    <w:rsid w:val="00742CC2"/>
    <w:rsid w:val="00745939"/>
    <w:rsid w:val="007459F3"/>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21F2"/>
    <w:rsid w:val="007D708F"/>
    <w:rsid w:val="007D7C17"/>
    <w:rsid w:val="007E636E"/>
    <w:rsid w:val="007E645B"/>
    <w:rsid w:val="007E6C21"/>
    <w:rsid w:val="007F0D33"/>
    <w:rsid w:val="007F13E7"/>
    <w:rsid w:val="007F34D6"/>
    <w:rsid w:val="007F36B6"/>
    <w:rsid w:val="007F385B"/>
    <w:rsid w:val="007F5085"/>
    <w:rsid w:val="007F647B"/>
    <w:rsid w:val="008011A2"/>
    <w:rsid w:val="008045A0"/>
    <w:rsid w:val="00804624"/>
    <w:rsid w:val="00807D4F"/>
    <w:rsid w:val="00811FCE"/>
    <w:rsid w:val="00812900"/>
    <w:rsid w:val="00813AE3"/>
    <w:rsid w:val="00814120"/>
    <w:rsid w:val="00814C98"/>
    <w:rsid w:val="00822FAC"/>
    <w:rsid w:val="008259DF"/>
    <w:rsid w:val="00825E10"/>
    <w:rsid w:val="00831D12"/>
    <w:rsid w:val="008331BA"/>
    <w:rsid w:val="00842B81"/>
    <w:rsid w:val="00844A5C"/>
    <w:rsid w:val="008512DF"/>
    <w:rsid w:val="008534A3"/>
    <w:rsid w:val="0085352B"/>
    <w:rsid w:val="00854001"/>
    <w:rsid w:val="0085464F"/>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6BD3"/>
    <w:rsid w:val="00900C21"/>
    <w:rsid w:val="00904D1E"/>
    <w:rsid w:val="0091006B"/>
    <w:rsid w:val="00910EE7"/>
    <w:rsid w:val="00912242"/>
    <w:rsid w:val="00913BE8"/>
    <w:rsid w:val="00913FEC"/>
    <w:rsid w:val="009165FC"/>
    <w:rsid w:val="009214B5"/>
    <w:rsid w:val="009243BD"/>
    <w:rsid w:val="009252C8"/>
    <w:rsid w:val="00927D51"/>
    <w:rsid w:val="00930B90"/>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0A15"/>
    <w:rsid w:val="0097280B"/>
    <w:rsid w:val="009765F1"/>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6426"/>
    <w:rsid w:val="009D3988"/>
    <w:rsid w:val="009D663A"/>
    <w:rsid w:val="009D7FA3"/>
    <w:rsid w:val="009E0550"/>
    <w:rsid w:val="009E095D"/>
    <w:rsid w:val="009E6BF7"/>
    <w:rsid w:val="009E6DD9"/>
    <w:rsid w:val="009E6EA1"/>
    <w:rsid w:val="009E703D"/>
    <w:rsid w:val="009F1222"/>
    <w:rsid w:val="009F401B"/>
    <w:rsid w:val="009F5812"/>
    <w:rsid w:val="009F601D"/>
    <w:rsid w:val="009F7B3B"/>
    <w:rsid w:val="00A00EAD"/>
    <w:rsid w:val="00A022FA"/>
    <w:rsid w:val="00A0571E"/>
    <w:rsid w:val="00A11825"/>
    <w:rsid w:val="00A1195A"/>
    <w:rsid w:val="00A1273D"/>
    <w:rsid w:val="00A14889"/>
    <w:rsid w:val="00A15E07"/>
    <w:rsid w:val="00A16E4D"/>
    <w:rsid w:val="00A21AF7"/>
    <w:rsid w:val="00A3590B"/>
    <w:rsid w:val="00A37599"/>
    <w:rsid w:val="00A37B51"/>
    <w:rsid w:val="00A425AD"/>
    <w:rsid w:val="00A463F8"/>
    <w:rsid w:val="00A52F1A"/>
    <w:rsid w:val="00A575FA"/>
    <w:rsid w:val="00A6117B"/>
    <w:rsid w:val="00A618B2"/>
    <w:rsid w:val="00A61B35"/>
    <w:rsid w:val="00A65E93"/>
    <w:rsid w:val="00A700CA"/>
    <w:rsid w:val="00A70714"/>
    <w:rsid w:val="00A71A39"/>
    <w:rsid w:val="00A72EC9"/>
    <w:rsid w:val="00A75B47"/>
    <w:rsid w:val="00A801B4"/>
    <w:rsid w:val="00A81F65"/>
    <w:rsid w:val="00A83226"/>
    <w:rsid w:val="00A83BB2"/>
    <w:rsid w:val="00A9124D"/>
    <w:rsid w:val="00A94689"/>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38DE"/>
    <w:rsid w:val="00AD3B04"/>
    <w:rsid w:val="00AD3E00"/>
    <w:rsid w:val="00AD7710"/>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39E2"/>
    <w:rsid w:val="00B31D91"/>
    <w:rsid w:val="00B33636"/>
    <w:rsid w:val="00B33867"/>
    <w:rsid w:val="00B3478A"/>
    <w:rsid w:val="00B3530C"/>
    <w:rsid w:val="00B36AE1"/>
    <w:rsid w:val="00B36E03"/>
    <w:rsid w:val="00B403EA"/>
    <w:rsid w:val="00B41CDB"/>
    <w:rsid w:val="00B43F58"/>
    <w:rsid w:val="00B45742"/>
    <w:rsid w:val="00B523FD"/>
    <w:rsid w:val="00B55085"/>
    <w:rsid w:val="00B5720B"/>
    <w:rsid w:val="00B62589"/>
    <w:rsid w:val="00B66941"/>
    <w:rsid w:val="00B7000E"/>
    <w:rsid w:val="00B70056"/>
    <w:rsid w:val="00B71203"/>
    <w:rsid w:val="00B73294"/>
    <w:rsid w:val="00B738CE"/>
    <w:rsid w:val="00B74E74"/>
    <w:rsid w:val="00B864B3"/>
    <w:rsid w:val="00B86F7D"/>
    <w:rsid w:val="00B87414"/>
    <w:rsid w:val="00B9349D"/>
    <w:rsid w:val="00B94224"/>
    <w:rsid w:val="00B95A18"/>
    <w:rsid w:val="00B96D77"/>
    <w:rsid w:val="00B96EB7"/>
    <w:rsid w:val="00B97CC4"/>
    <w:rsid w:val="00BA3111"/>
    <w:rsid w:val="00BA6EEC"/>
    <w:rsid w:val="00BB070E"/>
    <w:rsid w:val="00BB0EE2"/>
    <w:rsid w:val="00BB36F5"/>
    <w:rsid w:val="00BC1747"/>
    <w:rsid w:val="00BC54AB"/>
    <w:rsid w:val="00BC6025"/>
    <w:rsid w:val="00BC60C2"/>
    <w:rsid w:val="00BD4347"/>
    <w:rsid w:val="00BD437C"/>
    <w:rsid w:val="00BE1AD1"/>
    <w:rsid w:val="00BE1DAF"/>
    <w:rsid w:val="00BF0D55"/>
    <w:rsid w:val="00BF1192"/>
    <w:rsid w:val="00BF275A"/>
    <w:rsid w:val="00BF3CA8"/>
    <w:rsid w:val="00BF5A0B"/>
    <w:rsid w:val="00BF5FCE"/>
    <w:rsid w:val="00BF6BED"/>
    <w:rsid w:val="00C05075"/>
    <w:rsid w:val="00C112BD"/>
    <w:rsid w:val="00C12A8E"/>
    <w:rsid w:val="00C21C96"/>
    <w:rsid w:val="00C22491"/>
    <w:rsid w:val="00C24707"/>
    <w:rsid w:val="00C26F5C"/>
    <w:rsid w:val="00C30652"/>
    <w:rsid w:val="00C3511A"/>
    <w:rsid w:val="00C36609"/>
    <w:rsid w:val="00C3679D"/>
    <w:rsid w:val="00C36C84"/>
    <w:rsid w:val="00C41126"/>
    <w:rsid w:val="00C42407"/>
    <w:rsid w:val="00C51729"/>
    <w:rsid w:val="00C52473"/>
    <w:rsid w:val="00C52BBD"/>
    <w:rsid w:val="00C56B37"/>
    <w:rsid w:val="00C56D06"/>
    <w:rsid w:val="00C62A3C"/>
    <w:rsid w:val="00C70063"/>
    <w:rsid w:val="00C755F1"/>
    <w:rsid w:val="00C818A3"/>
    <w:rsid w:val="00C82A73"/>
    <w:rsid w:val="00C83428"/>
    <w:rsid w:val="00C83470"/>
    <w:rsid w:val="00C84283"/>
    <w:rsid w:val="00C86A64"/>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E52AF"/>
    <w:rsid w:val="00CF25A1"/>
    <w:rsid w:val="00CF3A7A"/>
    <w:rsid w:val="00D000D0"/>
    <w:rsid w:val="00D0041E"/>
    <w:rsid w:val="00D026A5"/>
    <w:rsid w:val="00D04716"/>
    <w:rsid w:val="00D055E4"/>
    <w:rsid w:val="00D05BD4"/>
    <w:rsid w:val="00D0661E"/>
    <w:rsid w:val="00D107B7"/>
    <w:rsid w:val="00D11AF6"/>
    <w:rsid w:val="00D12BAF"/>
    <w:rsid w:val="00D1468B"/>
    <w:rsid w:val="00D15E24"/>
    <w:rsid w:val="00D161DC"/>
    <w:rsid w:val="00D1634B"/>
    <w:rsid w:val="00D1685A"/>
    <w:rsid w:val="00D169E7"/>
    <w:rsid w:val="00D17036"/>
    <w:rsid w:val="00D20202"/>
    <w:rsid w:val="00D20C1F"/>
    <w:rsid w:val="00D31E98"/>
    <w:rsid w:val="00D34F52"/>
    <w:rsid w:val="00D37A25"/>
    <w:rsid w:val="00D37C30"/>
    <w:rsid w:val="00D46BF9"/>
    <w:rsid w:val="00D5051B"/>
    <w:rsid w:val="00D52E14"/>
    <w:rsid w:val="00D55465"/>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3896"/>
    <w:rsid w:val="00DA396F"/>
    <w:rsid w:val="00DA3997"/>
    <w:rsid w:val="00DA3F3D"/>
    <w:rsid w:val="00DA4907"/>
    <w:rsid w:val="00DA4DC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3A2E"/>
    <w:rsid w:val="00E058F9"/>
    <w:rsid w:val="00E108E9"/>
    <w:rsid w:val="00E12168"/>
    <w:rsid w:val="00E14D03"/>
    <w:rsid w:val="00E15332"/>
    <w:rsid w:val="00E161D4"/>
    <w:rsid w:val="00E27624"/>
    <w:rsid w:val="00E30951"/>
    <w:rsid w:val="00E30989"/>
    <w:rsid w:val="00E313BC"/>
    <w:rsid w:val="00E32EC6"/>
    <w:rsid w:val="00E33B7A"/>
    <w:rsid w:val="00E36D7F"/>
    <w:rsid w:val="00E376FE"/>
    <w:rsid w:val="00E4189B"/>
    <w:rsid w:val="00E4356F"/>
    <w:rsid w:val="00E522BA"/>
    <w:rsid w:val="00E54DD1"/>
    <w:rsid w:val="00E55CAF"/>
    <w:rsid w:val="00E57DCA"/>
    <w:rsid w:val="00E609EC"/>
    <w:rsid w:val="00E65419"/>
    <w:rsid w:val="00E666FE"/>
    <w:rsid w:val="00E7107D"/>
    <w:rsid w:val="00E71274"/>
    <w:rsid w:val="00E74CF2"/>
    <w:rsid w:val="00E82C38"/>
    <w:rsid w:val="00E860F9"/>
    <w:rsid w:val="00E87EAF"/>
    <w:rsid w:val="00E907E4"/>
    <w:rsid w:val="00E91325"/>
    <w:rsid w:val="00E91D8B"/>
    <w:rsid w:val="00E95621"/>
    <w:rsid w:val="00E965C0"/>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277"/>
    <w:rsid w:val="00ED2A11"/>
    <w:rsid w:val="00ED3162"/>
    <w:rsid w:val="00ED70B2"/>
    <w:rsid w:val="00ED71B5"/>
    <w:rsid w:val="00EE0D88"/>
    <w:rsid w:val="00EE2045"/>
    <w:rsid w:val="00EE3A33"/>
    <w:rsid w:val="00EE684E"/>
    <w:rsid w:val="00EE6F19"/>
    <w:rsid w:val="00EF47DE"/>
    <w:rsid w:val="00EF4862"/>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3D85"/>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54B3"/>
    <w:rsid w:val="00F67E91"/>
    <w:rsid w:val="00F72C33"/>
    <w:rsid w:val="00F76360"/>
    <w:rsid w:val="00F772D5"/>
    <w:rsid w:val="00F77DCA"/>
    <w:rsid w:val="00F80546"/>
    <w:rsid w:val="00F80D83"/>
    <w:rsid w:val="00F8165C"/>
    <w:rsid w:val="00F84C62"/>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C21E0"/>
    <w:rsid w:val="00FC3DAC"/>
    <w:rsid w:val="00FD0526"/>
    <w:rsid w:val="00FD0A48"/>
    <w:rsid w:val="00FD2F70"/>
    <w:rsid w:val="00FD3497"/>
    <w:rsid w:val="00FD4821"/>
    <w:rsid w:val="00FD7050"/>
    <w:rsid w:val="00FD7B0C"/>
    <w:rsid w:val="00FE1538"/>
    <w:rsid w:val="00FE48C1"/>
    <w:rsid w:val="00FF277D"/>
    <w:rsid w:val="00FF2986"/>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fr.eco-opinions&amp;itemCode=34550" TargetMode="External"/><Relationship Id="rId3" Type="http://schemas.openxmlformats.org/officeDocument/2006/relationships/customXml" Target="../customXml/item3.xml"/><Relationship Id="rId21" Type="http://schemas.openxmlformats.org/officeDocument/2006/relationships/hyperlink" Target="mailto:press@eesc.europa.eu?subject=Je%20d%C3%A9sire%20obtenir%20des%20inform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priorities/economic-monetary-union" TargetMode="External"/><Relationship Id="rId2" Type="http://schemas.openxmlformats.org/officeDocument/2006/relationships/customXml" Target="../customXml/item2.xml"/><Relationship Id="rId16" Type="http://schemas.openxmlformats.org/officeDocument/2006/relationships/hyperlink" Target="http://ec.europa.eu/priorities/economic-monetary-union/docs/5-presidents-report_fr.pdf" TargetMode="External"/><Relationship Id="rId20" Type="http://schemas.openxmlformats.org/officeDocument/2006/relationships/hyperlink" Target="http://www.politicheeuropee.it/comunicazione/19465/lagenda-italiana-per-riformare-leurop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esc.europa.eu/?i=portal.fr.eco-opinions&amp;itemCode=2930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SNS6YXTC77FS-9-133</_dlc_DocId>
    <_dlc_DocIdUrl xmlns="9f264e46-9252-4f01-a3b2-4cb67eb6fc3c">
      <Url>http://dm/EESC/2015/_layouts/DocIdRedir.aspx?ID=SNS6YXTC77FS-9-133</Url>
      <Description>SNS6YXTC77FS-9-133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2015-11-19T12:00:00+00:00</ProductionDate>
    <DocumentNumber xmlns="ae52afa4-c322-454e-8472-1d2b1900674c">6079</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17</Value>
      <Value>16</Value>
      <Value>38</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11359</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schemas.microsoft.com/sharepoint/v3/fields"/>
    <ds:schemaRef ds:uri="http://schemas.microsoft.com/office/infopath/2007/PartnerControls"/>
    <ds:schemaRef ds:uri="http://schemas.openxmlformats.org/package/2006/metadata/core-properties"/>
    <ds:schemaRef ds:uri="ae52afa4-c322-454e-8472-1d2b1900674c"/>
    <ds:schemaRef ds:uri="http://schemas.microsoft.com/office/2006/documentManagement/types"/>
    <ds:schemaRef ds:uri="9f264e46-9252-4f01-a3b2-4cb67eb6fc3c"/>
    <ds:schemaRef ds:uri="http://purl.org/dc/dcmitype/"/>
    <ds:schemaRef ds:uri="http://www.w3.org/XML/1998/namespac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BCA7EEA-26A9-449D-B94F-C1D4FD134987}">
  <ds:schemaRefs>
    <ds:schemaRef ds:uri="http://schemas.microsoft.com/sharepoint/events"/>
  </ds:schemaRefs>
</ds:datastoreItem>
</file>

<file path=customXml/itemProps5.xml><?xml version="1.0" encoding="utf-8"?>
<ds:datastoreItem xmlns:ds="http://schemas.openxmlformats.org/officeDocument/2006/customXml" ds:itemID="{797253D6-0278-4386-B143-7BFE4A2E5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62F71E-60B2-45A8-9D53-4D9739FC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1243</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CP66 FR UEM</vt:lpstr>
    </vt:vector>
  </TitlesOfParts>
  <Company>CESE-CdR</Company>
  <LinksUpToDate>false</LinksUpToDate>
  <CharactersWithSpaces>8067</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CP66 FR UEM</dc:title>
  <dc:subject>Communiqué de presse</dc:subject>
  <cp:lastModifiedBy>Agata Berdys</cp:lastModifiedBy>
  <cp:revision>2</cp:revision>
  <cp:lastPrinted>2015-11-18T10:25:00Z</cp:lastPrinted>
  <dcterms:created xsi:type="dcterms:W3CDTF">2015-11-19T14:26:00Z</dcterms:created>
  <dcterms:modified xsi:type="dcterms:W3CDTF">2015-11-19T14:26:00Z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18/11/2015</vt:lpwstr>
  </property>
  <property fmtid="{D5CDD505-2E9C-101B-9397-08002B2CF9AE}" pid="7" name="Pref_Time">
    <vt:lpwstr>16:43:54</vt:lpwstr>
  </property>
  <property fmtid="{D5CDD505-2E9C-101B-9397-08002B2CF9AE}" pid="8" name="Pref_User">
    <vt:lpwstr>enied</vt:lpwstr>
  </property>
  <property fmtid="{D5CDD505-2E9C-101B-9397-08002B2CF9AE}" pid="9" name="Pref_FileName">
    <vt:lpwstr>EESC-2015-06079-00-00-CP-ORI.docx</vt:lpwstr>
  </property>
  <property fmtid="{D5CDD505-2E9C-101B-9397-08002B2CF9AE}" pid="10" name="_dlc_DocIdItemGuid">
    <vt:lpwstr>b6caca71-7b46-4e01-85f4-c0edd12c4e8c</vt:lpwstr>
  </property>
  <property fmtid="{D5CDD505-2E9C-101B-9397-08002B2CF9AE}" pid="11" name="DocumentType_0">
    <vt:lpwstr>CP|de8ad211-9e8d-408b-8324-674d21bb7d18</vt:lpwstr>
  </property>
  <property fmtid="{D5CDD505-2E9C-101B-9397-08002B2CF9AE}" pid="12" name="AvailableTranslations">
    <vt:lpwstr>9;#EN|f2175f21-25d7-44a3-96da-d6a61b075e1b;#20;#DE|f6b31e5a-26fa-4935-b661-318e46daf27e;#4;#FR|d2afafd3-4c81-4f60-8f52-ee33f2f54ff3;#17;#ES|e7a6b05b-ae16-40c8-add9-68b64b03aeba;#38;#IT|0774613c-01ed-4e5d-a25d-11d2388de825;#16;#PL|1e03da61-4678-4e07-b136-b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6079</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17;#ES|e7a6b05b-ae16-40c8-add9-68b64b03aeba;#38;#IT|0774613c-01ed-4e5d-a25d-11d2388de825;#34;#CP|de8ad211-9e8d-408b-8324-674d21bb7d18;#120;#Final|ea5e6674-7b27-4bac-b091-73adbb394efe;#9;#EN|f2175f21-25d7-44a3-96da-d6a61b075e1b;#5;#Unrestricted|826e22d7-d0</vt:lpwstr>
  </property>
  <property fmtid="{D5CDD505-2E9C-101B-9397-08002B2CF9AE}" pid="32" name="AvailableTranslations_0">
    <vt:lpwstr>EN|f2175f21-25d7-44a3-96da-d6a61b075e1b;ES|e7a6b05b-ae16-40c8-add9-68b64b03aeba;IT|0774613c-01ed-4e5d-a25d-11d2388de825</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11359</vt:i4>
  </property>
  <property fmtid="{D5CDD505-2E9C-101B-9397-08002B2CF9AE}" pid="36" name="DocumentYear">
    <vt:i4>2015</vt:i4>
  </property>
  <property fmtid="{D5CDD505-2E9C-101B-9397-08002B2CF9AE}" pid="37" name="DocumentLanguage">
    <vt:lpwstr>4;#FR|d2afafd3-4c81-4f60-8f52-ee33f2f54ff3</vt:lpwstr>
  </property>
</Properties>
</file>