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912BA3" w:rsidRDefault="00CA2C5C" w:rsidP="007F385B">
      <w:pPr>
        <w:ind w:left="-993"/>
        <w:jc w:val="center"/>
        <w:rPr>
          <w:lang w:val="es-ES_tradnl"/>
        </w:rPr>
      </w:pPr>
      <w:bookmarkStart w:id="0" w:name="_GoBack"/>
      <w:bookmarkEnd w:id="0"/>
      <w:r w:rsidRPr="00912BA3">
        <w:rPr>
          <w:noProof/>
          <w:lang w:val="fr-BE" w:eastAsia="fr-BE" w:bidi="ar-SA"/>
        </w:rPr>
        <w:drawing>
          <wp:inline distT="0" distB="0" distL="0" distR="0" wp14:anchorId="565139C2" wp14:editId="0521A0F2">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912BA3">
        <w:trPr>
          <w:cantSplit/>
        </w:trPr>
        <w:tc>
          <w:tcPr>
            <w:tcW w:w="5168" w:type="dxa"/>
          </w:tcPr>
          <w:p w:rsidR="0070012D" w:rsidRPr="00912BA3" w:rsidRDefault="001F2DFD" w:rsidP="00007BD3">
            <w:pPr>
              <w:spacing w:line="240" w:lineRule="auto"/>
              <w:rPr>
                <w:rFonts w:ascii="Verdana" w:hAnsi="Verdana"/>
                <w:b/>
                <w:bCs/>
                <w:sz w:val="18"/>
                <w:szCs w:val="18"/>
                <w:lang w:val="es-ES_tradnl"/>
              </w:rPr>
            </w:pPr>
            <w:r w:rsidRPr="00912BA3">
              <w:rPr>
                <w:rFonts w:ascii="Verdana" w:hAnsi="Verdana"/>
                <w:b/>
                <w:sz w:val="18"/>
                <w:lang w:val="es-ES_tradnl"/>
              </w:rPr>
              <w:t>Nº 66/2015</w:t>
            </w:r>
          </w:p>
        </w:tc>
        <w:tc>
          <w:tcPr>
            <w:tcW w:w="4119" w:type="dxa"/>
          </w:tcPr>
          <w:p w:rsidR="008820BE" w:rsidRPr="00912BA3" w:rsidRDefault="00DF3164" w:rsidP="000716CB">
            <w:pPr>
              <w:spacing w:line="240" w:lineRule="auto"/>
              <w:jc w:val="right"/>
              <w:rPr>
                <w:rFonts w:ascii="Verdana" w:hAnsi="Verdana"/>
                <w:b/>
                <w:bCs/>
                <w:sz w:val="18"/>
                <w:szCs w:val="18"/>
                <w:lang w:val="es-ES_tradnl"/>
              </w:rPr>
            </w:pPr>
            <w:r w:rsidRPr="00912BA3">
              <w:rPr>
                <w:rFonts w:ascii="Verdana" w:hAnsi="Verdana"/>
                <w:b/>
                <w:sz w:val="18"/>
                <w:lang w:val="es-ES_tradnl"/>
              </w:rPr>
              <w:t>18 de noviembre de 2015</w:t>
            </w:r>
          </w:p>
        </w:tc>
      </w:tr>
    </w:tbl>
    <w:p w:rsidR="008820BE" w:rsidRPr="00912BA3" w:rsidRDefault="00CA2C5C" w:rsidP="00473E94">
      <w:pPr>
        <w:spacing w:line="240" w:lineRule="auto"/>
        <w:rPr>
          <w:rFonts w:ascii="Verdana" w:hAnsi="Verdana"/>
          <w:sz w:val="20"/>
          <w:lang w:val="es-ES_tradnl"/>
        </w:rPr>
        <w:sectPr w:rsidR="008820BE" w:rsidRPr="00912BA3" w:rsidSect="00B95A18">
          <w:footerReference w:type="default" r:id="rId15"/>
          <w:pgSz w:w="11907" w:h="16839" w:code="9"/>
          <w:pgMar w:top="425" w:right="1418" w:bottom="1418" w:left="1418" w:header="3062" w:footer="454" w:gutter="0"/>
          <w:cols w:space="720"/>
          <w:docGrid w:linePitch="299"/>
        </w:sectPr>
      </w:pPr>
      <w:r w:rsidRPr="00912BA3">
        <w:rPr>
          <w:noProof/>
          <w:lang w:val="fr-BE" w:eastAsia="fr-BE" w:bidi="ar-SA"/>
        </w:rPr>
        <mc:AlternateContent>
          <mc:Choice Requires="wps">
            <w:drawing>
              <wp:anchor distT="0" distB="0" distL="114300" distR="114300" simplePos="0" relativeHeight="251657728" behindDoc="1" locked="0" layoutInCell="0" allowOverlap="1" wp14:anchorId="762812BE" wp14:editId="7A63F104">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473E94" w:rsidRDefault="00E12168" w:rsidP="00473E94">
                      <w:pPr>
                        <w:jc w:val="center"/>
                        <w:rPr>
                          <w:rFonts w:ascii="Arial" w:hAnsi="Arial" w:cs="Arial"/>
                          <w:b/>
                          <w:sz w:val="48"/>
                        </w:rPr>
                      </w:pPr>
                      <w:r>
                        <w:rPr>
                          <w:rFonts w:ascii="Arial" w:hAnsi="Arial"/>
                          <w:b/>
                          <w:sz w:val="48"/>
                        </w:rPr>
                        <w:t>ES</w:t>
                      </w:r>
                    </w:p>
                  </w:txbxContent>
                </v:textbox>
                <w10:wrap anchorx="page" anchory="page"/>
              </v:shape>
            </w:pict>
          </mc:Fallback>
        </mc:AlternateContent>
      </w:r>
    </w:p>
    <w:p w:rsidR="00E91D8B" w:rsidRPr="00912BA3" w:rsidRDefault="00E91D8B" w:rsidP="00382525">
      <w:pPr>
        <w:rPr>
          <w:rFonts w:ascii="Verdana" w:hAnsi="Verdana"/>
          <w:b/>
          <w:sz w:val="28"/>
          <w:szCs w:val="28"/>
          <w:lang w:val="es-ES_tradnl"/>
        </w:rPr>
      </w:pPr>
    </w:p>
    <w:p w:rsidR="00E91D8B" w:rsidRPr="00912BA3" w:rsidRDefault="00E91D8B" w:rsidP="00382525">
      <w:pPr>
        <w:rPr>
          <w:rFonts w:ascii="Verdana" w:hAnsi="Verdana"/>
          <w:b/>
          <w:sz w:val="28"/>
          <w:szCs w:val="28"/>
          <w:lang w:val="es-ES_tradnl"/>
        </w:rPr>
      </w:pPr>
    </w:p>
    <w:p w:rsidR="00BF5A0B" w:rsidRPr="00912BA3" w:rsidRDefault="000716CB" w:rsidP="000716CB">
      <w:pPr>
        <w:jc w:val="center"/>
        <w:rPr>
          <w:rFonts w:ascii="Verdana" w:hAnsi="Verdana"/>
          <w:b/>
          <w:color w:val="0070C0"/>
          <w:sz w:val="28"/>
          <w:szCs w:val="28"/>
          <w:lang w:val="es-ES_tradnl"/>
        </w:rPr>
      </w:pPr>
      <w:r w:rsidRPr="00912BA3">
        <w:rPr>
          <w:rFonts w:ascii="Verdana" w:hAnsi="Verdana"/>
          <w:b/>
          <w:color w:val="0070C0"/>
          <w:sz w:val="28"/>
          <w:lang w:val="es-ES_tradnl"/>
        </w:rPr>
        <w:t xml:space="preserve">El presidente del CESE, Georges Dassis, </w:t>
      </w:r>
      <w:r w:rsidR="00382525" w:rsidRPr="00912BA3">
        <w:rPr>
          <w:rFonts w:ascii="Verdana" w:hAnsi="Verdana"/>
          <w:b/>
          <w:color w:val="0070C0"/>
          <w:sz w:val="28"/>
          <w:lang w:val="es-ES_tradnl"/>
        </w:rPr>
        <w:br/>
      </w:r>
      <w:r w:rsidRPr="00912BA3">
        <w:rPr>
          <w:rFonts w:ascii="Verdana" w:hAnsi="Verdana"/>
          <w:b/>
          <w:color w:val="0070C0"/>
          <w:sz w:val="28"/>
          <w:lang w:val="es-ES_tradnl"/>
        </w:rPr>
        <w:t xml:space="preserve">y el secretario de Estado italiano, Sandro Gozi, intercambian opiniones sobre la realización de la UEM </w:t>
      </w:r>
      <w:r w:rsidR="00382525" w:rsidRPr="00912BA3">
        <w:rPr>
          <w:rFonts w:ascii="Verdana" w:hAnsi="Verdana"/>
          <w:b/>
          <w:color w:val="0070C0"/>
          <w:sz w:val="28"/>
          <w:lang w:val="es-ES_tradnl"/>
        </w:rPr>
        <w:br/>
      </w:r>
      <w:r w:rsidRPr="00912BA3">
        <w:rPr>
          <w:rFonts w:ascii="Verdana" w:hAnsi="Verdana"/>
          <w:b/>
          <w:color w:val="0070C0"/>
          <w:sz w:val="28"/>
          <w:lang w:val="es-ES_tradnl"/>
        </w:rPr>
        <w:t>en apoyo de la integración europea</w:t>
      </w:r>
    </w:p>
    <w:p w:rsidR="000716CB" w:rsidRPr="00912BA3" w:rsidRDefault="000716CB" w:rsidP="00E91D8B">
      <w:pPr>
        <w:spacing w:line="240" w:lineRule="auto"/>
        <w:jc w:val="center"/>
        <w:rPr>
          <w:rFonts w:ascii="Verdana" w:hAnsi="Verdana"/>
          <w:sz w:val="28"/>
          <w:szCs w:val="28"/>
          <w:lang w:val="es-ES_tradnl"/>
        </w:rPr>
      </w:pPr>
    </w:p>
    <w:p w:rsidR="003C727E" w:rsidRPr="00912BA3" w:rsidRDefault="00B5720B" w:rsidP="000716CB">
      <w:pPr>
        <w:spacing w:line="240" w:lineRule="auto"/>
        <w:rPr>
          <w:rFonts w:ascii="Verdana" w:hAnsi="Verdana"/>
          <w:b/>
          <w:sz w:val="18"/>
          <w:szCs w:val="18"/>
          <w:lang w:val="es-ES_tradnl"/>
        </w:rPr>
      </w:pPr>
      <w:r w:rsidRPr="00912BA3">
        <w:rPr>
          <w:rFonts w:ascii="Verdana" w:hAnsi="Verdana"/>
          <w:b/>
          <w:sz w:val="18"/>
          <w:lang w:val="es-ES_tradnl"/>
        </w:rPr>
        <w:t>Georges Dassis, presidente del CESE, se reunió ayer con Sandro Gozi, secretario de Estado de Asuntos Europeos de la Presidencia italiana del Consejo, en presencia de Joost van Iersel, presidente de la Sección de Unión Económica y Monetaria y Cohesión Económica y Social (ECO) del CESE, y Carmelo Cedrone, vicepresidente de la Sección. La reunión se centró en el proceso de integración europea y, en particular, en la realización de la UEM a la luz del reciente Informe de los Cinco Presidentes (</w:t>
      </w:r>
      <w:hyperlink r:id="rId16">
        <w:r w:rsidRPr="00912BA3">
          <w:rPr>
            <w:rStyle w:val="Hyperlink"/>
            <w:rFonts w:ascii="Verdana" w:hAnsi="Verdana"/>
            <w:b/>
            <w:sz w:val="18"/>
            <w:lang w:val="es-ES_tradnl"/>
          </w:rPr>
          <w:t>http://ec.europa.eu/priorities/economic-monetary-union/docs/5-presidents-report_es.pdf</w:t>
        </w:r>
      </w:hyperlink>
      <w:r w:rsidRPr="00912BA3">
        <w:rPr>
          <w:rFonts w:ascii="Verdana" w:hAnsi="Verdana"/>
          <w:b/>
          <w:sz w:val="18"/>
          <w:lang w:val="es-ES_tradnl"/>
        </w:rPr>
        <w:t>) y el paquete de la Comisión sobre la profundización de la UEM (</w:t>
      </w:r>
      <w:hyperlink r:id="rId17">
        <w:r w:rsidRPr="00912BA3">
          <w:rPr>
            <w:rStyle w:val="Hyperlink"/>
            <w:rFonts w:ascii="Verdana" w:hAnsi="Verdana"/>
            <w:b/>
            <w:sz w:val="18"/>
            <w:lang w:val="es-ES_tradnl"/>
          </w:rPr>
          <w:t>http://ec.europa.eu/priorities/economic-monetary-union</w:t>
        </w:r>
      </w:hyperlink>
      <w:r w:rsidRPr="00912BA3">
        <w:rPr>
          <w:rFonts w:ascii="Verdana" w:hAnsi="Verdana"/>
          <w:b/>
          <w:sz w:val="18"/>
          <w:lang w:val="es-ES_tradnl"/>
        </w:rPr>
        <w:t>).</w:t>
      </w:r>
    </w:p>
    <w:p w:rsidR="003C727E" w:rsidRPr="00912BA3" w:rsidRDefault="003C727E" w:rsidP="000716CB">
      <w:pPr>
        <w:spacing w:line="240" w:lineRule="auto"/>
        <w:rPr>
          <w:rFonts w:ascii="Verdana" w:hAnsi="Verdana"/>
          <w:sz w:val="18"/>
          <w:szCs w:val="18"/>
          <w:lang w:val="es-ES_tradnl"/>
        </w:rPr>
      </w:pPr>
    </w:p>
    <w:p w:rsidR="000716CB" w:rsidRPr="00912BA3" w:rsidRDefault="000716CB" w:rsidP="009E703D">
      <w:pPr>
        <w:spacing w:line="240" w:lineRule="auto"/>
        <w:rPr>
          <w:rFonts w:ascii="Verdana" w:hAnsi="Verdana"/>
          <w:sz w:val="18"/>
          <w:szCs w:val="18"/>
          <w:lang w:val="es-ES_tradnl"/>
        </w:rPr>
      </w:pPr>
      <w:r w:rsidRPr="00912BA3">
        <w:rPr>
          <w:rFonts w:ascii="Verdana" w:hAnsi="Verdana"/>
          <w:sz w:val="18"/>
          <w:lang w:val="es-ES_tradnl"/>
        </w:rPr>
        <w:t>El</w:t>
      </w:r>
      <w:r w:rsidRPr="00912BA3">
        <w:rPr>
          <w:rFonts w:ascii="Verdana" w:hAnsi="Verdana"/>
          <w:b/>
          <w:sz w:val="18"/>
          <w:lang w:val="es-ES_tradnl"/>
        </w:rPr>
        <w:t xml:space="preserve"> presidente Dassis</w:t>
      </w:r>
      <w:r w:rsidRPr="00912BA3">
        <w:rPr>
          <w:rFonts w:ascii="Verdana" w:hAnsi="Verdana"/>
          <w:sz w:val="18"/>
          <w:lang w:val="es-ES_tradnl"/>
        </w:rPr>
        <w:t xml:space="preserve"> declaró que </w:t>
      </w:r>
      <w:r w:rsidRPr="00912BA3">
        <w:rPr>
          <w:rFonts w:ascii="Verdana" w:hAnsi="Verdana"/>
          <w:i/>
          <w:sz w:val="18"/>
          <w:lang w:val="es-ES_tradnl"/>
        </w:rPr>
        <w:t xml:space="preserve">«Dada la difícil situación a la que se enfrentan los ciudadanos de la Unión, Europa necesita un nuevo impulso. La realización de la UEM es indispensable para restablecer la confianza en el proyecto europeo. </w:t>
      </w:r>
      <w:r w:rsidRPr="00912BA3">
        <w:rPr>
          <w:rFonts w:ascii="Verdana" w:hAnsi="Verdana"/>
          <w:sz w:val="18"/>
          <w:lang w:val="es-ES_tradnl"/>
        </w:rPr>
        <w:t xml:space="preserve">Ha llegado la hora de tomar medidas concretas». Según el </w:t>
      </w:r>
      <w:r w:rsidRPr="00912BA3">
        <w:rPr>
          <w:rFonts w:ascii="Verdana" w:hAnsi="Verdana"/>
          <w:b/>
          <w:sz w:val="18"/>
          <w:lang w:val="es-ES_tradnl"/>
        </w:rPr>
        <w:t>Sr. van Iersel</w:t>
      </w:r>
      <w:r w:rsidRPr="00912BA3">
        <w:rPr>
          <w:rFonts w:ascii="Verdana" w:hAnsi="Verdana"/>
          <w:sz w:val="18"/>
          <w:lang w:val="es-ES_tradnl"/>
        </w:rPr>
        <w:t xml:space="preserve">, </w:t>
      </w:r>
      <w:r w:rsidRPr="00912BA3">
        <w:rPr>
          <w:rFonts w:ascii="Verdana" w:hAnsi="Verdana"/>
          <w:i/>
          <w:sz w:val="18"/>
          <w:lang w:val="es-ES_tradnl"/>
        </w:rPr>
        <w:t>«resulta esencial vincular el proceso de toma de decisiones económicas a un pilar político e institucional de la UE, a fin de impulsar la economía, crear puestos de trabajo y reforzar la UE en su conjunto;</w:t>
      </w:r>
      <w:r w:rsidRPr="00912BA3">
        <w:rPr>
          <w:rFonts w:ascii="Verdana" w:hAnsi="Verdana"/>
          <w:sz w:val="18"/>
          <w:lang w:val="es-ES_tradnl"/>
        </w:rPr>
        <w:t xml:space="preserve"> </w:t>
      </w:r>
      <w:r w:rsidRPr="00912BA3">
        <w:rPr>
          <w:rFonts w:ascii="Verdana" w:hAnsi="Verdana"/>
          <w:i/>
          <w:sz w:val="18"/>
          <w:lang w:val="es-ES_tradnl"/>
        </w:rPr>
        <w:t>el coste de la no Europa es excesivo a la vista del estado actual de la Unión»</w:t>
      </w:r>
      <w:r w:rsidRPr="00912BA3">
        <w:rPr>
          <w:rFonts w:ascii="Verdana" w:hAnsi="Verdana"/>
          <w:sz w:val="18"/>
          <w:lang w:val="es-ES_tradnl"/>
        </w:rPr>
        <w:t xml:space="preserve">. </w:t>
      </w:r>
      <w:r w:rsidRPr="00912BA3">
        <w:rPr>
          <w:rFonts w:ascii="Verdana" w:hAnsi="Verdana"/>
          <w:i/>
          <w:sz w:val="18"/>
          <w:lang w:val="es-ES_tradnl"/>
        </w:rPr>
        <w:t xml:space="preserve">«Es de fundamental importancia establecer el crecimiento como primera prioridad de la Unión y abordar los límites de la UEM mediante la creación de una arquitectura constitucional, al menos para la zona del euro. </w:t>
      </w:r>
      <w:r w:rsidRPr="00912BA3">
        <w:rPr>
          <w:rFonts w:ascii="Verdana" w:hAnsi="Verdana"/>
          <w:sz w:val="18"/>
          <w:lang w:val="es-ES_tradnl"/>
        </w:rPr>
        <w:t xml:space="preserve">Esto significa que debemos completar el pilar económico, el pilar político y el pilar social de la UEM», afirmó </w:t>
      </w:r>
      <w:r w:rsidRPr="00912BA3">
        <w:rPr>
          <w:rFonts w:ascii="Verdana" w:hAnsi="Verdana"/>
          <w:b/>
          <w:sz w:val="18"/>
          <w:lang w:val="es-ES_tradnl"/>
        </w:rPr>
        <w:t>Carmelo Cedrone</w:t>
      </w:r>
      <w:r w:rsidRPr="00912BA3">
        <w:rPr>
          <w:rFonts w:ascii="Verdana" w:hAnsi="Verdana"/>
          <w:sz w:val="18"/>
          <w:lang w:val="es-ES_tradnl"/>
        </w:rPr>
        <w:t>. El Sr. van Iersel y el Sr. Cedrone son coponentes de los dictámenes del CESE sobre «</w:t>
      </w:r>
      <w:hyperlink r:id="rId18">
        <w:r w:rsidRPr="00912BA3">
          <w:rPr>
            <w:rStyle w:val="Hyperlink"/>
            <w:rFonts w:ascii="Verdana" w:hAnsi="Verdana"/>
            <w:sz w:val="18"/>
            <w:lang w:val="es-ES_tradnl"/>
          </w:rPr>
          <w:t>Completar la UEM: el pilar político</w:t>
        </w:r>
      </w:hyperlink>
      <w:r w:rsidRPr="00912BA3">
        <w:rPr>
          <w:rFonts w:ascii="Verdana" w:hAnsi="Verdana"/>
          <w:sz w:val="18"/>
          <w:lang w:val="es-ES_tradnl"/>
        </w:rPr>
        <w:t>» y «</w:t>
      </w:r>
      <w:hyperlink r:id="rId19">
        <w:r w:rsidRPr="00912BA3">
          <w:rPr>
            <w:rStyle w:val="Hyperlink"/>
            <w:rFonts w:ascii="Verdana" w:hAnsi="Verdana"/>
            <w:sz w:val="18"/>
            <w:lang w:val="es-ES_tradnl"/>
          </w:rPr>
          <w:t>Completar la Unión Económica y Monetaria - La próxima legislatura europea</w:t>
        </w:r>
      </w:hyperlink>
      <w:r w:rsidRPr="00912BA3">
        <w:rPr>
          <w:rFonts w:ascii="Verdana" w:hAnsi="Verdana"/>
          <w:sz w:val="18"/>
          <w:lang w:val="es-ES_tradnl"/>
        </w:rPr>
        <w:t>».</w:t>
      </w:r>
    </w:p>
    <w:p w:rsidR="000716CB" w:rsidRPr="00912BA3" w:rsidRDefault="000716CB" w:rsidP="000716CB">
      <w:pPr>
        <w:spacing w:line="240" w:lineRule="auto"/>
        <w:rPr>
          <w:rFonts w:ascii="Verdana" w:hAnsi="Verdana"/>
          <w:sz w:val="18"/>
          <w:szCs w:val="18"/>
          <w:lang w:val="es-ES_tradnl"/>
        </w:rPr>
      </w:pPr>
    </w:p>
    <w:p w:rsidR="00B36AE1" w:rsidRPr="00912BA3" w:rsidRDefault="000716CB" w:rsidP="000716CB">
      <w:pPr>
        <w:spacing w:line="240" w:lineRule="auto"/>
        <w:rPr>
          <w:rFonts w:ascii="Verdana" w:hAnsi="Verdana"/>
          <w:sz w:val="18"/>
          <w:szCs w:val="18"/>
          <w:lang w:val="es-ES_tradnl"/>
        </w:rPr>
      </w:pPr>
      <w:r w:rsidRPr="00912BA3">
        <w:rPr>
          <w:rFonts w:ascii="Verdana" w:hAnsi="Verdana"/>
          <w:sz w:val="18"/>
          <w:lang w:val="es-ES_tradnl"/>
        </w:rPr>
        <w:t xml:space="preserve">El secretario de Estado hizo suyas las preocupaciones expresadas por el CESE y se mostró de acuerdo con una serie de propuestas formuladas en los dictámenes del Comité. A este respecto, se refirió a su artículo, publicado recientemente en el diario italiano </w:t>
      </w:r>
      <w:r w:rsidRPr="00912BA3">
        <w:rPr>
          <w:rFonts w:ascii="Verdana" w:hAnsi="Verdana"/>
          <w:i/>
          <w:sz w:val="18"/>
          <w:lang w:val="es-ES_tradnl"/>
        </w:rPr>
        <w:t>Corriere della Sera</w:t>
      </w:r>
      <w:r w:rsidRPr="00912BA3">
        <w:rPr>
          <w:rFonts w:ascii="Verdana" w:hAnsi="Verdana"/>
          <w:sz w:val="18"/>
          <w:lang w:val="es-ES_tradnl"/>
        </w:rPr>
        <w:t>, en el que se presenta el programa italiano para una reforma de la UE (</w:t>
      </w:r>
      <w:hyperlink r:id="rId20">
        <w:r w:rsidRPr="00912BA3">
          <w:rPr>
            <w:rStyle w:val="Hyperlink"/>
            <w:rFonts w:ascii="Verdana" w:hAnsi="Verdana"/>
            <w:sz w:val="18"/>
            <w:lang w:val="es-ES_tradnl"/>
          </w:rPr>
          <w:t>http://www.politicheeuropee.it/comunicazione/19465/lagenda-italiana-per-riformare-leuropa</w:t>
        </w:r>
      </w:hyperlink>
      <w:r w:rsidRPr="00912BA3">
        <w:rPr>
          <w:rFonts w:ascii="Verdana" w:hAnsi="Verdana"/>
          <w:sz w:val="18"/>
          <w:lang w:val="es-ES_tradnl"/>
        </w:rPr>
        <w:t>).</w:t>
      </w:r>
    </w:p>
    <w:p w:rsidR="00B36AE1" w:rsidRPr="00912BA3" w:rsidRDefault="00B36AE1" w:rsidP="000716CB">
      <w:pPr>
        <w:spacing w:line="240" w:lineRule="auto"/>
        <w:rPr>
          <w:rFonts w:ascii="Verdana" w:hAnsi="Verdana"/>
          <w:sz w:val="18"/>
          <w:szCs w:val="18"/>
          <w:lang w:val="es-ES_tradnl"/>
        </w:rPr>
      </w:pPr>
    </w:p>
    <w:p w:rsidR="000716CB" w:rsidRPr="00912BA3" w:rsidRDefault="00334D8E" w:rsidP="000716CB">
      <w:pPr>
        <w:spacing w:line="240" w:lineRule="auto"/>
        <w:rPr>
          <w:rFonts w:ascii="Verdana" w:hAnsi="Verdana"/>
          <w:color w:val="1F497D"/>
          <w:sz w:val="18"/>
          <w:szCs w:val="18"/>
          <w:lang w:val="es-ES_tradnl"/>
        </w:rPr>
      </w:pPr>
      <w:r w:rsidRPr="00912BA3">
        <w:rPr>
          <w:rFonts w:ascii="Verdana" w:hAnsi="Verdana"/>
          <w:sz w:val="18"/>
          <w:lang w:val="es-ES_tradnl"/>
        </w:rPr>
        <w:t>Asimismo, aceptó una invitación a participar en los trabajos de un próximo pleno del CESE. Se trata de la segunda visita oficial del Sr. Gozi al CESE, tras su participación en el 500º Pleno del CESE del 10 de julio de 2014, cuando debatió con los miembros del CESE sobre las prioridades de la Presidencia italiana del Consejo de la UE.</w:t>
      </w:r>
    </w:p>
    <w:p w:rsidR="003C727E" w:rsidRPr="00912BA3" w:rsidRDefault="003C727E" w:rsidP="003C727E">
      <w:pPr>
        <w:jc w:val="center"/>
        <w:rPr>
          <w:rFonts w:ascii="Verdana" w:hAnsi="Verdana"/>
          <w:b/>
          <w:sz w:val="18"/>
          <w:szCs w:val="18"/>
          <w:lang w:val="es-ES_tradnl"/>
        </w:rPr>
      </w:pPr>
    </w:p>
    <w:p w:rsidR="003C727E" w:rsidRPr="00912BA3" w:rsidRDefault="003C727E" w:rsidP="003C727E">
      <w:pPr>
        <w:jc w:val="center"/>
        <w:rPr>
          <w:rFonts w:ascii="Verdana" w:hAnsi="Verdana"/>
          <w:b/>
          <w:sz w:val="18"/>
          <w:szCs w:val="18"/>
          <w:lang w:val="es-ES_tradnl"/>
        </w:rPr>
      </w:pPr>
    </w:p>
    <w:p w:rsidR="003C727E" w:rsidRPr="00912BA3" w:rsidRDefault="003C727E" w:rsidP="003C727E">
      <w:pPr>
        <w:jc w:val="center"/>
        <w:rPr>
          <w:rFonts w:ascii="Verdana" w:hAnsi="Verdana"/>
          <w:b/>
          <w:sz w:val="18"/>
          <w:szCs w:val="18"/>
          <w:lang w:val="es-ES_tradnl"/>
        </w:rPr>
      </w:pPr>
      <w:r w:rsidRPr="00912BA3">
        <w:rPr>
          <w:rFonts w:ascii="Verdana" w:hAnsi="Verdana"/>
          <w:b/>
          <w:sz w:val="18"/>
          <w:lang w:val="es-ES_tradnl"/>
        </w:rPr>
        <w:t xml:space="preserve">Para más información, póngase en contacto con: </w:t>
      </w:r>
    </w:p>
    <w:p w:rsidR="003C727E" w:rsidRPr="00912BA3" w:rsidRDefault="003C727E" w:rsidP="003C727E">
      <w:pPr>
        <w:overflowPunct/>
        <w:autoSpaceDE/>
        <w:autoSpaceDN/>
        <w:adjustRightInd/>
        <w:spacing w:line="240" w:lineRule="auto"/>
        <w:jc w:val="center"/>
        <w:textAlignment w:val="auto"/>
        <w:rPr>
          <w:rFonts w:ascii="Verdana" w:eastAsia="PMingLiU" w:hAnsi="Verdana"/>
          <w:sz w:val="18"/>
          <w:szCs w:val="18"/>
          <w:lang w:val="es-ES_tradnl"/>
        </w:rPr>
      </w:pPr>
      <w:r w:rsidRPr="00912BA3">
        <w:rPr>
          <w:rFonts w:ascii="Verdana" w:hAnsi="Verdana"/>
          <w:sz w:val="18"/>
          <w:lang w:val="es-ES_tradnl"/>
        </w:rPr>
        <w:t>Milen Minchev</w:t>
      </w:r>
    </w:p>
    <w:p w:rsidR="003C727E" w:rsidRPr="00912BA3" w:rsidRDefault="003C727E" w:rsidP="003C727E">
      <w:pPr>
        <w:overflowPunct/>
        <w:autoSpaceDE/>
        <w:autoSpaceDN/>
        <w:adjustRightInd/>
        <w:spacing w:line="240" w:lineRule="auto"/>
        <w:jc w:val="center"/>
        <w:textAlignment w:val="auto"/>
        <w:rPr>
          <w:rFonts w:ascii="Verdana" w:eastAsia="PMingLiU" w:hAnsi="Verdana"/>
          <w:sz w:val="18"/>
          <w:szCs w:val="18"/>
          <w:lang w:val="es-ES_tradnl"/>
        </w:rPr>
      </w:pPr>
      <w:r w:rsidRPr="00912BA3">
        <w:rPr>
          <w:rFonts w:ascii="Verdana" w:hAnsi="Verdana"/>
          <w:sz w:val="18"/>
          <w:lang w:val="es-ES_tradnl"/>
        </w:rPr>
        <w:t xml:space="preserve">Correo electrónico: </w:t>
      </w:r>
      <w:hyperlink r:id="rId21">
        <w:r w:rsidRPr="00912BA3">
          <w:rPr>
            <w:rStyle w:val="Hyperlink"/>
            <w:rFonts w:ascii="Verdana" w:hAnsi="Verdana"/>
            <w:sz w:val="18"/>
            <w:lang w:val="es-ES_tradnl"/>
          </w:rPr>
          <w:t>press@eesc.europa.eu</w:t>
        </w:r>
      </w:hyperlink>
    </w:p>
    <w:p w:rsidR="003C727E" w:rsidRPr="00912BA3" w:rsidRDefault="003C727E" w:rsidP="003C727E">
      <w:pPr>
        <w:spacing w:line="240" w:lineRule="auto"/>
        <w:jc w:val="center"/>
        <w:rPr>
          <w:rFonts w:ascii="Verdana" w:eastAsia="PMingLiU" w:hAnsi="Verdana"/>
          <w:sz w:val="18"/>
          <w:szCs w:val="18"/>
          <w:lang w:val="es-ES_tradnl"/>
        </w:rPr>
      </w:pPr>
      <w:r w:rsidRPr="00912BA3">
        <w:rPr>
          <w:rFonts w:ascii="Verdana" w:hAnsi="Verdana"/>
          <w:sz w:val="18"/>
          <w:lang w:val="es-ES_tradnl"/>
        </w:rPr>
        <w:t>Tel. +32 2 546 8753</w:t>
      </w:r>
    </w:p>
    <w:p w:rsidR="000716CB" w:rsidRPr="00912BA3" w:rsidRDefault="003C727E" w:rsidP="003C727E">
      <w:pPr>
        <w:spacing w:line="240" w:lineRule="auto"/>
        <w:jc w:val="center"/>
        <w:rPr>
          <w:rFonts w:ascii="Verdana" w:eastAsia="PMingLiU" w:hAnsi="Verdana"/>
          <w:b/>
          <w:sz w:val="16"/>
          <w:szCs w:val="16"/>
          <w:lang w:val="es-ES_tradnl"/>
        </w:rPr>
      </w:pPr>
      <w:r w:rsidRPr="00912BA3">
        <w:rPr>
          <w:rFonts w:ascii="Verdana" w:hAnsi="Verdana"/>
          <w:b/>
          <w:sz w:val="16"/>
          <w:lang w:val="es-ES_tradnl"/>
        </w:rPr>
        <w:t>@EESC_PRESS</w:t>
      </w:r>
    </w:p>
    <w:p w:rsidR="003C727E" w:rsidRPr="00912BA3" w:rsidRDefault="003C727E" w:rsidP="003C727E">
      <w:pPr>
        <w:spacing w:line="240" w:lineRule="auto"/>
        <w:jc w:val="center"/>
        <w:rPr>
          <w:rFonts w:ascii="Verdana" w:eastAsia="PMingLiU" w:hAnsi="Verdana"/>
          <w:b/>
          <w:sz w:val="16"/>
          <w:szCs w:val="16"/>
          <w:lang w:val="es-ES_tradnl"/>
        </w:rPr>
      </w:pPr>
    </w:p>
    <w:p w:rsidR="00BF275A" w:rsidRPr="00912BA3" w:rsidRDefault="00BF275A" w:rsidP="000716CB">
      <w:pPr>
        <w:spacing w:line="240" w:lineRule="auto"/>
        <w:rPr>
          <w:rFonts w:ascii="Verdana" w:hAnsi="Verdana"/>
          <w:color w:val="1F497D"/>
          <w:sz w:val="18"/>
          <w:szCs w:val="18"/>
          <w:lang w:val="es-ES_tradnl"/>
        </w:rPr>
      </w:pPr>
    </w:p>
    <w:p w:rsidR="000716CB" w:rsidRPr="00912BA3" w:rsidRDefault="000716CB" w:rsidP="00B95A18">
      <w:pPr>
        <w:spacing w:line="240" w:lineRule="auto"/>
        <w:jc w:val="left"/>
        <w:rPr>
          <w:rFonts w:ascii="Verdana" w:hAnsi="Verdana"/>
          <w:color w:val="1F497D"/>
          <w:sz w:val="18"/>
          <w:szCs w:val="18"/>
          <w:lang w:val="es-ES_tradnl"/>
        </w:rPr>
      </w:pPr>
      <w:r w:rsidRPr="00912BA3">
        <w:rPr>
          <w:rFonts w:ascii="Verdana" w:hAnsi="Verdana"/>
          <w:color w:val="1F497D"/>
          <w:sz w:val="18"/>
          <w:lang w:val="es-ES_tradnl"/>
        </w:rPr>
        <w:t>---</w:t>
      </w:r>
    </w:p>
    <w:p w:rsidR="000716CB" w:rsidRPr="00912BA3" w:rsidRDefault="000716CB" w:rsidP="00970A15">
      <w:pPr>
        <w:keepNext/>
        <w:keepLines/>
        <w:spacing w:line="240" w:lineRule="auto"/>
        <w:rPr>
          <w:rFonts w:ascii="Verdana" w:hAnsi="Verdana"/>
          <w:sz w:val="18"/>
          <w:szCs w:val="18"/>
          <w:lang w:val="es-ES_tradnl"/>
        </w:rPr>
      </w:pPr>
      <w:r w:rsidRPr="00912BA3">
        <w:rPr>
          <w:rFonts w:ascii="Verdana" w:hAnsi="Verdana"/>
          <w:b/>
          <w:sz w:val="18"/>
          <w:lang w:val="es-ES_tradnl"/>
        </w:rPr>
        <w:t xml:space="preserve">Puntos clave </w:t>
      </w:r>
      <w:r w:rsidRPr="00912BA3">
        <w:rPr>
          <w:rFonts w:ascii="Verdana" w:hAnsi="Verdana"/>
          <w:sz w:val="18"/>
          <w:lang w:val="es-ES_tradnl"/>
        </w:rPr>
        <w:t>del dictamen del CESE</w:t>
      </w:r>
      <w:r w:rsidRPr="00912BA3">
        <w:rPr>
          <w:rFonts w:ascii="Verdana" w:hAnsi="Verdana"/>
          <w:b/>
          <w:sz w:val="18"/>
          <w:lang w:val="es-ES_tradnl"/>
        </w:rPr>
        <w:t xml:space="preserve"> </w:t>
      </w:r>
      <w:r w:rsidRPr="00912BA3">
        <w:rPr>
          <w:rFonts w:ascii="Verdana" w:hAnsi="Verdana"/>
          <w:i/>
          <w:sz w:val="18"/>
          <w:lang w:val="es-ES_tradnl"/>
        </w:rPr>
        <w:t>«Completar la UEM:</w:t>
      </w:r>
      <w:r w:rsidRPr="00912BA3">
        <w:rPr>
          <w:lang w:val="es-ES_tradnl"/>
        </w:rPr>
        <w:t xml:space="preserve"> </w:t>
      </w:r>
      <w:r w:rsidRPr="00912BA3">
        <w:rPr>
          <w:rFonts w:ascii="Verdana" w:hAnsi="Verdana"/>
          <w:i/>
          <w:sz w:val="18"/>
          <w:lang w:val="es-ES_tradnl"/>
        </w:rPr>
        <w:t>el pilar político</w:t>
      </w:r>
      <w:r w:rsidRPr="00912BA3">
        <w:rPr>
          <w:rFonts w:ascii="Verdana" w:hAnsi="Verdana"/>
          <w:sz w:val="18"/>
          <w:lang w:val="es-ES_tradnl"/>
        </w:rPr>
        <w:t>», aprobado el 27 de mayo de 2015:</w:t>
      </w:r>
      <w:r w:rsidRPr="00912BA3">
        <w:rPr>
          <w:rFonts w:ascii="Verdana" w:hAnsi="Verdana"/>
          <w:b/>
          <w:sz w:val="18"/>
          <w:lang w:val="es-ES_tradnl"/>
        </w:rPr>
        <w:t xml:space="preserve"> </w:t>
      </w:r>
    </w:p>
    <w:p w:rsidR="000716CB" w:rsidRPr="00912BA3" w:rsidRDefault="000716CB" w:rsidP="00970A15">
      <w:pPr>
        <w:keepNext/>
        <w:keepLines/>
        <w:numPr>
          <w:ilvl w:val="0"/>
          <w:numId w:val="25"/>
        </w:numPr>
        <w:tabs>
          <w:tab w:val="clear" w:pos="720"/>
        </w:tabs>
        <w:overflowPunct/>
        <w:autoSpaceDE/>
        <w:autoSpaceDN/>
        <w:adjustRightInd/>
        <w:spacing w:line="240" w:lineRule="auto"/>
        <w:ind w:left="567" w:hanging="567"/>
        <w:textAlignment w:val="auto"/>
        <w:rPr>
          <w:rFonts w:ascii="Verdana" w:hAnsi="Verdana"/>
          <w:sz w:val="18"/>
          <w:szCs w:val="18"/>
          <w:lang w:val="es-ES_tradnl"/>
        </w:rPr>
      </w:pPr>
      <w:r w:rsidRPr="00912BA3">
        <w:rPr>
          <w:rFonts w:ascii="Verdana" w:hAnsi="Verdana"/>
          <w:sz w:val="18"/>
          <w:lang w:val="es-ES_tradnl"/>
        </w:rPr>
        <w:t>se necesita una gobernanza económica más efectiva y democrática para afrontar los desequilibrios persistentes y crear un clima de confianza en toda Europa, especialmente en la zona del euro;</w:t>
      </w:r>
    </w:p>
    <w:p w:rsidR="000716CB" w:rsidRPr="00912BA3" w:rsidRDefault="000716CB" w:rsidP="00970A15">
      <w:pPr>
        <w:numPr>
          <w:ilvl w:val="0"/>
          <w:numId w:val="25"/>
        </w:numPr>
        <w:tabs>
          <w:tab w:val="clear" w:pos="720"/>
        </w:tabs>
        <w:overflowPunct/>
        <w:autoSpaceDE/>
        <w:autoSpaceDN/>
        <w:adjustRightInd/>
        <w:spacing w:line="240" w:lineRule="auto"/>
        <w:ind w:left="567" w:hanging="567"/>
        <w:textAlignment w:val="auto"/>
        <w:rPr>
          <w:rFonts w:ascii="Verdana" w:hAnsi="Verdana"/>
          <w:sz w:val="18"/>
          <w:szCs w:val="18"/>
          <w:lang w:val="es-ES_tradnl"/>
        </w:rPr>
      </w:pPr>
      <w:r w:rsidRPr="00912BA3">
        <w:rPr>
          <w:rFonts w:ascii="Verdana" w:hAnsi="Verdana"/>
          <w:sz w:val="18"/>
          <w:lang w:val="es-ES_tradnl"/>
        </w:rPr>
        <w:t>pueden darse pasos concretos en el contexto del Tratado y la normativa existentes. A medio o largo plazo, convendría proceder a una revisión del Tratado con el fin de armonizar las disposiciones institucionales con los requisitos indispensables de una verdadera Unión económica y política;</w:t>
      </w:r>
    </w:p>
    <w:p w:rsidR="000716CB" w:rsidRPr="00912BA3" w:rsidRDefault="000716CB" w:rsidP="00970A15">
      <w:pPr>
        <w:numPr>
          <w:ilvl w:val="0"/>
          <w:numId w:val="25"/>
        </w:numPr>
        <w:tabs>
          <w:tab w:val="clear" w:pos="720"/>
        </w:tabs>
        <w:overflowPunct/>
        <w:autoSpaceDE/>
        <w:autoSpaceDN/>
        <w:adjustRightInd/>
        <w:spacing w:line="240" w:lineRule="auto"/>
        <w:ind w:left="567" w:hanging="567"/>
        <w:textAlignment w:val="auto"/>
        <w:rPr>
          <w:rFonts w:ascii="Verdana" w:hAnsi="Verdana"/>
          <w:sz w:val="18"/>
          <w:szCs w:val="18"/>
          <w:lang w:val="es-ES_tradnl"/>
        </w:rPr>
      </w:pPr>
      <w:r w:rsidRPr="00912BA3">
        <w:rPr>
          <w:rFonts w:ascii="Verdana" w:hAnsi="Verdana"/>
          <w:sz w:val="18"/>
          <w:lang w:val="es-ES_tradnl"/>
        </w:rPr>
        <w:t>está claro que el actual sistema normativo en que se basa la UE y, particularmente, la zona del euro, ha creado confusión en los planos jurídico, institucional y democrático. Por lo tanto, es preciso cambiar de método. El Comité considera indispensable profundizar el proceso de integración de la zona del euro;</w:t>
      </w:r>
    </w:p>
    <w:p w:rsidR="000716CB" w:rsidRPr="00912BA3" w:rsidRDefault="000716CB" w:rsidP="00970A15">
      <w:pPr>
        <w:numPr>
          <w:ilvl w:val="0"/>
          <w:numId w:val="25"/>
        </w:numPr>
        <w:tabs>
          <w:tab w:val="clear" w:pos="720"/>
        </w:tabs>
        <w:overflowPunct/>
        <w:autoSpaceDE/>
        <w:autoSpaceDN/>
        <w:adjustRightInd/>
        <w:spacing w:line="240" w:lineRule="auto"/>
        <w:ind w:left="567" w:hanging="567"/>
        <w:textAlignment w:val="auto"/>
        <w:rPr>
          <w:rFonts w:ascii="Verdana" w:hAnsi="Verdana"/>
          <w:sz w:val="18"/>
          <w:szCs w:val="18"/>
          <w:lang w:val="es-ES_tradnl"/>
        </w:rPr>
      </w:pPr>
      <w:r w:rsidRPr="00912BA3">
        <w:rPr>
          <w:rFonts w:ascii="Verdana" w:hAnsi="Verdana"/>
          <w:sz w:val="18"/>
          <w:lang w:val="es-ES_tradnl"/>
        </w:rPr>
        <w:t>el Comité desea presentar una hoja de ruta con las siguientes etapas:</w:t>
      </w:r>
    </w:p>
    <w:p w:rsidR="00152E7B" w:rsidRPr="00912BA3" w:rsidRDefault="00152E7B" w:rsidP="00B95A18">
      <w:pPr>
        <w:spacing w:line="240" w:lineRule="auto"/>
        <w:ind w:left="567"/>
        <w:rPr>
          <w:rFonts w:ascii="Verdana" w:hAnsi="Verdana"/>
          <w:b/>
          <w:bCs/>
          <w:sz w:val="18"/>
          <w:szCs w:val="18"/>
          <w:lang w:val="es-ES_tradnl"/>
        </w:rPr>
      </w:pPr>
    </w:p>
    <w:p w:rsidR="000716CB" w:rsidRPr="00912BA3" w:rsidRDefault="000716CB" w:rsidP="00970A15">
      <w:pPr>
        <w:spacing w:line="240" w:lineRule="auto"/>
        <w:ind w:left="567"/>
        <w:rPr>
          <w:rFonts w:ascii="Verdana" w:hAnsi="Verdana"/>
          <w:sz w:val="18"/>
          <w:szCs w:val="18"/>
          <w:lang w:val="es-ES_tradnl"/>
        </w:rPr>
      </w:pPr>
      <w:r w:rsidRPr="00912BA3">
        <w:rPr>
          <w:rFonts w:ascii="Verdana" w:hAnsi="Verdana"/>
          <w:b/>
          <w:sz w:val="18"/>
          <w:lang w:val="es-ES_tradnl"/>
        </w:rPr>
        <w:t xml:space="preserve">1ª etapa - </w:t>
      </w:r>
      <w:r w:rsidRPr="00912BA3">
        <w:rPr>
          <w:rFonts w:ascii="Verdana" w:hAnsi="Verdana"/>
          <w:sz w:val="18"/>
          <w:lang w:val="es-ES_tradnl"/>
        </w:rPr>
        <w:t>presidente estable del Eurogrupo; poner en funcionamiento la Conferencia Interparlamentaria; zona del euro (gran comisión del PE);</w:t>
      </w:r>
    </w:p>
    <w:p w:rsidR="00152E7B" w:rsidRPr="00912BA3" w:rsidRDefault="00152E7B" w:rsidP="00970A15">
      <w:pPr>
        <w:spacing w:line="240" w:lineRule="auto"/>
        <w:ind w:left="567"/>
        <w:rPr>
          <w:rFonts w:ascii="Verdana" w:hAnsi="Verdana"/>
          <w:b/>
          <w:bCs/>
          <w:sz w:val="18"/>
          <w:szCs w:val="18"/>
          <w:lang w:val="es-ES_tradnl"/>
        </w:rPr>
      </w:pPr>
    </w:p>
    <w:p w:rsidR="000716CB" w:rsidRPr="00912BA3" w:rsidRDefault="000716CB" w:rsidP="00970A15">
      <w:pPr>
        <w:spacing w:line="240" w:lineRule="auto"/>
        <w:ind w:left="567"/>
        <w:rPr>
          <w:rFonts w:ascii="Verdana" w:hAnsi="Verdana"/>
          <w:sz w:val="18"/>
          <w:szCs w:val="18"/>
          <w:lang w:val="es-ES_tradnl"/>
        </w:rPr>
      </w:pPr>
      <w:r w:rsidRPr="00912BA3">
        <w:rPr>
          <w:rFonts w:ascii="Verdana" w:hAnsi="Verdana"/>
          <w:b/>
          <w:sz w:val="18"/>
          <w:lang w:val="es-ES_tradnl"/>
        </w:rPr>
        <w:t xml:space="preserve">2ª etapa - </w:t>
      </w:r>
      <w:r w:rsidRPr="00912BA3">
        <w:rPr>
          <w:rFonts w:ascii="Verdana" w:hAnsi="Verdana"/>
          <w:sz w:val="18"/>
          <w:lang w:val="es-ES_tradnl"/>
        </w:rPr>
        <w:t>Consejo de Asuntos Legislativos de la UEM; votación de los diputados de los países de la zona del euro sobre asuntos de la competencia de la UEM; un poder ejecutivo para la UEM; refuerzo de los poderes y las competencias de la Conferencia Interparlamentaria;</w:t>
      </w:r>
    </w:p>
    <w:p w:rsidR="000716CB" w:rsidRPr="00912BA3" w:rsidRDefault="000716CB" w:rsidP="00970A15">
      <w:pPr>
        <w:spacing w:line="240" w:lineRule="auto"/>
        <w:ind w:left="567"/>
        <w:rPr>
          <w:rFonts w:ascii="Verdana" w:hAnsi="Verdana"/>
          <w:sz w:val="18"/>
          <w:szCs w:val="18"/>
          <w:lang w:val="es-ES_tradnl"/>
        </w:rPr>
      </w:pPr>
    </w:p>
    <w:p w:rsidR="000716CB" w:rsidRPr="00912BA3" w:rsidRDefault="000716CB" w:rsidP="00970A15">
      <w:pPr>
        <w:spacing w:line="240" w:lineRule="auto"/>
        <w:ind w:left="567"/>
        <w:rPr>
          <w:rFonts w:ascii="Verdana" w:hAnsi="Verdana"/>
          <w:sz w:val="18"/>
          <w:szCs w:val="18"/>
          <w:lang w:val="es-ES_tradnl"/>
        </w:rPr>
      </w:pPr>
      <w:r w:rsidRPr="00912BA3">
        <w:rPr>
          <w:rFonts w:ascii="Verdana" w:hAnsi="Verdana"/>
          <w:b/>
          <w:sz w:val="18"/>
          <w:lang w:val="es-ES_tradnl"/>
        </w:rPr>
        <w:t xml:space="preserve">3ª etapa - </w:t>
      </w:r>
      <w:r w:rsidRPr="00912BA3">
        <w:rPr>
          <w:rFonts w:ascii="Verdana" w:hAnsi="Verdana"/>
          <w:sz w:val="18"/>
          <w:lang w:val="es-ES_tradnl"/>
        </w:rPr>
        <w:t>refuerzo de los poderes del Parlamento Europeo en el ámbito de la UEM y creación de auténticos partidos políticos europeos; Cámara de los Estados; separación entre los poderes legislativo y ejecutivo; supresión de la votación por unanimidad.</w:t>
      </w:r>
    </w:p>
    <w:p w:rsidR="000716CB" w:rsidRPr="00912BA3" w:rsidRDefault="000716CB" w:rsidP="000716CB">
      <w:pPr>
        <w:spacing w:line="240" w:lineRule="auto"/>
        <w:rPr>
          <w:rFonts w:ascii="Verdana" w:hAnsi="Verdana"/>
          <w:sz w:val="18"/>
          <w:szCs w:val="18"/>
          <w:lang w:val="es-ES_tradnl"/>
        </w:rPr>
      </w:pPr>
    </w:p>
    <w:p w:rsidR="000716CB" w:rsidRPr="00912BA3" w:rsidRDefault="000716CB" w:rsidP="000716CB">
      <w:pPr>
        <w:spacing w:line="240" w:lineRule="auto"/>
        <w:rPr>
          <w:rFonts w:ascii="Verdana" w:hAnsi="Verdana"/>
          <w:sz w:val="18"/>
          <w:szCs w:val="18"/>
          <w:lang w:val="es-ES_tradnl"/>
        </w:rPr>
      </w:pPr>
      <w:r w:rsidRPr="00912BA3">
        <w:rPr>
          <w:rFonts w:ascii="Verdana" w:hAnsi="Verdana"/>
          <w:sz w:val="18"/>
          <w:lang w:val="es-ES_tradnl"/>
        </w:rPr>
        <w:t>Convendría tomar las siguientes iniciativas para preparar y llevar a cabo las etapas anteriormente citadas:</w:t>
      </w:r>
    </w:p>
    <w:p w:rsidR="000716CB" w:rsidRPr="00912BA3" w:rsidRDefault="000716CB" w:rsidP="00970A15">
      <w:pPr>
        <w:numPr>
          <w:ilvl w:val="0"/>
          <w:numId w:val="25"/>
        </w:numPr>
        <w:tabs>
          <w:tab w:val="clear" w:pos="720"/>
        </w:tabs>
        <w:overflowPunct/>
        <w:autoSpaceDE/>
        <w:autoSpaceDN/>
        <w:adjustRightInd/>
        <w:spacing w:line="240" w:lineRule="auto"/>
        <w:ind w:left="567" w:hanging="567"/>
        <w:jc w:val="left"/>
        <w:textAlignment w:val="auto"/>
        <w:rPr>
          <w:rFonts w:ascii="Verdana" w:hAnsi="Verdana"/>
          <w:sz w:val="18"/>
          <w:szCs w:val="18"/>
          <w:lang w:val="es-ES_tradnl"/>
        </w:rPr>
      </w:pPr>
      <w:r w:rsidRPr="00912BA3">
        <w:rPr>
          <w:rFonts w:ascii="Verdana" w:hAnsi="Verdana"/>
          <w:sz w:val="18"/>
          <w:lang w:val="es-ES_tradnl"/>
        </w:rPr>
        <w:t>conferencia de la sociedad civil;</w:t>
      </w:r>
    </w:p>
    <w:p w:rsidR="000716CB" w:rsidRPr="00912BA3" w:rsidRDefault="000716CB" w:rsidP="00970A15">
      <w:pPr>
        <w:numPr>
          <w:ilvl w:val="0"/>
          <w:numId w:val="25"/>
        </w:numPr>
        <w:tabs>
          <w:tab w:val="clear" w:pos="720"/>
        </w:tabs>
        <w:overflowPunct/>
        <w:autoSpaceDE/>
        <w:autoSpaceDN/>
        <w:adjustRightInd/>
        <w:spacing w:line="240" w:lineRule="auto"/>
        <w:ind w:left="567" w:hanging="567"/>
        <w:jc w:val="left"/>
        <w:textAlignment w:val="auto"/>
        <w:rPr>
          <w:rFonts w:ascii="Verdana" w:hAnsi="Verdana"/>
          <w:sz w:val="18"/>
          <w:szCs w:val="18"/>
          <w:lang w:val="es-ES_tradnl"/>
        </w:rPr>
      </w:pPr>
      <w:r w:rsidRPr="00912BA3">
        <w:rPr>
          <w:rFonts w:ascii="Verdana" w:hAnsi="Verdana"/>
          <w:sz w:val="18"/>
          <w:lang w:val="es-ES_tradnl"/>
        </w:rPr>
        <w:t>conferencia interparlamentaria;</w:t>
      </w:r>
    </w:p>
    <w:p w:rsidR="000716CB" w:rsidRPr="00912BA3" w:rsidRDefault="000716CB" w:rsidP="00970A15">
      <w:pPr>
        <w:numPr>
          <w:ilvl w:val="0"/>
          <w:numId w:val="25"/>
        </w:numPr>
        <w:tabs>
          <w:tab w:val="clear" w:pos="720"/>
        </w:tabs>
        <w:overflowPunct/>
        <w:autoSpaceDE/>
        <w:autoSpaceDN/>
        <w:adjustRightInd/>
        <w:spacing w:line="240" w:lineRule="auto"/>
        <w:ind w:left="567" w:hanging="567"/>
        <w:jc w:val="left"/>
        <w:textAlignment w:val="auto"/>
        <w:rPr>
          <w:rFonts w:ascii="Verdana" w:hAnsi="Verdana"/>
          <w:sz w:val="18"/>
          <w:szCs w:val="18"/>
          <w:lang w:val="es-ES_tradnl"/>
        </w:rPr>
      </w:pPr>
      <w:r w:rsidRPr="00912BA3">
        <w:rPr>
          <w:rFonts w:ascii="Verdana" w:hAnsi="Verdana"/>
          <w:sz w:val="18"/>
          <w:lang w:val="es-ES_tradnl"/>
        </w:rPr>
        <w:t>propuestas del PE para actuar sin necesidad de modificar el Tratado y para revisar el Tratado de Lisboa;</w:t>
      </w:r>
    </w:p>
    <w:p w:rsidR="000716CB" w:rsidRPr="00912BA3" w:rsidRDefault="000716CB" w:rsidP="00970A15">
      <w:pPr>
        <w:numPr>
          <w:ilvl w:val="0"/>
          <w:numId w:val="25"/>
        </w:numPr>
        <w:tabs>
          <w:tab w:val="clear" w:pos="720"/>
        </w:tabs>
        <w:overflowPunct/>
        <w:autoSpaceDE/>
        <w:autoSpaceDN/>
        <w:adjustRightInd/>
        <w:spacing w:line="240" w:lineRule="auto"/>
        <w:ind w:left="567" w:hanging="567"/>
        <w:jc w:val="left"/>
        <w:textAlignment w:val="auto"/>
        <w:rPr>
          <w:rFonts w:ascii="Verdana" w:hAnsi="Verdana"/>
          <w:sz w:val="18"/>
          <w:szCs w:val="18"/>
          <w:lang w:val="es-ES_tradnl"/>
        </w:rPr>
      </w:pPr>
      <w:r w:rsidRPr="00912BA3">
        <w:rPr>
          <w:rFonts w:ascii="Verdana" w:hAnsi="Verdana"/>
          <w:sz w:val="18"/>
          <w:lang w:val="es-ES_tradnl"/>
        </w:rPr>
        <w:t>convención constitucional;</w:t>
      </w:r>
    </w:p>
    <w:p w:rsidR="000716CB" w:rsidRPr="00912BA3" w:rsidRDefault="000716CB" w:rsidP="007C27F4">
      <w:pPr>
        <w:pStyle w:val="ListParagraph"/>
        <w:numPr>
          <w:ilvl w:val="0"/>
          <w:numId w:val="25"/>
        </w:numPr>
        <w:tabs>
          <w:tab w:val="clear" w:pos="720"/>
          <w:tab w:val="num" w:pos="567"/>
        </w:tabs>
        <w:overflowPunct/>
        <w:autoSpaceDE/>
        <w:autoSpaceDN/>
        <w:adjustRightInd/>
        <w:spacing w:line="240" w:lineRule="auto"/>
        <w:ind w:hanging="720"/>
        <w:jc w:val="left"/>
        <w:textAlignment w:val="auto"/>
        <w:rPr>
          <w:rFonts w:ascii="Verdana" w:hAnsi="Verdana"/>
          <w:sz w:val="18"/>
          <w:szCs w:val="18"/>
          <w:lang w:val="es-ES_tradnl"/>
        </w:rPr>
      </w:pPr>
      <w:r w:rsidRPr="00912BA3">
        <w:rPr>
          <w:rFonts w:ascii="Verdana" w:hAnsi="Verdana"/>
          <w:sz w:val="18"/>
          <w:lang w:val="es-ES_tradnl"/>
        </w:rPr>
        <w:t>evaluación de la posibilidad de organizar un referéndum paneuropeo.</w:t>
      </w:r>
    </w:p>
    <w:p w:rsidR="00152E7B" w:rsidRPr="00912BA3" w:rsidRDefault="00152E7B" w:rsidP="000716CB">
      <w:pPr>
        <w:spacing w:line="240" w:lineRule="auto"/>
        <w:rPr>
          <w:rFonts w:ascii="Verdana" w:hAnsi="Verdana"/>
          <w:sz w:val="18"/>
          <w:szCs w:val="18"/>
          <w:lang w:val="es-ES_tradnl"/>
        </w:rPr>
      </w:pPr>
    </w:p>
    <w:p w:rsidR="00BF275A" w:rsidRPr="00912BA3" w:rsidRDefault="00BF275A" w:rsidP="000716CB">
      <w:pPr>
        <w:spacing w:line="240" w:lineRule="auto"/>
        <w:rPr>
          <w:rFonts w:ascii="Verdana" w:hAnsi="Verdana"/>
          <w:sz w:val="18"/>
          <w:szCs w:val="18"/>
          <w:lang w:val="es-ES_tradnl"/>
        </w:rPr>
      </w:pPr>
      <w:r w:rsidRPr="00912BA3">
        <w:rPr>
          <w:rFonts w:ascii="Verdana" w:hAnsi="Verdana"/>
          <w:sz w:val="18"/>
          <w:lang w:val="es-ES_tradnl"/>
        </w:rPr>
        <w:t>---</w:t>
      </w:r>
    </w:p>
    <w:p w:rsidR="00BF275A" w:rsidRPr="00912BA3" w:rsidRDefault="00BF275A" w:rsidP="000716CB">
      <w:pPr>
        <w:spacing w:line="240" w:lineRule="auto"/>
        <w:rPr>
          <w:rFonts w:ascii="Verdana" w:hAnsi="Verdana"/>
          <w:color w:val="1F497D"/>
          <w:sz w:val="18"/>
          <w:szCs w:val="18"/>
          <w:lang w:val="es-ES_tradnl"/>
        </w:rPr>
      </w:pPr>
    </w:p>
    <w:p w:rsidR="000716CB" w:rsidRPr="00912BA3" w:rsidRDefault="000716CB">
      <w:pPr>
        <w:spacing w:line="240" w:lineRule="auto"/>
        <w:rPr>
          <w:rFonts w:ascii="Verdana" w:hAnsi="Verdana"/>
          <w:color w:val="1F497D"/>
          <w:sz w:val="18"/>
          <w:szCs w:val="18"/>
          <w:lang w:val="es-ES_tradnl"/>
        </w:rPr>
      </w:pPr>
      <w:r w:rsidRPr="00912BA3">
        <w:rPr>
          <w:rFonts w:ascii="Verdana" w:hAnsi="Verdana"/>
          <w:b/>
          <w:sz w:val="18"/>
          <w:lang w:val="es-ES_tradnl"/>
        </w:rPr>
        <w:t>Puntos clave</w:t>
      </w:r>
      <w:r w:rsidRPr="00912BA3">
        <w:rPr>
          <w:rFonts w:ascii="Verdana" w:hAnsi="Verdana"/>
          <w:sz w:val="18"/>
          <w:lang w:val="es-ES_tradnl"/>
        </w:rPr>
        <w:t xml:space="preserve"> del dictamen del CESE «</w:t>
      </w:r>
      <w:r w:rsidRPr="00912BA3">
        <w:rPr>
          <w:rFonts w:ascii="Verdana" w:hAnsi="Verdana"/>
          <w:i/>
          <w:sz w:val="18"/>
          <w:lang w:val="es-ES_tradnl"/>
        </w:rPr>
        <w:t>Completar la UEM - Propuestas del Comité Económico y Social Europeo para la próxima legislatura europea</w:t>
      </w:r>
      <w:r w:rsidRPr="00912BA3">
        <w:rPr>
          <w:rFonts w:ascii="Verdana" w:hAnsi="Verdana"/>
          <w:sz w:val="18"/>
          <w:lang w:val="es-ES_tradnl"/>
        </w:rPr>
        <w:t>», aprobado el 9 de julio de 2014:</w:t>
      </w:r>
    </w:p>
    <w:p w:rsidR="000716CB" w:rsidRPr="00912BA3" w:rsidRDefault="000716CB" w:rsidP="00970A15">
      <w:pPr>
        <w:pStyle w:val="ListParagraph"/>
        <w:numPr>
          <w:ilvl w:val="0"/>
          <w:numId w:val="20"/>
        </w:numPr>
        <w:spacing w:line="240" w:lineRule="auto"/>
        <w:ind w:left="567" w:hanging="567"/>
        <w:rPr>
          <w:rFonts w:ascii="Verdana" w:hAnsi="Verdana"/>
          <w:sz w:val="18"/>
          <w:szCs w:val="18"/>
          <w:lang w:val="es-ES_tradnl"/>
        </w:rPr>
      </w:pPr>
      <w:r w:rsidRPr="00912BA3">
        <w:rPr>
          <w:rFonts w:ascii="Verdana" w:hAnsi="Verdana"/>
          <w:b/>
          <w:sz w:val="18"/>
          <w:lang w:val="es-ES_tradnl"/>
        </w:rPr>
        <w:t>Culminar una UEM</w:t>
      </w:r>
      <w:r w:rsidRPr="00912BA3">
        <w:rPr>
          <w:rFonts w:ascii="Verdana" w:hAnsi="Verdana"/>
          <w:sz w:val="18"/>
          <w:lang w:val="es-ES_tradnl"/>
        </w:rPr>
        <w:t xml:space="preserve"> garantizada por una estructura sólida de gobernanza y gestión de la zona del euro basada en:</w:t>
      </w:r>
    </w:p>
    <w:p w:rsidR="000716CB" w:rsidRPr="00912BA3" w:rsidRDefault="000716CB" w:rsidP="00970A15">
      <w:pPr>
        <w:numPr>
          <w:ilvl w:val="0"/>
          <w:numId w:val="25"/>
        </w:numPr>
        <w:tabs>
          <w:tab w:val="clear" w:pos="720"/>
        </w:tabs>
        <w:overflowPunct/>
        <w:autoSpaceDE/>
        <w:autoSpaceDN/>
        <w:adjustRightInd/>
        <w:spacing w:line="240" w:lineRule="auto"/>
        <w:ind w:left="936" w:hanging="369"/>
        <w:textAlignment w:val="auto"/>
        <w:rPr>
          <w:rFonts w:ascii="Verdana" w:hAnsi="Verdana"/>
          <w:sz w:val="18"/>
          <w:szCs w:val="18"/>
          <w:lang w:val="es-ES_tradnl"/>
        </w:rPr>
      </w:pPr>
      <w:r w:rsidRPr="00912BA3">
        <w:rPr>
          <w:rFonts w:ascii="Verdana" w:hAnsi="Verdana"/>
          <w:sz w:val="18"/>
          <w:lang w:val="es-ES_tradnl"/>
        </w:rPr>
        <w:t xml:space="preserve">un </w:t>
      </w:r>
      <w:r w:rsidRPr="00912BA3">
        <w:rPr>
          <w:rFonts w:ascii="Verdana" w:hAnsi="Verdana"/>
          <w:b/>
          <w:sz w:val="18"/>
          <w:lang w:val="es-ES_tradnl"/>
        </w:rPr>
        <w:t>pilar monetario y financiero</w:t>
      </w:r>
      <w:r w:rsidRPr="00912BA3">
        <w:rPr>
          <w:rFonts w:ascii="Verdana" w:hAnsi="Verdana"/>
          <w:sz w:val="18"/>
          <w:lang w:val="es-ES_tradnl"/>
        </w:rPr>
        <w:t>, incluida la entrada en vigor de una Unión Bancaria exhaustiva, impulsada por la UE, que permita crear un mercado de capitales paneuropeo, protegiendo al mismo tiempo al contribuyente de la asunción de riesgos excesivos y de quiebras desordenadas;</w:t>
      </w:r>
    </w:p>
    <w:p w:rsidR="000716CB" w:rsidRPr="00912BA3" w:rsidRDefault="000716CB" w:rsidP="00970A15">
      <w:pPr>
        <w:numPr>
          <w:ilvl w:val="0"/>
          <w:numId w:val="25"/>
        </w:numPr>
        <w:tabs>
          <w:tab w:val="clear" w:pos="720"/>
        </w:tabs>
        <w:overflowPunct/>
        <w:autoSpaceDE/>
        <w:autoSpaceDN/>
        <w:adjustRightInd/>
        <w:spacing w:line="240" w:lineRule="auto"/>
        <w:ind w:left="936" w:hanging="369"/>
        <w:textAlignment w:val="auto"/>
        <w:rPr>
          <w:rFonts w:ascii="Verdana" w:hAnsi="Verdana"/>
          <w:sz w:val="18"/>
          <w:szCs w:val="18"/>
          <w:lang w:val="es-ES_tradnl"/>
        </w:rPr>
      </w:pPr>
      <w:r w:rsidRPr="00912BA3">
        <w:rPr>
          <w:rFonts w:ascii="Verdana" w:hAnsi="Verdana"/>
          <w:sz w:val="18"/>
          <w:lang w:val="es-ES_tradnl"/>
        </w:rPr>
        <w:t xml:space="preserve">un </w:t>
      </w:r>
      <w:r w:rsidRPr="00912BA3">
        <w:rPr>
          <w:rFonts w:ascii="Verdana" w:hAnsi="Verdana"/>
          <w:b/>
          <w:sz w:val="18"/>
          <w:lang w:val="es-ES_tradnl"/>
        </w:rPr>
        <w:t>pilar económico</w:t>
      </w:r>
      <w:r w:rsidRPr="00912BA3">
        <w:rPr>
          <w:rFonts w:ascii="Verdana" w:hAnsi="Verdana"/>
          <w:sz w:val="18"/>
          <w:lang w:val="es-ES_tradnl"/>
        </w:rPr>
        <w:t xml:space="preserve"> para reforzar el proceso decisorio en materia de política económica, fomentando así el crecimiento, el empleo, la competitividad, la convergencia y la solidaridad europea;</w:t>
      </w:r>
    </w:p>
    <w:p w:rsidR="000716CB" w:rsidRPr="00912BA3" w:rsidRDefault="000716CB" w:rsidP="00970A15">
      <w:pPr>
        <w:numPr>
          <w:ilvl w:val="0"/>
          <w:numId w:val="25"/>
        </w:numPr>
        <w:tabs>
          <w:tab w:val="clear" w:pos="720"/>
        </w:tabs>
        <w:overflowPunct/>
        <w:autoSpaceDE/>
        <w:autoSpaceDN/>
        <w:adjustRightInd/>
        <w:spacing w:line="240" w:lineRule="auto"/>
        <w:ind w:left="936" w:hanging="369"/>
        <w:textAlignment w:val="auto"/>
        <w:rPr>
          <w:rFonts w:ascii="Verdana" w:hAnsi="Verdana"/>
          <w:sz w:val="18"/>
          <w:szCs w:val="18"/>
          <w:lang w:val="es-ES_tradnl"/>
        </w:rPr>
      </w:pPr>
      <w:r w:rsidRPr="00912BA3">
        <w:rPr>
          <w:rFonts w:ascii="Verdana" w:hAnsi="Verdana"/>
          <w:sz w:val="18"/>
          <w:lang w:val="es-ES_tradnl"/>
        </w:rPr>
        <w:t xml:space="preserve">un </w:t>
      </w:r>
      <w:r w:rsidRPr="00912BA3">
        <w:rPr>
          <w:rFonts w:ascii="Verdana" w:hAnsi="Verdana"/>
          <w:b/>
          <w:sz w:val="18"/>
          <w:lang w:val="es-ES_tradnl"/>
        </w:rPr>
        <w:t>pilar social</w:t>
      </w:r>
      <w:r w:rsidRPr="00912BA3">
        <w:rPr>
          <w:rFonts w:ascii="Verdana" w:hAnsi="Verdana"/>
          <w:sz w:val="18"/>
          <w:lang w:val="es-ES_tradnl"/>
        </w:rPr>
        <w:t xml:space="preserve"> para que se tengan suficientemente en cuenta, entre otros factores, las consecuencias sociales de los ajustes económicos;</w:t>
      </w:r>
    </w:p>
    <w:p w:rsidR="000716CB" w:rsidRPr="00912BA3" w:rsidRDefault="000716CB" w:rsidP="00970A15">
      <w:pPr>
        <w:numPr>
          <w:ilvl w:val="0"/>
          <w:numId w:val="25"/>
        </w:numPr>
        <w:tabs>
          <w:tab w:val="clear" w:pos="720"/>
        </w:tabs>
        <w:overflowPunct/>
        <w:autoSpaceDE/>
        <w:autoSpaceDN/>
        <w:adjustRightInd/>
        <w:spacing w:line="240" w:lineRule="auto"/>
        <w:ind w:left="936" w:hanging="369"/>
        <w:textAlignment w:val="auto"/>
        <w:rPr>
          <w:rFonts w:ascii="Verdana" w:hAnsi="Verdana"/>
          <w:sz w:val="18"/>
          <w:szCs w:val="18"/>
          <w:lang w:val="es-ES_tradnl"/>
        </w:rPr>
      </w:pPr>
      <w:r w:rsidRPr="00912BA3">
        <w:rPr>
          <w:rFonts w:ascii="Verdana" w:hAnsi="Verdana"/>
          <w:sz w:val="18"/>
          <w:lang w:val="es-ES_tradnl"/>
        </w:rPr>
        <w:t xml:space="preserve">un </w:t>
      </w:r>
      <w:r w:rsidRPr="00912BA3">
        <w:rPr>
          <w:rFonts w:ascii="Verdana" w:hAnsi="Verdana"/>
          <w:b/>
          <w:sz w:val="18"/>
          <w:lang w:val="es-ES_tradnl"/>
        </w:rPr>
        <w:t>pilar político</w:t>
      </w:r>
      <w:r w:rsidRPr="00912BA3">
        <w:rPr>
          <w:rFonts w:ascii="Verdana" w:hAnsi="Verdana"/>
          <w:sz w:val="18"/>
          <w:lang w:val="es-ES_tradnl"/>
        </w:rPr>
        <w:t>, incluida una mayor asunción de responsabilidad y legitimidad democrática, para reforzar la credibilidad y la confianza.</w:t>
      </w:r>
    </w:p>
    <w:p w:rsidR="000716CB" w:rsidRPr="00912BA3" w:rsidRDefault="000716CB" w:rsidP="00970A15">
      <w:pPr>
        <w:pStyle w:val="ListParagraph"/>
        <w:numPr>
          <w:ilvl w:val="0"/>
          <w:numId w:val="20"/>
        </w:numPr>
        <w:spacing w:line="240" w:lineRule="auto"/>
        <w:ind w:left="567" w:hanging="567"/>
        <w:rPr>
          <w:rFonts w:ascii="Verdana" w:hAnsi="Verdana"/>
          <w:sz w:val="18"/>
          <w:szCs w:val="18"/>
          <w:lang w:val="es-ES_tradnl"/>
        </w:rPr>
      </w:pPr>
      <w:r w:rsidRPr="00912BA3">
        <w:rPr>
          <w:rFonts w:ascii="Verdana" w:hAnsi="Verdana"/>
          <w:sz w:val="18"/>
          <w:lang w:val="es-ES_tradnl"/>
        </w:rPr>
        <w:t xml:space="preserve">Poner en marcha, con carácter urgente, un verdadero </w:t>
      </w:r>
      <w:r w:rsidRPr="00912BA3">
        <w:rPr>
          <w:rFonts w:ascii="Verdana" w:hAnsi="Verdana"/>
          <w:b/>
          <w:sz w:val="18"/>
          <w:lang w:val="es-ES_tradnl"/>
        </w:rPr>
        <w:t>plan europeo en favor del crecimiento y el empleo</w:t>
      </w:r>
      <w:r w:rsidRPr="00912BA3">
        <w:rPr>
          <w:rFonts w:ascii="Verdana" w:hAnsi="Verdana"/>
          <w:sz w:val="18"/>
          <w:lang w:val="es-ES_tradnl"/>
        </w:rPr>
        <w:t xml:space="preserve">, basado en un programa de inversiones significativo que active un impulso presupuestario. Es preciso garantizar el reajuste y la </w:t>
      </w:r>
      <w:r w:rsidRPr="00912BA3">
        <w:rPr>
          <w:rFonts w:ascii="Verdana" w:hAnsi="Verdana"/>
          <w:b/>
          <w:sz w:val="18"/>
          <w:lang w:val="es-ES_tradnl"/>
        </w:rPr>
        <w:t>aplicación correcta de los instrumentos existentes</w:t>
      </w:r>
      <w:r w:rsidRPr="00912BA3">
        <w:rPr>
          <w:rFonts w:ascii="Verdana" w:hAnsi="Verdana"/>
          <w:sz w:val="18"/>
          <w:lang w:val="es-ES_tradnl"/>
        </w:rPr>
        <w:t>.</w:t>
      </w:r>
    </w:p>
    <w:p w:rsidR="000716CB" w:rsidRPr="00912BA3" w:rsidRDefault="000716CB" w:rsidP="00970A15">
      <w:pPr>
        <w:pStyle w:val="ListParagraph"/>
        <w:numPr>
          <w:ilvl w:val="0"/>
          <w:numId w:val="20"/>
        </w:numPr>
        <w:spacing w:line="240" w:lineRule="auto"/>
        <w:ind w:left="567" w:hanging="567"/>
        <w:rPr>
          <w:rFonts w:ascii="Verdana" w:hAnsi="Verdana"/>
          <w:sz w:val="18"/>
          <w:szCs w:val="18"/>
          <w:lang w:val="es-ES_tradnl"/>
        </w:rPr>
      </w:pPr>
      <w:r w:rsidRPr="00912BA3">
        <w:rPr>
          <w:rFonts w:ascii="Verdana" w:hAnsi="Verdana"/>
          <w:sz w:val="18"/>
          <w:lang w:val="es-ES_tradnl"/>
        </w:rPr>
        <w:t xml:space="preserve">Establecer un calendario y disposiciones para el </w:t>
      </w:r>
      <w:r w:rsidRPr="00912BA3">
        <w:rPr>
          <w:rFonts w:ascii="Verdana" w:hAnsi="Verdana"/>
          <w:b/>
          <w:sz w:val="18"/>
          <w:lang w:val="es-ES_tradnl"/>
        </w:rPr>
        <w:t>lanzamiento de una Europa política</w:t>
      </w:r>
      <w:r w:rsidRPr="00912BA3">
        <w:rPr>
          <w:rFonts w:ascii="Verdana" w:hAnsi="Verdana"/>
          <w:sz w:val="18"/>
          <w:lang w:val="es-ES_tradnl"/>
        </w:rPr>
        <w:t>, incluido un proceso de reflexión sobre su marco institucional en el contexto de un nuevo tratado europeo.</w:t>
      </w:r>
    </w:p>
    <w:p w:rsidR="000716CB" w:rsidRPr="00912BA3" w:rsidRDefault="000716CB" w:rsidP="00970A15">
      <w:pPr>
        <w:pStyle w:val="ListParagraph"/>
        <w:numPr>
          <w:ilvl w:val="0"/>
          <w:numId w:val="20"/>
        </w:numPr>
        <w:spacing w:line="240" w:lineRule="auto"/>
        <w:ind w:left="567" w:hanging="567"/>
        <w:rPr>
          <w:rFonts w:ascii="Verdana" w:hAnsi="Verdana"/>
          <w:sz w:val="18"/>
          <w:szCs w:val="18"/>
          <w:lang w:val="es-ES_tradnl"/>
        </w:rPr>
      </w:pPr>
      <w:r w:rsidRPr="00912BA3">
        <w:rPr>
          <w:rFonts w:ascii="Verdana" w:hAnsi="Verdana"/>
          <w:sz w:val="18"/>
          <w:lang w:val="es-ES_tradnl"/>
        </w:rPr>
        <w:t xml:space="preserve">Emprender una estrategia de </w:t>
      </w:r>
      <w:r w:rsidRPr="00912BA3">
        <w:rPr>
          <w:rFonts w:ascii="Verdana" w:hAnsi="Verdana"/>
          <w:b/>
          <w:sz w:val="18"/>
          <w:lang w:val="es-ES_tradnl"/>
        </w:rPr>
        <w:t>comunicación y simplificación</w:t>
      </w:r>
      <w:r w:rsidRPr="00912BA3">
        <w:rPr>
          <w:rFonts w:ascii="Verdana" w:hAnsi="Verdana"/>
          <w:sz w:val="18"/>
          <w:lang w:val="es-ES_tradnl"/>
        </w:rPr>
        <w:t xml:space="preserve"> de la UEM, en el marco de un esfuerzo conjunto de la Comisión, el PE, los Estados miembros y la sociedad civil.</w:t>
      </w:r>
    </w:p>
    <w:p w:rsidR="00B95A18" w:rsidRPr="00912BA3" w:rsidRDefault="00B95A18" w:rsidP="00822FAC">
      <w:pPr>
        <w:spacing w:line="240" w:lineRule="auto"/>
        <w:jc w:val="center"/>
        <w:rPr>
          <w:rFonts w:ascii="Verdana" w:hAnsi="Verdana"/>
          <w:sz w:val="18"/>
          <w:szCs w:val="18"/>
          <w:lang w:val="es-ES_tradnl"/>
        </w:rPr>
      </w:pPr>
    </w:p>
    <w:p w:rsidR="00DB2340" w:rsidRPr="00912BA3" w:rsidRDefault="00DB2340" w:rsidP="00822FAC">
      <w:pPr>
        <w:spacing w:line="240" w:lineRule="auto"/>
        <w:jc w:val="center"/>
        <w:rPr>
          <w:rFonts w:ascii="Verdana" w:eastAsia="PMingLiU" w:hAnsi="Verdana"/>
          <w:b/>
          <w:sz w:val="16"/>
          <w:szCs w:val="16"/>
          <w:lang w:val="es-ES_tradnl"/>
        </w:rPr>
      </w:pPr>
    </w:p>
    <w:p w:rsidR="00CE439D" w:rsidRPr="00912BA3" w:rsidRDefault="00CE439D" w:rsidP="00B95A18">
      <w:pPr>
        <w:pBdr>
          <w:top w:val="single" w:sz="4" w:space="1" w:color="auto"/>
          <w:bottom w:val="single" w:sz="4" w:space="1" w:color="auto"/>
        </w:pBdr>
        <w:rPr>
          <w:rFonts w:ascii="Verdana" w:hAnsi="Verdana"/>
          <w:i/>
          <w:sz w:val="14"/>
          <w:lang w:val="es-ES_tradnl"/>
        </w:rPr>
      </w:pPr>
      <w:r w:rsidRPr="00912BA3">
        <w:rPr>
          <w:rFonts w:ascii="Verdana" w:hAnsi="Verdana"/>
          <w:i/>
          <w:sz w:val="14"/>
          <w:lang w:val="es-ES_tradnl"/>
        </w:rPr>
        <w:t>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miembros–y, por tanto, las organizaciones a las que representan– participen en el proceso de decisión de la UE. El Comité cuenta con 350 miembros, procedentes de toda Europa, que son designados por el Consejo de la Unión Europea.</w:t>
      </w:r>
    </w:p>
    <w:p w:rsidR="009F7B3B" w:rsidRPr="00912BA3" w:rsidRDefault="009F7B3B" w:rsidP="00473E94">
      <w:pPr>
        <w:rPr>
          <w:rFonts w:ascii="Verdana" w:hAnsi="Verdana"/>
          <w:b/>
          <w:i/>
          <w:sz w:val="16"/>
          <w:lang w:val="es-ES_tradnl"/>
        </w:rPr>
      </w:pPr>
    </w:p>
    <w:sectPr w:rsidR="009F7B3B" w:rsidRPr="00912BA3" w:rsidSect="00B95A18">
      <w:type w:val="continuous"/>
      <w:pgSz w:w="11907" w:h="16839" w:code="9"/>
      <w:pgMar w:top="992" w:right="1418" w:bottom="709"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4F" w:rsidRDefault="00807D4F">
      <w:r>
        <w:separator/>
      </w:r>
    </w:p>
  </w:endnote>
  <w:endnote w:type="continuationSeparator" w:id="0">
    <w:p w:rsidR="00807D4F" w:rsidRDefault="0080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r>
      <w:rPr>
        <w:rFonts w:ascii="Verdana" w:hAnsi="Verdana"/>
        <w:sz w:val="16"/>
      </w:rPr>
      <w:t>Rue Belliard/Belliardstraat 99 – 1040 Bruxelles/Brussel – BELGIQUE/BELGIË</w:t>
    </w:r>
  </w:p>
  <w:p w:rsidR="00E12168" w:rsidRPr="00EA5513" w:rsidRDefault="00E12168" w:rsidP="0004715C">
    <w:pPr>
      <w:spacing w:line="240" w:lineRule="auto"/>
      <w:jc w:val="center"/>
      <w:rPr>
        <w:rFonts w:ascii="Verdana" w:hAnsi="Verdana"/>
        <w:sz w:val="16"/>
      </w:rPr>
    </w:pPr>
    <w:r>
      <w:rPr>
        <w:rFonts w:ascii="Verdana" w:hAnsi="Verdana"/>
        <w:sz w:val="16"/>
      </w:rPr>
      <w:t>Tel. +32 2 546 9779 – Fax +32 25469764</w:t>
    </w:r>
  </w:p>
  <w:p w:rsidR="00E12168" w:rsidRPr="00EA5513" w:rsidRDefault="00E12168" w:rsidP="0004715C">
    <w:pPr>
      <w:spacing w:line="240" w:lineRule="auto"/>
      <w:jc w:val="center"/>
      <w:rPr>
        <w:rFonts w:ascii="Verdana" w:hAnsi="Verdana"/>
        <w:sz w:val="16"/>
      </w:rPr>
    </w:pPr>
    <w:r>
      <w:rPr>
        <w:rFonts w:ascii="Verdana" w:hAnsi="Verdana"/>
        <w:sz w:val="16"/>
      </w:rPr>
      <w:t xml:space="preserve">Correo electrónico: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12168" w:rsidRPr="00473E94" w:rsidRDefault="00E12168" w:rsidP="00F61167">
    <w:pPr>
      <w:spacing w:line="240" w:lineRule="auto"/>
      <w:jc w:val="center"/>
    </w:pPr>
    <w:r>
      <w:rPr>
        <w:rFonts w:ascii="Verdana" w:hAnsi="Verdana"/>
        <w:sz w:val="16"/>
      </w:rPr>
      <w:t xml:space="preserve">Síganos en </w:t>
    </w:r>
    <w:r>
      <w:rPr>
        <w:noProof/>
        <w:lang w:val="fr-BE" w:eastAsia="fr-BE" w:bidi="ar-SA"/>
      </w:rPr>
      <w:drawing>
        <wp:inline distT="0" distB="0" distL="0" distR="0" wp14:anchorId="7946EABE" wp14:editId="30A875C2">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49BA5B2F" wp14:editId="0D48ED66">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41C814EE" wp14:editId="33D7D51D">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4F" w:rsidRDefault="00807D4F">
      <w:r>
        <w:separator/>
      </w:r>
    </w:p>
  </w:footnote>
  <w:footnote w:type="continuationSeparator" w:id="0">
    <w:p w:rsidR="00807D4F" w:rsidRDefault="00807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4195794"/>
    <w:multiLevelType w:val="hybridMultilevel"/>
    <w:tmpl w:val="7B4EC2D4"/>
    <w:lvl w:ilvl="0" w:tplc="75B62BC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04821095"/>
    <w:multiLevelType w:val="hybridMultilevel"/>
    <w:tmpl w:val="8C5C183E"/>
    <w:lvl w:ilvl="0" w:tplc="DE3415A0">
      <w:start w:val="1"/>
      <w:numFmt w:val="decimal"/>
      <w:lvlText w:val="%1."/>
      <w:lvlJc w:val="left"/>
      <w:pPr>
        <w:ind w:left="1004" w:hanging="360"/>
      </w:pPr>
      <w:rPr>
        <w:rFonts w:hint="default"/>
        <w:vanish/>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BE95D75"/>
    <w:multiLevelType w:val="hybridMultilevel"/>
    <w:tmpl w:val="F484EE54"/>
    <w:lvl w:ilvl="0" w:tplc="DE3415A0">
      <w:start w:val="1"/>
      <w:numFmt w:val="decimal"/>
      <w:lvlText w:val="%1."/>
      <w:lvlJc w:val="left"/>
      <w:pPr>
        <w:ind w:left="1004" w:hanging="360"/>
      </w:pPr>
      <w:rPr>
        <w:rFonts w:hint="default"/>
        <w:vanish/>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43265DA4"/>
    <w:multiLevelType w:val="multilevel"/>
    <w:tmpl w:val="2B746FA0"/>
    <w:lvl w:ilvl="0">
      <w:start w:val="1"/>
      <w:numFmt w:val="decimal"/>
      <w:lvlText w:val="%1."/>
      <w:lvlJc w:val="left"/>
      <w:pPr>
        <w:tabs>
          <w:tab w:val="num" w:pos="720"/>
        </w:tabs>
        <w:ind w:left="720" w:hanging="360"/>
      </w:pPr>
      <w:rPr>
        <w:rFonts w:hint="default"/>
        <w:vanish/>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71A7F31"/>
    <w:multiLevelType w:val="multilevel"/>
    <w:tmpl w:val="A778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72D6E88"/>
    <w:multiLevelType w:val="multilevel"/>
    <w:tmpl w:val="664019F0"/>
    <w:lvl w:ilvl="0">
      <w:start w:val="1"/>
      <w:numFmt w:val="bullet"/>
      <w:lvlText w:val=""/>
      <w:lvlJc w:val="left"/>
      <w:pPr>
        <w:tabs>
          <w:tab w:val="num" w:pos="720"/>
        </w:tabs>
        <w:ind w:left="720" w:hanging="360"/>
      </w:pPr>
      <w:rPr>
        <w:rFonts w:ascii="Symbol" w:hAnsi="Symbol" w:hint="default"/>
        <w:vanish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nsid w:val="79766F3A"/>
    <w:multiLevelType w:val="hybridMultilevel"/>
    <w:tmpl w:val="AD7042E0"/>
    <w:lvl w:ilvl="0" w:tplc="04D6EC26">
      <w:start w:val="1"/>
      <w:numFmt w:val="decimal"/>
      <w:lvlText w:val="%1."/>
      <w:lvlJc w:val="left"/>
      <w:pPr>
        <w:ind w:left="1004" w:hanging="360"/>
      </w:pPr>
      <w:rPr>
        <w:rFonts w:hint="default"/>
        <w:vanish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0"/>
  </w:num>
  <w:num w:numId="5">
    <w:abstractNumId w:val="11"/>
  </w:num>
  <w:num w:numId="6">
    <w:abstractNumId w:val="17"/>
  </w:num>
  <w:num w:numId="7">
    <w:abstractNumId w:val="4"/>
  </w:num>
  <w:num w:numId="8">
    <w:abstractNumId w:val="24"/>
  </w:num>
  <w:num w:numId="9">
    <w:abstractNumId w:val="22"/>
  </w:num>
  <w:num w:numId="10">
    <w:abstractNumId w:val="21"/>
  </w:num>
  <w:num w:numId="11">
    <w:abstractNumId w:val="19"/>
  </w:num>
  <w:num w:numId="12">
    <w:abstractNumId w:val="12"/>
  </w:num>
  <w:num w:numId="13">
    <w:abstractNumId w:val="6"/>
  </w:num>
  <w:num w:numId="14">
    <w:abstractNumId w:val="15"/>
  </w:num>
  <w:num w:numId="15">
    <w:abstractNumId w:val="20"/>
  </w:num>
  <w:num w:numId="16">
    <w:abstractNumId w:val="13"/>
  </w:num>
  <w:num w:numId="17">
    <w:abstractNumId w:val="9"/>
  </w:num>
  <w:num w:numId="18">
    <w:abstractNumId w:val="8"/>
  </w:num>
  <w:num w:numId="19">
    <w:abstractNumId w:val="10"/>
  </w:num>
  <w:num w:numId="20">
    <w:abstractNumId w:val="23"/>
  </w:num>
  <w:num w:numId="21">
    <w:abstractNumId w:val="2"/>
  </w:num>
  <w:num w:numId="22">
    <w:abstractNumId w:val="3"/>
  </w:num>
  <w:num w:numId="23">
    <w:abstractNumId w:val="5"/>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3B8D"/>
    <w:rsid w:val="00003F81"/>
    <w:rsid w:val="000043FE"/>
    <w:rsid w:val="00007BAE"/>
    <w:rsid w:val="00007BD3"/>
    <w:rsid w:val="00013FCD"/>
    <w:rsid w:val="00014237"/>
    <w:rsid w:val="00015733"/>
    <w:rsid w:val="00020923"/>
    <w:rsid w:val="0002324B"/>
    <w:rsid w:val="00025BD2"/>
    <w:rsid w:val="00025EE7"/>
    <w:rsid w:val="00030CC9"/>
    <w:rsid w:val="00030F5D"/>
    <w:rsid w:val="00032159"/>
    <w:rsid w:val="0003364B"/>
    <w:rsid w:val="0003423E"/>
    <w:rsid w:val="00034390"/>
    <w:rsid w:val="00034652"/>
    <w:rsid w:val="00034AD4"/>
    <w:rsid w:val="0003721F"/>
    <w:rsid w:val="000404B0"/>
    <w:rsid w:val="0004507B"/>
    <w:rsid w:val="0004647E"/>
    <w:rsid w:val="000465B9"/>
    <w:rsid w:val="0004715C"/>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6CB"/>
    <w:rsid w:val="00071FC9"/>
    <w:rsid w:val="00077FE9"/>
    <w:rsid w:val="000817CB"/>
    <w:rsid w:val="000828FE"/>
    <w:rsid w:val="00084AD6"/>
    <w:rsid w:val="00086050"/>
    <w:rsid w:val="000879CA"/>
    <w:rsid w:val="000879FC"/>
    <w:rsid w:val="000910A8"/>
    <w:rsid w:val="00096E97"/>
    <w:rsid w:val="00096F3D"/>
    <w:rsid w:val="000A1EAD"/>
    <w:rsid w:val="000A270E"/>
    <w:rsid w:val="000A4A23"/>
    <w:rsid w:val="000B2D57"/>
    <w:rsid w:val="000B5D55"/>
    <w:rsid w:val="000B7D90"/>
    <w:rsid w:val="000C303E"/>
    <w:rsid w:val="000C364F"/>
    <w:rsid w:val="000C6069"/>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68E1"/>
    <w:rsid w:val="000F7AED"/>
    <w:rsid w:val="000F7DB1"/>
    <w:rsid w:val="00102967"/>
    <w:rsid w:val="00104DFA"/>
    <w:rsid w:val="00110E35"/>
    <w:rsid w:val="00111E4B"/>
    <w:rsid w:val="00120D27"/>
    <w:rsid w:val="00122176"/>
    <w:rsid w:val="001277F0"/>
    <w:rsid w:val="0013137C"/>
    <w:rsid w:val="00134081"/>
    <w:rsid w:val="0013475E"/>
    <w:rsid w:val="00140B6A"/>
    <w:rsid w:val="00140C54"/>
    <w:rsid w:val="00142677"/>
    <w:rsid w:val="00143087"/>
    <w:rsid w:val="00147673"/>
    <w:rsid w:val="00150E62"/>
    <w:rsid w:val="00152E7B"/>
    <w:rsid w:val="001606A0"/>
    <w:rsid w:val="00161E2C"/>
    <w:rsid w:val="0016320F"/>
    <w:rsid w:val="00163DC2"/>
    <w:rsid w:val="001659B2"/>
    <w:rsid w:val="001660D3"/>
    <w:rsid w:val="00166961"/>
    <w:rsid w:val="00166F36"/>
    <w:rsid w:val="001719C4"/>
    <w:rsid w:val="00171A3C"/>
    <w:rsid w:val="00175643"/>
    <w:rsid w:val="00175E42"/>
    <w:rsid w:val="00176074"/>
    <w:rsid w:val="00176265"/>
    <w:rsid w:val="001835ED"/>
    <w:rsid w:val="00184FF0"/>
    <w:rsid w:val="0018613F"/>
    <w:rsid w:val="00186AFA"/>
    <w:rsid w:val="00187163"/>
    <w:rsid w:val="001904EC"/>
    <w:rsid w:val="00192518"/>
    <w:rsid w:val="00194E8E"/>
    <w:rsid w:val="00195EC3"/>
    <w:rsid w:val="00195FF1"/>
    <w:rsid w:val="0019737E"/>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7D5E"/>
    <w:rsid w:val="0020436C"/>
    <w:rsid w:val="00205AEA"/>
    <w:rsid w:val="00210581"/>
    <w:rsid w:val="002123FF"/>
    <w:rsid w:val="002143F5"/>
    <w:rsid w:val="00216FC7"/>
    <w:rsid w:val="00221FFA"/>
    <w:rsid w:val="0022235E"/>
    <w:rsid w:val="00223635"/>
    <w:rsid w:val="0022628B"/>
    <w:rsid w:val="00227A31"/>
    <w:rsid w:val="00231EA2"/>
    <w:rsid w:val="00235A71"/>
    <w:rsid w:val="002431C3"/>
    <w:rsid w:val="002439E3"/>
    <w:rsid w:val="00244B53"/>
    <w:rsid w:val="0024520B"/>
    <w:rsid w:val="002474B4"/>
    <w:rsid w:val="00247BB5"/>
    <w:rsid w:val="00251322"/>
    <w:rsid w:val="0025526A"/>
    <w:rsid w:val="002562CD"/>
    <w:rsid w:val="00257B3A"/>
    <w:rsid w:val="00273102"/>
    <w:rsid w:val="002734F3"/>
    <w:rsid w:val="00274CA5"/>
    <w:rsid w:val="0027565F"/>
    <w:rsid w:val="002771BA"/>
    <w:rsid w:val="00277A96"/>
    <w:rsid w:val="0028064E"/>
    <w:rsid w:val="002814CB"/>
    <w:rsid w:val="00283BAD"/>
    <w:rsid w:val="00283C06"/>
    <w:rsid w:val="00286BD7"/>
    <w:rsid w:val="00286C6B"/>
    <w:rsid w:val="0029167B"/>
    <w:rsid w:val="00294C2A"/>
    <w:rsid w:val="002953EA"/>
    <w:rsid w:val="00295537"/>
    <w:rsid w:val="002A2433"/>
    <w:rsid w:val="002A3668"/>
    <w:rsid w:val="002B04A8"/>
    <w:rsid w:val="002B290E"/>
    <w:rsid w:val="002B6234"/>
    <w:rsid w:val="002B640B"/>
    <w:rsid w:val="002B67A9"/>
    <w:rsid w:val="002B7F00"/>
    <w:rsid w:val="002C5AD0"/>
    <w:rsid w:val="002C5CBB"/>
    <w:rsid w:val="002D08ED"/>
    <w:rsid w:val="002D12B2"/>
    <w:rsid w:val="002D22E9"/>
    <w:rsid w:val="002D685E"/>
    <w:rsid w:val="002D6898"/>
    <w:rsid w:val="002D6C19"/>
    <w:rsid w:val="002D7A8C"/>
    <w:rsid w:val="002E14FC"/>
    <w:rsid w:val="002E1924"/>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48CD"/>
    <w:rsid w:val="00316F54"/>
    <w:rsid w:val="00321325"/>
    <w:rsid w:val="003220A9"/>
    <w:rsid w:val="00325F72"/>
    <w:rsid w:val="0032772F"/>
    <w:rsid w:val="003305C3"/>
    <w:rsid w:val="00330C30"/>
    <w:rsid w:val="003327CC"/>
    <w:rsid w:val="00334D8E"/>
    <w:rsid w:val="00335A37"/>
    <w:rsid w:val="00337F0A"/>
    <w:rsid w:val="00340947"/>
    <w:rsid w:val="00343D5E"/>
    <w:rsid w:val="0034531E"/>
    <w:rsid w:val="003532CC"/>
    <w:rsid w:val="00353453"/>
    <w:rsid w:val="00353F90"/>
    <w:rsid w:val="00354CB8"/>
    <w:rsid w:val="0035564F"/>
    <w:rsid w:val="00356045"/>
    <w:rsid w:val="00357B53"/>
    <w:rsid w:val="00357D8C"/>
    <w:rsid w:val="0036045A"/>
    <w:rsid w:val="003623F9"/>
    <w:rsid w:val="00362786"/>
    <w:rsid w:val="00364AEC"/>
    <w:rsid w:val="00364ED2"/>
    <w:rsid w:val="00365D48"/>
    <w:rsid w:val="00370239"/>
    <w:rsid w:val="003705D5"/>
    <w:rsid w:val="003708A5"/>
    <w:rsid w:val="00374C88"/>
    <w:rsid w:val="00376637"/>
    <w:rsid w:val="0037685C"/>
    <w:rsid w:val="00382525"/>
    <w:rsid w:val="003834F7"/>
    <w:rsid w:val="00384E41"/>
    <w:rsid w:val="0038574A"/>
    <w:rsid w:val="00386F1F"/>
    <w:rsid w:val="003874EA"/>
    <w:rsid w:val="003915BE"/>
    <w:rsid w:val="00392CB8"/>
    <w:rsid w:val="00394D81"/>
    <w:rsid w:val="003A66C0"/>
    <w:rsid w:val="003B0ACC"/>
    <w:rsid w:val="003B2616"/>
    <w:rsid w:val="003B2A25"/>
    <w:rsid w:val="003B62F4"/>
    <w:rsid w:val="003B714A"/>
    <w:rsid w:val="003C05D0"/>
    <w:rsid w:val="003C21F5"/>
    <w:rsid w:val="003C3451"/>
    <w:rsid w:val="003C5624"/>
    <w:rsid w:val="003C6D1A"/>
    <w:rsid w:val="003C727E"/>
    <w:rsid w:val="003C7BF9"/>
    <w:rsid w:val="003D2255"/>
    <w:rsid w:val="003D3552"/>
    <w:rsid w:val="003D3772"/>
    <w:rsid w:val="003D465F"/>
    <w:rsid w:val="003D64E9"/>
    <w:rsid w:val="003E1E99"/>
    <w:rsid w:val="003E5EB2"/>
    <w:rsid w:val="003F4711"/>
    <w:rsid w:val="003F5C5E"/>
    <w:rsid w:val="003F73CB"/>
    <w:rsid w:val="00401766"/>
    <w:rsid w:val="00406F00"/>
    <w:rsid w:val="00412D3D"/>
    <w:rsid w:val="00415811"/>
    <w:rsid w:val="004161B8"/>
    <w:rsid w:val="00420C6F"/>
    <w:rsid w:val="00421579"/>
    <w:rsid w:val="004219B7"/>
    <w:rsid w:val="00422C7A"/>
    <w:rsid w:val="004258C4"/>
    <w:rsid w:val="00425C6D"/>
    <w:rsid w:val="0043055C"/>
    <w:rsid w:val="00430A45"/>
    <w:rsid w:val="00431CA6"/>
    <w:rsid w:val="0043420B"/>
    <w:rsid w:val="00436BF3"/>
    <w:rsid w:val="0044429E"/>
    <w:rsid w:val="004443A5"/>
    <w:rsid w:val="0044594F"/>
    <w:rsid w:val="00445F73"/>
    <w:rsid w:val="0045424F"/>
    <w:rsid w:val="004605FD"/>
    <w:rsid w:val="00462AF4"/>
    <w:rsid w:val="00465C38"/>
    <w:rsid w:val="00470B59"/>
    <w:rsid w:val="0047111F"/>
    <w:rsid w:val="00471681"/>
    <w:rsid w:val="00473E94"/>
    <w:rsid w:val="00485300"/>
    <w:rsid w:val="00487258"/>
    <w:rsid w:val="00490528"/>
    <w:rsid w:val="00492D0F"/>
    <w:rsid w:val="00494BBC"/>
    <w:rsid w:val="00495BF2"/>
    <w:rsid w:val="004969A2"/>
    <w:rsid w:val="00496C47"/>
    <w:rsid w:val="004A114B"/>
    <w:rsid w:val="004A35E4"/>
    <w:rsid w:val="004A391C"/>
    <w:rsid w:val="004A7307"/>
    <w:rsid w:val="004B05C0"/>
    <w:rsid w:val="004B5BC1"/>
    <w:rsid w:val="004C230E"/>
    <w:rsid w:val="004C3C68"/>
    <w:rsid w:val="004C44EE"/>
    <w:rsid w:val="004C5DAA"/>
    <w:rsid w:val="004C75C9"/>
    <w:rsid w:val="004D1CDB"/>
    <w:rsid w:val="004D1E68"/>
    <w:rsid w:val="004D47BD"/>
    <w:rsid w:val="004D4A2F"/>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5C1F"/>
    <w:rsid w:val="00537C43"/>
    <w:rsid w:val="005407F1"/>
    <w:rsid w:val="0054102F"/>
    <w:rsid w:val="00541396"/>
    <w:rsid w:val="0054403F"/>
    <w:rsid w:val="00546BAC"/>
    <w:rsid w:val="0054780C"/>
    <w:rsid w:val="0055255F"/>
    <w:rsid w:val="0055294F"/>
    <w:rsid w:val="00553B5B"/>
    <w:rsid w:val="00553E7C"/>
    <w:rsid w:val="005549A1"/>
    <w:rsid w:val="00555AB0"/>
    <w:rsid w:val="00556CD0"/>
    <w:rsid w:val="00560644"/>
    <w:rsid w:val="0056215A"/>
    <w:rsid w:val="005658B4"/>
    <w:rsid w:val="005666AE"/>
    <w:rsid w:val="00573726"/>
    <w:rsid w:val="00575DF5"/>
    <w:rsid w:val="00577478"/>
    <w:rsid w:val="00585DFE"/>
    <w:rsid w:val="00586088"/>
    <w:rsid w:val="00593672"/>
    <w:rsid w:val="00593FD0"/>
    <w:rsid w:val="00594C5F"/>
    <w:rsid w:val="00597197"/>
    <w:rsid w:val="005A0E90"/>
    <w:rsid w:val="005A3FBA"/>
    <w:rsid w:val="005A5F44"/>
    <w:rsid w:val="005A6AA2"/>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6B30"/>
    <w:rsid w:val="005D6FC8"/>
    <w:rsid w:val="005E1BBF"/>
    <w:rsid w:val="005E2EAF"/>
    <w:rsid w:val="005E391A"/>
    <w:rsid w:val="005E7648"/>
    <w:rsid w:val="005F080E"/>
    <w:rsid w:val="005F1943"/>
    <w:rsid w:val="005F42C5"/>
    <w:rsid w:val="005F76F2"/>
    <w:rsid w:val="006032C8"/>
    <w:rsid w:val="00604FB8"/>
    <w:rsid w:val="006076F5"/>
    <w:rsid w:val="0060771D"/>
    <w:rsid w:val="00610D74"/>
    <w:rsid w:val="0061288B"/>
    <w:rsid w:val="006143C2"/>
    <w:rsid w:val="006148A6"/>
    <w:rsid w:val="006171F3"/>
    <w:rsid w:val="00626C38"/>
    <w:rsid w:val="00627902"/>
    <w:rsid w:val="006300C9"/>
    <w:rsid w:val="006371D8"/>
    <w:rsid w:val="00643B6D"/>
    <w:rsid w:val="00644672"/>
    <w:rsid w:val="006479E7"/>
    <w:rsid w:val="00647E74"/>
    <w:rsid w:val="00661B63"/>
    <w:rsid w:val="00662EE3"/>
    <w:rsid w:val="00663F9C"/>
    <w:rsid w:val="006643D9"/>
    <w:rsid w:val="00664630"/>
    <w:rsid w:val="00664DF7"/>
    <w:rsid w:val="00667152"/>
    <w:rsid w:val="0067262C"/>
    <w:rsid w:val="006755EE"/>
    <w:rsid w:val="00676157"/>
    <w:rsid w:val="00680869"/>
    <w:rsid w:val="0068233E"/>
    <w:rsid w:val="00685B4B"/>
    <w:rsid w:val="00686EC2"/>
    <w:rsid w:val="00692668"/>
    <w:rsid w:val="00696394"/>
    <w:rsid w:val="00697C97"/>
    <w:rsid w:val="00697E02"/>
    <w:rsid w:val="006A011F"/>
    <w:rsid w:val="006A551E"/>
    <w:rsid w:val="006A7CB6"/>
    <w:rsid w:val="006B1A72"/>
    <w:rsid w:val="006B49A6"/>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14D0"/>
    <w:rsid w:val="00732E78"/>
    <w:rsid w:val="00734330"/>
    <w:rsid w:val="00740F79"/>
    <w:rsid w:val="00741FFA"/>
    <w:rsid w:val="007423BD"/>
    <w:rsid w:val="007423E6"/>
    <w:rsid w:val="00742761"/>
    <w:rsid w:val="00742CC2"/>
    <w:rsid w:val="00745939"/>
    <w:rsid w:val="007459F3"/>
    <w:rsid w:val="007542C6"/>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28F9"/>
    <w:rsid w:val="007A5486"/>
    <w:rsid w:val="007B03FF"/>
    <w:rsid w:val="007B0A91"/>
    <w:rsid w:val="007B245C"/>
    <w:rsid w:val="007B3175"/>
    <w:rsid w:val="007B5659"/>
    <w:rsid w:val="007B56CD"/>
    <w:rsid w:val="007C07B7"/>
    <w:rsid w:val="007C1DDE"/>
    <w:rsid w:val="007C27F4"/>
    <w:rsid w:val="007D21F2"/>
    <w:rsid w:val="007D708F"/>
    <w:rsid w:val="007D7C17"/>
    <w:rsid w:val="007E636E"/>
    <w:rsid w:val="007E645B"/>
    <w:rsid w:val="007E6C21"/>
    <w:rsid w:val="007F0D33"/>
    <w:rsid w:val="007F13E7"/>
    <w:rsid w:val="007F34D6"/>
    <w:rsid w:val="007F36B6"/>
    <w:rsid w:val="007F385B"/>
    <w:rsid w:val="007F5085"/>
    <w:rsid w:val="007F647B"/>
    <w:rsid w:val="008011A2"/>
    <w:rsid w:val="008045A0"/>
    <w:rsid w:val="00804624"/>
    <w:rsid w:val="00807D4F"/>
    <w:rsid w:val="00811FCE"/>
    <w:rsid w:val="00812900"/>
    <w:rsid w:val="00813AE3"/>
    <w:rsid w:val="00814120"/>
    <w:rsid w:val="00814C98"/>
    <w:rsid w:val="00822FAC"/>
    <w:rsid w:val="008259DF"/>
    <w:rsid w:val="00825E10"/>
    <w:rsid w:val="00831D12"/>
    <w:rsid w:val="008331BA"/>
    <w:rsid w:val="00842B81"/>
    <w:rsid w:val="00844A5C"/>
    <w:rsid w:val="008512DF"/>
    <w:rsid w:val="008534A3"/>
    <w:rsid w:val="0085352B"/>
    <w:rsid w:val="00854001"/>
    <w:rsid w:val="0085464F"/>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17AB"/>
    <w:rsid w:val="008F6BD3"/>
    <w:rsid w:val="00900C21"/>
    <w:rsid w:val="00904D1E"/>
    <w:rsid w:val="0091006B"/>
    <w:rsid w:val="00910EE7"/>
    <w:rsid w:val="00912242"/>
    <w:rsid w:val="00912BA3"/>
    <w:rsid w:val="00913BE8"/>
    <w:rsid w:val="00913FEC"/>
    <w:rsid w:val="009165FC"/>
    <w:rsid w:val="009214B5"/>
    <w:rsid w:val="009243BD"/>
    <w:rsid w:val="009252C8"/>
    <w:rsid w:val="00927D51"/>
    <w:rsid w:val="00930B90"/>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0A15"/>
    <w:rsid w:val="0097280B"/>
    <w:rsid w:val="009765F1"/>
    <w:rsid w:val="00980840"/>
    <w:rsid w:val="009852B8"/>
    <w:rsid w:val="00990350"/>
    <w:rsid w:val="00994326"/>
    <w:rsid w:val="00996D8C"/>
    <w:rsid w:val="00997755"/>
    <w:rsid w:val="009A098F"/>
    <w:rsid w:val="009A0D29"/>
    <w:rsid w:val="009A124F"/>
    <w:rsid w:val="009A1B0D"/>
    <w:rsid w:val="009A299E"/>
    <w:rsid w:val="009A348E"/>
    <w:rsid w:val="009B00D5"/>
    <w:rsid w:val="009B1FEF"/>
    <w:rsid w:val="009B3DCB"/>
    <w:rsid w:val="009B5355"/>
    <w:rsid w:val="009C11F1"/>
    <w:rsid w:val="009C2FCF"/>
    <w:rsid w:val="009C6426"/>
    <w:rsid w:val="009D3988"/>
    <w:rsid w:val="009D663A"/>
    <w:rsid w:val="009D7FA3"/>
    <w:rsid w:val="009E0550"/>
    <w:rsid w:val="009E095D"/>
    <w:rsid w:val="009E6BF7"/>
    <w:rsid w:val="009E6DD9"/>
    <w:rsid w:val="009E6EA1"/>
    <w:rsid w:val="009E703D"/>
    <w:rsid w:val="009F1222"/>
    <w:rsid w:val="009F401B"/>
    <w:rsid w:val="009F5812"/>
    <w:rsid w:val="009F601D"/>
    <w:rsid w:val="009F7B3B"/>
    <w:rsid w:val="00A00EAD"/>
    <w:rsid w:val="00A022FA"/>
    <w:rsid w:val="00A0571E"/>
    <w:rsid w:val="00A11825"/>
    <w:rsid w:val="00A1195A"/>
    <w:rsid w:val="00A1273D"/>
    <w:rsid w:val="00A14889"/>
    <w:rsid w:val="00A15E07"/>
    <w:rsid w:val="00A16E4D"/>
    <w:rsid w:val="00A21AF7"/>
    <w:rsid w:val="00A3590B"/>
    <w:rsid w:val="00A37599"/>
    <w:rsid w:val="00A37B51"/>
    <w:rsid w:val="00A425AD"/>
    <w:rsid w:val="00A463F8"/>
    <w:rsid w:val="00A52F1A"/>
    <w:rsid w:val="00A575FA"/>
    <w:rsid w:val="00A6117B"/>
    <w:rsid w:val="00A618B2"/>
    <w:rsid w:val="00A65E93"/>
    <w:rsid w:val="00A700CA"/>
    <w:rsid w:val="00A70714"/>
    <w:rsid w:val="00A71A39"/>
    <w:rsid w:val="00A72EC9"/>
    <w:rsid w:val="00A75B47"/>
    <w:rsid w:val="00A801B4"/>
    <w:rsid w:val="00A81F65"/>
    <w:rsid w:val="00A83226"/>
    <w:rsid w:val="00A83BB2"/>
    <w:rsid w:val="00A9124D"/>
    <w:rsid w:val="00A94689"/>
    <w:rsid w:val="00A94C10"/>
    <w:rsid w:val="00A94D22"/>
    <w:rsid w:val="00A95040"/>
    <w:rsid w:val="00A959B3"/>
    <w:rsid w:val="00A96AAE"/>
    <w:rsid w:val="00AA0C32"/>
    <w:rsid w:val="00AA1840"/>
    <w:rsid w:val="00AA417D"/>
    <w:rsid w:val="00AA4F6C"/>
    <w:rsid w:val="00AA61D9"/>
    <w:rsid w:val="00AA7F6C"/>
    <w:rsid w:val="00AB2016"/>
    <w:rsid w:val="00AB4558"/>
    <w:rsid w:val="00AB730B"/>
    <w:rsid w:val="00AB797C"/>
    <w:rsid w:val="00AC38DE"/>
    <w:rsid w:val="00AD3B04"/>
    <w:rsid w:val="00AD3E00"/>
    <w:rsid w:val="00AD7710"/>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2754"/>
    <w:rsid w:val="00B239E2"/>
    <w:rsid w:val="00B31D91"/>
    <w:rsid w:val="00B33636"/>
    <w:rsid w:val="00B33867"/>
    <w:rsid w:val="00B3478A"/>
    <w:rsid w:val="00B3530C"/>
    <w:rsid w:val="00B36AE1"/>
    <w:rsid w:val="00B36E03"/>
    <w:rsid w:val="00B403EA"/>
    <w:rsid w:val="00B41CDB"/>
    <w:rsid w:val="00B43F58"/>
    <w:rsid w:val="00B45742"/>
    <w:rsid w:val="00B523FD"/>
    <w:rsid w:val="00B55085"/>
    <w:rsid w:val="00B5720B"/>
    <w:rsid w:val="00B62589"/>
    <w:rsid w:val="00B66941"/>
    <w:rsid w:val="00B7000E"/>
    <w:rsid w:val="00B70056"/>
    <w:rsid w:val="00B71203"/>
    <w:rsid w:val="00B73294"/>
    <w:rsid w:val="00B738CE"/>
    <w:rsid w:val="00B74E74"/>
    <w:rsid w:val="00B864B3"/>
    <w:rsid w:val="00B86F7D"/>
    <w:rsid w:val="00B87414"/>
    <w:rsid w:val="00B9349D"/>
    <w:rsid w:val="00B94224"/>
    <w:rsid w:val="00B95A18"/>
    <w:rsid w:val="00B96D77"/>
    <w:rsid w:val="00B96EB7"/>
    <w:rsid w:val="00B97CC4"/>
    <w:rsid w:val="00BA3111"/>
    <w:rsid w:val="00BA6EEC"/>
    <w:rsid w:val="00BB070E"/>
    <w:rsid w:val="00BB0EE2"/>
    <w:rsid w:val="00BB36F5"/>
    <w:rsid w:val="00BC1747"/>
    <w:rsid w:val="00BC54AB"/>
    <w:rsid w:val="00BC6025"/>
    <w:rsid w:val="00BC60C2"/>
    <w:rsid w:val="00BD4347"/>
    <w:rsid w:val="00BD437C"/>
    <w:rsid w:val="00BE1AD1"/>
    <w:rsid w:val="00BE1DAF"/>
    <w:rsid w:val="00BF0D55"/>
    <w:rsid w:val="00BF1192"/>
    <w:rsid w:val="00BF275A"/>
    <w:rsid w:val="00BF3CA8"/>
    <w:rsid w:val="00BF5A0B"/>
    <w:rsid w:val="00BF5FCE"/>
    <w:rsid w:val="00BF6BED"/>
    <w:rsid w:val="00C05075"/>
    <w:rsid w:val="00C112BD"/>
    <w:rsid w:val="00C12A8E"/>
    <w:rsid w:val="00C21C96"/>
    <w:rsid w:val="00C22491"/>
    <w:rsid w:val="00C24707"/>
    <w:rsid w:val="00C26F5C"/>
    <w:rsid w:val="00C30652"/>
    <w:rsid w:val="00C3511A"/>
    <w:rsid w:val="00C36609"/>
    <w:rsid w:val="00C3679D"/>
    <w:rsid w:val="00C36C84"/>
    <w:rsid w:val="00C41126"/>
    <w:rsid w:val="00C42407"/>
    <w:rsid w:val="00C51729"/>
    <w:rsid w:val="00C52473"/>
    <w:rsid w:val="00C52BBD"/>
    <w:rsid w:val="00C56B37"/>
    <w:rsid w:val="00C56D06"/>
    <w:rsid w:val="00C62A3C"/>
    <w:rsid w:val="00C70063"/>
    <w:rsid w:val="00C755F1"/>
    <w:rsid w:val="00C818A3"/>
    <w:rsid w:val="00C82A73"/>
    <w:rsid w:val="00C83428"/>
    <w:rsid w:val="00C83470"/>
    <w:rsid w:val="00C84283"/>
    <w:rsid w:val="00C86A64"/>
    <w:rsid w:val="00C92538"/>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C036A"/>
    <w:rsid w:val="00CC2EEE"/>
    <w:rsid w:val="00CC51C7"/>
    <w:rsid w:val="00CC66BE"/>
    <w:rsid w:val="00CC6D33"/>
    <w:rsid w:val="00CC7B71"/>
    <w:rsid w:val="00CD0945"/>
    <w:rsid w:val="00CE42C2"/>
    <w:rsid w:val="00CE439D"/>
    <w:rsid w:val="00CE4DF9"/>
    <w:rsid w:val="00CE52AF"/>
    <w:rsid w:val="00CF25A1"/>
    <w:rsid w:val="00CF3A7A"/>
    <w:rsid w:val="00D000D0"/>
    <w:rsid w:val="00D0041E"/>
    <w:rsid w:val="00D026A5"/>
    <w:rsid w:val="00D04716"/>
    <w:rsid w:val="00D055E4"/>
    <w:rsid w:val="00D05BD4"/>
    <w:rsid w:val="00D0661E"/>
    <w:rsid w:val="00D107B7"/>
    <w:rsid w:val="00D11AF6"/>
    <w:rsid w:val="00D12BAF"/>
    <w:rsid w:val="00D1468B"/>
    <w:rsid w:val="00D15E24"/>
    <w:rsid w:val="00D161DC"/>
    <w:rsid w:val="00D1634B"/>
    <w:rsid w:val="00D1685A"/>
    <w:rsid w:val="00D169E7"/>
    <w:rsid w:val="00D17036"/>
    <w:rsid w:val="00D20202"/>
    <w:rsid w:val="00D20C1F"/>
    <w:rsid w:val="00D31E98"/>
    <w:rsid w:val="00D34F52"/>
    <w:rsid w:val="00D37A25"/>
    <w:rsid w:val="00D37C30"/>
    <w:rsid w:val="00D46BF9"/>
    <w:rsid w:val="00D5051B"/>
    <w:rsid w:val="00D52E14"/>
    <w:rsid w:val="00D55465"/>
    <w:rsid w:val="00D6198E"/>
    <w:rsid w:val="00D62DF8"/>
    <w:rsid w:val="00D65555"/>
    <w:rsid w:val="00D71673"/>
    <w:rsid w:val="00D7221D"/>
    <w:rsid w:val="00D72DCD"/>
    <w:rsid w:val="00D72FBC"/>
    <w:rsid w:val="00D735E3"/>
    <w:rsid w:val="00D73916"/>
    <w:rsid w:val="00D756D2"/>
    <w:rsid w:val="00D821FD"/>
    <w:rsid w:val="00D9312D"/>
    <w:rsid w:val="00D93A6F"/>
    <w:rsid w:val="00D97D8E"/>
    <w:rsid w:val="00DA0D4D"/>
    <w:rsid w:val="00DA3896"/>
    <w:rsid w:val="00DA396F"/>
    <w:rsid w:val="00DA3997"/>
    <w:rsid w:val="00DA3F3D"/>
    <w:rsid w:val="00DA4907"/>
    <w:rsid w:val="00DA4DCC"/>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3A2E"/>
    <w:rsid w:val="00E058F9"/>
    <w:rsid w:val="00E108E9"/>
    <w:rsid w:val="00E12168"/>
    <w:rsid w:val="00E14D03"/>
    <w:rsid w:val="00E15332"/>
    <w:rsid w:val="00E161D4"/>
    <w:rsid w:val="00E27624"/>
    <w:rsid w:val="00E30951"/>
    <w:rsid w:val="00E30989"/>
    <w:rsid w:val="00E313BC"/>
    <w:rsid w:val="00E32EC6"/>
    <w:rsid w:val="00E33B7A"/>
    <w:rsid w:val="00E36D7F"/>
    <w:rsid w:val="00E376FE"/>
    <w:rsid w:val="00E4189B"/>
    <w:rsid w:val="00E4356F"/>
    <w:rsid w:val="00E522BA"/>
    <w:rsid w:val="00E54DD1"/>
    <w:rsid w:val="00E55CAF"/>
    <w:rsid w:val="00E57DCA"/>
    <w:rsid w:val="00E609EC"/>
    <w:rsid w:val="00E65419"/>
    <w:rsid w:val="00E666FE"/>
    <w:rsid w:val="00E7107D"/>
    <w:rsid w:val="00E71274"/>
    <w:rsid w:val="00E74CF2"/>
    <w:rsid w:val="00E82C38"/>
    <w:rsid w:val="00E860F9"/>
    <w:rsid w:val="00E87EAF"/>
    <w:rsid w:val="00E907E4"/>
    <w:rsid w:val="00E91325"/>
    <w:rsid w:val="00E91D8B"/>
    <w:rsid w:val="00E95621"/>
    <w:rsid w:val="00E965C0"/>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E6F19"/>
    <w:rsid w:val="00EF47DE"/>
    <w:rsid w:val="00EF4862"/>
    <w:rsid w:val="00EF61D4"/>
    <w:rsid w:val="00EF6494"/>
    <w:rsid w:val="00F00B46"/>
    <w:rsid w:val="00F01AC2"/>
    <w:rsid w:val="00F02081"/>
    <w:rsid w:val="00F0731A"/>
    <w:rsid w:val="00F10720"/>
    <w:rsid w:val="00F130C0"/>
    <w:rsid w:val="00F15743"/>
    <w:rsid w:val="00F159B3"/>
    <w:rsid w:val="00F15B0F"/>
    <w:rsid w:val="00F15F8F"/>
    <w:rsid w:val="00F238FC"/>
    <w:rsid w:val="00F24415"/>
    <w:rsid w:val="00F25C20"/>
    <w:rsid w:val="00F2626A"/>
    <w:rsid w:val="00F31D8E"/>
    <w:rsid w:val="00F338BB"/>
    <w:rsid w:val="00F33D85"/>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54B3"/>
    <w:rsid w:val="00F67E91"/>
    <w:rsid w:val="00F72C33"/>
    <w:rsid w:val="00F76360"/>
    <w:rsid w:val="00F772D5"/>
    <w:rsid w:val="00F77DCA"/>
    <w:rsid w:val="00F80546"/>
    <w:rsid w:val="00F80D83"/>
    <w:rsid w:val="00F8165C"/>
    <w:rsid w:val="00F84C62"/>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55A1"/>
    <w:rsid w:val="00FC21E0"/>
    <w:rsid w:val="00FC3DAC"/>
    <w:rsid w:val="00FD0526"/>
    <w:rsid w:val="00FD0A48"/>
    <w:rsid w:val="00FD2F70"/>
    <w:rsid w:val="00FD3497"/>
    <w:rsid w:val="00FD4821"/>
    <w:rsid w:val="00FD7050"/>
    <w:rsid w:val="00FD7B0C"/>
    <w:rsid w:val="00FE1538"/>
    <w:rsid w:val="00FE269D"/>
    <w:rsid w:val="00FE48C1"/>
    <w:rsid w:val="00FF277D"/>
    <w:rsid w:val="00FF2986"/>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s-ES"/>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s-E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s-E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s-E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s-ES"/>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s-E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s-E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s-E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i=portal.en.eco-opinions.34550" TargetMode="External"/><Relationship Id="rId3" Type="http://schemas.openxmlformats.org/officeDocument/2006/relationships/customXml" Target="../customXml/item3.xml"/><Relationship Id="rId21" Type="http://schemas.openxmlformats.org/officeDocument/2006/relationships/hyperlink" Target="mailto:press@eesc.europa.eu?subject=Desear%C3%ADa%20obtener%20m%C3%A1s%20informaci%C3%B3n"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ec.europa.eu/priorities/economic-monetary-union" TargetMode="External"/><Relationship Id="rId2" Type="http://schemas.openxmlformats.org/officeDocument/2006/relationships/customXml" Target="../customXml/item2.xml"/><Relationship Id="rId16" Type="http://schemas.openxmlformats.org/officeDocument/2006/relationships/hyperlink" Target="http://ec.europa.eu/priorities/economic-monetary-union/docs/5-presidents-report_es.pdf" TargetMode="External"/><Relationship Id="rId20" Type="http://schemas.openxmlformats.org/officeDocument/2006/relationships/hyperlink" Target="http://www.politicheeuropee.it/comunicazione/19465/lagenda-italiana-per-riformare-leurop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eesc.europa.eu/?i=portal.en.eco-opinions.29304"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SNS6YXTC77FS-9-129</_dlc_DocId>
    <_dlc_DocIdUrl xmlns="9f264e46-9252-4f01-a3b2-4cb67eb6fc3c">
      <Url>http://dm/EESC/2015/_layouts/DocIdRedir.aspx?ID=SNS6YXTC77FS-9-129</Url>
      <Description>SNS6YXTC77FS-9-129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2015-11-19T12:00:00+00:00</ProductionDate>
    <DocumentNumber xmlns="ae52afa4-c322-454e-8472-1d2b1900674c">6079</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TaxCatchAll xmlns="9f264e46-9252-4f01-a3b2-4cb67eb6fc3c">
      <Value>20</Value>
      <Value>17</Value>
      <Value>16</Value>
      <Value>38</Value>
      <Value>34</Value>
      <Value>120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11359</FicheNumber>
    <DocumentYear xmlns="9f264e46-9252-4f01-a3b2-4cb67eb6fc3c">2015</DocumentYea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57FA50DE-30E8-429C-9347-389B7573CD32}">
  <ds:schemaRefs>
    <ds:schemaRef ds:uri="9f264e46-9252-4f01-a3b2-4cb67eb6fc3c"/>
    <ds:schemaRef ds:uri="http://purl.org/dc/dcmitype/"/>
    <ds:schemaRef ds:uri="http://www.w3.org/XML/1998/namespace"/>
    <ds:schemaRef ds:uri="http://schemas.microsoft.com/office/2006/documentManagement/types"/>
    <ds:schemaRef ds:uri="http://purl.org/dc/elements/1.1/"/>
    <ds:schemaRef ds:uri="http://schemas.microsoft.com/sharepoint/v3/fields"/>
    <ds:schemaRef ds:uri="http://schemas.microsoft.com/office/infopath/2007/PartnerControls"/>
    <ds:schemaRef ds:uri="ae52afa4-c322-454e-8472-1d2b1900674c"/>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EC9AF11-FE19-4D05-91A8-8273A509E356}">
  <ds:schemaRefs>
    <ds:schemaRef ds:uri="http://schemas.microsoft.com/sharepoint/events"/>
  </ds:schemaRefs>
</ds:datastoreItem>
</file>

<file path=customXml/itemProps5.xml><?xml version="1.0" encoding="utf-8"?>
<ds:datastoreItem xmlns:ds="http://schemas.openxmlformats.org/officeDocument/2006/customXml" ds:itemID="{631B585C-F307-4F5A-A3B1-C0504AD7A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F980F2-BD7B-4ED5-9AB4-7D9D56BF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3</Pages>
  <Words>1192</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CP 66 ES UEM</vt:lpstr>
    </vt:vector>
  </TitlesOfParts>
  <Company>CESE-CdR</Company>
  <LinksUpToDate>false</LinksUpToDate>
  <CharactersWithSpaces>7735</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66 ES UEM</dc:title>
  <dc:subject>Comunicado de prensa</dc:subject>
  <cp:lastModifiedBy>Agata Berdys</cp:lastModifiedBy>
  <cp:revision>2</cp:revision>
  <cp:lastPrinted>2015-11-18T10:25:00Z</cp:lastPrinted>
  <dcterms:created xsi:type="dcterms:W3CDTF">2015-11-19T14:28:00Z</dcterms:created>
  <dcterms:modified xsi:type="dcterms:W3CDTF">2015-11-19T14:28:00Z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0x010100EA97B91038054C99906057A708A1480A00E7D2B1FD55A9544EB8E25229FA72FDDF</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18/11/2015</vt:lpwstr>
  </property>
  <property fmtid="{D5CDD505-2E9C-101B-9397-08002B2CF9AE}" pid="7" name="Pref_Time">
    <vt:lpwstr>16:43:54</vt:lpwstr>
  </property>
  <property fmtid="{D5CDD505-2E9C-101B-9397-08002B2CF9AE}" pid="8" name="Pref_User">
    <vt:lpwstr>enied</vt:lpwstr>
  </property>
  <property fmtid="{D5CDD505-2E9C-101B-9397-08002B2CF9AE}" pid="9" name="Pref_FileName">
    <vt:lpwstr>EESC-2015-06079-00-00-CP-ORI.docx</vt:lpwstr>
  </property>
  <property fmtid="{D5CDD505-2E9C-101B-9397-08002B2CF9AE}" pid="10" name="_dlc_DocIdItemGuid">
    <vt:lpwstr>3cb986c0-3b8f-4c5a-a7e2-c2e5f380e583</vt:lpwstr>
  </property>
  <property fmtid="{D5CDD505-2E9C-101B-9397-08002B2CF9AE}" pid="11" name="DocumentType_0">
    <vt:lpwstr>CP|de8ad211-9e8d-408b-8324-674d21bb7d18</vt:lpwstr>
  </property>
  <property fmtid="{D5CDD505-2E9C-101B-9397-08002B2CF9AE}" pid="12" name="AvailableTranslations">
    <vt:lpwstr>9;#EN|f2175f21-25d7-44a3-96da-d6a61b075e1b;#20;#DE|f6b31e5a-26fa-4935-b661-318e46daf27e;#4;#FR|d2afafd3-4c81-4f60-8f52-ee33f2f54ff3;#17;#ES|e7a6b05b-ae16-40c8-add9-68b64b03aeba;#38;#IT|0774613c-01ed-4e5d-a25d-11d2388de825;#16;#PL|1e03da61-4678-4e07-b136-b</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2015</vt:i4>
  </property>
  <property fmtid="{D5CDD505-2E9C-101B-9397-08002B2CF9AE}" pid="16" name="DocumentNumber">
    <vt:i4>6079</vt:i4>
  </property>
  <property fmtid="{D5CDD505-2E9C-101B-9397-08002B2CF9AE}" pid="17" name="DocumentVersion">
    <vt:i4>0</vt:i4>
  </property>
  <property fmtid="{D5CDD505-2E9C-101B-9397-08002B2CF9AE}" pid="18" name="DocumentType">
    <vt:lpwstr>34;#CP|de8ad211-9e8d-408b-8324-674d21bb7d18</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1;#EESC|422833ec-8d7e-4e65-8e4e-8bed07ffb729</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120;#Final|ea5e6674-7b27-4bac-b091-73adbb394efe;#9;#EN|f2175f21-25d7-44a3-96da-d6a61b075e1b;#38;#IT|0774613c-01ed-4e5d-a25d-11d2388de825;#5;#Unrestricted|826e22d7-d029-4ec0-a450-0c28ff673572;#34;#CP|de8ad211-9e8d-408b-8324-674d21bb7d18;#2;#TRA|150d2a88-14</vt:lpwstr>
  </property>
  <property fmtid="{D5CDD505-2E9C-101B-9397-08002B2CF9AE}" pid="32" name="AvailableTranslations_0">
    <vt:lpwstr>EN|f2175f21-25d7-44a3-96da-d6a61b075e1b;IT|0774613c-01ed-4e5d-a25d-11d2388de825</vt:lpwstr>
  </property>
  <property fmtid="{D5CDD505-2E9C-101B-9397-08002B2CF9AE}" pid="33" name="VersionStatus">
    <vt:lpwstr>120;#Final|ea5e6674-7b27-4bac-b091-73adbb394efe</vt:lpwstr>
  </property>
  <property fmtid="{D5CDD505-2E9C-101B-9397-08002B2CF9AE}" pid="34" name="VersionStatus_0">
    <vt:lpwstr>Final|ea5e6674-7b27-4bac-b091-73adbb394efe</vt:lpwstr>
  </property>
  <property fmtid="{D5CDD505-2E9C-101B-9397-08002B2CF9AE}" pid="35" name="FicheNumber">
    <vt:i4>11359</vt:i4>
  </property>
  <property fmtid="{D5CDD505-2E9C-101B-9397-08002B2CF9AE}" pid="36" name="DocumentYear">
    <vt:i4>2015</vt:i4>
  </property>
  <property fmtid="{D5CDD505-2E9C-101B-9397-08002B2CF9AE}" pid="37" name="DocumentLanguage">
    <vt:lpwstr>17;#ES|e7a6b05b-ae16-40c8-add9-68b64b03aeba</vt:lpwstr>
  </property>
</Properties>
</file>