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81" w:rsidRDefault="006B7F81" w:rsidP="00723521">
      <w:pPr>
        <w:overflowPunct w:val="0"/>
        <w:adjustRightInd w:val="0"/>
        <w:jc w:val="center"/>
        <w:textAlignment w:val="baseline"/>
      </w:pPr>
      <w:r w:rsidRPr="004C46EF">
        <w:rPr>
          <w:noProof/>
          <w:lang w:val="fr-BE" w:eastAsia="fr-BE"/>
        </w:rPr>
        <w:drawing>
          <wp:inline distT="0" distB="0" distL="0" distR="0" wp14:anchorId="7BB3E235" wp14:editId="3EFA1293">
            <wp:extent cx="6030595" cy="1463419"/>
            <wp:effectExtent l="0" t="0" r="0" b="381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1463419"/>
                    </a:xfrm>
                    <a:prstGeom prst="rect">
                      <a:avLst/>
                    </a:prstGeom>
                    <a:noFill/>
                    <a:ln>
                      <a:noFill/>
                    </a:ln>
                  </pic:spPr>
                </pic:pic>
              </a:graphicData>
            </a:graphic>
          </wp:inline>
        </w:drawing>
      </w:r>
    </w:p>
    <w:p w:rsidR="006B7F81" w:rsidRDefault="006B7F81" w:rsidP="00723521">
      <w:pPr>
        <w:overflowPunct w:val="0"/>
        <w:adjustRightInd w:val="0"/>
        <w:jc w:val="center"/>
        <w:textAlignment w:val="baseline"/>
      </w:pPr>
    </w:p>
    <w:p w:rsidR="008F1C4C" w:rsidRPr="001C4034" w:rsidRDefault="008F1C4C" w:rsidP="00723521">
      <w:pPr>
        <w:overflowPunct w:val="0"/>
        <w:adjustRightInd w:val="0"/>
        <w:jc w:val="center"/>
        <w:textAlignment w:val="baseline"/>
      </w:pPr>
      <w:r w:rsidRPr="001C4034">
        <w:t>Communiqué de presse du CESE</w:t>
      </w:r>
    </w:p>
    <w:tbl>
      <w:tblPr>
        <w:tblW w:w="0" w:type="auto"/>
        <w:tblLook w:val="0000" w:firstRow="0" w:lastRow="0" w:firstColumn="0" w:lastColumn="0" w:noHBand="0" w:noVBand="0"/>
      </w:tblPr>
      <w:tblGrid>
        <w:gridCol w:w="5168"/>
        <w:gridCol w:w="4119"/>
      </w:tblGrid>
      <w:tr w:rsidR="008F1C4C" w:rsidRPr="001C4034" w:rsidTr="006A7EAF">
        <w:trPr>
          <w:cantSplit/>
        </w:trPr>
        <w:tc>
          <w:tcPr>
            <w:tcW w:w="5168" w:type="dxa"/>
          </w:tcPr>
          <w:p w:rsidR="008F1C4C" w:rsidRPr="001C4034" w:rsidRDefault="008F1C4C" w:rsidP="00723521">
            <w:pPr>
              <w:overflowPunct w:val="0"/>
              <w:adjustRightInd w:val="0"/>
              <w:spacing w:line="240" w:lineRule="auto"/>
              <w:textAlignment w:val="baseline"/>
              <w:rPr>
                <w:rFonts w:ascii="Verdana" w:hAnsi="Verdana"/>
                <w:b/>
                <w:bCs/>
                <w:sz w:val="18"/>
                <w:szCs w:val="18"/>
              </w:rPr>
            </w:pPr>
            <w:r w:rsidRPr="001C4034">
              <w:rPr>
                <w:rFonts w:ascii="Verdana" w:hAnsi="Verdana"/>
                <w:b/>
                <w:sz w:val="18"/>
              </w:rPr>
              <w:t>Nº 62/2016</w:t>
            </w:r>
          </w:p>
        </w:tc>
        <w:tc>
          <w:tcPr>
            <w:tcW w:w="4119" w:type="dxa"/>
          </w:tcPr>
          <w:p w:rsidR="008F1C4C" w:rsidRPr="001C4034" w:rsidRDefault="008F1C4C" w:rsidP="00723521">
            <w:pPr>
              <w:overflowPunct w:val="0"/>
              <w:adjustRightInd w:val="0"/>
              <w:spacing w:line="240" w:lineRule="auto"/>
              <w:jc w:val="right"/>
              <w:textAlignment w:val="baseline"/>
              <w:rPr>
                <w:rFonts w:ascii="Verdana" w:hAnsi="Verdana"/>
                <w:b/>
                <w:bCs/>
                <w:sz w:val="18"/>
                <w:szCs w:val="18"/>
              </w:rPr>
            </w:pPr>
            <w:r w:rsidRPr="001C4034">
              <w:rPr>
                <w:rFonts w:ascii="Verdana" w:hAnsi="Verdana"/>
                <w:b/>
                <w:sz w:val="18"/>
              </w:rPr>
              <w:t>19 octobre 2016</w:t>
            </w:r>
          </w:p>
        </w:tc>
      </w:tr>
    </w:tbl>
    <w:p w:rsidR="008F1C4C" w:rsidRPr="001C4034" w:rsidRDefault="007A7515" w:rsidP="00723521">
      <w:pPr>
        <w:overflowPunct w:val="0"/>
        <w:adjustRightInd w:val="0"/>
        <w:ind w:right="-1"/>
        <w:jc w:val="center"/>
        <w:textAlignment w:val="baseline"/>
        <w:rPr>
          <w:rFonts w:ascii="Verdana" w:hAnsi="Verdana"/>
          <w:b/>
          <w:color w:val="0033CC"/>
          <w:sz w:val="28"/>
        </w:rPr>
      </w:pPr>
      <w:r w:rsidRPr="001C4034">
        <w:rPr>
          <w:noProof/>
          <w:lang w:val="fr-BE" w:eastAsia="fr-BE"/>
        </w:rPr>
        <mc:AlternateContent>
          <mc:Choice Requires="wps">
            <w:drawing>
              <wp:anchor distT="0" distB="0" distL="114300" distR="114300" simplePos="0" relativeHeight="251659264" behindDoc="1" locked="0" layoutInCell="0" allowOverlap="1" wp14:anchorId="4860C16D" wp14:editId="42E9432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515" w:rsidRPr="00C20EB1" w:rsidRDefault="007A7515" w:rsidP="00723521">
                            <w:pPr>
                              <w:overflowPunct w:val="0"/>
                              <w:adjustRightInd w:val="0"/>
                              <w:jc w:val="center"/>
                              <w:textAlignment w:val="baseline"/>
                              <w:rPr>
                                <w:rFonts w:ascii="Arial" w:hAnsi="Arial" w:cs="Arial"/>
                                <w:b/>
                                <w:sz w:val="48"/>
                              </w:rPr>
                            </w:pPr>
                            <w:r w:rsidRPr="00C20EB1">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A7515" w:rsidRPr="00C20EB1" w:rsidRDefault="007A7515" w:rsidP="00723521">
                      <w:pPr>
                        <w:overflowPunct w:val="0"/>
                        <w:adjustRightInd w:val="0"/>
                        <w:jc w:val="center"/>
                        <w:textAlignment w:val="baseline"/>
                        <w:rPr>
                          <w:rFonts w:ascii="Arial" w:hAnsi="Arial" w:cs="Arial"/>
                          <w:b/>
                          <w:sz w:val="48"/>
                        </w:rPr>
                      </w:pPr>
                      <w:r w:rsidRPr="00C20EB1">
                        <w:rPr>
                          <w:rFonts w:ascii="Arial" w:hAnsi="Arial"/>
                          <w:b/>
                          <w:sz w:val="48"/>
                        </w:rPr>
                        <w:t>FR</w:t>
                      </w:r>
                    </w:p>
                  </w:txbxContent>
                </v:textbox>
                <w10:wrap anchorx="page" anchory="page"/>
              </v:shape>
            </w:pict>
          </mc:Fallback>
        </mc:AlternateContent>
      </w:r>
    </w:p>
    <w:p w:rsidR="00516D5B" w:rsidRPr="001C4034" w:rsidRDefault="00573A82" w:rsidP="00723521">
      <w:pPr>
        <w:overflowPunct w:val="0"/>
        <w:adjustRightInd w:val="0"/>
        <w:ind w:right="-1"/>
        <w:jc w:val="center"/>
        <w:textAlignment w:val="baseline"/>
        <w:rPr>
          <w:rFonts w:ascii="Verdana" w:hAnsi="Verdana"/>
          <w:b/>
          <w:color w:val="0033CC"/>
          <w:sz w:val="28"/>
        </w:rPr>
      </w:pPr>
      <w:r w:rsidRPr="001C4034">
        <w:rPr>
          <w:rFonts w:ascii="Verdana" w:hAnsi="Verdana"/>
          <w:b/>
          <w:color w:val="0033CC"/>
          <w:sz w:val="28"/>
        </w:rPr>
        <w:t>Les mesures européennes de lutte contre le blanchiment des capitaux doivent couvrir tous les pays tiers à haut risque</w:t>
      </w:r>
    </w:p>
    <w:p w:rsidR="00573A82" w:rsidRPr="001C4034" w:rsidRDefault="00573A82" w:rsidP="00723521">
      <w:pPr>
        <w:overflowPunct w:val="0"/>
        <w:adjustRightInd w:val="0"/>
        <w:ind w:right="-1"/>
        <w:jc w:val="center"/>
        <w:textAlignment w:val="baseline"/>
        <w:rPr>
          <w:rFonts w:ascii="Verdana" w:hAnsi="Verdana"/>
          <w:b/>
          <w:color w:val="548DD4" w:themeColor="text2" w:themeTint="99"/>
          <w:sz w:val="12"/>
        </w:rPr>
      </w:pPr>
    </w:p>
    <w:p w:rsidR="00171080" w:rsidRPr="001C4034" w:rsidRDefault="0089481B" w:rsidP="00723521">
      <w:pPr>
        <w:overflowPunct w:val="0"/>
        <w:adjustRightInd w:val="0"/>
        <w:ind w:right="-1"/>
        <w:jc w:val="center"/>
        <w:textAlignment w:val="baseline"/>
        <w:rPr>
          <w:rFonts w:ascii="Verdana" w:hAnsi="Verdana"/>
          <w:sz w:val="18"/>
          <w:u w:val="single"/>
        </w:rPr>
      </w:pPr>
      <w:r w:rsidRPr="001C4034">
        <w:rPr>
          <w:rFonts w:ascii="Verdana" w:hAnsi="Verdana"/>
          <w:b/>
          <w:color w:val="548DD4" w:themeColor="text2" w:themeTint="99"/>
        </w:rPr>
        <w:t>Les obligations de vigilance renforcées de la 5</w:t>
      </w:r>
      <w:r w:rsidRPr="001C4034">
        <w:rPr>
          <w:rFonts w:ascii="Verdana" w:hAnsi="Verdana"/>
          <w:b/>
          <w:color w:val="548DD4" w:themeColor="text2" w:themeTint="99"/>
          <w:vertAlign w:val="superscript"/>
        </w:rPr>
        <w:t>e</w:t>
      </w:r>
      <w:r w:rsidRPr="001C4034">
        <w:rPr>
          <w:rFonts w:ascii="Verdana" w:hAnsi="Verdana"/>
          <w:b/>
          <w:color w:val="548DD4" w:themeColor="text2" w:themeTint="99"/>
        </w:rPr>
        <w:t> directive anti-blanchiment devraient s</w:t>
      </w:r>
      <w:r w:rsidR="001C4034" w:rsidRPr="001C4034">
        <w:rPr>
          <w:rFonts w:ascii="Verdana" w:hAnsi="Verdana"/>
          <w:b/>
          <w:color w:val="548DD4" w:themeColor="text2" w:themeTint="99"/>
        </w:rPr>
        <w:t>’</w:t>
      </w:r>
      <w:r w:rsidRPr="001C4034">
        <w:rPr>
          <w:rFonts w:ascii="Verdana" w:hAnsi="Verdana"/>
          <w:b/>
          <w:color w:val="548DD4" w:themeColor="text2" w:themeTint="99"/>
        </w:rPr>
        <w:t>appliquer aux pays cités dans</w:t>
      </w:r>
      <w:r w:rsidR="00C20EB1" w:rsidRPr="001C4034">
        <w:rPr>
          <w:rFonts w:ascii="Verdana" w:hAnsi="Verdana"/>
          <w:b/>
          <w:color w:val="548DD4" w:themeColor="text2" w:themeTint="99"/>
        </w:rPr>
        <w:t xml:space="preserve"> </w:t>
      </w:r>
      <w:r w:rsidRPr="001C4034">
        <w:rPr>
          <w:rFonts w:ascii="Verdana" w:hAnsi="Verdana"/>
          <w:b/>
          <w:color w:val="548DD4" w:themeColor="text2" w:themeTint="99"/>
        </w:rPr>
        <w:t>les «</w:t>
      </w:r>
      <w:r w:rsidRPr="001C4034">
        <w:rPr>
          <w:rFonts w:ascii="Verdana" w:hAnsi="Verdana"/>
          <w:b/>
          <w:i/>
          <w:color w:val="548DD4" w:themeColor="text2" w:themeTint="99"/>
        </w:rPr>
        <w:t xml:space="preserve">Panama </w:t>
      </w:r>
      <w:proofErr w:type="spellStart"/>
      <w:r w:rsidRPr="001C4034">
        <w:rPr>
          <w:rFonts w:ascii="Verdana" w:hAnsi="Verdana"/>
          <w:b/>
          <w:i/>
          <w:color w:val="548DD4" w:themeColor="text2" w:themeTint="99"/>
        </w:rPr>
        <w:t>papers</w:t>
      </w:r>
      <w:proofErr w:type="spellEnd"/>
      <w:r w:rsidRPr="001C4034">
        <w:rPr>
          <w:rFonts w:ascii="Verdana" w:hAnsi="Verdana"/>
          <w:b/>
          <w:color w:val="548DD4" w:themeColor="text2" w:themeTint="99"/>
        </w:rPr>
        <w:t>»</w:t>
      </w:r>
      <w:r w:rsidR="00C20EB1" w:rsidRPr="001C4034">
        <w:t xml:space="preserve"> </w:t>
      </w:r>
    </w:p>
    <w:p w:rsidR="00B0677C" w:rsidRPr="001C4034" w:rsidRDefault="00B0677C" w:rsidP="00723521">
      <w:pPr>
        <w:overflowPunct w:val="0"/>
        <w:adjustRightInd w:val="0"/>
        <w:jc w:val="left"/>
        <w:textAlignment w:val="baseline"/>
      </w:pPr>
    </w:p>
    <w:p w:rsidR="005F4F14" w:rsidRPr="001C4034" w:rsidRDefault="005F4F14" w:rsidP="00723521">
      <w:pPr>
        <w:overflowPunct w:val="0"/>
        <w:adjustRightInd w:val="0"/>
        <w:textAlignment w:val="baseline"/>
        <w:rPr>
          <w:rFonts w:ascii="Verdana" w:hAnsi="Verdana"/>
          <w:b/>
          <w:sz w:val="18"/>
        </w:rPr>
      </w:pPr>
      <w:r w:rsidRPr="001C4034">
        <w:rPr>
          <w:rFonts w:ascii="Verdana" w:hAnsi="Verdana"/>
          <w:b/>
          <w:sz w:val="18"/>
        </w:rPr>
        <w:t>La liste des pays tiers à haut risque soumis aux mesures de vigilance renforcées, publiée le 14 juillet, omet de nombreux pays qui sont considérés comme des paradis fiscaux à des fins de blanchiment d</w:t>
      </w:r>
      <w:r w:rsidR="001C4034" w:rsidRPr="001C4034">
        <w:rPr>
          <w:rFonts w:ascii="Verdana" w:hAnsi="Verdana"/>
          <w:b/>
          <w:sz w:val="18"/>
        </w:rPr>
        <w:t>’</w:t>
      </w:r>
      <w:r w:rsidRPr="001C4034">
        <w:rPr>
          <w:rFonts w:ascii="Verdana" w:hAnsi="Verdana"/>
          <w:b/>
          <w:sz w:val="18"/>
        </w:rPr>
        <w:t>argent et, en particulier, ceux mentionnés dans les «</w:t>
      </w:r>
      <w:r w:rsidRPr="001C4034">
        <w:rPr>
          <w:rFonts w:ascii="Verdana" w:hAnsi="Verdana"/>
          <w:b/>
          <w:i/>
          <w:sz w:val="18"/>
        </w:rPr>
        <w:t xml:space="preserve">Panama </w:t>
      </w:r>
      <w:proofErr w:type="spellStart"/>
      <w:r w:rsidRPr="001C4034">
        <w:rPr>
          <w:rFonts w:ascii="Verdana" w:hAnsi="Verdana"/>
          <w:b/>
          <w:i/>
          <w:sz w:val="18"/>
        </w:rPr>
        <w:t>papers</w:t>
      </w:r>
      <w:proofErr w:type="spellEnd"/>
      <w:r w:rsidRPr="001C4034">
        <w:rPr>
          <w:rFonts w:ascii="Verdana" w:hAnsi="Verdana"/>
          <w:b/>
          <w:sz w:val="18"/>
        </w:rPr>
        <w:t>». L</w:t>
      </w:r>
      <w:r w:rsidR="001C4034" w:rsidRPr="001C4034">
        <w:rPr>
          <w:rFonts w:ascii="Verdana" w:hAnsi="Verdana"/>
          <w:b/>
          <w:sz w:val="18"/>
        </w:rPr>
        <w:t>’</w:t>
      </w:r>
      <w:r w:rsidRPr="001C4034">
        <w:rPr>
          <w:rFonts w:ascii="Verdana" w:hAnsi="Verdana"/>
          <w:b/>
          <w:sz w:val="18"/>
        </w:rPr>
        <w:t xml:space="preserve">avis du CESE sur la </w:t>
      </w:r>
      <w:hyperlink r:id="rId15">
        <w:r w:rsidRPr="001C4034">
          <w:rPr>
            <w:rStyle w:val="Hyperlink"/>
            <w:rFonts w:ascii="Verdana" w:hAnsi="Verdana"/>
            <w:b/>
            <w:sz w:val="18"/>
          </w:rPr>
          <w:t>directive de l</w:t>
        </w:r>
        <w:r w:rsidR="001C4034" w:rsidRPr="001C4034">
          <w:rPr>
            <w:rStyle w:val="Hyperlink"/>
            <w:rFonts w:ascii="Verdana" w:hAnsi="Verdana"/>
            <w:b/>
            <w:sz w:val="18"/>
          </w:rPr>
          <w:t>’</w:t>
        </w:r>
        <w:r w:rsidRPr="001C4034">
          <w:rPr>
            <w:rStyle w:val="Hyperlink"/>
            <w:rFonts w:ascii="Verdana" w:hAnsi="Verdana"/>
            <w:b/>
            <w:sz w:val="18"/>
          </w:rPr>
          <w:t>UE sur la lutte contre le blanchiment de capitaux</w:t>
        </w:r>
      </w:hyperlink>
      <w:r w:rsidRPr="001C4034">
        <w:t xml:space="preserve"> </w:t>
      </w:r>
      <w:r w:rsidRPr="001C4034">
        <w:rPr>
          <w:rFonts w:ascii="Verdana" w:hAnsi="Verdana"/>
          <w:b/>
          <w:sz w:val="18"/>
        </w:rPr>
        <w:t>propose d</w:t>
      </w:r>
      <w:r w:rsidR="001C4034" w:rsidRPr="001C4034">
        <w:rPr>
          <w:rFonts w:ascii="Verdana" w:hAnsi="Verdana"/>
          <w:b/>
          <w:sz w:val="18"/>
        </w:rPr>
        <w:t>’</w:t>
      </w:r>
      <w:r w:rsidRPr="001C4034">
        <w:rPr>
          <w:rFonts w:ascii="Verdana" w:hAnsi="Verdana"/>
          <w:b/>
          <w:sz w:val="18"/>
        </w:rPr>
        <w:t>établir une nouvelle liste des pays tiers à haut risque, ou d</w:t>
      </w:r>
      <w:r w:rsidR="001C4034" w:rsidRPr="001C4034">
        <w:rPr>
          <w:rFonts w:ascii="Verdana" w:hAnsi="Verdana"/>
          <w:b/>
          <w:sz w:val="18"/>
        </w:rPr>
        <w:t>’</w:t>
      </w:r>
      <w:r w:rsidRPr="001C4034">
        <w:rPr>
          <w:rFonts w:ascii="Verdana" w:hAnsi="Verdana"/>
          <w:b/>
          <w:sz w:val="18"/>
        </w:rPr>
        <w:t>étendre le champ d</w:t>
      </w:r>
      <w:r w:rsidR="001C4034" w:rsidRPr="001C4034">
        <w:rPr>
          <w:rFonts w:ascii="Verdana" w:hAnsi="Verdana"/>
          <w:b/>
          <w:sz w:val="18"/>
        </w:rPr>
        <w:t>’</w:t>
      </w:r>
      <w:r w:rsidRPr="001C4034">
        <w:rPr>
          <w:rFonts w:ascii="Verdana" w:hAnsi="Verdana"/>
          <w:b/>
          <w:sz w:val="18"/>
        </w:rPr>
        <w:t>application des mesures.</w:t>
      </w:r>
    </w:p>
    <w:p w:rsidR="005F4F14" w:rsidRPr="001C4034" w:rsidRDefault="005F4F14" w:rsidP="00723521">
      <w:pPr>
        <w:overflowPunct w:val="0"/>
        <w:adjustRightInd w:val="0"/>
        <w:textAlignment w:val="baseline"/>
        <w:rPr>
          <w:rFonts w:ascii="Verdana" w:hAnsi="Verdana"/>
          <w:sz w:val="18"/>
        </w:rPr>
      </w:pPr>
    </w:p>
    <w:p w:rsidR="00142C2E" w:rsidRPr="001C4034" w:rsidRDefault="001F4612" w:rsidP="00723521">
      <w:pPr>
        <w:overflowPunct w:val="0"/>
        <w:adjustRightInd w:val="0"/>
        <w:textAlignment w:val="baseline"/>
        <w:rPr>
          <w:rFonts w:ascii="Verdana" w:hAnsi="Verdana"/>
          <w:b/>
          <w:sz w:val="18"/>
        </w:rPr>
      </w:pPr>
      <w:r w:rsidRPr="001C4034">
        <w:rPr>
          <w:rFonts w:ascii="Verdana" w:hAnsi="Verdana"/>
          <w:sz w:val="18"/>
        </w:rPr>
        <w:t xml:space="preserve">Au cours de la session plénière du CESE tenue ce jour, </w:t>
      </w:r>
      <w:r w:rsidRPr="001C4034">
        <w:rPr>
          <w:rFonts w:ascii="Verdana" w:hAnsi="Verdana"/>
          <w:b/>
          <w:sz w:val="18"/>
        </w:rPr>
        <w:t>Javier Doz Orrit</w:t>
      </w:r>
      <w:r w:rsidRPr="001C4034">
        <w:rPr>
          <w:rFonts w:ascii="Verdana" w:hAnsi="Verdana"/>
          <w:sz w:val="18"/>
        </w:rPr>
        <w:t>, rapporteur du CESE, a aussi proposé que «</w:t>
      </w:r>
      <w:r w:rsidRPr="001C4034">
        <w:rPr>
          <w:rFonts w:ascii="Verdana" w:hAnsi="Verdana"/>
          <w:b/>
          <w:i/>
          <w:sz w:val="18"/>
        </w:rPr>
        <w:t>les accords de libre-échange et de partenariat économique comportent des chapitres consacrés à la lutte contre le blanchiment de capitaux, la fraude fiscale et l</w:t>
      </w:r>
      <w:r w:rsidR="001C4034" w:rsidRPr="001C4034">
        <w:rPr>
          <w:rFonts w:ascii="Verdana" w:hAnsi="Verdana"/>
          <w:b/>
          <w:i/>
          <w:sz w:val="18"/>
        </w:rPr>
        <w:t>’</w:t>
      </w:r>
      <w:r w:rsidRPr="001C4034">
        <w:rPr>
          <w:rFonts w:ascii="Verdana" w:hAnsi="Verdana"/>
          <w:b/>
          <w:i/>
          <w:sz w:val="18"/>
        </w:rPr>
        <w:t>évasion fiscale</w:t>
      </w:r>
      <w:r w:rsidRPr="001C4034">
        <w:rPr>
          <w:rFonts w:ascii="Verdana" w:hAnsi="Verdana"/>
          <w:sz w:val="18"/>
        </w:rPr>
        <w:t>». Le Comité a adopté deux avis sur la lutte contre le blanchiment d</w:t>
      </w:r>
      <w:r w:rsidR="001C4034" w:rsidRPr="001C4034">
        <w:rPr>
          <w:rFonts w:ascii="Verdana" w:hAnsi="Verdana"/>
          <w:sz w:val="18"/>
        </w:rPr>
        <w:t>’</w:t>
      </w:r>
      <w:r w:rsidRPr="001C4034">
        <w:rPr>
          <w:rFonts w:ascii="Verdana" w:hAnsi="Verdana"/>
          <w:sz w:val="18"/>
        </w:rPr>
        <w:t>argent, le</w:t>
      </w:r>
      <w:r w:rsidR="001C4034" w:rsidRPr="001C4034">
        <w:rPr>
          <w:rFonts w:ascii="Verdana" w:hAnsi="Verdana"/>
          <w:sz w:val="18"/>
        </w:rPr>
        <w:t xml:space="preserve"> financement du terrorisme et l’</w:t>
      </w:r>
      <w:r w:rsidRPr="001C4034">
        <w:rPr>
          <w:rFonts w:ascii="Verdana" w:hAnsi="Verdana"/>
          <w:sz w:val="18"/>
        </w:rPr>
        <w:t xml:space="preserve">évasion fiscale. Il plaide en faveur de </w:t>
      </w:r>
      <w:r w:rsidRPr="001C4034">
        <w:rPr>
          <w:rFonts w:ascii="Verdana" w:hAnsi="Verdana"/>
          <w:b/>
          <w:sz w:val="18"/>
        </w:rPr>
        <w:t>l</w:t>
      </w:r>
      <w:r w:rsidR="001C4034" w:rsidRPr="001C4034">
        <w:rPr>
          <w:rFonts w:ascii="Verdana" w:hAnsi="Verdana"/>
          <w:b/>
          <w:sz w:val="18"/>
        </w:rPr>
        <w:t>’</w:t>
      </w:r>
      <w:r w:rsidRPr="001C4034">
        <w:rPr>
          <w:rFonts w:ascii="Verdana" w:hAnsi="Verdana"/>
          <w:b/>
          <w:sz w:val="18"/>
        </w:rPr>
        <w:t>établissement d</w:t>
      </w:r>
      <w:r w:rsidR="001C4034" w:rsidRPr="001C4034">
        <w:rPr>
          <w:rFonts w:ascii="Verdana" w:hAnsi="Verdana"/>
          <w:b/>
          <w:sz w:val="18"/>
        </w:rPr>
        <w:t>’</w:t>
      </w:r>
      <w:r w:rsidRPr="001C4034">
        <w:rPr>
          <w:rFonts w:ascii="Verdana" w:hAnsi="Verdana"/>
          <w:b/>
          <w:sz w:val="18"/>
        </w:rPr>
        <w:t>un registre européen centralisé des comptes bancaires, une plus grande transparence concernant les bénéficiaires de sociétés et de fiducies, la lutte contre l</w:t>
      </w:r>
      <w:r w:rsidR="001C4034" w:rsidRPr="001C4034">
        <w:rPr>
          <w:rFonts w:ascii="Verdana" w:hAnsi="Verdana"/>
          <w:b/>
          <w:sz w:val="18"/>
        </w:rPr>
        <w:t>’</w:t>
      </w:r>
      <w:r w:rsidRPr="001C4034">
        <w:rPr>
          <w:rFonts w:ascii="Verdana" w:hAnsi="Verdana"/>
          <w:b/>
          <w:sz w:val="18"/>
        </w:rPr>
        <w:t>anonymat des transactions financières</w:t>
      </w:r>
      <w:r w:rsidRPr="001C4034">
        <w:rPr>
          <w:rFonts w:ascii="Verdana" w:hAnsi="Verdana"/>
          <w:sz w:val="18"/>
        </w:rPr>
        <w:t xml:space="preserve"> effectuées avec des cartes prépayées et un contrôle accru au moyen d</w:t>
      </w:r>
      <w:r w:rsidR="001C4034" w:rsidRPr="001C4034">
        <w:rPr>
          <w:rFonts w:ascii="Verdana" w:hAnsi="Verdana"/>
          <w:sz w:val="18"/>
        </w:rPr>
        <w:t>’</w:t>
      </w:r>
      <w:r w:rsidRPr="001C4034">
        <w:rPr>
          <w:rFonts w:ascii="Verdana" w:hAnsi="Verdana"/>
          <w:sz w:val="18"/>
        </w:rPr>
        <w:t xml:space="preserve">une coopération entre les </w:t>
      </w:r>
      <w:r w:rsidRPr="001C4034">
        <w:rPr>
          <w:rFonts w:ascii="Verdana" w:hAnsi="Verdana"/>
          <w:b/>
          <w:sz w:val="18"/>
        </w:rPr>
        <w:t>cellules de renseignement financier</w:t>
      </w:r>
      <w:r w:rsidRPr="001C4034">
        <w:rPr>
          <w:rFonts w:ascii="Verdana" w:hAnsi="Verdana"/>
          <w:sz w:val="18"/>
        </w:rPr>
        <w:t>.</w:t>
      </w:r>
    </w:p>
    <w:p w:rsidR="002520BE" w:rsidRPr="001C4034" w:rsidRDefault="002520BE" w:rsidP="00723521">
      <w:pPr>
        <w:overflowPunct w:val="0"/>
        <w:adjustRightInd w:val="0"/>
        <w:textAlignment w:val="baseline"/>
        <w:rPr>
          <w:rFonts w:ascii="Verdana" w:hAnsi="Verdana"/>
          <w:b/>
          <w:sz w:val="18"/>
        </w:rPr>
      </w:pPr>
    </w:p>
    <w:p w:rsidR="00142C2E" w:rsidRPr="001C4034" w:rsidRDefault="002520BE" w:rsidP="00723521">
      <w:pPr>
        <w:overflowPunct w:val="0"/>
        <w:adjustRightInd w:val="0"/>
        <w:textAlignment w:val="baseline"/>
        <w:rPr>
          <w:rFonts w:ascii="Verdana" w:hAnsi="Verdana"/>
          <w:sz w:val="18"/>
        </w:rPr>
      </w:pPr>
      <w:r w:rsidRPr="001C4034">
        <w:rPr>
          <w:rFonts w:ascii="Verdana" w:hAnsi="Verdana"/>
          <w:b/>
          <w:sz w:val="18"/>
        </w:rPr>
        <w:t>Petru Sorin Dandea</w:t>
      </w:r>
      <w:r w:rsidRPr="001C4034">
        <w:rPr>
          <w:rFonts w:ascii="Verdana" w:hAnsi="Verdana"/>
          <w:sz w:val="18"/>
        </w:rPr>
        <w:t>, rapporteur de l</w:t>
      </w:r>
      <w:r w:rsidR="001C4034" w:rsidRPr="001C4034">
        <w:rPr>
          <w:rFonts w:ascii="Verdana" w:hAnsi="Verdana"/>
          <w:sz w:val="18"/>
        </w:rPr>
        <w:t>’</w:t>
      </w:r>
      <w:r w:rsidRPr="001C4034">
        <w:rPr>
          <w:rFonts w:ascii="Verdana" w:hAnsi="Verdana"/>
          <w:sz w:val="18"/>
        </w:rPr>
        <w:t>avis du CESE sur l</w:t>
      </w:r>
      <w:r w:rsidR="001C4034" w:rsidRPr="001C4034">
        <w:rPr>
          <w:rFonts w:ascii="Verdana" w:hAnsi="Verdana"/>
          <w:sz w:val="18"/>
        </w:rPr>
        <w:t>’</w:t>
      </w:r>
      <w:hyperlink r:id="rId16">
        <w:r w:rsidRPr="001C4034">
          <w:rPr>
            <w:rStyle w:val="Hyperlink"/>
            <w:rFonts w:ascii="Verdana" w:hAnsi="Verdana"/>
            <w:sz w:val="18"/>
          </w:rPr>
          <w:t>accès des autorités fiscales aux informations relatives à la lutte contre le blanchiment de capitaux</w:t>
        </w:r>
      </w:hyperlink>
      <w:r w:rsidRPr="001C4034">
        <w:rPr>
          <w:rFonts w:ascii="Verdana" w:hAnsi="Verdana"/>
          <w:i/>
          <w:sz w:val="18"/>
        </w:rPr>
        <w:t>, a déclaré que «le traitement juridique – définitions et sanctions – de toutes les infractions en lien avec le blanchiment de capitaux, la fraude fiscale, la corruption et le financement du terrorisme ainsi que des infractions connexes devrait être harmonisé au niveau européen, tout comme les sanctions résultant du non-respect des directives anti-blanchiment.»</w:t>
      </w:r>
      <w:r w:rsidRPr="001C4034">
        <w:rPr>
          <w:rFonts w:ascii="Verdana" w:hAnsi="Verdana"/>
          <w:sz w:val="18"/>
        </w:rPr>
        <w:t xml:space="preserve"> De l</w:t>
      </w:r>
      <w:r w:rsidR="001C4034" w:rsidRPr="001C4034">
        <w:rPr>
          <w:rFonts w:ascii="Verdana" w:hAnsi="Verdana"/>
          <w:sz w:val="18"/>
        </w:rPr>
        <w:t>’</w:t>
      </w:r>
      <w:r w:rsidRPr="001C4034">
        <w:rPr>
          <w:rFonts w:ascii="Verdana" w:hAnsi="Verdana"/>
          <w:sz w:val="18"/>
        </w:rPr>
        <w:t>avis de l</w:t>
      </w:r>
      <w:r w:rsidR="001C4034" w:rsidRPr="001C4034">
        <w:rPr>
          <w:rFonts w:ascii="Verdana" w:hAnsi="Verdana"/>
          <w:sz w:val="18"/>
        </w:rPr>
        <w:t>’</w:t>
      </w:r>
      <w:r w:rsidRPr="001C4034">
        <w:rPr>
          <w:rFonts w:ascii="Verdana" w:hAnsi="Verdana"/>
          <w:sz w:val="18"/>
        </w:rPr>
        <w:t>organe de l</w:t>
      </w:r>
      <w:r w:rsidR="001C4034" w:rsidRPr="001C4034">
        <w:rPr>
          <w:rFonts w:ascii="Verdana" w:hAnsi="Verdana"/>
          <w:sz w:val="18"/>
        </w:rPr>
        <w:t>’</w:t>
      </w:r>
      <w:r w:rsidRPr="001C4034">
        <w:rPr>
          <w:rFonts w:ascii="Verdana" w:hAnsi="Verdana"/>
          <w:sz w:val="18"/>
        </w:rPr>
        <w:t>UE qui représente la société civile, il est essentiel que les États membres garantissent les ressources humaines, financières et logistiques nécessaires pour permettre à leurs administrations fiscales de mettre en œuvre avec succès les nouvelles règles en matière de lutte contre le blanchiment de capitaux. Le CESE insiste sur la nécessité de prévoir des mesures contre la concurrence fiscale déloyale.</w:t>
      </w:r>
    </w:p>
    <w:p w:rsidR="007A4BE8" w:rsidRPr="001C4034" w:rsidRDefault="007A4BE8" w:rsidP="00723521">
      <w:pPr>
        <w:overflowPunct w:val="0"/>
        <w:adjustRightInd w:val="0"/>
        <w:textAlignment w:val="baseline"/>
        <w:rPr>
          <w:rFonts w:ascii="Verdana" w:hAnsi="Verdana"/>
          <w:sz w:val="18"/>
        </w:rPr>
      </w:pPr>
    </w:p>
    <w:p w:rsidR="00142C2E" w:rsidRPr="001C4034" w:rsidRDefault="006E7843" w:rsidP="00723521">
      <w:pPr>
        <w:overflowPunct w:val="0"/>
        <w:adjustRightInd w:val="0"/>
        <w:textAlignment w:val="baseline"/>
        <w:rPr>
          <w:rFonts w:ascii="Verdana" w:hAnsi="Verdana"/>
          <w:i/>
          <w:sz w:val="18"/>
          <w:u w:val="single"/>
        </w:rPr>
      </w:pPr>
      <w:r w:rsidRPr="001C4034">
        <w:rPr>
          <w:rFonts w:ascii="Verdana" w:hAnsi="Verdana"/>
          <w:i/>
          <w:sz w:val="18"/>
          <w:u w:val="single"/>
        </w:rPr>
        <w:t>Informations générales</w:t>
      </w:r>
    </w:p>
    <w:p w:rsidR="00142C2E" w:rsidRPr="001C4034" w:rsidRDefault="00142C2E" w:rsidP="00723521">
      <w:pPr>
        <w:overflowPunct w:val="0"/>
        <w:adjustRightInd w:val="0"/>
        <w:textAlignment w:val="baseline"/>
        <w:rPr>
          <w:rFonts w:ascii="Verdana" w:hAnsi="Verdana"/>
          <w:sz w:val="18"/>
        </w:rPr>
      </w:pPr>
      <w:r w:rsidRPr="001C4034">
        <w:rPr>
          <w:rFonts w:ascii="Verdana" w:hAnsi="Verdana"/>
          <w:sz w:val="18"/>
        </w:rPr>
        <w:t>Les avis ont été rédigés au moment où l</w:t>
      </w:r>
      <w:r w:rsidR="001C4034" w:rsidRPr="001C4034">
        <w:rPr>
          <w:rFonts w:ascii="Verdana" w:hAnsi="Verdana"/>
          <w:sz w:val="18"/>
        </w:rPr>
        <w:t>’</w:t>
      </w:r>
      <w:r w:rsidRPr="001C4034">
        <w:rPr>
          <w:rFonts w:ascii="Verdana" w:hAnsi="Verdana"/>
          <w:sz w:val="18"/>
        </w:rPr>
        <w:t>UE renforce ses mesures de lutte contre le blanchiment de capitaux, le financement du terrorisme et la fraude fiscale. Le Comité soutient fermement l</w:t>
      </w:r>
      <w:r w:rsidR="001C4034" w:rsidRPr="001C4034">
        <w:rPr>
          <w:rFonts w:ascii="Verdana" w:hAnsi="Verdana"/>
          <w:sz w:val="18"/>
        </w:rPr>
        <w:t>’</w:t>
      </w:r>
      <w:r w:rsidRPr="001C4034">
        <w:rPr>
          <w:rFonts w:ascii="Verdana" w:hAnsi="Verdana"/>
          <w:sz w:val="18"/>
        </w:rPr>
        <w:t>ambition de l</w:t>
      </w:r>
      <w:r w:rsidR="001C4034" w:rsidRPr="001C4034">
        <w:rPr>
          <w:rFonts w:ascii="Verdana" w:hAnsi="Verdana"/>
          <w:sz w:val="18"/>
        </w:rPr>
        <w:t>’</w:t>
      </w:r>
      <w:r w:rsidRPr="001C4034">
        <w:rPr>
          <w:rFonts w:ascii="Verdana" w:hAnsi="Verdana"/>
          <w:sz w:val="18"/>
        </w:rPr>
        <w:t>UE d</w:t>
      </w:r>
      <w:r w:rsidR="001C4034" w:rsidRPr="001C4034">
        <w:rPr>
          <w:rFonts w:ascii="Verdana" w:hAnsi="Verdana"/>
          <w:sz w:val="18"/>
        </w:rPr>
        <w:t>’</w:t>
      </w:r>
      <w:r w:rsidRPr="001C4034">
        <w:rPr>
          <w:rFonts w:ascii="Verdana" w:hAnsi="Verdana"/>
          <w:sz w:val="18"/>
        </w:rPr>
        <w:t>être à la pointe de la lutte mondiale contre le blanchiment de capitaux et le terrorisme, mais souligne qu</w:t>
      </w:r>
      <w:r w:rsidR="001C4034" w:rsidRPr="001C4034">
        <w:rPr>
          <w:rFonts w:ascii="Verdana" w:hAnsi="Verdana"/>
          <w:sz w:val="18"/>
        </w:rPr>
        <w:t>’</w:t>
      </w:r>
      <w:r w:rsidRPr="001C4034">
        <w:rPr>
          <w:rFonts w:ascii="Verdana" w:hAnsi="Verdana"/>
          <w:sz w:val="18"/>
        </w:rPr>
        <w:t xml:space="preserve">il est indispensable pour cela que toutes les parties prenantes unissent leurs forces. Pour </w:t>
      </w:r>
      <w:r w:rsidRPr="001C4034">
        <w:rPr>
          <w:rFonts w:ascii="Verdana" w:hAnsi="Verdana"/>
          <w:sz w:val="18"/>
        </w:rPr>
        <w:lastRenderedPageBreak/>
        <w:t>protéger la vie privée des citoyens innocents, le C</w:t>
      </w:r>
      <w:bookmarkStart w:id="0" w:name="_GoBack"/>
      <w:bookmarkEnd w:id="0"/>
      <w:r w:rsidRPr="001C4034">
        <w:rPr>
          <w:rFonts w:ascii="Verdana" w:hAnsi="Verdana"/>
          <w:sz w:val="18"/>
        </w:rPr>
        <w:t>ESE demande également que des sanctions et pénalités exemplaires soient prévues en cas d</w:t>
      </w:r>
      <w:r w:rsidR="001C4034" w:rsidRPr="001C4034">
        <w:rPr>
          <w:rFonts w:ascii="Verdana" w:hAnsi="Verdana"/>
          <w:sz w:val="18"/>
        </w:rPr>
        <w:t>’</w:t>
      </w:r>
      <w:r w:rsidRPr="001C4034">
        <w:rPr>
          <w:rFonts w:ascii="Verdana" w:hAnsi="Verdana"/>
          <w:sz w:val="18"/>
        </w:rPr>
        <w:t>utilisation abusive des données collectées.</w:t>
      </w:r>
    </w:p>
    <w:p w:rsidR="008F1C4C" w:rsidRPr="001C4034" w:rsidRDefault="008F1C4C" w:rsidP="00723521">
      <w:pPr>
        <w:overflowPunct w:val="0"/>
        <w:adjustRightInd w:val="0"/>
        <w:ind w:right="-285"/>
        <w:textAlignment w:val="baseline"/>
        <w:rPr>
          <w:rFonts w:ascii="Verdana" w:hAnsi="Verdana"/>
          <w:sz w:val="18"/>
        </w:rPr>
      </w:pPr>
    </w:p>
    <w:p w:rsidR="00587B01" w:rsidRPr="001C4034" w:rsidRDefault="00587B01" w:rsidP="00723521">
      <w:pPr>
        <w:overflowPunct w:val="0"/>
        <w:adjustRightInd w:val="0"/>
        <w:ind w:right="-285"/>
        <w:textAlignment w:val="baseline"/>
        <w:rPr>
          <w:rFonts w:ascii="Verdana" w:hAnsi="Verdana"/>
          <w:sz w:val="10"/>
        </w:rPr>
      </w:pPr>
    </w:p>
    <w:p w:rsidR="008F1C4C" w:rsidRPr="001C4034" w:rsidRDefault="008F1C4C" w:rsidP="00723521">
      <w:pPr>
        <w:overflowPunct w:val="0"/>
        <w:adjustRightInd w:val="0"/>
        <w:jc w:val="center"/>
        <w:textAlignment w:val="baseline"/>
        <w:rPr>
          <w:rFonts w:ascii="Verdana" w:hAnsi="Verdana"/>
          <w:b/>
          <w:sz w:val="18"/>
        </w:rPr>
      </w:pPr>
      <w:r w:rsidRPr="001C4034">
        <w:rPr>
          <w:rFonts w:ascii="Verdana" w:hAnsi="Verdana"/>
          <w:b/>
          <w:sz w:val="18"/>
        </w:rPr>
        <w:t xml:space="preserve">Pour de plus amples informations, veuillez contacter: </w:t>
      </w:r>
    </w:p>
    <w:p w:rsidR="007A7515" w:rsidRPr="001C4034" w:rsidRDefault="008F1C4C" w:rsidP="00723521">
      <w:pPr>
        <w:spacing w:line="240" w:lineRule="auto"/>
        <w:jc w:val="center"/>
        <w:rPr>
          <w:rFonts w:ascii="Verdana" w:eastAsia="PMingLiU" w:hAnsi="Verdana"/>
          <w:sz w:val="18"/>
        </w:rPr>
      </w:pPr>
      <w:r w:rsidRPr="001C4034">
        <w:rPr>
          <w:rFonts w:ascii="Verdana" w:hAnsi="Verdana"/>
          <w:sz w:val="18"/>
        </w:rPr>
        <w:t>Milen Minchev</w:t>
      </w:r>
      <w:r w:rsidR="00C20EB1" w:rsidRPr="001C4034">
        <w:rPr>
          <w:rFonts w:ascii="Verdana" w:hAnsi="Verdana"/>
          <w:sz w:val="18"/>
        </w:rPr>
        <w:t xml:space="preserve"> </w:t>
      </w:r>
      <w:r w:rsidRPr="001C4034">
        <w:rPr>
          <w:rFonts w:ascii="Verdana" w:hAnsi="Verdana"/>
          <w:sz w:val="18"/>
        </w:rPr>
        <w:t xml:space="preserve">Courriel: </w:t>
      </w:r>
      <w:hyperlink r:id="rId17">
        <w:r w:rsidRPr="001C4034">
          <w:rPr>
            <w:rStyle w:val="Hyperlink"/>
            <w:rFonts w:ascii="Verdana" w:hAnsi="Verdana"/>
            <w:sz w:val="18"/>
          </w:rPr>
          <w:t>press@eesc.europa.eu</w:t>
        </w:r>
      </w:hyperlink>
    </w:p>
    <w:p w:rsidR="008F1C4C" w:rsidRPr="001C4034" w:rsidRDefault="008F1C4C" w:rsidP="00723521">
      <w:pPr>
        <w:overflowPunct w:val="0"/>
        <w:adjustRightInd w:val="0"/>
        <w:spacing w:line="240" w:lineRule="auto"/>
        <w:jc w:val="center"/>
        <w:textAlignment w:val="baseline"/>
        <w:rPr>
          <w:rFonts w:ascii="Verdana" w:eastAsia="PMingLiU" w:hAnsi="Verdana"/>
          <w:sz w:val="18"/>
        </w:rPr>
      </w:pPr>
      <w:r w:rsidRPr="001C4034">
        <w:rPr>
          <w:rFonts w:ascii="Verdana" w:hAnsi="Verdana"/>
          <w:sz w:val="18"/>
        </w:rPr>
        <w:t>Tél. +32 2 546 87 53 / Portable: + 32 498 38 30 38</w:t>
      </w:r>
    </w:p>
    <w:p w:rsidR="008F1C4C" w:rsidRPr="001C4034" w:rsidRDefault="008F1C4C" w:rsidP="00723521">
      <w:pPr>
        <w:overflowPunct w:val="0"/>
        <w:adjustRightInd w:val="0"/>
        <w:spacing w:line="240" w:lineRule="auto"/>
        <w:jc w:val="center"/>
        <w:textAlignment w:val="baseline"/>
        <w:rPr>
          <w:rFonts w:ascii="Verdana" w:eastAsia="PMingLiU" w:hAnsi="Verdana"/>
          <w:b/>
          <w:sz w:val="16"/>
        </w:rPr>
      </w:pPr>
      <w:r w:rsidRPr="001C4034">
        <w:rPr>
          <w:rFonts w:ascii="Verdana" w:hAnsi="Verdana"/>
          <w:b/>
          <w:sz w:val="16"/>
        </w:rPr>
        <w:t>@EESC_PRESS</w:t>
      </w:r>
    </w:p>
    <w:p w:rsidR="008F1C4C" w:rsidRPr="001C4034" w:rsidRDefault="008F1C4C" w:rsidP="00723521">
      <w:pPr>
        <w:overflowPunct w:val="0"/>
        <w:adjustRightInd w:val="0"/>
        <w:spacing w:line="240" w:lineRule="auto"/>
        <w:jc w:val="center"/>
        <w:textAlignment w:val="baseline"/>
        <w:rPr>
          <w:rFonts w:ascii="Verdana" w:eastAsia="PMingLiU" w:hAnsi="Verdana"/>
          <w:b/>
          <w:sz w:val="16"/>
        </w:rPr>
      </w:pPr>
    </w:p>
    <w:p w:rsidR="008F1C4C" w:rsidRPr="001C4034" w:rsidRDefault="008F1C4C" w:rsidP="00723521">
      <w:pPr>
        <w:overflowPunct w:val="0"/>
        <w:adjustRightInd w:val="0"/>
        <w:spacing w:line="240" w:lineRule="auto"/>
        <w:jc w:val="center"/>
        <w:textAlignment w:val="baseline"/>
        <w:rPr>
          <w:rFonts w:ascii="Verdana" w:eastAsia="PMingLiU" w:hAnsi="Verdana"/>
          <w:b/>
          <w:sz w:val="16"/>
        </w:rPr>
      </w:pPr>
    </w:p>
    <w:p w:rsidR="008F1C4C" w:rsidRPr="001C4034" w:rsidRDefault="008F1C4C" w:rsidP="00723521">
      <w:pPr>
        <w:pBdr>
          <w:top w:val="single" w:sz="4" w:space="1" w:color="auto"/>
          <w:bottom w:val="single" w:sz="4" w:space="1" w:color="auto"/>
        </w:pBdr>
        <w:overflowPunct w:val="0"/>
        <w:adjustRightInd w:val="0"/>
        <w:textAlignment w:val="baseline"/>
        <w:rPr>
          <w:rFonts w:ascii="Verdana" w:hAnsi="Verdana"/>
          <w:i/>
          <w:sz w:val="12"/>
        </w:rPr>
      </w:pPr>
      <w:r w:rsidRPr="001C4034">
        <w:rPr>
          <w:rFonts w:ascii="Verdana" w:hAnsi="Verdana"/>
          <w:i/>
          <w:sz w:val="12"/>
        </w:rPr>
        <w:t>Le Comité économique et social européen est un organe institutionnel consultatif, établi en 1957 par le traité de Rome. Il compte 350 membres venus de l</w:t>
      </w:r>
      <w:r w:rsidR="001C4034" w:rsidRPr="001C4034">
        <w:rPr>
          <w:rFonts w:ascii="Verdana" w:hAnsi="Verdana"/>
          <w:i/>
          <w:sz w:val="12"/>
        </w:rPr>
        <w:t>’</w:t>
      </w:r>
      <w:r w:rsidRPr="001C4034">
        <w:rPr>
          <w:rFonts w:ascii="Verdana" w:hAnsi="Verdana"/>
          <w:i/>
          <w:sz w:val="12"/>
        </w:rPr>
        <w:t>Europe entière, qui sont nommés par le Conseil. Il assure la représentation des différentes composantes à caractère économique et social de la société civile organisée. Grâce à sa mission de consultation, ses membres, et donc les organisations qu</w:t>
      </w:r>
      <w:r w:rsidR="001C4034" w:rsidRPr="001C4034">
        <w:rPr>
          <w:rFonts w:ascii="Verdana" w:hAnsi="Verdana"/>
          <w:i/>
          <w:sz w:val="12"/>
        </w:rPr>
        <w:t>’</w:t>
      </w:r>
      <w:r w:rsidRPr="001C4034">
        <w:rPr>
          <w:rFonts w:ascii="Verdana" w:hAnsi="Verdana"/>
          <w:i/>
          <w:sz w:val="12"/>
        </w:rPr>
        <w:t>ils représentent, peuvent participer au processus décisionnel de l</w:t>
      </w:r>
      <w:r w:rsidR="001C4034" w:rsidRPr="001C4034">
        <w:rPr>
          <w:rFonts w:ascii="Verdana" w:hAnsi="Verdana"/>
          <w:i/>
          <w:sz w:val="12"/>
        </w:rPr>
        <w:t>’</w:t>
      </w:r>
      <w:r w:rsidRPr="001C4034">
        <w:rPr>
          <w:rFonts w:ascii="Verdana" w:hAnsi="Verdana"/>
          <w:i/>
          <w:sz w:val="12"/>
        </w:rPr>
        <w:t>Union européenne.</w:t>
      </w:r>
    </w:p>
    <w:p w:rsidR="008F1C4C" w:rsidRPr="001C4034" w:rsidRDefault="008F1C4C" w:rsidP="00723521">
      <w:pPr>
        <w:overflowPunct w:val="0"/>
        <w:adjustRightInd w:val="0"/>
        <w:ind w:right="-285"/>
        <w:textAlignment w:val="baseline"/>
      </w:pPr>
    </w:p>
    <w:sectPr w:rsidR="008F1C4C" w:rsidRPr="001C4034" w:rsidSect="00A1061A">
      <w:footerReference w:type="default" r:id="rId18"/>
      <w:type w:val="continuous"/>
      <w:pgSz w:w="11907" w:h="16839" w:code="9"/>
      <w:pgMar w:top="426" w:right="1134" w:bottom="1418" w:left="1276" w:header="497" w:footer="0" w:gutter="0"/>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7CCF4" w15:done="0"/>
  <w15:commentEx w15:paraId="1BFE9D1C" w15:done="0"/>
  <w15:commentEx w15:paraId="11DE0761" w15:done="0"/>
  <w15:commentEx w15:paraId="0DCDBD4D" w15:done="0"/>
  <w15:commentEx w15:paraId="28E3FB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18" w:rsidRDefault="00675D18">
      <w:r>
        <w:separator/>
      </w:r>
    </w:p>
  </w:endnote>
  <w:endnote w:type="continuationSeparator" w:id="0">
    <w:p w:rsidR="00675D18" w:rsidRDefault="0067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30" w:rsidRPr="00EA5513" w:rsidRDefault="000C3430" w:rsidP="000C3430">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0C3430" w:rsidRPr="00EA5513" w:rsidRDefault="000C3430" w:rsidP="000C3430">
    <w:pPr>
      <w:spacing w:line="240" w:lineRule="auto"/>
      <w:jc w:val="center"/>
      <w:rPr>
        <w:rFonts w:ascii="Verdana" w:hAnsi="Verdana"/>
        <w:sz w:val="16"/>
        <w:lang w:val="fr-BE"/>
      </w:rPr>
    </w:pPr>
    <w:r w:rsidRPr="00EA5513">
      <w:rPr>
        <w:rFonts w:ascii="Verdana" w:hAnsi="Verdana"/>
        <w:sz w:val="16"/>
        <w:lang w:val="fr-BE"/>
      </w:rPr>
      <w:t>Tel. +32 2 546 9779 – Fax +32 25469764</w:t>
    </w:r>
  </w:p>
  <w:p w:rsidR="000C3430" w:rsidRPr="00EA5513" w:rsidRDefault="000C3430" w:rsidP="000C3430">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0C3430" w:rsidRDefault="000C3430" w:rsidP="000C3430">
    <w:pPr>
      <w:spacing w:line="240" w:lineRule="auto"/>
      <w:jc w:val="center"/>
    </w:pPr>
    <w:proofErr w:type="spellStart"/>
    <w:r w:rsidRPr="00473E94">
      <w:rPr>
        <w:rFonts w:ascii="Verdana" w:hAnsi="Verdana"/>
        <w:sz w:val="16"/>
      </w:rPr>
      <w:t>Follow</w:t>
    </w:r>
    <w:proofErr w:type="spellEnd"/>
    <w:r w:rsidRPr="00473E94">
      <w:rPr>
        <w:rFonts w:ascii="Verdana" w:hAnsi="Verdana"/>
        <w:sz w:val="16"/>
      </w:rPr>
      <w:t xml:space="preserve"> the EESC on </w:t>
    </w:r>
    <w:r>
      <w:rPr>
        <w:noProof/>
        <w:lang w:val="fr-BE" w:eastAsia="fr-BE"/>
      </w:rPr>
      <w:drawing>
        <wp:inline distT="0" distB="0" distL="0" distR="0" wp14:anchorId="7204A69C" wp14:editId="37789F97">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298F3382" wp14:editId="75B7B8EC">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243E2681" wp14:editId="7F57E492">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0C3430" w:rsidRDefault="000C3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18" w:rsidRDefault="00675D18">
      <w:r>
        <w:separator/>
      </w:r>
    </w:p>
  </w:footnote>
  <w:footnote w:type="continuationSeparator" w:id="0">
    <w:p w:rsidR="00675D18" w:rsidRDefault="00675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3936E0"/>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A4E5879"/>
    <w:multiLevelType w:val="hybridMultilevel"/>
    <w:tmpl w:val="35763BDA"/>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5">
    <w:nsid w:val="2A292D40"/>
    <w:multiLevelType w:val="hybridMultilevel"/>
    <w:tmpl w:val="33F479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3"/>
  </w:num>
  <w:num w:numId="6">
    <w:abstractNumId w:val="14"/>
  </w:num>
  <w:num w:numId="7">
    <w:abstractNumId w:val="2"/>
  </w:num>
  <w:num w:numId="8">
    <w:abstractNumId w:val="19"/>
  </w:num>
  <w:num w:numId="9">
    <w:abstractNumId w:val="18"/>
  </w:num>
  <w:num w:numId="10">
    <w:abstractNumId w:val="17"/>
  </w:num>
  <w:num w:numId="11">
    <w:abstractNumId w:val="15"/>
  </w:num>
  <w:num w:numId="12">
    <w:abstractNumId w:val="9"/>
  </w:num>
  <w:num w:numId="13">
    <w:abstractNumId w:val="6"/>
  </w:num>
  <w:num w:numId="14">
    <w:abstractNumId w:val="12"/>
  </w:num>
  <w:num w:numId="15">
    <w:abstractNumId w:val="16"/>
  </w:num>
  <w:num w:numId="16">
    <w:abstractNumId w:val="10"/>
  </w:num>
  <w:num w:numId="17">
    <w:abstractNumId w:val="8"/>
  </w:num>
  <w:num w:numId="18">
    <w:abstractNumId w:val="7"/>
  </w:num>
  <w:num w:numId="19">
    <w:abstractNumId w:val="4"/>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Barcelo">
    <w15:presenceInfo w15:providerId="AD" w15:userId="S-1-5-21-1844237615-823518204-725345543-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076"/>
    <w:rsid w:val="000043FE"/>
    <w:rsid w:val="00006BFC"/>
    <w:rsid w:val="00007BAE"/>
    <w:rsid w:val="00011DF5"/>
    <w:rsid w:val="00013FCD"/>
    <w:rsid w:val="00014237"/>
    <w:rsid w:val="00015733"/>
    <w:rsid w:val="00020154"/>
    <w:rsid w:val="00020923"/>
    <w:rsid w:val="0002324B"/>
    <w:rsid w:val="00025BD2"/>
    <w:rsid w:val="00025EE7"/>
    <w:rsid w:val="00030CC9"/>
    <w:rsid w:val="00030F5D"/>
    <w:rsid w:val="00032159"/>
    <w:rsid w:val="0003364B"/>
    <w:rsid w:val="0003423E"/>
    <w:rsid w:val="00034390"/>
    <w:rsid w:val="00034652"/>
    <w:rsid w:val="00034AD4"/>
    <w:rsid w:val="00036A1D"/>
    <w:rsid w:val="0003721F"/>
    <w:rsid w:val="00037276"/>
    <w:rsid w:val="000404B0"/>
    <w:rsid w:val="0004507B"/>
    <w:rsid w:val="0004647E"/>
    <w:rsid w:val="000465B9"/>
    <w:rsid w:val="0004715C"/>
    <w:rsid w:val="00051E4A"/>
    <w:rsid w:val="00052678"/>
    <w:rsid w:val="00052F16"/>
    <w:rsid w:val="000538AA"/>
    <w:rsid w:val="00053E58"/>
    <w:rsid w:val="0005451D"/>
    <w:rsid w:val="00055FCC"/>
    <w:rsid w:val="00060A4A"/>
    <w:rsid w:val="000615BB"/>
    <w:rsid w:val="000619B0"/>
    <w:rsid w:val="00061D4C"/>
    <w:rsid w:val="000635F1"/>
    <w:rsid w:val="00063CC1"/>
    <w:rsid w:val="00064EF7"/>
    <w:rsid w:val="00064F28"/>
    <w:rsid w:val="00066E4E"/>
    <w:rsid w:val="00067F21"/>
    <w:rsid w:val="00070AF6"/>
    <w:rsid w:val="00071FC9"/>
    <w:rsid w:val="00076BEA"/>
    <w:rsid w:val="00077FE9"/>
    <w:rsid w:val="000817CB"/>
    <w:rsid w:val="000828FE"/>
    <w:rsid w:val="0008497D"/>
    <w:rsid w:val="00084AD6"/>
    <w:rsid w:val="00086050"/>
    <w:rsid w:val="000879CA"/>
    <w:rsid w:val="000879FC"/>
    <w:rsid w:val="000910A8"/>
    <w:rsid w:val="00096E97"/>
    <w:rsid w:val="00096F3D"/>
    <w:rsid w:val="00097EA7"/>
    <w:rsid w:val="000A1EAD"/>
    <w:rsid w:val="000A270E"/>
    <w:rsid w:val="000A4A23"/>
    <w:rsid w:val="000B2D57"/>
    <w:rsid w:val="000B5D55"/>
    <w:rsid w:val="000B7D90"/>
    <w:rsid w:val="000C11FB"/>
    <w:rsid w:val="000C303E"/>
    <w:rsid w:val="000C3430"/>
    <w:rsid w:val="000C364F"/>
    <w:rsid w:val="000C6069"/>
    <w:rsid w:val="000C627B"/>
    <w:rsid w:val="000C716C"/>
    <w:rsid w:val="000C7C0C"/>
    <w:rsid w:val="000C7FAF"/>
    <w:rsid w:val="000D486C"/>
    <w:rsid w:val="000D50AD"/>
    <w:rsid w:val="000D5B36"/>
    <w:rsid w:val="000E05AC"/>
    <w:rsid w:val="000E363A"/>
    <w:rsid w:val="000E51CA"/>
    <w:rsid w:val="000F0EA4"/>
    <w:rsid w:val="000F0ECB"/>
    <w:rsid w:val="000F2326"/>
    <w:rsid w:val="000F282C"/>
    <w:rsid w:val="000F3377"/>
    <w:rsid w:val="000F5238"/>
    <w:rsid w:val="000F5572"/>
    <w:rsid w:val="000F56F6"/>
    <w:rsid w:val="000F68E1"/>
    <w:rsid w:val="000F7AED"/>
    <w:rsid w:val="000F7DB1"/>
    <w:rsid w:val="00101BC1"/>
    <w:rsid w:val="00102967"/>
    <w:rsid w:val="00104DFA"/>
    <w:rsid w:val="00110E35"/>
    <w:rsid w:val="00111E4B"/>
    <w:rsid w:val="0011271F"/>
    <w:rsid w:val="00120D27"/>
    <w:rsid w:val="00122176"/>
    <w:rsid w:val="001277F0"/>
    <w:rsid w:val="0013137C"/>
    <w:rsid w:val="00134081"/>
    <w:rsid w:val="00134638"/>
    <w:rsid w:val="0013475E"/>
    <w:rsid w:val="00140B6A"/>
    <w:rsid w:val="00140C54"/>
    <w:rsid w:val="00142677"/>
    <w:rsid w:val="00142C2E"/>
    <w:rsid w:val="00143087"/>
    <w:rsid w:val="00147673"/>
    <w:rsid w:val="00150E62"/>
    <w:rsid w:val="00153D2D"/>
    <w:rsid w:val="00156D37"/>
    <w:rsid w:val="001606A0"/>
    <w:rsid w:val="00161E2C"/>
    <w:rsid w:val="0016320F"/>
    <w:rsid w:val="00163DC2"/>
    <w:rsid w:val="001659B2"/>
    <w:rsid w:val="00166961"/>
    <w:rsid w:val="00166F36"/>
    <w:rsid w:val="001708D6"/>
    <w:rsid w:val="00171080"/>
    <w:rsid w:val="001719C4"/>
    <w:rsid w:val="00171A3C"/>
    <w:rsid w:val="00175643"/>
    <w:rsid w:val="00175E42"/>
    <w:rsid w:val="00176074"/>
    <w:rsid w:val="00176265"/>
    <w:rsid w:val="00184FF0"/>
    <w:rsid w:val="0018613F"/>
    <w:rsid w:val="00186AFA"/>
    <w:rsid w:val="00187163"/>
    <w:rsid w:val="001904EC"/>
    <w:rsid w:val="00195EC3"/>
    <w:rsid w:val="00195FF1"/>
    <w:rsid w:val="00196A57"/>
    <w:rsid w:val="0019737E"/>
    <w:rsid w:val="001A3945"/>
    <w:rsid w:val="001A5263"/>
    <w:rsid w:val="001A6469"/>
    <w:rsid w:val="001B2C42"/>
    <w:rsid w:val="001B5975"/>
    <w:rsid w:val="001B5A5C"/>
    <w:rsid w:val="001B766C"/>
    <w:rsid w:val="001C0AA9"/>
    <w:rsid w:val="001C3B23"/>
    <w:rsid w:val="001C3C77"/>
    <w:rsid w:val="001C4034"/>
    <w:rsid w:val="001C6D61"/>
    <w:rsid w:val="001D19EB"/>
    <w:rsid w:val="001D48D4"/>
    <w:rsid w:val="001D4ADB"/>
    <w:rsid w:val="001E0762"/>
    <w:rsid w:val="001F2DFD"/>
    <w:rsid w:val="001F3BB0"/>
    <w:rsid w:val="001F43BE"/>
    <w:rsid w:val="001F4612"/>
    <w:rsid w:val="001F4A23"/>
    <w:rsid w:val="001F729B"/>
    <w:rsid w:val="001F7D5E"/>
    <w:rsid w:val="0020436C"/>
    <w:rsid w:val="00205AEA"/>
    <w:rsid w:val="00210581"/>
    <w:rsid w:val="002123FF"/>
    <w:rsid w:val="002143F5"/>
    <w:rsid w:val="00216FC7"/>
    <w:rsid w:val="00221FFA"/>
    <w:rsid w:val="0022235E"/>
    <w:rsid w:val="00222392"/>
    <w:rsid w:val="00223635"/>
    <w:rsid w:val="002253A0"/>
    <w:rsid w:val="00225BF6"/>
    <w:rsid w:val="0022628B"/>
    <w:rsid w:val="00227A31"/>
    <w:rsid w:val="00231EA2"/>
    <w:rsid w:val="00235A71"/>
    <w:rsid w:val="00240E1C"/>
    <w:rsid w:val="002431C3"/>
    <w:rsid w:val="002439E3"/>
    <w:rsid w:val="00244B53"/>
    <w:rsid w:val="0024520B"/>
    <w:rsid w:val="002474B4"/>
    <w:rsid w:val="00247522"/>
    <w:rsid w:val="00247BB5"/>
    <w:rsid w:val="00251322"/>
    <w:rsid w:val="002520BE"/>
    <w:rsid w:val="002562CD"/>
    <w:rsid w:val="00257B3A"/>
    <w:rsid w:val="00273102"/>
    <w:rsid w:val="002734F3"/>
    <w:rsid w:val="00273CDE"/>
    <w:rsid w:val="00274CA5"/>
    <w:rsid w:val="0027565F"/>
    <w:rsid w:val="0027648C"/>
    <w:rsid w:val="002771BA"/>
    <w:rsid w:val="00277A96"/>
    <w:rsid w:val="00277AA4"/>
    <w:rsid w:val="0028064E"/>
    <w:rsid w:val="002814CB"/>
    <w:rsid w:val="00283BAD"/>
    <w:rsid w:val="00283C06"/>
    <w:rsid w:val="00286BD7"/>
    <w:rsid w:val="0029167B"/>
    <w:rsid w:val="00294C2A"/>
    <w:rsid w:val="002953EA"/>
    <w:rsid w:val="00295537"/>
    <w:rsid w:val="00296B63"/>
    <w:rsid w:val="002A2433"/>
    <w:rsid w:val="002A2C6F"/>
    <w:rsid w:val="002A30BA"/>
    <w:rsid w:val="002A3668"/>
    <w:rsid w:val="002B04A8"/>
    <w:rsid w:val="002B290E"/>
    <w:rsid w:val="002B44DE"/>
    <w:rsid w:val="002B6234"/>
    <w:rsid w:val="002B640B"/>
    <w:rsid w:val="002B67A9"/>
    <w:rsid w:val="002B7F00"/>
    <w:rsid w:val="002C0269"/>
    <w:rsid w:val="002C5AD0"/>
    <w:rsid w:val="002C5CBB"/>
    <w:rsid w:val="002C7E87"/>
    <w:rsid w:val="002D08ED"/>
    <w:rsid w:val="002D12B2"/>
    <w:rsid w:val="002D22E9"/>
    <w:rsid w:val="002D685E"/>
    <w:rsid w:val="002D6898"/>
    <w:rsid w:val="002D7A8C"/>
    <w:rsid w:val="002E1022"/>
    <w:rsid w:val="002E14FC"/>
    <w:rsid w:val="002E1924"/>
    <w:rsid w:val="002E6F72"/>
    <w:rsid w:val="002E75A0"/>
    <w:rsid w:val="002F04D7"/>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4538"/>
    <w:rsid w:val="00325F72"/>
    <w:rsid w:val="00326801"/>
    <w:rsid w:val="0032772F"/>
    <w:rsid w:val="003305C3"/>
    <w:rsid w:val="00330C30"/>
    <w:rsid w:val="00331AED"/>
    <w:rsid w:val="003327CC"/>
    <w:rsid w:val="00335A37"/>
    <w:rsid w:val="00337F0A"/>
    <w:rsid w:val="00340947"/>
    <w:rsid w:val="00343D5E"/>
    <w:rsid w:val="0034531E"/>
    <w:rsid w:val="0034670B"/>
    <w:rsid w:val="003532CC"/>
    <w:rsid w:val="00353453"/>
    <w:rsid w:val="00354CB8"/>
    <w:rsid w:val="0035564F"/>
    <w:rsid w:val="00356045"/>
    <w:rsid w:val="003570E9"/>
    <w:rsid w:val="00357B53"/>
    <w:rsid w:val="00357D8C"/>
    <w:rsid w:val="0036045A"/>
    <w:rsid w:val="003623F9"/>
    <w:rsid w:val="00362786"/>
    <w:rsid w:val="00364AEC"/>
    <w:rsid w:val="00364ED2"/>
    <w:rsid w:val="00365244"/>
    <w:rsid w:val="00365D48"/>
    <w:rsid w:val="00370239"/>
    <w:rsid w:val="003708A5"/>
    <w:rsid w:val="00374372"/>
    <w:rsid w:val="00374C88"/>
    <w:rsid w:val="00376637"/>
    <w:rsid w:val="003834F7"/>
    <w:rsid w:val="00384E41"/>
    <w:rsid w:val="0038574A"/>
    <w:rsid w:val="00386F1F"/>
    <w:rsid w:val="003874EA"/>
    <w:rsid w:val="003915BE"/>
    <w:rsid w:val="00392CB8"/>
    <w:rsid w:val="00394D81"/>
    <w:rsid w:val="003A66C0"/>
    <w:rsid w:val="003B0ACC"/>
    <w:rsid w:val="003B2616"/>
    <w:rsid w:val="003B62F4"/>
    <w:rsid w:val="003B6494"/>
    <w:rsid w:val="003B714A"/>
    <w:rsid w:val="003C05D0"/>
    <w:rsid w:val="003C1CFE"/>
    <w:rsid w:val="003C21F5"/>
    <w:rsid w:val="003C3451"/>
    <w:rsid w:val="003C5624"/>
    <w:rsid w:val="003C6D1A"/>
    <w:rsid w:val="003C7BF9"/>
    <w:rsid w:val="003D2255"/>
    <w:rsid w:val="003D3552"/>
    <w:rsid w:val="003D3772"/>
    <w:rsid w:val="003D465F"/>
    <w:rsid w:val="003D64E9"/>
    <w:rsid w:val="003D7E38"/>
    <w:rsid w:val="003E1E99"/>
    <w:rsid w:val="003E5EB2"/>
    <w:rsid w:val="003F4711"/>
    <w:rsid w:val="003F5C5E"/>
    <w:rsid w:val="003F73CB"/>
    <w:rsid w:val="00401766"/>
    <w:rsid w:val="00404BEC"/>
    <w:rsid w:val="00406F00"/>
    <w:rsid w:val="00406FBD"/>
    <w:rsid w:val="0041021B"/>
    <w:rsid w:val="00412D3D"/>
    <w:rsid w:val="00415811"/>
    <w:rsid w:val="004161B8"/>
    <w:rsid w:val="00420C6F"/>
    <w:rsid w:val="00421579"/>
    <w:rsid w:val="004219B7"/>
    <w:rsid w:val="00422C7A"/>
    <w:rsid w:val="00424DA8"/>
    <w:rsid w:val="00424F74"/>
    <w:rsid w:val="00425160"/>
    <w:rsid w:val="004251EC"/>
    <w:rsid w:val="004258C4"/>
    <w:rsid w:val="00425C6D"/>
    <w:rsid w:val="0043055C"/>
    <w:rsid w:val="00430A45"/>
    <w:rsid w:val="00431CA6"/>
    <w:rsid w:val="00432726"/>
    <w:rsid w:val="0043687E"/>
    <w:rsid w:val="00436BF3"/>
    <w:rsid w:val="00436FBF"/>
    <w:rsid w:val="00442FC6"/>
    <w:rsid w:val="0044429E"/>
    <w:rsid w:val="004443A5"/>
    <w:rsid w:val="0044523F"/>
    <w:rsid w:val="00445F73"/>
    <w:rsid w:val="00447746"/>
    <w:rsid w:val="0045424F"/>
    <w:rsid w:val="004605FD"/>
    <w:rsid w:val="00460FE4"/>
    <w:rsid w:val="00462AF4"/>
    <w:rsid w:val="00465C38"/>
    <w:rsid w:val="00470B59"/>
    <w:rsid w:val="0047111F"/>
    <w:rsid w:val="00471681"/>
    <w:rsid w:val="00472D63"/>
    <w:rsid w:val="00473E94"/>
    <w:rsid w:val="004775EF"/>
    <w:rsid w:val="004809B3"/>
    <w:rsid w:val="00485300"/>
    <w:rsid w:val="00487258"/>
    <w:rsid w:val="00490528"/>
    <w:rsid w:val="004908CA"/>
    <w:rsid w:val="00492D0F"/>
    <w:rsid w:val="00494BBC"/>
    <w:rsid w:val="00495BF2"/>
    <w:rsid w:val="004969A2"/>
    <w:rsid w:val="00496C47"/>
    <w:rsid w:val="004A114B"/>
    <w:rsid w:val="004A35E4"/>
    <w:rsid w:val="004A391C"/>
    <w:rsid w:val="004A60E3"/>
    <w:rsid w:val="004A7307"/>
    <w:rsid w:val="004B05C0"/>
    <w:rsid w:val="004B2C2A"/>
    <w:rsid w:val="004B5BC1"/>
    <w:rsid w:val="004C1A83"/>
    <w:rsid w:val="004C230E"/>
    <w:rsid w:val="004C3C68"/>
    <w:rsid w:val="004C44EE"/>
    <w:rsid w:val="004C46EF"/>
    <w:rsid w:val="004C5DAA"/>
    <w:rsid w:val="004C75C9"/>
    <w:rsid w:val="004D1CDB"/>
    <w:rsid w:val="004D1E68"/>
    <w:rsid w:val="004D47BD"/>
    <w:rsid w:val="004D4A2F"/>
    <w:rsid w:val="004D5C3D"/>
    <w:rsid w:val="004E05DC"/>
    <w:rsid w:val="004E08FC"/>
    <w:rsid w:val="004E0E3E"/>
    <w:rsid w:val="004E1858"/>
    <w:rsid w:val="004E54E9"/>
    <w:rsid w:val="004E6C85"/>
    <w:rsid w:val="004F0803"/>
    <w:rsid w:val="004F3E26"/>
    <w:rsid w:val="004F4806"/>
    <w:rsid w:val="00503B6B"/>
    <w:rsid w:val="00503DA7"/>
    <w:rsid w:val="0050549C"/>
    <w:rsid w:val="005060EF"/>
    <w:rsid w:val="0050638B"/>
    <w:rsid w:val="005070FA"/>
    <w:rsid w:val="00507234"/>
    <w:rsid w:val="005130D0"/>
    <w:rsid w:val="00516D5B"/>
    <w:rsid w:val="00520EBE"/>
    <w:rsid w:val="00521032"/>
    <w:rsid w:val="005269FE"/>
    <w:rsid w:val="005270ED"/>
    <w:rsid w:val="0052786C"/>
    <w:rsid w:val="00531C0E"/>
    <w:rsid w:val="00535C1F"/>
    <w:rsid w:val="0053720C"/>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4298"/>
    <w:rsid w:val="005658B4"/>
    <w:rsid w:val="005666AE"/>
    <w:rsid w:val="00571DB0"/>
    <w:rsid w:val="00573726"/>
    <w:rsid w:val="00573A82"/>
    <w:rsid w:val="00575DF5"/>
    <w:rsid w:val="00577478"/>
    <w:rsid w:val="0058245B"/>
    <w:rsid w:val="00583BA9"/>
    <w:rsid w:val="00585DFE"/>
    <w:rsid w:val="00586088"/>
    <w:rsid w:val="00587B01"/>
    <w:rsid w:val="00592F92"/>
    <w:rsid w:val="00593672"/>
    <w:rsid w:val="00593FD0"/>
    <w:rsid w:val="00594C5F"/>
    <w:rsid w:val="00594EDB"/>
    <w:rsid w:val="00595856"/>
    <w:rsid w:val="00597197"/>
    <w:rsid w:val="005A09BA"/>
    <w:rsid w:val="005A0E90"/>
    <w:rsid w:val="005A1085"/>
    <w:rsid w:val="005A3FBA"/>
    <w:rsid w:val="005A5F44"/>
    <w:rsid w:val="005A6AA2"/>
    <w:rsid w:val="005B0890"/>
    <w:rsid w:val="005B1F8B"/>
    <w:rsid w:val="005B203C"/>
    <w:rsid w:val="005B3342"/>
    <w:rsid w:val="005B3724"/>
    <w:rsid w:val="005B49DA"/>
    <w:rsid w:val="005B53B3"/>
    <w:rsid w:val="005B584C"/>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D74F8"/>
    <w:rsid w:val="005E1BBF"/>
    <w:rsid w:val="005E2EAF"/>
    <w:rsid w:val="005E391A"/>
    <w:rsid w:val="005E6547"/>
    <w:rsid w:val="005E7648"/>
    <w:rsid w:val="005F080E"/>
    <w:rsid w:val="005F1943"/>
    <w:rsid w:val="005F42C5"/>
    <w:rsid w:val="005F4F14"/>
    <w:rsid w:val="005F65F7"/>
    <w:rsid w:val="005F71C5"/>
    <w:rsid w:val="005F76F2"/>
    <w:rsid w:val="006032C8"/>
    <w:rsid w:val="006049FA"/>
    <w:rsid w:val="00604F68"/>
    <w:rsid w:val="00604FB8"/>
    <w:rsid w:val="00605496"/>
    <w:rsid w:val="006076F5"/>
    <w:rsid w:val="0060771D"/>
    <w:rsid w:val="00610D74"/>
    <w:rsid w:val="0061288B"/>
    <w:rsid w:val="006143C2"/>
    <w:rsid w:val="006148A6"/>
    <w:rsid w:val="006171F3"/>
    <w:rsid w:val="00626C38"/>
    <w:rsid w:val="00627902"/>
    <w:rsid w:val="006300C9"/>
    <w:rsid w:val="006309A7"/>
    <w:rsid w:val="006333E0"/>
    <w:rsid w:val="006371D8"/>
    <w:rsid w:val="00643B6D"/>
    <w:rsid w:val="00644672"/>
    <w:rsid w:val="006479E7"/>
    <w:rsid w:val="00647E74"/>
    <w:rsid w:val="00660AC6"/>
    <w:rsid w:val="00661B63"/>
    <w:rsid w:val="00662EE3"/>
    <w:rsid w:val="00663D53"/>
    <w:rsid w:val="00663F9C"/>
    <w:rsid w:val="006643D9"/>
    <w:rsid w:val="00664630"/>
    <w:rsid w:val="00664DF7"/>
    <w:rsid w:val="00667152"/>
    <w:rsid w:val="0067262C"/>
    <w:rsid w:val="006755EE"/>
    <w:rsid w:val="00675D18"/>
    <w:rsid w:val="00676157"/>
    <w:rsid w:val="00676C70"/>
    <w:rsid w:val="00680869"/>
    <w:rsid w:val="006817A0"/>
    <w:rsid w:val="0068233E"/>
    <w:rsid w:val="00685B4B"/>
    <w:rsid w:val="00686EC2"/>
    <w:rsid w:val="006962DB"/>
    <w:rsid w:val="00696394"/>
    <w:rsid w:val="00697C97"/>
    <w:rsid w:val="00697E02"/>
    <w:rsid w:val="006A011F"/>
    <w:rsid w:val="006A551E"/>
    <w:rsid w:val="006A7CB6"/>
    <w:rsid w:val="006B1A72"/>
    <w:rsid w:val="006B2DFA"/>
    <w:rsid w:val="006B49A6"/>
    <w:rsid w:val="006B6E1C"/>
    <w:rsid w:val="006B7DCE"/>
    <w:rsid w:val="006B7F81"/>
    <w:rsid w:val="006C07A6"/>
    <w:rsid w:val="006C15A4"/>
    <w:rsid w:val="006C253F"/>
    <w:rsid w:val="006C280E"/>
    <w:rsid w:val="006C36A4"/>
    <w:rsid w:val="006C5042"/>
    <w:rsid w:val="006C5F55"/>
    <w:rsid w:val="006D007C"/>
    <w:rsid w:val="006D0D46"/>
    <w:rsid w:val="006D1B4B"/>
    <w:rsid w:val="006D1C04"/>
    <w:rsid w:val="006D2EDD"/>
    <w:rsid w:val="006D3D74"/>
    <w:rsid w:val="006D4C8F"/>
    <w:rsid w:val="006D6889"/>
    <w:rsid w:val="006E089C"/>
    <w:rsid w:val="006E08F3"/>
    <w:rsid w:val="006E1765"/>
    <w:rsid w:val="006E1C6B"/>
    <w:rsid w:val="006E40E3"/>
    <w:rsid w:val="006E5144"/>
    <w:rsid w:val="006E75D0"/>
    <w:rsid w:val="006E7843"/>
    <w:rsid w:val="006F1DBA"/>
    <w:rsid w:val="006F57F6"/>
    <w:rsid w:val="0070012D"/>
    <w:rsid w:val="00700F63"/>
    <w:rsid w:val="00701DF5"/>
    <w:rsid w:val="0070211A"/>
    <w:rsid w:val="0070259F"/>
    <w:rsid w:val="00702CC2"/>
    <w:rsid w:val="00702F26"/>
    <w:rsid w:val="0071010B"/>
    <w:rsid w:val="007123AD"/>
    <w:rsid w:val="00712EA3"/>
    <w:rsid w:val="00713E75"/>
    <w:rsid w:val="00714F5F"/>
    <w:rsid w:val="007156A9"/>
    <w:rsid w:val="0071617F"/>
    <w:rsid w:val="00723521"/>
    <w:rsid w:val="007244AD"/>
    <w:rsid w:val="0072451D"/>
    <w:rsid w:val="00724E3B"/>
    <w:rsid w:val="00725FEE"/>
    <w:rsid w:val="00726590"/>
    <w:rsid w:val="00727BD0"/>
    <w:rsid w:val="00732E78"/>
    <w:rsid w:val="00734330"/>
    <w:rsid w:val="00740F79"/>
    <w:rsid w:val="00741FFA"/>
    <w:rsid w:val="007423BD"/>
    <w:rsid w:val="007423E6"/>
    <w:rsid w:val="00742761"/>
    <w:rsid w:val="00742CC2"/>
    <w:rsid w:val="00744947"/>
    <w:rsid w:val="00745939"/>
    <w:rsid w:val="007459F3"/>
    <w:rsid w:val="007467A6"/>
    <w:rsid w:val="00753402"/>
    <w:rsid w:val="007542C6"/>
    <w:rsid w:val="0075747C"/>
    <w:rsid w:val="007624AC"/>
    <w:rsid w:val="00764771"/>
    <w:rsid w:val="007730F1"/>
    <w:rsid w:val="007744F6"/>
    <w:rsid w:val="0077590D"/>
    <w:rsid w:val="00776594"/>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4BE8"/>
    <w:rsid w:val="007A5486"/>
    <w:rsid w:val="007A7515"/>
    <w:rsid w:val="007B03FF"/>
    <w:rsid w:val="007B0A91"/>
    <w:rsid w:val="007B245C"/>
    <w:rsid w:val="007B247D"/>
    <w:rsid w:val="007B3175"/>
    <w:rsid w:val="007B5659"/>
    <w:rsid w:val="007B56CD"/>
    <w:rsid w:val="007C07B7"/>
    <w:rsid w:val="007C1DDE"/>
    <w:rsid w:val="007C72FC"/>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1D3B"/>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356AD"/>
    <w:rsid w:val="00842B81"/>
    <w:rsid w:val="00844A5C"/>
    <w:rsid w:val="008512DF"/>
    <w:rsid w:val="008534A3"/>
    <w:rsid w:val="0085352B"/>
    <w:rsid w:val="00854001"/>
    <w:rsid w:val="0085464F"/>
    <w:rsid w:val="008605DC"/>
    <w:rsid w:val="00862C04"/>
    <w:rsid w:val="00863AB1"/>
    <w:rsid w:val="0086517A"/>
    <w:rsid w:val="0086606E"/>
    <w:rsid w:val="00867162"/>
    <w:rsid w:val="0087205A"/>
    <w:rsid w:val="00876120"/>
    <w:rsid w:val="008775D1"/>
    <w:rsid w:val="008820BE"/>
    <w:rsid w:val="00883365"/>
    <w:rsid w:val="008843A7"/>
    <w:rsid w:val="008927DF"/>
    <w:rsid w:val="00893C91"/>
    <w:rsid w:val="0089481B"/>
    <w:rsid w:val="008A0E9A"/>
    <w:rsid w:val="008A1257"/>
    <w:rsid w:val="008A2477"/>
    <w:rsid w:val="008A70B5"/>
    <w:rsid w:val="008A7BC8"/>
    <w:rsid w:val="008B1A2E"/>
    <w:rsid w:val="008B2369"/>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C4C"/>
    <w:rsid w:val="008F6BD3"/>
    <w:rsid w:val="00900C21"/>
    <w:rsid w:val="00903521"/>
    <w:rsid w:val="00904D1E"/>
    <w:rsid w:val="00905F70"/>
    <w:rsid w:val="0091006B"/>
    <w:rsid w:val="00910D82"/>
    <w:rsid w:val="00910EE7"/>
    <w:rsid w:val="00912242"/>
    <w:rsid w:val="009136D6"/>
    <w:rsid w:val="00913BE8"/>
    <w:rsid w:val="00913F2E"/>
    <w:rsid w:val="00913FEC"/>
    <w:rsid w:val="00915CDD"/>
    <w:rsid w:val="009165FC"/>
    <w:rsid w:val="009214B5"/>
    <w:rsid w:val="00922B6E"/>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60DF"/>
    <w:rsid w:val="00956DCA"/>
    <w:rsid w:val="00957D71"/>
    <w:rsid w:val="00960E94"/>
    <w:rsid w:val="00961216"/>
    <w:rsid w:val="009623D9"/>
    <w:rsid w:val="0096658E"/>
    <w:rsid w:val="00966CA0"/>
    <w:rsid w:val="00967547"/>
    <w:rsid w:val="00967844"/>
    <w:rsid w:val="009678A3"/>
    <w:rsid w:val="00970035"/>
    <w:rsid w:val="00971F14"/>
    <w:rsid w:val="0097280B"/>
    <w:rsid w:val="009777E2"/>
    <w:rsid w:val="009779D6"/>
    <w:rsid w:val="00980840"/>
    <w:rsid w:val="00980B74"/>
    <w:rsid w:val="009852B8"/>
    <w:rsid w:val="00990350"/>
    <w:rsid w:val="00993234"/>
    <w:rsid w:val="00994326"/>
    <w:rsid w:val="00996D8C"/>
    <w:rsid w:val="00997755"/>
    <w:rsid w:val="009A098F"/>
    <w:rsid w:val="009A0D29"/>
    <w:rsid w:val="009A124F"/>
    <w:rsid w:val="009A1B0D"/>
    <w:rsid w:val="009A299E"/>
    <w:rsid w:val="009A348E"/>
    <w:rsid w:val="009A6937"/>
    <w:rsid w:val="009B00D5"/>
    <w:rsid w:val="009B1860"/>
    <w:rsid w:val="009B1FEF"/>
    <w:rsid w:val="009B2305"/>
    <w:rsid w:val="009B2498"/>
    <w:rsid w:val="009B3DCB"/>
    <w:rsid w:val="009B5355"/>
    <w:rsid w:val="009B5C09"/>
    <w:rsid w:val="009C11F1"/>
    <w:rsid w:val="009C2FCF"/>
    <w:rsid w:val="009C32A8"/>
    <w:rsid w:val="009C6426"/>
    <w:rsid w:val="009D02B8"/>
    <w:rsid w:val="009D05C9"/>
    <w:rsid w:val="009D3988"/>
    <w:rsid w:val="009D663A"/>
    <w:rsid w:val="009D7FA3"/>
    <w:rsid w:val="009E0550"/>
    <w:rsid w:val="009E095D"/>
    <w:rsid w:val="009E2E56"/>
    <w:rsid w:val="009E4D66"/>
    <w:rsid w:val="009E6BF7"/>
    <w:rsid w:val="009E6DD9"/>
    <w:rsid w:val="009E6EA1"/>
    <w:rsid w:val="009E79A3"/>
    <w:rsid w:val="009F1222"/>
    <w:rsid w:val="009F271A"/>
    <w:rsid w:val="009F401B"/>
    <w:rsid w:val="009F5812"/>
    <w:rsid w:val="009F601D"/>
    <w:rsid w:val="009F7B3B"/>
    <w:rsid w:val="00A00EAD"/>
    <w:rsid w:val="00A017B8"/>
    <w:rsid w:val="00A020E6"/>
    <w:rsid w:val="00A022FA"/>
    <w:rsid w:val="00A04AD0"/>
    <w:rsid w:val="00A0571E"/>
    <w:rsid w:val="00A1061A"/>
    <w:rsid w:val="00A11825"/>
    <w:rsid w:val="00A1195A"/>
    <w:rsid w:val="00A1273D"/>
    <w:rsid w:val="00A13282"/>
    <w:rsid w:val="00A14889"/>
    <w:rsid w:val="00A15E07"/>
    <w:rsid w:val="00A16E4D"/>
    <w:rsid w:val="00A21AF7"/>
    <w:rsid w:val="00A23175"/>
    <w:rsid w:val="00A24A5D"/>
    <w:rsid w:val="00A31439"/>
    <w:rsid w:val="00A32E71"/>
    <w:rsid w:val="00A3590B"/>
    <w:rsid w:val="00A37599"/>
    <w:rsid w:val="00A37B51"/>
    <w:rsid w:val="00A425AD"/>
    <w:rsid w:val="00A4462E"/>
    <w:rsid w:val="00A463F8"/>
    <w:rsid w:val="00A52F1A"/>
    <w:rsid w:val="00A55396"/>
    <w:rsid w:val="00A575FA"/>
    <w:rsid w:val="00A6117B"/>
    <w:rsid w:val="00A618B2"/>
    <w:rsid w:val="00A624A1"/>
    <w:rsid w:val="00A62B8A"/>
    <w:rsid w:val="00A65E93"/>
    <w:rsid w:val="00A700CA"/>
    <w:rsid w:val="00A70714"/>
    <w:rsid w:val="00A71A39"/>
    <w:rsid w:val="00A72EC9"/>
    <w:rsid w:val="00A75B47"/>
    <w:rsid w:val="00A75D31"/>
    <w:rsid w:val="00A801B4"/>
    <w:rsid w:val="00A81F65"/>
    <w:rsid w:val="00A82E6B"/>
    <w:rsid w:val="00A830FA"/>
    <w:rsid w:val="00A83226"/>
    <w:rsid w:val="00A83BB2"/>
    <w:rsid w:val="00A84BEC"/>
    <w:rsid w:val="00A876CF"/>
    <w:rsid w:val="00A9124D"/>
    <w:rsid w:val="00A94C10"/>
    <w:rsid w:val="00A94D22"/>
    <w:rsid w:val="00A95040"/>
    <w:rsid w:val="00A959B3"/>
    <w:rsid w:val="00A96AAE"/>
    <w:rsid w:val="00A9706C"/>
    <w:rsid w:val="00AA0C32"/>
    <w:rsid w:val="00AA1840"/>
    <w:rsid w:val="00AA417D"/>
    <w:rsid w:val="00AA4F6C"/>
    <w:rsid w:val="00AA61D9"/>
    <w:rsid w:val="00AA6F01"/>
    <w:rsid w:val="00AA6FDC"/>
    <w:rsid w:val="00AA7F6C"/>
    <w:rsid w:val="00AB2016"/>
    <w:rsid w:val="00AB4558"/>
    <w:rsid w:val="00AB615A"/>
    <w:rsid w:val="00AB730B"/>
    <w:rsid w:val="00AB797C"/>
    <w:rsid w:val="00AC0976"/>
    <w:rsid w:val="00AC4953"/>
    <w:rsid w:val="00AD1544"/>
    <w:rsid w:val="00AD3B04"/>
    <w:rsid w:val="00AD3E00"/>
    <w:rsid w:val="00AD6BD1"/>
    <w:rsid w:val="00AD716E"/>
    <w:rsid w:val="00AD7710"/>
    <w:rsid w:val="00AD7912"/>
    <w:rsid w:val="00AD7971"/>
    <w:rsid w:val="00AE06D5"/>
    <w:rsid w:val="00AE639D"/>
    <w:rsid w:val="00AF2692"/>
    <w:rsid w:val="00AF2E99"/>
    <w:rsid w:val="00AF3424"/>
    <w:rsid w:val="00AF4700"/>
    <w:rsid w:val="00AF5318"/>
    <w:rsid w:val="00AF7C8E"/>
    <w:rsid w:val="00B017D5"/>
    <w:rsid w:val="00B01A42"/>
    <w:rsid w:val="00B02D84"/>
    <w:rsid w:val="00B03F1A"/>
    <w:rsid w:val="00B04EEE"/>
    <w:rsid w:val="00B05B15"/>
    <w:rsid w:val="00B0677C"/>
    <w:rsid w:val="00B068AD"/>
    <w:rsid w:val="00B07C64"/>
    <w:rsid w:val="00B124EA"/>
    <w:rsid w:val="00B14944"/>
    <w:rsid w:val="00B14B92"/>
    <w:rsid w:val="00B14F1F"/>
    <w:rsid w:val="00B172A0"/>
    <w:rsid w:val="00B173E7"/>
    <w:rsid w:val="00B227EA"/>
    <w:rsid w:val="00B239E2"/>
    <w:rsid w:val="00B31D91"/>
    <w:rsid w:val="00B32F69"/>
    <w:rsid w:val="00B33636"/>
    <w:rsid w:val="00B33867"/>
    <w:rsid w:val="00B3478A"/>
    <w:rsid w:val="00B3530C"/>
    <w:rsid w:val="00B36E03"/>
    <w:rsid w:val="00B403EA"/>
    <w:rsid w:val="00B41CDB"/>
    <w:rsid w:val="00B43F58"/>
    <w:rsid w:val="00B44528"/>
    <w:rsid w:val="00B45742"/>
    <w:rsid w:val="00B523FD"/>
    <w:rsid w:val="00B54123"/>
    <w:rsid w:val="00B54EB1"/>
    <w:rsid w:val="00B55085"/>
    <w:rsid w:val="00B57D80"/>
    <w:rsid w:val="00B60B16"/>
    <w:rsid w:val="00B61411"/>
    <w:rsid w:val="00B62589"/>
    <w:rsid w:val="00B66941"/>
    <w:rsid w:val="00B66AB1"/>
    <w:rsid w:val="00B7000E"/>
    <w:rsid w:val="00B70056"/>
    <w:rsid w:val="00B71203"/>
    <w:rsid w:val="00B73294"/>
    <w:rsid w:val="00B738CE"/>
    <w:rsid w:val="00B74E74"/>
    <w:rsid w:val="00B76E9A"/>
    <w:rsid w:val="00B77DBC"/>
    <w:rsid w:val="00B82A67"/>
    <w:rsid w:val="00B85A86"/>
    <w:rsid w:val="00B864B3"/>
    <w:rsid w:val="00B86F7D"/>
    <w:rsid w:val="00B87414"/>
    <w:rsid w:val="00B9349D"/>
    <w:rsid w:val="00B94224"/>
    <w:rsid w:val="00B96D77"/>
    <w:rsid w:val="00B96EB7"/>
    <w:rsid w:val="00B97CC4"/>
    <w:rsid w:val="00BA3111"/>
    <w:rsid w:val="00BA6EEC"/>
    <w:rsid w:val="00BB070E"/>
    <w:rsid w:val="00BB0EE2"/>
    <w:rsid w:val="00BB36F5"/>
    <w:rsid w:val="00BB50D4"/>
    <w:rsid w:val="00BC07A3"/>
    <w:rsid w:val="00BC1747"/>
    <w:rsid w:val="00BC27A7"/>
    <w:rsid w:val="00BC54AB"/>
    <w:rsid w:val="00BC6025"/>
    <w:rsid w:val="00BC60C2"/>
    <w:rsid w:val="00BD1DCB"/>
    <w:rsid w:val="00BD4347"/>
    <w:rsid w:val="00BD437C"/>
    <w:rsid w:val="00BE1AD1"/>
    <w:rsid w:val="00BE1DAF"/>
    <w:rsid w:val="00BF0D55"/>
    <w:rsid w:val="00BF1192"/>
    <w:rsid w:val="00BF3CA8"/>
    <w:rsid w:val="00BF5A0B"/>
    <w:rsid w:val="00BF5FCE"/>
    <w:rsid w:val="00BF6BED"/>
    <w:rsid w:val="00BF7D17"/>
    <w:rsid w:val="00C027A5"/>
    <w:rsid w:val="00C05075"/>
    <w:rsid w:val="00C05FD0"/>
    <w:rsid w:val="00C065A7"/>
    <w:rsid w:val="00C112BD"/>
    <w:rsid w:val="00C11BFD"/>
    <w:rsid w:val="00C12A8E"/>
    <w:rsid w:val="00C13DBC"/>
    <w:rsid w:val="00C1739B"/>
    <w:rsid w:val="00C20EB1"/>
    <w:rsid w:val="00C21C96"/>
    <w:rsid w:val="00C22491"/>
    <w:rsid w:val="00C24233"/>
    <w:rsid w:val="00C24707"/>
    <w:rsid w:val="00C25B3A"/>
    <w:rsid w:val="00C26F5C"/>
    <w:rsid w:val="00C30652"/>
    <w:rsid w:val="00C3085E"/>
    <w:rsid w:val="00C3511A"/>
    <w:rsid w:val="00C36609"/>
    <w:rsid w:val="00C3679D"/>
    <w:rsid w:val="00C36C84"/>
    <w:rsid w:val="00C41126"/>
    <w:rsid w:val="00C42407"/>
    <w:rsid w:val="00C436F8"/>
    <w:rsid w:val="00C449D5"/>
    <w:rsid w:val="00C50394"/>
    <w:rsid w:val="00C51729"/>
    <w:rsid w:val="00C51E31"/>
    <w:rsid w:val="00C52473"/>
    <w:rsid w:val="00C52BBD"/>
    <w:rsid w:val="00C56A3A"/>
    <w:rsid w:val="00C56B37"/>
    <w:rsid w:val="00C56D06"/>
    <w:rsid w:val="00C62A3C"/>
    <w:rsid w:val="00C65224"/>
    <w:rsid w:val="00C66D9C"/>
    <w:rsid w:val="00C676E8"/>
    <w:rsid w:val="00C70063"/>
    <w:rsid w:val="00C73CC3"/>
    <w:rsid w:val="00C755F1"/>
    <w:rsid w:val="00C818A3"/>
    <w:rsid w:val="00C82A73"/>
    <w:rsid w:val="00C83074"/>
    <w:rsid w:val="00C83428"/>
    <w:rsid w:val="00C83470"/>
    <w:rsid w:val="00C84283"/>
    <w:rsid w:val="00C86A64"/>
    <w:rsid w:val="00C870AB"/>
    <w:rsid w:val="00C92538"/>
    <w:rsid w:val="00C951E1"/>
    <w:rsid w:val="00C9778F"/>
    <w:rsid w:val="00C97D1B"/>
    <w:rsid w:val="00CA087C"/>
    <w:rsid w:val="00CA2C5C"/>
    <w:rsid w:val="00CA315F"/>
    <w:rsid w:val="00CA4B64"/>
    <w:rsid w:val="00CA4BC6"/>
    <w:rsid w:val="00CA51E2"/>
    <w:rsid w:val="00CA54F3"/>
    <w:rsid w:val="00CA72FB"/>
    <w:rsid w:val="00CB06C8"/>
    <w:rsid w:val="00CB38B5"/>
    <w:rsid w:val="00CB3AEC"/>
    <w:rsid w:val="00CB459E"/>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CF780E"/>
    <w:rsid w:val="00D000D0"/>
    <w:rsid w:val="00D0041E"/>
    <w:rsid w:val="00D026A5"/>
    <w:rsid w:val="00D04716"/>
    <w:rsid w:val="00D05BD4"/>
    <w:rsid w:val="00D0661E"/>
    <w:rsid w:val="00D107B7"/>
    <w:rsid w:val="00D11AF6"/>
    <w:rsid w:val="00D12BAF"/>
    <w:rsid w:val="00D13708"/>
    <w:rsid w:val="00D138CB"/>
    <w:rsid w:val="00D1468B"/>
    <w:rsid w:val="00D15E24"/>
    <w:rsid w:val="00D161DC"/>
    <w:rsid w:val="00D1634B"/>
    <w:rsid w:val="00D1685A"/>
    <w:rsid w:val="00D169E7"/>
    <w:rsid w:val="00D17036"/>
    <w:rsid w:val="00D20202"/>
    <w:rsid w:val="00D2280F"/>
    <w:rsid w:val="00D31E98"/>
    <w:rsid w:val="00D34F52"/>
    <w:rsid w:val="00D36539"/>
    <w:rsid w:val="00D37A25"/>
    <w:rsid w:val="00D37C30"/>
    <w:rsid w:val="00D46BF9"/>
    <w:rsid w:val="00D5051B"/>
    <w:rsid w:val="00D52E14"/>
    <w:rsid w:val="00D55465"/>
    <w:rsid w:val="00D60FF1"/>
    <w:rsid w:val="00D6198E"/>
    <w:rsid w:val="00D62DF8"/>
    <w:rsid w:val="00D65555"/>
    <w:rsid w:val="00D70574"/>
    <w:rsid w:val="00D71269"/>
    <w:rsid w:val="00D71673"/>
    <w:rsid w:val="00D7221D"/>
    <w:rsid w:val="00D72DCD"/>
    <w:rsid w:val="00D72FBC"/>
    <w:rsid w:val="00D735E3"/>
    <w:rsid w:val="00D73916"/>
    <w:rsid w:val="00D756D2"/>
    <w:rsid w:val="00D821FD"/>
    <w:rsid w:val="00D85524"/>
    <w:rsid w:val="00D9312D"/>
    <w:rsid w:val="00D93A6F"/>
    <w:rsid w:val="00D9429B"/>
    <w:rsid w:val="00D97D8E"/>
    <w:rsid w:val="00DA0D4D"/>
    <w:rsid w:val="00DA1AC4"/>
    <w:rsid w:val="00DA3896"/>
    <w:rsid w:val="00DA396F"/>
    <w:rsid w:val="00DA3997"/>
    <w:rsid w:val="00DA3F3D"/>
    <w:rsid w:val="00DA4907"/>
    <w:rsid w:val="00DA4DCC"/>
    <w:rsid w:val="00DA708C"/>
    <w:rsid w:val="00DA7ACD"/>
    <w:rsid w:val="00DA7F44"/>
    <w:rsid w:val="00DB2340"/>
    <w:rsid w:val="00DB3D58"/>
    <w:rsid w:val="00DB4187"/>
    <w:rsid w:val="00DC32BD"/>
    <w:rsid w:val="00DC5ECF"/>
    <w:rsid w:val="00DC66B3"/>
    <w:rsid w:val="00DC7B2C"/>
    <w:rsid w:val="00DD0142"/>
    <w:rsid w:val="00DD34B5"/>
    <w:rsid w:val="00DD3986"/>
    <w:rsid w:val="00DD5AC2"/>
    <w:rsid w:val="00DE1D9B"/>
    <w:rsid w:val="00DE4A32"/>
    <w:rsid w:val="00DE7FD8"/>
    <w:rsid w:val="00DF0FEF"/>
    <w:rsid w:val="00DF138C"/>
    <w:rsid w:val="00DF3083"/>
    <w:rsid w:val="00DF3164"/>
    <w:rsid w:val="00DF4F75"/>
    <w:rsid w:val="00DF6144"/>
    <w:rsid w:val="00E00167"/>
    <w:rsid w:val="00E00727"/>
    <w:rsid w:val="00E03A2E"/>
    <w:rsid w:val="00E058F9"/>
    <w:rsid w:val="00E108E9"/>
    <w:rsid w:val="00E12168"/>
    <w:rsid w:val="00E14D03"/>
    <w:rsid w:val="00E161D4"/>
    <w:rsid w:val="00E1797A"/>
    <w:rsid w:val="00E21729"/>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5419"/>
    <w:rsid w:val="00E666FE"/>
    <w:rsid w:val="00E67F66"/>
    <w:rsid w:val="00E7107D"/>
    <w:rsid w:val="00E71274"/>
    <w:rsid w:val="00E74CF2"/>
    <w:rsid w:val="00E8127E"/>
    <w:rsid w:val="00E82C38"/>
    <w:rsid w:val="00E860F9"/>
    <w:rsid w:val="00E87EAF"/>
    <w:rsid w:val="00E907E4"/>
    <w:rsid w:val="00E91325"/>
    <w:rsid w:val="00E91490"/>
    <w:rsid w:val="00E95621"/>
    <w:rsid w:val="00E965C0"/>
    <w:rsid w:val="00E97AF6"/>
    <w:rsid w:val="00EA472D"/>
    <w:rsid w:val="00EA4790"/>
    <w:rsid w:val="00EA5513"/>
    <w:rsid w:val="00EA5580"/>
    <w:rsid w:val="00EA6F53"/>
    <w:rsid w:val="00EB50E7"/>
    <w:rsid w:val="00EB5CD1"/>
    <w:rsid w:val="00EB7E56"/>
    <w:rsid w:val="00EC04FE"/>
    <w:rsid w:val="00EC16C4"/>
    <w:rsid w:val="00EC1AE7"/>
    <w:rsid w:val="00EC3251"/>
    <w:rsid w:val="00EC68D3"/>
    <w:rsid w:val="00EC6E5B"/>
    <w:rsid w:val="00ED040C"/>
    <w:rsid w:val="00ED2A11"/>
    <w:rsid w:val="00ED3162"/>
    <w:rsid w:val="00ED70B2"/>
    <w:rsid w:val="00ED71B5"/>
    <w:rsid w:val="00ED7B4B"/>
    <w:rsid w:val="00EE0D88"/>
    <w:rsid w:val="00EE2045"/>
    <w:rsid w:val="00EE3A33"/>
    <w:rsid w:val="00EE3D43"/>
    <w:rsid w:val="00EE684E"/>
    <w:rsid w:val="00EF0709"/>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0F20"/>
    <w:rsid w:val="00F31D8E"/>
    <w:rsid w:val="00F338BB"/>
    <w:rsid w:val="00F36732"/>
    <w:rsid w:val="00F36AE9"/>
    <w:rsid w:val="00F36F0E"/>
    <w:rsid w:val="00F4613F"/>
    <w:rsid w:val="00F4650B"/>
    <w:rsid w:val="00F474B0"/>
    <w:rsid w:val="00F4753A"/>
    <w:rsid w:val="00F5199C"/>
    <w:rsid w:val="00F51DB3"/>
    <w:rsid w:val="00F52E5B"/>
    <w:rsid w:val="00F534F3"/>
    <w:rsid w:val="00F53D11"/>
    <w:rsid w:val="00F54B43"/>
    <w:rsid w:val="00F576F3"/>
    <w:rsid w:val="00F61167"/>
    <w:rsid w:val="00F61B8C"/>
    <w:rsid w:val="00F654B3"/>
    <w:rsid w:val="00F67E91"/>
    <w:rsid w:val="00F70D20"/>
    <w:rsid w:val="00F72C33"/>
    <w:rsid w:val="00F76360"/>
    <w:rsid w:val="00F772D5"/>
    <w:rsid w:val="00F77DCA"/>
    <w:rsid w:val="00F80546"/>
    <w:rsid w:val="00F80D83"/>
    <w:rsid w:val="00F8165C"/>
    <w:rsid w:val="00F90371"/>
    <w:rsid w:val="00F90602"/>
    <w:rsid w:val="00F92628"/>
    <w:rsid w:val="00F92755"/>
    <w:rsid w:val="00F9427F"/>
    <w:rsid w:val="00F94621"/>
    <w:rsid w:val="00F95A09"/>
    <w:rsid w:val="00F97F92"/>
    <w:rsid w:val="00FA106F"/>
    <w:rsid w:val="00FA1218"/>
    <w:rsid w:val="00FA1F8A"/>
    <w:rsid w:val="00FA2A53"/>
    <w:rsid w:val="00FA2B5B"/>
    <w:rsid w:val="00FA33EE"/>
    <w:rsid w:val="00FA4E29"/>
    <w:rsid w:val="00FA50A5"/>
    <w:rsid w:val="00FA5DF4"/>
    <w:rsid w:val="00FA629B"/>
    <w:rsid w:val="00FA7FFE"/>
    <w:rsid w:val="00FB55A1"/>
    <w:rsid w:val="00FB6005"/>
    <w:rsid w:val="00FC21E0"/>
    <w:rsid w:val="00FC3DAC"/>
    <w:rsid w:val="00FD0526"/>
    <w:rsid w:val="00FD0A48"/>
    <w:rsid w:val="00FD2EAB"/>
    <w:rsid w:val="00FD2F70"/>
    <w:rsid w:val="00FD3497"/>
    <w:rsid w:val="00FD4821"/>
    <w:rsid w:val="00FD63D9"/>
    <w:rsid w:val="00FD7050"/>
    <w:rsid w:val="00FD7B0C"/>
    <w:rsid w:val="00FE1538"/>
    <w:rsid w:val="00FE31F1"/>
    <w:rsid w:val="00FE48C1"/>
    <w:rsid w:val="00FE7EFE"/>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B1"/>
    <w:pPr>
      <w:spacing w:line="288" w:lineRule="auto"/>
      <w:jc w:val="both"/>
    </w:pPr>
    <w:rPr>
      <w:sz w:val="22"/>
      <w:szCs w:val="22"/>
      <w:lang w:eastAsia="en-US" w:bidi="ar-SA"/>
    </w:rPr>
  </w:style>
  <w:style w:type="paragraph" w:styleId="Heading1">
    <w:name w:val="heading 1"/>
    <w:basedOn w:val="Normal"/>
    <w:next w:val="Normal"/>
    <w:qFormat/>
    <w:rsid w:val="00C20EB1"/>
    <w:pPr>
      <w:numPr>
        <w:numId w:val="1"/>
      </w:numPr>
      <w:ind w:left="567" w:hanging="567"/>
      <w:outlineLvl w:val="0"/>
    </w:pPr>
    <w:rPr>
      <w:kern w:val="28"/>
    </w:rPr>
  </w:style>
  <w:style w:type="paragraph" w:styleId="Heading2">
    <w:name w:val="heading 2"/>
    <w:basedOn w:val="Normal"/>
    <w:next w:val="Normal"/>
    <w:qFormat/>
    <w:rsid w:val="00C20EB1"/>
    <w:pPr>
      <w:numPr>
        <w:ilvl w:val="1"/>
        <w:numId w:val="1"/>
      </w:numPr>
      <w:ind w:left="567" w:hanging="567"/>
      <w:outlineLvl w:val="1"/>
    </w:pPr>
  </w:style>
  <w:style w:type="paragraph" w:styleId="Heading3">
    <w:name w:val="heading 3"/>
    <w:basedOn w:val="Normal"/>
    <w:next w:val="Normal"/>
    <w:qFormat/>
    <w:rsid w:val="00C20EB1"/>
    <w:pPr>
      <w:numPr>
        <w:ilvl w:val="2"/>
        <w:numId w:val="1"/>
      </w:numPr>
      <w:ind w:left="567" w:hanging="567"/>
      <w:outlineLvl w:val="2"/>
    </w:pPr>
  </w:style>
  <w:style w:type="paragraph" w:styleId="Heading4">
    <w:name w:val="heading 4"/>
    <w:basedOn w:val="Normal"/>
    <w:next w:val="Normal"/>
    <w:qFormat/>
    <w:rsid w:val="00C20EB1"/>
    <w:pPr>
      <w:numPr>
        <w:ilvl w:val="3"/>
        <w:numId w:val="1"/>
      </w:numPr>
      <w:ind w:left="567" w:hanging="567"/>
      <w:outlineLvl w:val="3"/>
    </w:pPr>
  </w:style>
  <w:style w:type="paragraph" w:styleId="Heading5">
    <w:name w:val="heading 5"/>
    <w:basedOn w:val="Normal"/>
    <w:next w:val="Normal"/>
    <w:qFormat/>
    <w:rsid w:val="00C20EB1"/>
    <w:pPr>
      <w:numPr>
        <w:ilvl w:val="4"/>
        <w:numId w:val="1"/>
      </w:numPr>
      <w:ind w:left="567" w:hanging="567"/>
      <w:outlineLvl w:val="4"/>
    </w:pPr>
  </w:style>
  <w:style w:type="paragraph" w:styleId="Heading6">
    <w:name w:val="heading 6"/>
    <w:basedOn w:val="Normal"/>
    <w:next w:val="Normal"/>
    <w:qFormat/>
    <w:rsid w:val="00C20EB1"/>
    <w:pPr>
      <w:numPr>
        <w:ilvl w:val="5"/>
        <w:numId w:val="1"/>
      </w:numPr>
      <w:ind w:left="567" w:hanging="567"/>
      <w:outlineLvl w:val="5"/>
    </w:pPr>
  </w:style>
  <w:style w:type="paragraph" w:styleId="Heading7">
    <w:name w:val="heading 7"/>
    <w:basedOn w:val="Normal"/>
    <w:next w:val="Normal"/>
    <w:qFormat/>
    <w:rsid w:val="00C20EB1"/>
    <w:pPr>
      <w:numPr>
        <w:ilvl w:val="6"/>
        <w:numId w:val="1"/>
      </w:numPr>
      <w:ind w:left="567" w:hanging="567"/>
      <w:outlineLvl w:val="6"/>
    </w:pPr>
  </w:style>
  <w:style w:type="paragraph" w:styleId="Heading8">
    <w:name w:val="heading 8"/>
    <w:basedOn w:val="Normal"/>
    <w:next w:val="Normal"/>
    <w:qFormat/>
    <w:rsid w:val="00C20EB1"/>
    <w:pPr>
      <w:numPr>
        <w:ilvl w:val="7"/>
        <w:numId w:val="1"/>
      </w:numPr>
      <w:ind w:left="567" w:hanging="567"/>
      <w:outlineLvl w:val="7"/>
    </w:pPr>
  </w:style>
  <w:style w:type="paragraph" w:styleId="Heading9">
    <w:name w:val="heading 9"/>
    <w:basedOn w:val="Normal"/>
    <w:next w:val="Normal"/>
    <w:qFormat/>
    <w:rsid w:val="00C20E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C20EB1"/>
  </w:style>
  <w:style w:type="paragraph" w:styleId="FootnoteText">
    <w:name w:val="footnote text"/>
    <w:basedOn w:val="Normal"/>
    <w:qFormat/>
    <w:rsid w:val="00C20EB1"/>
    <w:pPr>
      <w:keepLines/>
      <w:spacing w:after="60" w:line="240" w:lineRule="auto"/>
      <w:ind w:left="567" w:hanging="567"/>
    </w:pPr>
    <w:rPr>
      <w:sz w:val="16"/>
    </w:rPr>
  </w:style>
  <w:style w:type="paragraph" w:styleId="Header">
    <w:name w:val="header"/>
    <w:basedOn w:val="Normal"/>
    <w:qFormat/>
    <w:rsid w:val="00C20EB1"/>
  </w:style>
  <w:style w:type="paragraph" w:customStyle="1" w:styleId="quotes">
    <w:name w:val="quotes"/>
    <w:basedOn w:val="Normal"/>
    <w:next w:val="Normal"/>
    <w:rsid w:val="00C20EB1"/>
    <w:pPr>
      <w:ind w:left="720"/>
    </w:pPr>
    <w:rPr>
      <w:i/>
    </w:rPr>
  </w:style>
  <w:style w:type="character" w:styleId="FootnoteReference">
    <w:name w:val="footnote reference"/>
    <w:basedOn w:val="DefaultParagraphFont"/>
    <w:unhideWhenUsed/>
    <w:qFormat/>
    <w:rsid w:val="00C20EB1"/>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564298"/>
    <w:rPr>
      <w:sz w:val="22"/>
    </w:rPr>
  </w:style>
  <w:style w:type="character" w:customStyle="1" w:styleId="FooterChar">
    <w:name w:val="Footer Char"/>
    <w:basedOn w:val="DefaultParagraphFont"/>
    <w:link w:val="Footer"/>
    <w:rsid w:val="00B54EB1"/>
    <w:rPr>
      <w:sz w:val="22"/>
      <w:szCs w:val="22"/>
      <w:lang w:val="en-US" w:eastAsia="en-US" w:bidi="ar-SA"/>
    </w:rPr>
  </w:style>
  <w:style w:type="paragraph" w:styleId="BalloonText">
    <w:name w:val="Balloon Text"/>
    <w:basedOn w:val="Normal"/>
    <w:link w:val="BalloonTextChar"/>
    <w:semiHidden/>
    <w:unhideWhenUsed/>
    <w:rsid w:val="000C343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3430"/>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B1"/>
    <w:pPr>
      <w:spacing w:line="288" w:lineRule="auto"/>
      <w:jc w:val="both"/>
    </w:pPr>
    <w:rPr>
      <w:sz w:val="22"/>
      <w:szCs w:val="22"/>
      <w:lang w:eastAsia="en-US" w:bidi="ar-SA"/>
    </w:rPr>
  </w:style>
  <w:style w:type="paragraph" w:styleId="Heading1">
    <w:name w:val="heading 1"/>
    <w:basedOn w:val="Normal"/>
    <w:next w:val="Normal"/>
    <w:qFormat/>
    <w:rsid w:val="00C20EB1"/>
    <w:pPr>
      <w:numPr>
        <w:numId w:val="1"/>
      </w:numPr>
      <w:ind w:left="567" w:hanging="567"/>
      <w:outlineLvl w:val="0"/>
    </w:pPr>
    <w:rPr>
      <w:kern w:val="28"/>
    </w:rPr>
  </w:style>
  <w:style w:type="paragraph" w:styleId="Heading2">
    <w:name w:val="heading 2"/>
    <w:basedOn w:val="Normal"/>
    <w:next w:val="Normal"/>
    <w:qFormat/>
    <w:rsid w:val="00C20EB1"/>
    <w:pPr>
      <w:numPr>
        <w:ilvl w:val="1"/>
        <w:numId w:val="1"/>
      </w:numPr>
      <w:ind w:left="567" w:hanging="567"/>
      <w:outlineLvl w:val="1"/>
    </w:pPr>
  </w:style>
  <w:style w:type="paragraph" w:styleId="Heading3">
    <w:name w:val="heading 3"/>
    <w:basedOn w:val="Normal"/>
    <w:next w:val="Normal"/>
    <w:qFormat/>
    <w:rsid w:val="00C20EB1"/>
    <w:pPr>
      <w:numPr>
        <w:ilvl w:val="2"/>
        <w:numId w:val="1"/>
      </w:numPr>
      <w:ind w:left="567" w:hanging="567"/>
      <w:outlineLvl w:val="2"/>
    </w:pPr>
  </w:style>
  <w:style w:type="paragraph" w:styleId="Heading4">
    <w:name w:val="heading 4"/>
    <w:basedOn w:val="Normal"/>
    <w:next w:val="Normal"/>
    <w:qFormat/>
    <w:rsid w:val="00C20EB1"/>
    <w:pPr>
      <w:numPr>
        <w:ilvl w:val="3"/>
        <w:numId w:val="1"/>
      </w:numPr>
      <w:ind w:left="567" w:hanging="567"/>
      <w:outlineLvl w:val="3"/>
    </w:pPr>
  </w:style>
  <w:style w:type="paragraph" w:styleId="Heading5">
    <w:name w:val="heading 5"/>
    <w:basedOn w:val="Normal"/>
    <w:next w:val="Normal"/>
    <w:qFormat/>
    <w:rsid w:val="00C20EB1"/>
    <w:pPr>
      <w:numPr>
        <w:ilvl w:val="4"/>
        <w:numId w:val="1"/>
      </w:numPr>
      <w:ind w:left="567" w:hanging="567"/>
      <w:outlineLvl w:val="4"/>
    </w:pPr>
  </w:style>
  <w:style w:type="paragraph" w:styleId="Heading6">
    <w:name w:val="heading 6"/>
    <w:basedOn w:val="Normal"/>
    <w:next w:val="Normal"/>
    <w:qFormat/>
    <w:rsid w:val="00C20EB1"/>
    <w:pPr>
      <w:numPr>
        <w:ilvl w:val="5"/>
        <w:numId w:val="1"/>
      </w:numPr>
      <w:ind w:left="567" w:hanging="567"/>
      <w:outlineLvl w:val="5"/>
    </w:pPr>
  </w:style>
  <w:style w:type="paragraph" w:styleId="Heading7">
    <w:name w:val="heading 7"/>
    <w:basedOn w:val="Normal"/>
    <w:next w:val="Normal"/>
    <w:qFormat/>
    <w:rsid w:val="00C20EB1"/>
    <w:pPr>
      <w:numPr>
        <w:ilvl w:val="6"/>
        <w:numId w:val="1"/>
      </w:numPr>
      <w:ind w:left="567" w:hanging="567"/>
      <w:outlineLvl w:val="6"/>
    </w:pPr>
  </w:style>
  <w:style w:type="paragraph" w:styleId="Heading8">
    <w:name w:val="heading 8"/>
    <w:basedOn w:val="Normal"/>
    <w:next w:val="Normal"/>
    <w:qFormat/>
    <w:rsid w:val="00C20EB1"/>
    <w:pPr>
      <w:numPr>
        <w:ilvl w:val="7"/>
        <w:numId w:val="1"/>
      </w:numPr>
      <w:ind w:left="567" w:hanging="567"/>
      <w:outlineLvl w:val="7"/>
    </w:pPr>
  </w:style>
  <w:style w:type="paragraph" w:styleId="Heading9">
    <w:name w:val="heading 9"/>
    <w:basedOn w:val="Normal"/>
    <w:next w:val="Normal"/>
    <w:qFormat/>
    <w:rsid w:val="00C20E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C20EB1"/>
  </w:style>
  <w:style w:type="paragraph" w:styleId="FootnoteText">
    <w:name w:val="footnote text"/>
    <w:basedOn w:val="Normal"/>
    <w:qFormat/>
    <w:rsid w:val="00C20EB1"/>
    <w:pPr>
      <w:keepLines/>
      <w:spacing w:after="60" w:line="240" w:lineRule="auto"/>
      <w:ind w:left="567" w:hanging="567"/>
    </w:pPr>
    <w:rPr>
      <w:sz w:val="16"/>
    </w:rPr>
  </w:style>
  <w:style w:type="paragraph" w:styleId="Header">
    <w:name w:val="header"/>
    <w:basedOn w:val="Normal"/>
    <w:qFormat/>
    <w:rsid w:val="00C20EB1"/>
  </w:style>
  <w:style w:type="paragraph" w:customStyle="1" w:styleId="quotes">
    <w:name w:val="quotes"/>
    <w:basedOn w:val="Normal"/>
    <w:next w:val="Normal"/>
    <w:rsid w:val="00C20EB1"/>
    <w:pPr>
      <w:ind w:left="720"/>
    </w:pPr>
    <w:rPr>
      <w:i/>
    </w:rPr>
  </w:style>
  <w:style w:type="character" w:styleId="FootnoteReference">
    <w:name w:val="footnote reference"/>
    <w:basedOn w:val="DefaultParagraphFont"/>
    <w:unhideWhenUsed/>
    <w:qFormat/>
    <w:rsid w:val="00C20EB1"/>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564298"/>
    <w:rPr>
      <w:sz w:val="22"/>
    </w:rPr>
  </w:style>
  <w:style w:type="character" w:customStyle="1" w:styleId="FooterChar">
    <w:name w:val="Footer Char"/>
    <w:basedOn w:val="DefaultParagraphFont"/>
    <w:link w:val="Footer"/>
    <w:rsid w:val="00B54EB1"/>
    <w:rPr>
      <w:sz w:val="22"/>
      <w:szCs w:val="22"/>
      <w:lang w:val="en-US" w:eastAsia="en-US" w:bidi="ar-SA"/>
    </w:rPr>
  </w:style>
  <w:style w:type="paragraph" w:styleId="BalloonText">
    <w:name w:val="Balloon Text"/>
    <w:basedOn w:val="Normal"/>
    <w:link w:val="BalloonTextChar"/>
    <w:semiHidden/>
    <w:unhideWhenUsed/>
    <w:rsid w:val="000C343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3430"/>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7547342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49839616">
      <w:bodyDiv w:val="1"/>
      <w:marLeft w:val="0"/>
      <w:marRight w:val="0"/>
      <w:marTop w:val="0"/>
      <w:marBottom w:val="0"/>
      <w:divBdr>
        <w:top w:val="none" w:sz="0" w:space="0" w:color="auto"/>
        <w:left w:val="none" w:sz="0" w:space="0" w:color="auto"/>
        <w:bottom w:val="none" w:sz="0" w:space="0" w:color="auto"/>
        <w:right w:val="none" w:sz="0" w:space="0" w:color="auto"/>
      </w:divBdr>
      <w:divsChild>
        <w:div w:id="564533692">
          <w:marLeft w:val="0"/>
          <w:marRight w:val="0"/>
          <w:marTop w:val="0"/>
          <w:marBottom w:val="0"/>
          <w:divBdr>
            <w:top w:val="none" w:sz="0" w:space="0" w:color="auto"/>
            <w:left w:val="none" w:sz="0" w:space="0" w:color="auto"/>
            <w:bottom w:val="none" w:sz="0" w:space="0" w:color="auto"/>
            <w:right w:val="none" w:sz="0" w:space="0" w:color="auto"/>
          </w:divBdr>
          <w:divsChild>
            <w:div w:id="1589272003">
              <w:marLeft w:val="0"/>
              <w:marRight w:val="0"/>
              <w:marTop w:val="0"/>
              <w:marBottom w:val="0"/>
              <w:divBdr>
                <w:top w:val="none" w:sz="0" w:space="0" w:color="auto"/>
                <w:left w:val="none" w:sz="0" w:space="0" w:color="auto"/>
                <w:bottom w:val="none" w:sz="0" w:space="0" w:color="auto"/>
                <w:right w:val="none" w:sz="0" w:space="0" w:color="auto"/>
              </w:divBdr>
              <w:divsChild>
                <w:div w:id="827331267">
                  <w:marLeft w:val="0"/>
                  <w:marRight w:val="0"/>
                  <w:marTop w:val="0"/>
                  <w:marBottom w:val="0"/>
                  <w:divBdr>
                    <w:top w:val="none" w:sz="0" w:space="0" w:color="auto"/>
                    <w:left w:val="none" w:sz="0" w:space="0" w:color="auto"/>
                    <w:bottom w:val="none" w:sz="0" w:space="0" w:color="auto"/>
                    <w:right w:val="none" w:sz="0" w:space="0" w:color="auto"/>
                  </w:divBdr>
                  <w:divsChild>
                    <w:div w:id="119107720">
                      <w:marLeft w:val="0"/>
                      <w:marRight w:val="0"/>
                      <w:marTop w:val="0"/>
                      <w:marBottom w:val="0"/>
                      <w:divBdr>
                        <w:top w:val="none" w:sz="0" w:space="0" w:color="auto"/>
                        <w:left w:val="none" w:sz="0" w:space="0" w:color="auto"/>
                        <w:bottom w:val="none" w:sz="0" w:space="0" w:color="auto"/>
                        <w:right w:val="none" w:sz="0" w:space="0" w:color="auto"/>
                      </w:divBdr>
                      <w:divsChild>
                        <w:div w:id="501356255">
                          <w:marLeft w:val="0"/>
                          <w:marRight w:val="0"/>
                          <w:marTop w:val="0"/>
                          <w:marBottom w:val="0"/>
                          <w:divBdr>
                            <w:top w:val="none" w:sz="0" w:space="0" w:color="auto"/>
                            <w:left w:val="none" w:sz="0" w:space="0" w:color="auto"/>
                            <w:bottom w:val="none" w:sz="0" w:space="0" w:color="auto"/>
                            <w:right w:val="none" w:sz="0" w:space="0" w:color="auto"/>
                          </w:divBdr>
                          <w:divsChild>
                            <w:div w:id="977300281">
                              <w:marLeft w:val="0"/>
                              <w:marRight w:val="0"/>
                              <w:marTop w:val="0"/>
                              <w:marBottom w:val="0"/>
                              <w:divBdr>
                                <w:top w:val="none" w:sz="0" w:space="0" w:color="auto"/>
                                <w:left w:val="none" w:sz="0" w:space="0" w:color="auto"/>
                                <w:bottom w:val="none" w:sz="0" w:space="0" w:color="auto"/>
                                <w:right w:val="none" w:sz="0" w:space="0" w:color="auto"/>
                              </w:divBdr>
                              <w:divsChild>
                                <w:div w:id="1987930404">
                                  <w:marLeft w:val="0"/>
                                  <w:marRight w:val="0"/>
                                  <w:marTop w:val="0"/>
                                  <w:marBottom w:val="0"/>
                                  <w:divBdr>
                                    <w:top w:val="none" w:sz="0" w:space="0" w:color="auto"/>
                                    <w:left w:val="none" w:sz="0" w:space="0" w:color="auto"/>
                                    <w:bottom w:val="none" w:sz="0" w:space="0" w:color="auto"/>
                                    <w:right w:val="none" w:sz="0" w:space="0" w:color="auto"/>
                                  </w:divBdr>
                                  <w:divsChild>
                                    <w:div w:id="1972132223">
                                      <w:marLeft w:val="0"/>
                                      <w:marRight w:val="0"/>
                                      <w:marTop w:val="0"/>
                                      <w:marBottom w:val="0"/>
                                      <w:divBdr>
                                        <w:top w:val="none" w:sz="0" w:space="0" w:color="auto"/>
                                        <w:left w:val="none" w:sz="0" w:space="0" w:color="auto"/>
                                        <w:bottom w:val="none" w:sz="0" w:space="0" w:color="auto"/>
                                        <w:right w:val="none" w:sz="0" w:space="0" w:color="auto"/>
                                      </w:divBdr>
                                      <w:divsChild>
                                        <w:div w:id="482622411">
                                          <w:marLeft w:val="0"/>
                                          <w:marRight w:val="0"/>
                                          <w:marTop w:val="0"/>
                                          <w:marBottom w:val="0"/>
                                          <w:divBdr>
                                            <w:top w:val="none" w:sz="0" w:space="0" w:color="auto"/>
                                            <w:left w:val="none" w:sz="0" w:space="0" w:color="auto"/>
                                            <w:bottom w:val="none" w:sz="0" w:space="0" w:color="auto"/>
                                            <w:right w:val="none" w:sz="0" w:space="0" w:color="auto"/>
                                          </w:divBdr>
                                          <w:divsChild>
                                            <w:div w:id="1328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eesc.europa.eu/?i=portal.fr.eco-opinions.400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esc.europa.eu/?i=portal.fr.eco-opinions.40063"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3XPXQ63Y2AW3-9-3044</_dlc_DocId>
    <_dlc_DocIdUrl xmlns="8835a8a4-5a07-4207-ac1e-223f88a8f7af">
      <Url>http://dm/EESC/2016/_layouts/DocIdRedir.aspx?ID=3XPXQ63Y2AW3-9-3044</Url>
      <Description>3XPXQ63Y2AW3-9-3044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dc3d2aa-8103-4135-a18e-08b5be4f3e7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2016-10-19T12:00:00+00:00</ProductionDate>
    <DocumentNumber xmlns="fdc3d2aa-8103-4135-a18e-08b5be4f3e76">5687</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14</Value>
      <Value>10</Value>
      <Value>25</Value>
      <Value>28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11749</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fdc3d2aa-8103-4135-a18e-08b5be4f3e76"/>
  </ds:schemaRefs>
</ds:datastoreItem>
</file>

<file path=customXml/itemProps4.xml><?xml version="1.0" encoding="utf-8"?>
<ds:datastoreItem xmlns:ds="http://schemas.openxmlformats.org/officeDocument/2006/customXml" ds:itemID="{DBF68F88-A92A-4AA0-A180-200CDE3ACBE6}">
  <ds:schemaRefs>
    <ds:schemaRef ds:uri="http://schemas.microsoft.com/sharepoint/events"/>
  </ds:schemaRefs>
</ds:datastoreItem>
</file>

<file path=customXml/itemProps5.xml><?xml version="1.0" encoding="utf-8"?>
<ds:datastoreItem xmlns:ds="http://schemas.openxmlformats.org/officeDocument/2006/customXml" ds:itemID="{525FADF4-E31D-4516-A008-EB5E026B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581BE9-F984-4C2E-9D21-3F860C22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576</Words>
  <Characters>3429</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 Blanchiment des capitaux ECO SP octobre</vt:lpstr>
      <vt:lpstr>CP EN 30 tax avoidance</vt:lpstr>
    </vt:vector>
  </TitlesOfParts>
  <Company>CESE-CdR</Company>
  <LinksUpToDate>false</LinksUpToDate>
  <CharactersWithSpaces>3998</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Blanchiment des capitaux ECO SP octobre</dc:title>
  <dc:subject>Communiqué de presse</dc:subject>
  <dc:creator>Milen Minchev</dc:creator>
  <cp:keywords>EESC-2016-05687-00-00-CP-TRA-FR</cp:keywords>
  <dc:description>Rapporteur : -_x000d_
Langue originale : EN_x000d_
Date du document : 19/10/2016_x000d_
Date de la réunion : _x000d_
Documents externes : -_x000d_
Fonctionnaire responsable : Minchev Milen, téléphone : + 2 546 8753_x000d_
_x000d_
Résumé :</dc:description>
  <cp:lastModifiedBy>Milen Minchev</cp:lastModifiedBy>
  <cp:revision>6</cp:revision>
  <cp:lastPrinted>2016-10-19T08:33:00Z</cp:lastPrinted>
  <dcterms:created xsi:type="dcterms:W3CDTF">2016-10-20T09:24:00Z</dcterms:created>
  <dcterms:modified xsi:type="dcterms:W3CDTF">2016-10-20T11:04:00Z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0x010100EA97B91038054C99906057A708A1480A006569393C852D1B41981698C0C702B5A1</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19/10/2016</vt:lpwstr>
  </property>
  <property fmtid="{D5CDD505-2E9C-101B-9397-08002B2CF9AE}" pid="7" name="Pref_Time">
    <vt:lpwstr>12:17:38</vt:lpwstr>
  </property>
  <property fmtid="{D5CDD505-2E9C-101B-9397-08002B2CF9AE}" pid="8" name="Pref_User">
    <vt:lpwstr>mkop</vt:lpwstr>
  </property>
  <property fmtid="{D5CDD505-2E9C-101B-9397-08002B2CF9AE}" pid="9" name="Pref_FileName">
    <vt:lpwstr>EESC-2016-05687-00-00-CP-ORI.docx</vt:lpwstr>
  </property>
  <property fmtid="{D5CDD505-2E9C-101B-9397-08002B2CF9AE}" pid="10" name="_dlc_DocIdItemGuid">
    <vt:lpwstr>6122166f-f561-4c1e-a41a-46877d0886b5</vt:lpwstr>
  </property>
  <property fmtid="{D5CDD505-2E9C-101B-9397-08002B2CF9AE}" pid="11" name="DocumentType_0">
    <vt:lpwstr>CP|de8ad211-9e8d-408b-8324-674d21bb7d18</vt:lpwstr>
  </property>
  <property fmtid="{D5CDD505-2E9C-101B-9397-08002B2CF9AE}" pid="12" name="AvailableTranslations">
    <vt:lpwstr>28;#ES|e7a6b05b-ae16-40c8-add9-68b64b03aeba;#4;#FR|d2afafd3-4c81-4f60-8f52-ee33f2f54ff3;#22;#DE|f6b31e5a-26fa-4935-b661-318e46daf27e;#25;#RO|feb747a2-64cd-4299-af12-4833ddc30497;#10;#EN|f2175f21-25d7-44a3-96da-d6a61b075e1b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5687</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14;#CP|de8ad211-9e8d-408b-8324-674d21bb7d18;#10;#EN|f2175f21-25d7-44a3-96da-d6a61b075e1b;#6;#Final|ea5e6674-7b27-4bac-b091-73adbb394efe;#5;#Unrestricted|826e22d7-d029-4ec0-a450-0c28ff673572;#25;#RO|feb747a2-64cd-4299-af12-4833ddc30497;#2;#TRA|150d2a88-143</vt:lpwstr>
  </property>
  <property fmtid="{D5CDD505-2E9C-101B-9397-08002B2CF9AE}" pid="32" name="AvailableTranslations_0">
    <vt:lpwstr>RO|feb747a2-64cd-4299-af12-4833ddc30497;EN|f2175f21-25d7-44a3-96da-d6a61b075e1b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11749</vt:i4>
  </property>
  <property fmtid="{D5CDD505-2E9C-101B-9397-08002B2CF9AE}" pid="36" name="DocumentYear">
    <vt:i4>2016</vt:i4>
  </property>
  <property fmtid="{D5CDD505-2E9C-101B-9397-08002B2CF9AE}" pid="37" name="DocumentLanguage">
    <vt:lpwstr>4;#FR|d2afafd3-4c81-4f60-8f52-ee33f2f54ff3</vt:lpwstr>
  </property>
</Properties>
</file>