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AA4A4D" w:rsidRDefault="00E17CC9" w:rsidP="0090166A">
      <w:pPr>
        <w:overflowPunct w:val="0"/>
        <w:adjustRightInd w:val="0"/>
        <w:ind w:left="-993"/>
        <w:jc w:val="center"/>
        <w:textAlignment w:val="baseline"/>
        <w:rPr>
          <w:rFonts w:ascii="Verdana" w:hAnsi="Verdana"/>
        </w:rPr>
      </w:pPr>
      <w:r w:rsidRPr="00AA4A4D">
        <w:rPr>
          <w:rFonts w:ascii="Verdana" w:hAnsi="Verdana"/>
          <w:noProof/>
          <w:lang w:val="en-US" w:eastAsia="en-US" w:bidi="ar-SA"/>
        </w:rPr>
        <w:drawing>
          <wp:inline distT="0" distB="0" distL="0" distR="0" wp14:anchorId="0BC71849" wp14:editId="6FFB6EF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AA4A4D">
        <w:trPr>
          <w:cantSplit/>
        </w:trPr>
        <w:tc>
          <w:tcPr>
            <w:tcW w:w="5168" w:type="dxa"/>
          </w:tcPr>
          <w:p w:rsidR="008820BE" w:rsidRPr="00AA4A4D" w:rsidRDefault="003646CA" w:rsidP="0090166A">
            <w:pPr>
              <w:overflowPunct w:val="0"/>
              <w:adjustRightInd w:val="0"/>
              <w:spacing w:line="240" w:lineRule="auto"/>
              <w:textAlignment w:val="baseline"/>
              <w:rPr>
                <w:rFonts w:ascii="Verdana" w:hAnsi="Verdana"/>
                <w:b/>
                <w:bCs/>
                <w:sz w:val="20"/>
              </w:rPr>
            </w:pPr>
            <w:r>
              <w:rPr>
                <w:rFonts w:ascii="Verdana" w:hAnsi="Verdana"/>
                <w:b/>
                <w:sz w:val="18"/>
              </w:rPr>
              <w:t>61</w:t>
            </w:r>
            <w:bookmarkStart w:id="0" w:name="_GoBack"/>
            <w:bookmarkEnd w:id="0"/>
            <w:r w:rsidR="00F61AE8" w:rsidRPr="00AA4A4D">
              <w:rPr>
                <w:rFonts w:ascii="Verdana" w:hAnsi="Verdana"/>
                <w:b/>
                <w:sz w:val="18"/>
              </w:rPr>
              <w:t>/2016</w:t>
            </w:r>
          </w:p>
        </w:tc>
        <w:tc>
          <w:tcPr>
            <w:tcW w:w="4119" w:type="dxa"/>
          </w:tcPr>
          <w:p w:rsidR="008820BE" w:rsidRPr="00AA4A4D" w:rsidRDefault="008730B3" w:rsidP="006B476B">
            <w:pPr>
              <w:overflowPunct w:val="0"/>
              <w:adjustRightInd w:val="0"/>
              <w:spacing w:line="240" w:lineRule="auto"/>
              <w:jc w:val="right"/>
              <w:textAlignment w:val="baseline"/>
              <w:rPr>
                <w:rFonts w:ascii="Verdana" w:hAnsi="Verdana"/>
                <w:b/>
                <w:bCs/>
                <w:sz w:val="18"/>
                <w:szCs w:val="18"/>
              </w:rPr>
            </w:pPr>
            <w:r w:rsidRPr="00AA4A4D">
              <w:rPr>
                <w:rFonts w:ascii="Verdana" w:hAnsi="Verdana"/>
                <w:b/>
                <w:sz w:val="18"/>
              </w:rPr>
              <w:t>19/10/2016</w:t>
            </w:r>
          </w:p>
        </w:tc>
      </w:tr>
    </w:tbl>
    <w:p w:rsidR="008820BE" w:rsidRPr="00AA4A4D" w:rsidRDefault="00E17CC9" w:rsidP="0090166A">
      <w:pPr>
        <w:overflowPunct w:val="0"/>
        <w:adjustRightInd w:val="0"/>
        <w:spacing w:line="240" w:lineRule="auto"/>
        <w:textAlignment w:val="baseline"/>
        <w:rPr>
          <w:rFonts w:ascii="Verdana" w:hAnsi="Verdana"/>
          <w:sz w:val="20"/>
        </w:rPr>
        <w:sectPr w:rsidR="008820BE" w:rsidRPr="00AA4A4D" w:rsidSect="00BE4F48">
          <w:footerReference w:type="default" r:id="rId15"/>
          <w:pgSz w:w="11907" w:h="16839" w:code="9"/>
          <w:pgMar w:top="426" w:right="1418" w:bottom="1418" w:left="1418" w:header="3062" w:footer="118" w:gutter="0"/>
          <w:cols w:space="720"/>
          <w:docGrid w:linePitch="299"/>
        </w:sectPr>
      </w:pPr>
      <w:r w:rsidRPr="00AA4A4D">
        <w:rPr>
          <w:rFonts w:ascii="Verdana" w:hAnsi="Verdana"/>
          <w:noProof/>
          <w:lang w:val="en-US" w:eastAsia="en-US" w:bidi="ar-SA"/>
        </w:rPr>
        <mc:AlternateContent>
          <mc:Choice Requires="wps">
            <w:drawing>
              <wp:anchor distT="0" distB="0" distL="114300" distR="114300" simplePos="0" relativeHeight="251657728" behindDoc="1" locked="0" layoutInCell="0" allowOverlap="1" wp14:anchorId="1BDC5697" wp14:editId="6EF2B180">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7F" w:rsidRPr="0090166A" w:rsidRDefault="00A9407F" w:rsidP="0090166A">
                            <w:pPr>
                              <w:overflowPunct w:val="0"/>
                              <w:adjustRightInd w:val="0"/>
                              <w:jc w:val="center"/>
                              <w:textAlignment w:val="baseline"/>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A9407F" w:rsidRPr="0090166A" w:rsidRDefault="00A9407F" w:rsidP="0090166A">
                      <w:pPr>
                        <w:overflowPunct w:val="0"/>
                        <w:adjustRightInd w:val="0"/>
                        <w:jc w:val="center"/>
                        <w:textAlignment w:val="baseline"/>
                        <w:rPr>
                          <w:rFonts w:ascii="Arial" w:hAnsi="Arial" w:cs="Arial"/>
                          <w:b/>
                          <w:sz w:val="48"/>
                        </w:rPr>
                      </w:pPr>
                      <w:r>
                        <w:rPr>
                          <w:rFonts w:ascii="Arial" w:hAnsi="Arial"/>
                          <w:b/>
                          <w:sz w:val="48"/>
                        </w:rPr>
                        <w:t>IT</w:t>
                      </w:r>
                    </w:p>
                  </w:txbxContent>
                </v:textbox>
                <w10:wrap xmlns:w10="urn:schemas-microsoft-com:office:word" anchorx="page" anchory="page"/>
              </v:shape>
            </w:pict>
          </mc:Fallback>
        </mc:AlternateContent>
      </w:r>
    </w:p>
    <w:p w:rsidR="003305C3" w:rsidRPr="00AA4A4D" w:rsidRDefault="003305C3" w:rsidP="0090166A">
      <w:pPr>
        <w:overflowPunct w:val="0"/>
        <w:adjustRightInd w:val="0"/>
        <w:spacing w:line="360" w:lineRule="auto"/>
        <w:jc w:val="left"/>
        <w:textAlignment w:val="baseline"/>
        <w:rPr>
          <w:rFonts w:ascii="Verdana" w:hAnsi="Verdana"/>
          <w:b/>
          <w:sz w:val="18"/>
        </w:rPr>
      </w:pPr>
    </w:p>
    <w:p w:rsidR="00D97AFE" w:rsidRPr="00AA4A4D" w:rsidRDefault="00D97AFE" w:rsidP="0090166A">
      <w:pPr>
        <w:overflowPunct w:val="0"/>
        <w:adjustRightInd w:val="0"/>
        <w:spacing w:line="240" w:lineRule="auto"/>
        <w:jc w:val="center"/>
        <w:textAlignment w:val="baseline"/>
        <w:rPr>
          <w:rFonts w:ascii="Verdana" w:hAnsi="Verdana"/>
          <w:b/>
          <w:sz w:val="24"/>
        </w:rPr>
      </w:pPr>
      <w:r w:rsidRPr="00AA4A4D">
        <w:rPr>
          <w:rFonts w:ascii="Verdana" w:hAnsi="Verdana"/>
          <w:b/>
          <w:sz w:val="24"/>
        </w:rPr>
        <w:t xml:space="preserve">Blocchi geografici, roaming e consegna dei pacchi: il CESE chiede all'Europa di fare di più per i </w:t>
      </w:r>
      <w:proofErr w:type="gramStart"/>
      <w:r w:rsidRPr="00AA4A4D">
        <w:rPr>
          <w:rFonts w:ascii="Verdana" w:hAnsi="Verdana"/>
          <w:b/>
          <w:sz w:val="24"/>
        </w:rPr>
        <w:t>consumatori</w:t>
      </w:r>
      <w:proofErr w:type="gramEnd"/>
      <w:r w:rsidRPr="00AA4A4D">
        <w:rPr>
          <w:rFonts w:ascii="Verdana" w:hAnsi="Verdana"/>
          <w:b/>
          <w:sz w:val="24"/>
        </w:rPr>
        <w:t xml:space="preserve"> </w:t>
      </w:r>
    </w:p>
    <w:p w:rsidR="00D97AFE" w:rsidRPr="00AA4A4D" w:rsidRDefault="00D97AFE" w:rsidP="0090166A">
      <w:pPr>
        <w:overflowPunct w:val="0"/>
        <w:adjustRightInd w:val="0"/>
        <w:spacing w:line="240" w:lineRule="auto"/>
        <w:textAlignment w:val="baseline"/>
        <w:rPr>
          <w:rFonts w:ascii="Verdana" w:hAnsi="Verdana"/>
          <w:b/>
        </w:rPr>
      </w:pPr>
    </w:p>
    <w:p w:rsidR="00D97AFE" w:rsidRPr="00AA4A4D" w:rsidRDefault="00D97AFE" w:rsidP="0090166A">
      <w:pPr>
        <w:overflowPunct w:val="0"/>
        <w:adjustRightInd w:val="0"/>
        <w:spacing w:line="240" w:lineRule="auto"/>
        <w:textAlignment w:val="baseline"/>
        <w:rPr>
          <w:rFonts w:ascii="Verdana" w:hAnsi="Verdana"/>
          <w:b/>
          <w:sz w:val="18"/>
        </w:rPr>
      </w:pPr>
      <w:r w:rsidRPr="00AA4A4D">
        <w:rPr>
          <w:rFonts w:ascii="Verdana" w:hAnsi="Verdana"/>
          <w:b/>
          <w:sz w:val="18"/>
        </w:rPr>
        <w:t xml:space="preserve">L'UE non ha mantenuto la promessa di abolire gli ostacoli alla libera circolazione delle merci e dei servizi per i consumatori. Il Comitato economico e sociale europeo (CESE), la voce della società civile in Europa, </w:t>
      </w:r>
      <w:proofErr w:type="gramStart"/>
      <w:r w:rsidRPr="00AA4A4D">
        <w:rPr>
          <w:rFonts w:ascii="Verdana" w:hAnsi="Verdana"/>
          <w:b/>
          <w:sz w:val="18"/>
        </w:rPr>
        <w:t>ha</w:t>
      </w:r>
      <w:proofErr w:type="gramEnd"/>
      <w:r w:rsidRPr="00AA4A4D">
        <w:rPr>
          <w:rFonts w:ascii="Verdana" w:hAnsi="Verdana"/>
          <w:b/>
          <w:sz w:val="18"/>
        </w:rPr>
        <w:t xml:space="preserve"> adottato tre importanti pareri – sui blocchi geografici, sul roaming e sulla consegna dei pacchi – dai quali emerge che "l'Europa può fare di più" per trasformare il mercato unico in una realtà per i consumatori.</w:t>
      </w:r>
    </w:p>
    <w:p w:rsidR="00D97AFE" w:rsidRPr="00AA4A4D" w:rsidRDefault="00D97AFE" w:rsidP="0090166A">
      <w:pPr>
        <w:overflowPunct w:val="0"/>
        <w:adjustRightInd w:val="0"/>
        <w:spacing w:line="240" w:lineRule="auto"/>
        <w:textAlignment w:val="baseline"/>
        <w:rPr>
          <w:rFonts w:ascii="Verdana" w:hAnsi="Verdana"/>
          <w:sz w:val="18"/>
        </w:rPr>
      </w:pPr>
    </w:p>
    <w:p w:rsidR="00D97AFE" w:rsidRPr="00AA4A4D" w:rsidRDefault="00D97AFE" w:rsidP="0090166A">
      <w:pPr>
        <w:overflowPunct w:val="0"/>
        <w:adjustRightInd w:val="0"/>
        <w:spacing w:line="240" w:lineRule="auto"/>
        <w:textAlignment w:val="baseline"/>
        <w:rPr>
          <w:rFonts w:ascii="Verdana" w:hAnsi="Verdana"/>
          <w:b/>
          <w:sz w:val="18"/>
          <w:u w:val="single"/>
        </w:rPr>
      </w:pPr>
      <w:r w:rsidRPr="00AA4A4D">
        <w:rPr>
          <w:rFonts w:ascii="Verdana" w:hAnsi="Verdana"/>
          <w:b/>
          <w:sz w:val="18"/>
          <w:u w:val="single"/>
        </w:rPr>
        <w:t xml:space="preserve">Blocchi geografici: è improbabile che la proposta della Commissione possa alleviare le frustrazioni dei </w:t>
      </w:r>
      <w:proofErr w:type="gramStart"/>
      <w:r w:rsidRPr="00AA4A4D">
        <w:rPr>
          <w:rFonts w:ascii="Verdana" w:hAnsi="Verdana"/>
          <w:b/>
          <w:sz w:val="18"/>
          <w:u w:val="single"/>
        </w:rPr>
        <w:t>consumatori</w:t>
      </w:r>
      <w:proofErr w:type="gramEnd"/>
      <w:r w:rsidRPr="00AA4A4D">
        <w:rPr>
          <w:rFonts w:ascii="Verdana" w:hAnsi="Verdana"/>
          <w:b/>
          <w:sz w:val="18"/>
          <w:u w:val="single"/>
        </w:rPr>
        <w:t xml:space="preserve"> </w:t>
      </w:r>
    </w:p>
    <w:p w:rsidR="00D97AFE" w:rsidRPr="00AA4A4D" w:rsidRDefault="00D97AFE" w:rsidP="0090166A">
      <w:pPr>
        <w:overflowPunct w:val="0"/>
        <w:adjustRightInd w:val="0"/>
        <w:spacing w:line="240" w:lineRule="auto"/>
        <w:textAlignment w:val="baseline"/>
        <w:rPr>
          <w:rFonts w:ascii="Verdana" w:hAnsi="Verdana"/>
          <w:b/>
          <w:sz w:val="18"/>
          <w:u w:val="single"/>
        </w:rPr>
      </w:pPr>
    </w:p>
    <w:p w:rsidR="00D97AFE" w:rsidRPr="00AA4A4D" w:rsidRDefault="00B9099A" w:rsidP="0090166A">
      <w:pPr>
        <w:overflowPunct w:val="0"/>
        <w:adjustRightInd w:val="0"/>
        <w:spacing w:line="240" w:lineRule="auto"/>
        <w:textAlignment w:val="baseline"/>
        <w:rPr>
          <w:rFonts w:ascii="Verdana" w:hAnsi="Verdana"/>
          <w:sz w:val="18"/>
        </w:rPr>
      </w:pPr>
      <w:r w:rsidRPr="00AA4A4D">
        <w:rPr>
          <w:rFonts w:ascii="Verdana" w:hAnsi="Verdana"/>
          <w:sz w:val="18"/>
        </w:rPr>
        <w:t>I blocchi geografici ingiustificati impediscono ai consumatori di acquistare beni e servizi da operatori con sede in un altro Stato membro. Il CESE ritiene che la proposta della Commissione di affrontare la questione rappresenti soltanto "</w:t>
      </w:r>
      <w:r w:rsidRPr="00AA4A4D">
        <w:rPr>
          <w:rFonts w:ascii="Verdana" w:hAnsi="Verdana"/>
          <w:b/>
          <w:sz w:val="18"/>
        </w:rPr>
        <w:t>un piccolo passo e non un punto di svolta</w:t>
      </w:r>
      <w:r w:rsidRPr="00AA4A4D">
        <w:rPr>
          <w:rFonts w:ascii="Verdana" w:hAnsi="Verdana"/>
          <w:sz w:val="18"/>
        </w:rPr>
        <w:t xml:space="preserve">", e non è certo che possa attenuare le frustrazioni dei consumatori e delle imprese. Il CESE raccomanda di garantire la parità di condizioni tra il commercio online e quello offline eliminando gli ostacoli alle operazioni transfrontaliere di compravendita. In tale </w:t>
      </w:r>
      <w:proofErr w:type="gramStart"/>
      <w:r w:rsidRPr="00AA4A4D">
        <w:rPr>
          <w:rFonts w:ascii="Verdana" w:hAnsi="Verdana"/>
          <w:sz w:val="18"/>
        </w:rPr>
        <w:t>contesto</w:t>
      </w:r>
      <w:proofErr w:type="gramEnd"/>
      <w:r w:rsidRPr="00AA4A4D">
        <w:rPr>
          <w:rFonts w:ascii="Verdana" w:hAnsi="Verdana"/>
          <w:sz w:val="18"/>
        </w:rPr>
        <w:t xml:space="preserve"> il CESE sottolinea che le ampie divergenze esistenti tra le politiche industriali e tra le legislazioni nazionali, in particolare per quanto riguarda il diritto d'autore e la consegna dei pacchi, rendono veramente difficile accelerare questo processo di armonizzazione. Le PMI e le microimprese, in particolare, hanno diversi motivi per evitare il commercio online transfrontaliero o per adeguare i prezzi e le condizioni in funzione delle differenze tra i mercati, derivanti ad esempio da </w:t>
      </w:r>
      <w:proofErr w:type="gramStart"/>
      <w:r w:rsidRPr="00AA4A4D">
        <w:rPr>
          <w:rFonts w:ascii="Verdana" w:hAnsi="Verdana"/>
          <w:sz w:val="18"/>
        </w:rPr>
        <w:t>contesti</w:t>
      </w:r>
      <w:proofErr w:type="gramEnd"/>
      <w:r w:rsidRPr="00AA4A4D">
        <w:rPr>
          <w:rFonts w:ascii="Verdana" w:hAnsi="Verdana"/>
          <w:sz w:val="18"/>
        </w:rPr>
        <w:t xml:space="preserve"> giuridici diversi, standard differenti, requisiti linguistici in materia di informativa precontrattuale e costi aggiuntivi di trasporto. </w:t>
      </w:r>
      <w:hyperlink r:id="rId16">
        <w:r w:rsidRPr="00AA4A4D">
          <w:rPr>
            <w:rStyle w:val="Hyperlink"/>
            <w:rFonts w:ascii="Verdana" w:hAnsi="Verdana"/>
            <w:sz w:val="18"/>
          </w:rPr>
          <w:t>Per saperne di più</w:t>
        </w:r>
      </w:hyperlink>
    </w:p>
    <w:p w:rsidR="00D97AFE" w:rsidRPr="00AA4A4D" w:rsidRDefault="00D97AFE" w:rsidP="0090166A">
      <w:pPr>
        <w:overflowPunct w:val="0"/>
        <w:adjustRightInd w:val="0"/>
        <w:spacing w:line="240" w:lineRule="auto"/>
        <w:textAlignment w:val="baseline"/>
        <w:rPr>
          <w:rFonts w:ascii="Verdana" w:hAnsi="Verdana"/>
          <w:sz w:val="18"/>
        </w:rPr>
      </w:pPr>
    </w:p>
    <w:p w:rsidR="00D97AFE" w:rsidRPr="00AA4A4D" w:rsidRDefault="00D97AFE" w:rsidP="0090166A">
      <w:pPr>
        <w:overflowPunct w:val="0"/>
        <w:adjustRightInd w:val="0"/>
        <w:spacing w:line="240" w:lineRule="auto"/>
        <w:textAlignment w:val="baseline"/>
        <w:rPr>
          <w:rFonts w:ascii="Verdana" w:hAnsi="Verdana"/>
          <w:b/>
          <w:sz w:val="18"/>
          <w:u w:val="single"/>
        </w:rPr>
      </w:pPr>
      <w:r w:rsidRPr="00AA4A4D">
        <w:rPr>
          <w:rFonts w:ascii="Verdana" w:hAnsi="Verdana"/>
          <w:b/>
          <w:sz w:val="18"/>
          <w:u w:val="single"/>
        </w:rPr>
        <w:t xml:space="preserve">Roaming: i consumatori potrebbero trovarsi di fronte a un aumento delle tariffe nazionali inteso a compensare il calo delle </w:t>
      </w:r>
      <w:proofErr w:type="gramStart"/>
      <w:r w:rsidRPr="00AA4A4D">
        <w:rPr>
          <w:rFonts w:ascii="Verdana" w:hAnsi="Verdana"/>
          <w:b/>
          <w:sz w:val="18"/>
          <w:u w:val="single"/>
        </w:rPr>
        <w:t>entrate</w:t>
      </w:r>
      <w:proofErr w:type="gramEnd"/>
    </w:p>
    <w:p w:rsidR="00D97AFE" w:rsidRPr="00AA4A4D" w:rsidRDefault="00D97AFE" w:rsidP="0090166A">
      <w:pPr>
        <w:overflowPunct w:val="0"/>
        <w:adjustRightInd w:val="0"/>
        <w:spacing w:line="240" w:lineRule="auto"/>
        <w:textAlignment w:val="baseline"/>
        <w:rPr>
          <w:rFonts w:ascii="Verdana" w:hAnsi="Verdana"/>
          <w:sz w:val="18"/>
        </w:rPr>
      </w:pPr>
    </w:p>
    <w:p w:rsidR="00D97AFE" w:rsidRPr="00AA4A4D" w:rsidRDefault="0021693B" w:rsidP="0090166A">
      <w:pPr>
        <w:overflowPunct w:val="0"/>
        <w:adjustRightInd w:val="0"/>
        <w:spacing w:line="240" w:lineRule="auto"/>
        <w:textAlignment w:val="baseline"/>
        <w:rPr>
          <w:rFonts w:ascii="Verdana" w:hAnsi="Verdana"/>
          <w:sz w:val="18"/>
        </w:rPr>
      </w:pPr>
      <w:r w:rsidRPr="00AA4A4D">
        <w:rPr>
          <w:rFonts w:ascii="Verdana" w:hAnsi="Verdana"/>
          <w:sz w:val="18"/>
        </w:rPr>
        <w:t>Il CESE sostiene le iniziative della Commissione volte a giungere a un "roaming a tariffa nazionale"</w:t>
      </w:r>
      <w:proofErr w:type="gramStart"/>
      <w:r w:rsidRPr="00AA4A4D">
        <w:rPr>
          <w:rFonts w:ascii="Verdana" w:hAnsi="Verdana"/>
          <w:sz w:val="18"/>
        </w:rPr>
        <w:t>,</w:t>
      </w:r>
      <w:proofErr w:type="gramEnd"/>
      <w:r w:rsidRPr="00AA4A4D">
        <w:rPr>
          <w:rFonts w:ascii="Verdana" w:hAnsi="Verdana"/>
          <w:sz w:val="18"/>
        </w:rPr>
        <w:t xml:space="preserve"> </w:t>
      </w:r>
      <w:proofErr w:type="gramStart"/>
      <w:r w:rsidRPr="00AA4A4D">
        <w:rPr>
          <w:rFonts w:ascii="Verdana" w:hAnsi="Verdana"/>
          <w:sz w:val="18"/>
        </w:rPr>
        <w:t>ma</w:t>
      </w:r>
      <w:proofErr w:type="gramEnd"/>
      <w:r w:rsidRPr="00AA4A4D">
        <w:rPr>
          <w:rFonts w:ascii="Verdana" w:hAnsi="Verdana"/>
          <w:sz w:val="18"/>
        </w:rPr>
        <w:t xml:space="preserve"> esprime forti riserve circa la possibilità per gli operatori di negoziare regimi tariffari all'ingrosso al di fuori dei massimali regolamentati, come prevede la proposta della Commissione. Poiché non esiste una rete mobile con copertura estesa a tutti gli Stati membri dell'Unione, i fornitori di servizi di roaming devono acquistare tali </w:t>
      </w:r>
      <w:proofErr w:type="gramStart"/>
      <w:r w:rsidRPr="00AA4A4D">
        <w:rPr>
          <w:rFonts w:ascii="Verdana" w:hAnsi="Verdana"/>
          <w:sz w:val="18"/>
        </w:rPr>
        <w:t>servizi</w:t>
      </w:r>
      <w:proofErr w:type="gramEnd"/>
      <w:r w:rsidRPr="00AA4A4D">
        <w:rPr>
          <w:rFonts w:ascii="Verdana" w:hAnsi="Verdana"/>
          <w:sz w:val="18"/>
        </w:rPr>
        <w:t xml:space="preserve"> da altri operatori attivi nel</w:t>
      </w:r>
      <w:r w:rsidR="00AA4A4D">
        <w:rPr>
          <w:rFonts w:ascii="Verdana" w:hAnsi="Verdana"/>
          <w:sz w:val="18"/>
        </w:rPr>
        <w:t xml:space="preserve"> paese visitato dal cliente. Il </w:t>
      </w:r>
      <w:r w:rsidRPr="00AA4A4D">
        <w:rPr>
          <w:rFonts w:ascii="Verdana" w:hAnsi="Verdana"/>
          <w:sz w:val="18"/>
        </w:rPr>
        <w:t xml:space="preserve">problema è che i "regimi tariffari all'ingrosso innovativi" al di fuori delle tariffe regolamentate non sarebbero direttamente legati ai volumi consumati. Le trattative commerciali basate su pagamenti forfettari o su impegni immediati rischiano di dar luogo a cartelli e ad abusi di posizione dominante da parte dei grandi operatori a danno di quelli più piccoli. Inoltre, </w:t>
      </w:r>
      <w:proofErr w:type="gramStart"/>
      <w:r w:rsidRPr="00AA4A4D">
        <w:rPr>
          <w:rFonts w:ascii="Verdana" w:hAnsi="Verdana"/>
          <w:sz w:val="18"/>
        </w:rPr>
        <w:t>dal momento che</w:t>
      </w:r>
      <w:proofErr w:type="gramEnd"/>
      <w:r w:rsidRPr="00AA4A4D">
        <w:rPr>
          <w:rFonts w:ascii="Verdana" w:hAnsi="Verdana"/>
          <w:sz w:val="18"/>
        </w:rPr>
        <w:t xml:space="preserve"> i consumatori potrebbero trovarsi di fronte a un rincaro generale delle tariffe nazionali volto a compensare il calo di entrate dovuto all'abolizione delle tariffe di roaming, il CESE raccomanda di adottare misure preventive e di aumentare la trasparenza delle tariffe nazionali. Infine, in caso di controversia tra operatori per quanto riguarda i mercati del roaming all'ingrosso, il CESE accoglie con favore la proposta della Commissione di obbligare le autorità nazionali di regolamentazione a chiedere il parere del </w:t>
      </w:r>
      <w:hyperlink r:id="rId17">
        <w:r w:rsidRPr="00AA4A4D">
          <w:rPr>
            <w:rStyle w:val="Hyperlink"/>
            <w:rFonts w:ascii="Verdana" w:hAnsi="Verdana"/>
            <w:sz w:val="18"/>
          </w:rPr>
          <w:t>BEREC</w:t>
        </w:r>
      </w:hyperlink>
      <w:r w:rsidRPr="00AA4A4D">
        <w:rPr>
          <w:rFonts w:ascii="Verdana" w:hAnsi="Verdana"/>
        </w:rPr>
        <w:t xml:space="preserve"> </w:t>
      </w:r>
      <w:r w:rsidRPr="00AA4A4D">
        <w:rPr>
          <w:rFonts w:ascii="Verdana" w:hAnsi="Verdana"/>
          <w:sz w:val="18"/>
          <w:szCs w:val="18"/>
        </w:rPr>
        <w:t>(l'Organismo dei regolatori europei delle comunicazioni elettroniche)</w:t>
      </w:r>
      <w:r w:rsidRPr="00AA4A4D">
        <w:rPr>
          <w:rFonts w:ascii="Verdana" w:hAnsi="Verdana"/>
        </w:rPr>
        <w:t>.</w:t>
      </w:r>
      <w:r w:rsidRPr="00AA4A4D">
        <w:rPr>
          <w:rFonts w:ascii="Verdana" w:hAnsi="Verdana"/>
          <w:sz w:val="18"/>
        </w:rPr>
        <w:t xml:space="preserve"> </w:t>
      </w:r>
      <w:hyperlink r:id="rId18">
        <w:r w:rsidRPr="00AA4A4D">
          <w:rPr>
            <w:rStyle w:val="Hyperlink"/>
            <w:rFonts w:ascii="Verdana" w:hAnsi="Verdana"/>
            <w:sz w:val="18"/>
          </w:rPr>
          <w:t>Per saperne di più</w:t>
        </w:r>
      </w:hyperlink>
    </w:p>
    <w:p w:rsidR="00D97AFE" w:rsidRPr="00AA4A4D" w:rsidRDefault="00D97AFE" w:rsidP="0090166A">
      <w:pPr>
        <w:overflowPunct w:val="0"/>
        <w:adjustRightInd w:val="0"/>
        <w:spacing w:line="240" w:lineRule="auto"/>
        <w:textAlignment w:val="baseline"/>
        <w:rPr>
          <w:rFonts w:ascii="Verdana" w:hAnsi="Verdana"/>
          <w:sz w:val="18"/>
        </w:rPr>
      </w:pPr>
    </w:p>
    <w:p w:rsidR="00D97AFE" w:rsidRPr="00AA4A4D" w:rsidRDefault="00D97AFE" w:rsidP="0090166A">
      <w:pPr>
        <w:overflowPunct w:val="0"/>
        <w:adjustRightInd w:val="0"/>
        <w:spacing w:line="240" w:lineRule="auto"/>
        <w:textAlignment w:val="baseline"/>
        <w:rPr>
          <w:rFonts w:ascii="Verdana" w:hAnsi="Verdana"/>
          <w:b/>
          <w:sz w:val="18"/>
          <w:u w:val="single"/>
        </w:rPr>
      </w:pPr>
      <w:r w:rsidRPr="00AA4A4D">
        <w:rPr>
          <w:rFonts w:ascii="Verdana" w:hAnsi="Verdana"/>
          <w:b/>
          <w:sz w:val="18"/>
          <w:u w:val="single"/>
        </w:rPr>
        <w:t xml:space="preserve">Il CESE chiede che siano fissati dei massimali sulle tariffe dei servizi di consegna transfrontaliera dei </w:t>
      </w:r>
      <w:proofErr w:type="gramStart"/>
      <w:r w:rsidRPr="00AA4A4D">
        <w:rPr>
          <w:rFonts w:ascii="Verdana" w:hAnsi="Verdana"/>
          <w:b/>
          <w:sz w:val="18"/>
          <w:u w:val="single"/>
        </w:rPr>
        <w:t>pacchi</w:t>
      </w:r>
      <w:proofErr w:type="gramEnd"/>
    </w:p>
    <w:p w:rsidR="00D97AFE" w:rsidRPr="00AA4A4D" w:rsidRDefault="00D97AFE" w:rsidP="0090166A">
      <w:pPr>
        <w:overflowPunct w:val="0"/>
        <w:adjustRightInd w:val="0"/>
        <w:spacing w:line="240" w:lineRule="auto"/>
        <w:textAlignment w:val="baseline"/>
        <w:rPr>
          <w:rFonts w:ascii="Verdana" w:hAnsi="Verdana"/>
          <w:sz w:val="18"/>
        </w:rPr>
      </w:pPr>
    </w:p>
    <w:p w:rsidR="00D97AFE" w:rsidRPr="00AA4A4D" w:rsidRDefault="00D97AFE" w:rsidP="0090166A">
      <w:pPr>
        <w:overflowPunct w:val="0"/>
        <w:adjustRightInd w:val="0"/>
        <w:spacing w:line="240" w:lineRule="auto"/>
        <w:textAlignment w:val="baseline"/>
        <w:rPr>
          <w:rFonts w:ascii="Verdana" w:hAnsi="Verdana"/>
          <w:sz w:val="18"/>
        </w:rPr>
      </w:pPr>
      <w:r w:rsidRPr="00AA4A4D">
        <w:rPr>
          <w:rFonts w:ascii="Verdana" w:hAnsi="Verdana"/>
          <w:sz w:val="18"/>
        </w:rPr>
        <w:t xml:space="preserve">Le tariffe di consegna transfrontaliera da parte di piccole e medie imprese di commercio elettronico possono </w:t>
      </w:r>
      <w:r w:rsidRPr="00AA4A4D">
        <w:rPr>
          <w:rFonts w:ascii="Verdana" w:hAnsi="Verdana"/>
          <w:b/>
          <w:sz w:val="18"/>
        </w:rPr>
        <w:t>superare di quasi cinque volte quelle nazionali</w:t>
      </w:r>
      <w:r w:rsidRPr="00AA4A4D">
        <w:rPr>
          <w:rFonts w:ascii="Verdana" w:hAnsi="Verdana"/>
          <w:sz w:val="18"/>
        </w:rPr>
        <w:t xml:space="preserve">. Tali differenze non trovano giustificazione nei costi del lavoro o di altro tipo nel paese di destinazione. Il CESE giudica che la </w:t>
      </w:r>
      <w:r w:rsidRPr="00AA4A4D">
        <w:rPr>
          <w:rFonts w:ascii="Verdana" w:hAnsi="Verdana"/>
          <w:sz w:val="18"/>
        </w:rPr>
        <w:lastRenderedPageBreak/>
        <w:t xml:space="preserve">proposta della Commissione volta a rendere più accessibili i servizi di consegna transfrontaliera non sia sufficiente a ridurre questi costi sproporzionati e ingiustificati. Nel 2014 solo il 15 % dei consumatori aveva </w:t>
      </w:r>
      <w:proofErr w:type="gramStart"/>
      <w:r w:rsidRPr="00AA4A4D">
        <w:rPr>
          <w:rFonts w:ascii="Verdana" w:hAnsi="Verdana"/>
          <w:sz w:val="18"/>
        </w:rPr>
        <w:t>effettuato</w:t>
      </w:r>
      <w:proofErr w:type="gramEnd"/>
      <w:r w:rsidRPr="00AA4A4D">
        <w:rPr>
          <w:rFonts w:ascii="Verdana" w:hAnsi="Verdana"/>
          <w:sz w:val="18"/>
        </w:rPr>
        <w:t xml:space="preserve"> acquisti online in altri paesi dell'Unione, a fronte del 44 % che aveva realizzato acquisti nel proprio paese, e la scarsa propensione agli acquisti transfrontalieri è spesso collegata alle tariffe eccessive di consegna dei pacchi. Il CESE ritiene che la Commissione dovrebbe minacciare di fissare dei massimali sulle tariffe. Dovrebbe intervenire con lo stesso approccio energico adottato per le tariffe di roaming, fissando scadenze rigorose: dovrebbe rivolgere un ultimo risoluto appello affinché tutti i servizi di consegna dei pacchi riducano le tariffe, e poi annunciare, se non minacciare, di fissare dei massimali qualora il settore non abbassi le tariffe portandole a livelli ragionevoli. </w:t>
      </w:r>
      <w:hyperlink r:id="rId19">
        <w:r w:rsidRPr="00AA4A4D">
          <w:rPr>
            <w:rStyle w:val="Hyperlink"/>
            <w:rFonts w:ascii="Verdana" w:hAnsi="Verdana"/>
            <w:sz w:val="18"/>
          </w:rPr>
          <w:t>Per saperne di più</w:t>
        </w:r>
      </w:hyperlink>
    </w:p>
    <w:p w:rsidR="008067C3" w:rsidRPr="00AA4A4D" w:rsidRDefault="008067C3" w:rsidP="0090166A">
      <w:pPr>
        <w:overflowPunct w:val="0"/>
        <w:adjustRightInd w:val="0"/>
        <w:spacing w:line="240" w:lineRule="auto"/>
        <w:textAlignment w:val="baseline"/>
        <w:rPr>
          <w:rFonts w:ascii="Verdana" w:hAnsi="Verdana"/>
          <w:sz w:val="18"/>
        </w:rPr>
      </w:pPr>
    </w:p>
    <w:p w:rsidR="00886362" w:rsidRPr="00AA4A4D" w:rsidRDefault="00886362" w:rsidP="0090166A">
      <w:pPr>
        <w:overflowPunct w:val="0"/>
        <w:adjustRightInd w:val="0"/>
        <w:spacing w:line="240" w:lineRule="auto"/>
        <w:textAlignment w:val="baseline"/>
        <w:rPr>
          <w:rFonts w:ascii="Verdana" w:hAnsi="Verdana"/>
        </w:rPr>
      </w:pPr>
    </w:p>
    <w:p w:rsidR="00AD7F3C" w:rsidRPr="00AA4A4D" w:rsidRDefault="00AD7F3C" w:rsidP="0090166A">
      <w:pPr>
        <w:overflowPunct w:val="0"/>
        <w:adjustRightInd w:val="0"/>
        <w:spacing w:line="240" w:lineRule="auto"/>
        <w:textAlignment w:val="baseline"/>
        <w:rPr>
          <w:rFonts w:ascii="Verdana" w:hAnsi="Verdana"/>
          <w:sz w:val="18"/>
        </w:rPr>
      </w:pPr>
    </w:p>
    <w:p w:rsidR="00325F72" w:rsidRPr="00AA4A4D" w:rsidRDefault="00B33867" w:rsidP="0090166A">
      <w:pPr>
        <w:overflowPunct w:val="0"/>
        <w:adjustRightInd w:val="0"/>
        <w:jc w:val="center"/>
        <w:textAlignment w:val="baseline"/>
        <w:rPr>
          <w:rFonts w:ascii="Verdana" w:hAnsi="Verdana"/>
          <w:b/>
          <w:sz w:val="17"/>
        </w:rPr>
      </w:pPr>
      <w:r w:rsidRPr="00AA4A4D">
        <w:rPr>
          <w:rFonts w:ascii="Verdana" w:hAnsi="Verdana"/>
          <w:b/>
          <w:sz w:val="17"/>
        </w:rPr>
        <w:t xml:space="preserve">Per maggiori informazioni si prega di </w:t>
      </w:r>
      <w:proofErr w:type="gramStart"/>
      <w:r w:rsidRPr="00AA4A4D">
        <w:rPr>
          <w:rFonts w:ascii="Verdana" w:hAnsi="Verdana"/>
          <w:b/>
          <w:sz w:val="17"/>
        </w:rPr>
        <w:t>contattare</w:t>
      </w:r>
      <w:proofErr w:type="gramEnd"/>
      <w:r w:rsidRPr="00AA4A4D">
        <w:rPr>
          <w:rFonts w:ascii="Verdana" w:hAnsi="Verdana"/>
          <w:b/>
          <w:sz w:val="17"/>
        </w:rPr>
        <w:t xml:space="preserve">: </w:t>
      </w:r>
    </w:p>
    <w:p w:rsidR="00B33867" w:rsidRPr="00AA4A4D" w:rsidRDefault="0000439A" w:rsidP="0090166A">
      <w:pPr>
        <w:spacing w:line="240" w:lineRule="auto"/>
        <w:jc w:val="center"/>
        <w:rPr>
          <w:rFonts w:ascii="Verdana" w:eastAsia="PMingLiU" w:hAnsi="Verdana"/>
          <w:sz w:val="17"/>
        </w:rPr>
      </w:pPr>
      <w:r w:rsidRPr="00AA4A4D">
        <w:rPr>
          <w:rFonts w:ascii="Verdana" w:hAnsi="Verdana"/>
          <w:sz w:val="17"/>
        </w:rPr>
        <w:t>Caroline Alibert-Deprez - unità Stampa del CESE</w:t>
      </w:r>
    </w:p>
    <w:p w:rsidR="00B33867" w:rsidRPr="00AA4A4D" w:rsidRDefault="00AA4A4D" w:rsidP="0090166A">
      <w:pPr>
        <w:spacing w:line="240" w:lineRule="auto"/>
        <w:jc w:val="center"/>
        <w:rPr>
          <w:rFonts w:ascii="Verdana" w:eastAsia="PMingLiU" w:hAnsi="Verdana"/>
          <w:sz w:val="17"/>
        </w:rPr>
      </w:pPr>
      <w:r w:rsidRPr="00AA4A4D">
        <w:rPr>
          <w:rFonts w:ascii="Verdana" w:hAnsi="Verdana"/>
          <w:sz w:val="17"/>
        </w:rPr>
        <w:t>E</w:t>
      </w:r>
      <w:r w:rsidR="00B33867" w:rsidRPr="00AA4A4D">
        <w:rPr>
          <w:rFonts w:ascii="Verdana" w:hAnsi="Verdana"/>
          <w:sz w:val="17"/>
        </w:rPr>
        <w:t xml:space="preserve">-mail: </w:t>
      </w:r>
      <w:hyperlink r:id="rId20">
        <w:r w:rsidR="00B33867" w:rsidRPr="00AA4A4D">
          <w:rPr>
            <w:rStyle w:val="Hyperlink"/>
            <w:rFonts w:ascii="Verdana" w:hAnsi="Verdana"/>
            <w:sz w:val="18"/>
          </w:rPr>
          <w:t>press@eesc.europa.eu</w:t>
        </w:r>
      </w:hyperlink>
    </w:p>
    <w:p w:rsidR="002C5CBB" w:rsidRPr="00AA4A4D" w:rsidRDefault="00AA4A4D" w:rsidP="0090166A">
      <w:pPr>
        <w:overflowPunct w:val="0"/>
        <w:adjustRightInd w:val="0"/>
        <w:spacing w:line="240" w:lineRule="auto"/>
        <w:jc w:val="center"/>
        <w:textAlignment w:val="baseline"/>
        <w:rPr>
          <w:rFonts w:ascii="Verdana" w:eastAsia="PMingLiU" w:hAnsi="Verdana"/>
          <w:sz w:val="16"/>
        </w:rPr>
      </w:pPr>
      <w:r w:rsidRPr="00AA4A4D">
        <w:rPr>
          <w:rFonts w:ascii="Verdana" w:hAnsi="Verdana"/>
          <w:sz w:val="16"/>
        </w:rPr>
        <w:t>Tel.</w:t>
      </w:r>
      <w:r w:rsidR="00822FAC" w:rsidRPr="00AA4A4D">
        <w:rPr>
          <w:rFonts w:ascii="Verdana" w:hAnsi="Verdana"/>
          <w:sz w:val="16"/>
        </w:rPr>
        <w:t xml:space="preserve"> +32 </w:t>
      </w:r>
      <w:proofErr w:type="gramStart"/>
      <w:r w:rsidR="00822FAC" w:rsidRPr="00AA4A4D">
        <w:rPr>
          <w:rFonts w:ascii="Verdana" w:hAnsi="Verdana"/>
          <w:sz w:val="16"/>
        </w:rPr>
        <w:t>2</w:t>
      </w:r>
      <w:proofErr w:type="gramEnd"/>
      <w:r w:rsidR="00822FAC" w:rsidRPr="00AA4A4D">
        <w:rPr>
          <w:rFonts w:ascii="Verdana" w:hAnsi="Verdana"/>
          <w:sz w:val="16"/>
        </w:rPr>
        <w:t xml:space="preserve"> 546 92 76/ </w:t>
      </w:r>
      <w:proofErr w:type="spellStart"/>
      <w:r w:rsidR="00822FAC" w:rsidRPr="00AA4A4D">
        <w:rPr>
          <w:rFonts w:ascii="Verdana" w:hAnsi="Verdana"/>
          <w:sz w:val="16"/>
        </w:rPr>
        <w:t>Mob</w:t>
      </w:r>
      <w:proofErr w:type="spellEnd"/>
      <w:r w:rsidR="00822FAC" w:rsidRPr="00AA4A4D">
        <w:rPr>
          <w:rFonts w:ascii="Verdana" w:hAnsi="Verdana"/>
          <w:sz w:val="16"/>
        </w:rPr>
        <w:t xml:space="preserve">: + 32 (0) 473 53 40 02 </w:t>
      </w:r>
    </w:p>
    <w:p w:rsidR="00325F72" w:rsidRPr="00AA4A4D" w:rsidRDefault="002204E2" w:rsidP="0090166A">
      <w:pPr>
        <w:overflowPunct w:val="0"/>
        <w:adjustRightInd w:val="0"/>
        <w:spacing w:line="240" w:lineRule="auto"/>
        <w:jc w:val="center"/>
        <w:textAlignment w:val="baseline"/>
        <w:rPr>
          <w:rFonts w:ascii="Verdana" w:eastAsia="PMingLiU" w:hAnsi="Verdana"/>
          <w:sz w:val="16"/>
        </w:rPr>
      </w:pPr>
      <w:r w:rsidRPr="00AA4A4D">
        <w:rPr>
          <w:rFonts w:ascii="Verdana" w:hAnsi="Verdana"/>
          <w:b/>
          <w:color w:val="1F497D" w:themeColor="text2"/>
          <w:sz w:val="18"/>
        </w:rPr>
        <w:t>@EESC_PRESS</w:t>
      </w:r>
    </w:p>
    <w:p w:rsidR="00C763DB" w:rsidRPr="00AA4A4D" w:rsidRDefault="00C763DB" w:rsidP="0090166A">
      <w:pPr>
        <w:overflowPunct w:val="0"/>
        <w:adjustRightInd w:val="0"/>
        <w:textAlignment w:val="baseline"/>
        <w:rPr>
          <w:rFonts w:ascii="Verdana" w:hAnsi="Verdana"/>
          <w:sz w:val="18"/>
        </w:rPr>
      </w:pPr>
    </w:p>
    <w:p w:rsidR="00CE439D" w:rsidRPr="00AA4A4D" w:rsidRDefault="00CE439D" w:rsidP="0090166A">
      <w:pPr>
        <w:overflowPunct w:val="0"/>
        <w:adjustRightInd w:val="0"/>
        <w:textAlignment w:val="baseline"/>
        <w:rPr>
          <w:rFonts w:ascii="Verdana" w:hAnsi="Verdana"/>
          <w:b/>
          <w:i/>
          <w:sz w:val="16"/>
        </w:rPr>
      </w:pPr>
      <w:r w:rsidRPr="00AA4A4D">
        <w:rPr>
          <w:rFonts w:ascii="Verdana" w:hAnsi="Verdana"/>
          <w:b/>
          <w:i/>
          <w:sz w:val="16"/>
        </w:rPr>
        <w:t>______________________________________________________________________________</w:t>
      </w:r>
    </w:p>
    <w:p w:rsidR="00CE439D" w:rsidRPr="00AA4A4D" w:rsidRDefault="00CE439D" w:rsidP="0090166A">
      <w:pPr>
        <w:overflowPunct w:val="0"/>
        <w:adjustRightInd w:val="0"/>
        <w:textAlignment w:val="baseline"/>
        <w:rPr>
          <w:rFonts w:ascii="Verdana" w:hAnsi="Verdana"/>
          <w:i/>
          <w:sz w:val="16"/>
        </w:rPr>
      </w:pPr>
      <w:r w:rsidRPr="00AA4A4D">
        <w:rPr>
          <w:rFonts w:ascii="Verdana" w:hAnsi="Verdana"/>
          <w:i/>
          <w:sz w:val="16"/>
        </w:rPr>
        <w:t xml:space="preserve">Il Comitato economico e sociale europeo rappresenta le diverse </w:t>
      </w:r>
      <w:proofErr w:type="gramStart"/>
      <w:r w:rsidRPr="00AA4A4D">
        <w:rPr>
          <w:rFonts w:ascii="Verdana" w:hAnsi="Verdana"/>
          <w:i/>
          <w:sz w:val="16"/>
        </w:rPr>
        <w:t>componenti</w:t>
      </w:r>
      <w:proofErr w:type="gramEnd"/>
      <w:r w:rsidRPr="00AA4A4D">
        <w:rPr>
          <w:rFonts w:ascii="Verdana" w:hAnsi="Verdana"/>
          <w:i/>
          <w:sz w:val="16"/>
        </w:rPr>
        <w:t xml:space="preserve"> economiche e sociali della società civile organizzata. Esso è un organo istituzionale consultivo, istituito dal Trattato di Roma nel 1957. La funzione consultiva del Comitato permette ai suoi membri, e quindi alle organizzazioni che essi rappresentano, di partecipare al processo decisionale dell'Unione. Il Comitato si compone di 350 membri, provenienti da tutta l'UE, nominati dal Consiglio dell'Unione europea.</w:t>
      </w:r>
    </w:p>
    <w:p w:rsidR="00CE439D" w:rsidRPr="00AA4A4D" w:rsidRDefault="00CE439D" w:rsidP="0090166A">
      <w:pPr>
        <w:overflowPunct w:val="0"/>
        <w:adjustRightInd w:val="0"/>
        <w:textAlignment w:val="baseline"/>
        <w:rPr>
          <w:rFonts w:ascii="Verdana" w:hAnsi="Verdana"/>
          <w:b/>
          <w:i/>
          <w:sz w:val="16"/>
        </w:rPr>
      </w:pPr>
      <w:r w:rsidRPr="00AA4A4D">
        <w:rPr>
          <w:rFonts w:ascii="Verdana" w:hAnsi="Verdana"/>
          <w:b/>
          <w:i/>
          <w:sz w:val="16"/>
        </w:rPr>
        <w:t>_______________________________________________________________________________</w:t>
      </w:r>
    </w:p>
    <w:sectPr w:rsidR="00CE439D" w:rsidRPr="00AA4A4D" w:rsidSect="00BE4F48">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0C" w:rsidRDefault="0037490C">
      <w:r>
        <w:separator/>
      </w:r>
    </w:p>
  </w:endnote>
  <w:endnote w:type="continuationSeparator" w:id="0">
    <w:p w:rsidR="0037490C" w:rsidRDefault="0037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7F" w:rsidRPr="0090166A" w:rsidRDefault="00A9407F"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0C" w:rsidRDefault="0037490C">
      <w:r>
        <w:separator/>
      </w:r>
    </w:p>
  </w:footnote>
  <w:footnote w:type="continuationSeparator" w:id="0">
    <w:p w:rsidR="0037490C" w:rsidRDefault="00374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063E15"/>
    <w:multiLevelType w:val="hybridMultilevel"/>
    <w:tmpl w:val="B79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372CDC"/>
    <w:multiLevelType w:val="hybridMultilevel"/>
    <w:tmpl w:val="1436C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C6802"/>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EE27805"/>
    <w:multiLevelType w:val="hybridMultilevel"/>
    <w:tmpl w:val="655E57CE"/>
    <w:lvl w:ilvl="0" w:tplc="254A14B2">
      <w:start w:val="1"/>
      <w:numFmt w:val="bullet"/>
      <w:lvlRestart w:val="0"/>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2A3E97"/>
    <w:multiLevelType w:val="hybridMultilevel"/>
    <w:tmpl w:val="BB3EDF6A"/>
    <w:lvl w:ilvl="0" w:tplc="A7749612">
      <w:start w:val="1"/>
      <w:numFmt w:val="lowerLetter"/>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AA26D5"/>
    <w:multiLevelType w:val="hybridMultilevel"/>
    <w:tmpl w:val="3EE2B716"/>
    <w:lvl w:ilvl="0" w:tplc="4BAC55B4">
      <w:start w:val="1"/>
      <w:numFmt w:val="bullet"/>
      <w:lvlRestart w:val="0"/>
      <w:lvlText w:val="-"/>
      <w:lvlJc w:val="left"/>
      <w:pPr>
        <w:tabs>
          <w:tab w:val="num" w:pos="0"/>
        </w:tabs>
        <w:ind w:left="369" w:hanging="369"/>
      </w:pPr>
      <w:rPr>
        <w:rFonts w:ascii="Symbol" w:hAnsi="Symbol" w:hint="default"/>
        <w:b w:val="0"/>
        <w:i w:val="0"/>
        <w:color w:val="auto"/>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6"/>
  </w:num>
  <w:num w:numId="6">
    <w:abstractNumId w:val="12"/>
  </w:num>
  <w:num w:numId="7">
    <w:abstractNumId w:val="3"/>
  </w:num>
  <w:num w:numId="8">
    <w:abstractNumId w:val="16"/>
  </w:num>
  <w:num w:numId="9">
    <w:abstractNumId w:val="15"/>
  </w:num>
  <w:num w:numId="10">
    <w:abstractNumId w:val="13"/>
  </w:num>
  <w:num w:numId="11">
    <w:abstractNumId w:val="14"/>
  </w:num>
  <w:num w:numId="12">
    <w:abstractNumId w:val="5"/>
  </w:num>
  <w:num w:numId="13">
    <w:abstractNumId w:val="8"/>
  </w:num>
  <w:num w:numId="14">
    <w:abstractNumId w:val="4"/>
  </w:num>
  <w:num w:numId="15">
    <w:abstractNumId w:val="7"/>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9A"/>
    <w:rsid w:val="000043FE"/>
    <w:rsid w:val="00013BF4"/>
    <w:rsid w:val="00015733"/>
    <w:rsid w:val="000178AE"/>
    <w:rsid w:val="0002038E"/>
    <w:rsid w:val="0002196A"/>
    <w:rsid w:val="00022547"/>
    <w:rsid w:val="00027222"/>
    <w:rsid w:val="00032159"/>
    <w:rsid w:val="00032AC8"/>
    <w:rsid w:val="0003364B"/>
    <w:rsid w:val="0003423E"/>
    <w:rsid w:val="00034390"/>
    <w:rsid w:val="00034652"/>
    <w:rsid w:val="00034AD4"/>
    <w:rsid w:val="0004647E"/>
    <w:rsid w:val="0004715C"/>
    <w:rsid w:val="00052678"/>
    <w:rsid w:val="00060A4A"/>
    <w:rsid w:val="00064EF7"/>
    <w:rsid w:val="00064F28"/>
    <w:rsid w:val="00065A40"/>
    <w:rsid w:val="00066E4E"/>
    <w:rsid w:val="00067F21"/>
    <w:rsid w:val="00070AF6"/>
    <w:rsid w:val="00071FC9"/>
    <w:rsid w:val="00073F61"/>
    <w:rsid w:val="00077FE9"/>
    <w:rsid w:val="000830E1"/>
    <w:rsid w:val="00084AD6"/>
    <w:rsid w:val="00086050"/>
    <w:rsid w:val="000879CA"/>
    <w:rsid w:val="00095160"/>
    <w:rsid w:val="00096B2F"/>
    <w:rsid w:val="000A270E"/>
    <w:rsid w:val="000A2CEE"/>
    <w:rsid w:val="000A60BE"/>
    <w:rsid w:val="000B4C8B"/>
    <w:rsid w:val="000B507E"/>
    <w:rsid w:val="000D3011"/>
    <w:rsid w:val="000D5B36"/>
    <w:rsid w:val="000E05AC"/>
    <w:rsid w:val="000E2CC7"/>
    <w:rsid w:val="000E7175"/>
    <w:rsid w:val="000F19EC"/>
    <w:rsid w:val="000F5238"/>
    <w:rsid w:val="000F56F6"/>
    <w:rsid w:val="00104DFA"/>
    <w:rsid w:val="00111E4B"/>
    <w:rsid w:val="001162E1"/>
    <w:rsid w:val="00116469"/>
    <w:rsid w:val="00127046"/>
    <w:rsid w:val="0013137C"/>
    <w:rsid w:val="00134081"/>
    <w:rsid w:val="00140B6A"/>
    <w:rsid w:val="00141C85"/>
    <w:rsid w:val="00142677"/>
    <w:rsid w:val="0014353A"/>
    <w:rsid w:val="0014447D"/>
    <w:rsid w:val="0015068E"/>
    <w:rsid w:val="00150E62"/>
    <w:rsid w:val="00161E2C"/>
    <w:rsid w:val="00164F81"/>
    <w:rsid w:val="00166961"/>
    <w:rsid w:val="0017165C"/>
    <w:rsid w:val="001719C4"/>
    <w:rsid w:val="00175643"/>
    <w:rsid w:val="00175E42"/>
    <w:rsid w:val="00184FF0"/>
    <w:rsid w:val="0018613F"/>
    <w:rsid w:val="001939E2"/>
    <w:rsid w:val="001A0F33"/>
    <w:rsid w:val="001B57CE"/>
    <w:rsid w:val="001B5975"/>
    <w:rsid w:val="001C0AA9"/>
    <w:rsid w:val="001C0DD2"/>
    <w:rsid w:val="001C346C"/>
    <w:rsid w:val="001D48D4"/>
    <w:rsid w:val="001D742E"/>
    <w:rsid w:val="001E0762"/>
    <w:rsid w:val="001E6444"/>
    <w:rsid w:val="00203251"/>
    <w:rsid w:val="00203921"/>
    <w:rsid w:val="0020436C"/>
    <w:rsid w:val="0020739D"/>
    <w:rsid w:val="0021693B"/>
    <w:rsid w:val="00216E6E"/>
    <w:rsid w:val="002204E2"/>
    <w:rsid w:val="0022628B"/>
    <w:rsid w:val="00227A31"/>
    <w:rsid w:val="0023316F"/>
    <w:rsid w:val="00244B53"/>
    <w:rsid w:val="0024520B"/>
    <w:rsid w:val="002506FE"/>
    <w:rsid w:val="00252D25"/>
    <w:rsid w:val="002562CD"/>
    <w:rsid w:val="00270392"/>
    <w:rsid w:val="00273102"/>
    <w:rsid w:val="002734F3"/>
    <w:rsid w:val="00283BAD"/>
    <w:rsid w:val="002866DC"/>
    <w:rsid w:val="002936E2"/>
    <w:rsid w:val="002A2433"/>
    <w:rsid w:val="002B04A8"/>
    <w:rsid w:val="002B6234"/>
    <w:rsid w:val="002C2C69"/>
    <w:rsid w:val="002C5CBB"/>
    <w:rsid w:val="002D08ED"/>
    <w:rsid w:val="002D6898"/>
    <w:rsid w:val="002D77DD"/>
    <w:rsid w:val="002D7A8C"/>
    <w:rsid w:val="002E14FC"/>
    <w:rsid w:val="002E1924"/>
    <w:rsid w:val="002E3BD1"/>
    <w:rsid w:val="002E6BC9"/>
    <w:rsid w:val="002E7189"/>
    <w:rsid w:val="002F1FC2"/>
    <w:rsid w:val="002F3534"/>
    <w:rsid w:val="002F41D4"/>
    <w:rsid w:val="002F7233"/>
    <w:rsid w:val="00304E7A"/>
    <w:rsid w:val="003054B2"/>
    <w:rsid w:val="003066F2"/>
    <w:rsid w:val="00306E88"/>
    <w:rsid w:val="003148CD"/>
    <w:rsid w:val="003164EF"/>
    <w:rsid w:val="00325F72"/>
    <w:rsid w:val="00327856"/>
    <w:rsid w:val="003305C3"/>
    <w:rsid w:val="00330BF8"/>
    <w:rsid w:val="003327CC"/>
    <w:rsid w:val="00335A37"/>
    <w:rsid w:val="00337F0A"/>
    <w:rsid w:val="00340194"/>
    <w:rsid w:val="00363DA8"/>
    <w:rsid w:val="003646CA"/>
    <w:rsid w:val="00364ED2"/>
    <w:rsid w:val="00365D48"/>
    <w:rsid w:val="00370239"/>
    <w:rsid w:val="0037490C"/>
    <w:rsid w:val="00374C88"/>
    <w:rsid w:val="00376637"/>
    <w:rsid w:val="003862FC"/>
    <w:rsid w:val="00386F1F"/>
    <w:rsid w:val="00392CB8"/>
    <w:rsid w:val="00394D81"/>
    <w:rsid w:val="003A18ED"/>
    <w:rsid w:val="003B2616"/>
    <w:rsid w:val="003B62F4"/>
    <w:rsid w:val="003B714A"/>
    <w:rsid w:val="003B74A0"/>
    <w:rsid w:val="003C21F5"/>
    <w:rsid w:val="003C3A03"/>
    <w:rsid w:val="003C7BF9"/>
    <w:rsid w:val="003D2255"/>
    <w:rsid w:val="003E5330"/>
    <w:rsid w:val="003E634B"/>
    <w:rsid w:val="003F3296"/>
    <w:rsid w:val="003F32EA"/>
    <w:rsid w:val="003F5C5E"/>
    <w:rsid w:val="0040099B"/>
    <w:rsid w:val="00402807"/>
    <w:rsid w:val="004045EB"/>
    <w:rsid w:val="00404BFF"/>
    <w:rsid w:val="00414A53"/>
    <w:rsid w:val="00415811"/>
    <w:rsid w:val="004161B8"/>
    <w:rsid w:val="004179E6"/>
    <w:rsid w:val="004258C4"/>
    <w:rsid w:val="00430A45"/>
    <w:rsid w:val="004443A5"/>
    <w:rsid w:val="00445F73"/>
    <w:rsid w:val="0045265D"/>
    <w:rsid w:val="0045424F"/>
    <w:rsid w:val="00455119"/>
    <w:rsid w:val="004605FD"/>
    <w:rsid w:val="00470B59"/>
    <w:rsid w:val="00473B13"/>
    <w:rsid w:val="00473E94"/>
    <w:rsid w:val="00474419"/>
    <w:rsid w:val="00484B8C"/>
    <w:rsid w:val="00491A12"/>
    <w:rsid w:val="00492D0F"/>
    <w:rsid w:val="00494BBC"/>
    <w:rsid w:val="004969A2"/>
    <w:rsid w:val="004C44EE"/>
    <w:rsid w:val="004D47BD"/>
    <w:rsid w:val="004D55B7"/>
    <w:rsid w:val="004E0E3E"/>
    <w:rsid w:val="004E1858"/>
    <w:rsid w:val="004E5000"/>
    <w:rsid w:val="004E546A"/>
    <w:rsid w:val="004F3E26"/>
    <w:rsid w:val="004F4806"/>
    <w:rsid w:val="0050638B"/>
    <w:rsid w:val="005070FA"/>
    <w:rsid w:val="00510A96"/>
    <w:rsid w:val="005130D0"/>
    <w:rsid w:val="005134D3"/>
    <w:rsid w:val="00521032"/>
    <w:rsid w:val="005215C9"/>
    <w:rsid w:val="00526550"/>
    <w:rsid w:val="005269FE"/>
    <w:rsid w:val="005270ED"/>
    <w:rsid w:val="00540766"/>
    <w:rsid w:val="005407F1"/>
    <w:rsid w:val="00542994"/>
    <w:rsid w:val="00544FAF"/>
    <w:rsid w:val="0055255F"/>
    <w:rsid w:val="0055294F"/>
    <w:rsid w:val="00553B5B"/>
    <w:rsid w:val="00553E7C"/>
    <w:rsid w:val="005549A1"/>
    <w:rsid w:val="00556CD0"/>
    <w:rsid w:val="0056215A"/>
    <w:rsid w:val="005658B4"/>
    <w:rsid w:val="00572C40"/>
    <w:rsid w:val="00575DF5"/>
    <w:rsid w:val="005848E8"/>
    <w:rsid w:val="00585DFE"/>
    <w:rsid w:val="00591DA1"/>
    <w:rsid w:val="00592F50"/>
    <w:rsid w:val="00594C5F"/>
    <w:rsid w:val="005A5F88"/>
    <w:rsid w:val="005A6FBD"/>
    <w:rsid w:val="005B0466"/>
    <w:rsid w:val="005B203C"/>
    <w:rsid w:val="005B3342"/>
    <w:rsid w:val="005B53B3"/>
    <w:rsid w:val="005B69E8"/>
    <w:rsid w:val="005C08F4"/>
    <w:rsid w:val="005C0DE6"/>
    <w:rsid w:val="005C27AB"/>
    <w:rsid w:val="005C27F1"/>
    <w:rsid w:val="005C46DB"/>
    <w:rsid w:val="005D03CA"/>
    <w:rsid w:val="005D1289"/>
    <w:rsid w:val="005D1C0D"/>
    <w:rsid w:val="005E17DA"/>
    <w:rsid w:val="005E1BBF"/>
    <w:rsid w:val="005F42C5"/>
    <w:rsid w:val="00604FB8"/>
    <w:rsid w:val="0060528C"/>
    <w:rsid w:val="0060771D"/>
    <w:rsid w:val="00607C27"/>
    <w:rsid w:val="006143C2"/>
    <w:rsid w:val="0061454B"/>
    <w:rsid w:val="006148A6"/>
    <w:rsid w:val="006171F3"/>
    <w:rsid w:val="00617E51"/>
    <w:rsid w:val="00626C38"/>
    <w:rsid w:val="00627902"/>
    <w:rsid w:val="00635A3E"/>
    <w:rsid w:val="006371D8"/>
    <w:rsid w:val="00637A99"/>
    <w:rsid w:val="00643B6D"/>
    <w:rsid w:val="00647A05"/>
    <w:rsid w:val="00647E74"/>
    <w:rsid w:val="00650F45"/>
    <w:rsid w:val="00657B35"/>
    <w:rsid w:val="00661B63"/>
    <w:rsid w:val="00662EE3"/>
    <w:rsid w:val="006632D5"/>
    <w:rsid w:val="00663F9C"/>
    <w:rsid w:val="00664630"/>
    <w:rsid w:val="006722B1"/>
    <w:rsid w:val="006849A9"/>
    <w:rsid w:val="00686EC2"/>
    <w:rsid w:val="006A7CB6"/>
    <w:rsid w:val="006B476B"/>
    <w:rsid w:val="006C07A6"/>
    <w:rsid w:val="006C10F6"/>
    <w:rsid w:val="006C15A4"/>
    <w:rsid w:val="006D0D46"/>
    <w:rsid w:val="006D2EDD"/>
    <w:rsid w:val="006D2F3C"/>
    <w:rsid w:val="006D6889"/>
    <w:rsid w:val="006D7231"/>
    <w:rsid w:val="006E0758"/>
    <w:rsid w:val="006E089C"/>
    <w:rsid w:val="006E1765"/>
    <w:rsid w:val="006E40E3"/>
    <w:rsid w:val="006E7218"/>
    <w:rsid w:val="0071010B"/>
    <w:rsid w:val="00712EA3"/>
    <w:rsid w:val="00714F5F"/>
    <w:rsid w:val="0071617F"/>
    <w:rsid w:val="00723B92"/>
    <w:rsid w:val="00725FEE"/>
    <w:rsid w:val="00726590"/>
    <w:rsid w:val="00732E78"/>
    <w:rsid w:val="00734330"/>
    <w:rsid w:val="007345CC"/>
    <w:rsid w:val="007431FC"/>
    <w:rsid w:val="00745ECE"/>
    <w:rsid w:val="007506DD"/>
    <w:rsid w:val="0075480A"/>
    <w:rsid w:val="0075747C"/>
    <w:rsid w:val="00763ABB"/>
    <w:rsid w:val="007644DA"/>
    <w:rsid w:val="00767C03"/>
    <w:rsid w:val="00776903"/>
    <w:rsid w:val="0078065F"/>
    <w:rsid w:val="00790C12"/>
    <w:rsid w:val="00791B4E"/>
    <w:rsid w:val="0079480D"/>
    <w:rsid w:val="00794F1B"/>
    <w:rsid w:val="0079639D"/>
    <w:rsid w:val="007965B7"/>
    <w:rsid w:val="007A036E"/>
    <w:rsid w:val="007A1010"/>
    <w:rsid w:val="007A28F9"/>
    <w:rsid w:val="007A5486"/>
    <w:rsid w:val="007B177E"/>
    <w:rsid w:val="007B245C"/>
    <w:rsid w:val="007C07B7"/>
    <w:rsid w:val="007C1DDE"/>
    <w:rsid w:val="007D191F"/>
    <w:rsid w:val="007D21F2"/>
    <w:rsid w:val="007D708F"/>
    <w:rsid w:val="007D7611"/>
    <w:rsid w:val="007E636E"/>
    <w:rsid w:val="007E645B"/>
    <w:rsid w:val="007E675D"/>
    <w:rsid w:val="007F0D33"/>
    <w:rsid w:val="007F36B6"/>
    <w:rsid w:val="007F385B"/>
    <w:rsid w:val="007F5085"/>
    <w:rsid w:val="007F647B"/>
    <w:rsid w:val="00804624"/>
    <w:rsid w:val="008067C3"/>
    <w:rsid w:val="00806A23"/>
    <w:rsid w:val="00811FCE"/>
    <w:rsid w:val="00814120"/>
    <w:rsid w:val="00822FAC"/>
    <w:rsid w:val="00825E10"/>
    <w:rsid w:val="00826B0B"/>
    <w:rsid w:val="00831D12"/>
    <w:rsid w:val="008331BA"/>
    <w:rsid w:val="008408FC"/>
    <w:rsid w:val="0085464F"/>
    <w:rsid w:val="00862C04"/>
    <w:rsid w:val="0086389C"/>
    <w:rsid w:val="00864501"/>
    <w:rsid w:val="00864B9E"/>
    <w:rsid w:val="00865EFE"/>
    <w:rsid w:val="0087205A"/>
    <w:rsid w:val="008730B3"/>
    <w:rsid w:val="008820BE"/>
    <w:rsid w:val="00886362"/>
    <w:rsid w:val="00886B25"/>
    <w:rsid w:val="00892AC3"/>
    <w:rsid w:val="008A05AA"/>
    <w:rsid w:val="008A0E9A"/>
    <w:rsid w:val="008A3967"/>
    <w:rsid w:val="008A5114"/>
    <w:rsid w:val="008A7BC8"/>
    <w:rsid w:val="008C3D7F"/>
    <w:rsid w:val="008C573E"/>
    <w:rsid w:val="008C6814"/>
    <w:rsid w:val="008C705E"/>
    <w:rsid w:val="008D3853"/>
    <w:rsid w:val="008D45B3"/>
    <w:rsid w:val="008D58F4"/>
    <w:rsid w:val="008E5B09"/>
    <w:rsid w:val="008E6D76"/>
    <w:rsid w:val="008F5A64"/>
    <w:rsid w:val="008F5CCB"/>
    <w:rsid w:val="008F60FA"/>
    <w:rsid w:val="0090166A"/>
    <w:rsid w:val="00903049"/>
    <w:rsid w:val="0091006B"/>
    <w:rsid w:val="00910EE7"/>
    <w:rsid w:val="00913654"/>
    <w:rsid w:val="009164D9"/>
    <w:rsid w:val="009243BD"/>
    <w:rsid w:val="00924745"/>
    <w:rsid w:val="00925FAC"/>
    <w:rsid w:val="00927D51"/>
    <w:rsid w:val="00930ECB"/>
    <w:rsid w:val="00935C20"/>
    <w:rsid w:val="00936394"/>
    <w:rsid w:val="0094037E"/>
    <w:rsid w:val="00946DF1"/>
    <w:rsid w:val="009507B5"/>
    <w:rsid w:val="00952F58"/>
    <w:rsid w:val="009533B3"/>
    <w:rsid w:val="0095467B"/>
    <w:rsid w:val="00961216"/>
    <w:rsid w:val="0096658E"/>
    <w:rsid w:val="0097280B"/>
    <w:rsid w:val="00976592"/>
    <w:rsid w:val="00985346"/>
    <w:rsid w:val="00990350"/>
    <w:rsid w:val="00993A38"/>
    <w:rsid w:val="00996D8C"/>
    <w:rsid w:val="009A0D29"/>
    <w:rsid w:val="009A348E"/>
    <w:rsid w:val="009A4080"/>
    <w:rsid w:val="009B00D5"/>
    <w:rsid w:val="009C2FCF"/>
    <w:rsid w:val="009D06B0"/>
    <w:rsid w:val="009D3988"/>
    <w:rsid w:val="009D4A82"/>
    <w:rsid w:val="009D663A"/>
    <w:rsid w:val="009E095D"/>
    <w:rsid w:val="009E6AF3"/>
    <w:rsid w:val="009E6DD9"/>
    <w:rsid w:val="009F5812"/>
    <w:rsid w:val="00A00B19"/>
    <w:rsid w:val="00A022FA"/>
    <w:rsid w:val="00A0267E"/>
    <w:rsid w:val="00A03544"/>
    <w:rsid w:val="00A12EC1"/>
    <w:rsid w:val="00A13E71"/>
    <w:rsid w:val="00A14889"/>
    <w:rsid w:val="00A21AF7"/>
    <w:rsid w:val="00A274CD"/>
    <w:rsid w:val="00A30C79"/>
    <w:rsid w:val="00A463F8"/>
    <w:rsid w:val="00A46510"/>
    <w:rsid w:val="00A618B2"/>
    <w:rsid w:val="00A67DC9"/>
    <w:rsid w:val="00A700CA"/>
    <w:rsid w:val="00A70831"/>
    <w:rsid w:val="00A70D69"/>
    <w:rsid w:val="00A72EC9"/>
    <w:rsid w:val="00A75B47"/>
    <w:rsid w:val="00A801B4"/>
    <w:rsid w:val="00A821E5"/>
    <w:rsid w:val="00A866CB"/>
    <w:rsid w:val="00A90FC3"/>
    <w:rsid w:val="00A9124D"/>
    <w:rsid w:val="00A917FB"/>
    <w:rsid w:val="00A9407F"/>
    <w:rsid w:val="00A94C10"/>
    <w:rsid w:val="00A959B3"/>
    <w:rsid w:val="00AA0C32"/>
    <w:rsid w:val="00AA4A4D"/>
    <w:rsid w:val="00AA4F6C"/>
    <w:rsid w:val="00AA61D9"/>
    <w:rsid w:val="00AB4558"/>
    <w:rsid w:val="00AB6674"/>
    <w:rsid w:val="00AB730B"/>
    <w:rsid w:val="00AB74CD"/>
    <w:rsid w:val="00AD1CA6"/>
    <w:rsid w:val="00AD4B3D"/>
    <w:rsid w:val="00AD7F3C"/>
    <w:rsid w:val="00AE2304"/>
    <w:rsid w:val="00AE2B61"/>
    <w:rsid w:val="00AE30B6"/>
    <w:rsid w:val="00AE3B79"/>
    <w:rsid w:val="00AF2692"/>
    <w:rsid w:val="00AF4687"/>
    <w:rsid w:val="00B005B7"/>
    <w:rsid w:val="00B007CD"/>
    <w:rsid w:val="00B03F1A"/>
    <w:rsid w:val="00B05B15"/>
    <w:rsid w:val="00B068AD"/>
    <w:rsid w:val="00B12944"/>
    <w:rsid w:val="00B14944"/>
    <w:rsid w:val="00B172A0"/>
    <w:rsid w:val="00B239E2"/>
    <w:rsid w:val="00B31D91"/>
    <w:rsid w:val="00B33636"/>
    <w:rsid w:val="00B33867"/>
    <w:rsid w:val="00B403EA"/>
    <w:rsid w:val="00B43F58"/>
    <w:rsid w:val="00B46943"/>
    <w:rsid w:val="00B52063"/>
    <w:rsid w:val="00B54591"/>
    <w:rsid w:val="00B56053"/>
    <w:rsid w:val="00B70056"/>
    <w:rsid w:val="00B71203"/>
    <w:rsid w:val="00B72F4C"/>
    <w:rsid w:val="00B73294"/>
    <w:rsid w:val="00B738CE"/>
    <w:rsid w:val="00B87414"/>
    <w:rsid w:val="00B90699"/>
    <w:rsid w:val="00B9099A"/>
    <w:rsid w:val="00B924A7"/>
    <w:rsid w:val="00B9349D"/>
    <w:rsid w:val="00B9451A"/>
    <w:rsid w:val="00B96D77"/>
    <w:rsid w:val="00B96EB7"/>
    <w:rsid w:val="00B97CC4"/>
    <w:rsid w:val="00BB36F5"/>
    <w:rsid w:val="00BC044C"/>
    <w:rsid w:val="00BC1747"/>
    <w:rsid w:val="00BC60C2"/>
    <w:rsid w:val="00BD5F18"/>
    <w:rsid w:val="00BD68E5"/>
    <w:rsid w:val="00BE1AD1"/>
    <w:rsid w:val="00BE1DAF"/>
    <w:rsid w:val="00BE3B9C"/>
    <w:rsid w:val="00BE4F48"/>
    <w:rsid w:val="00BF0385"/>
    <w:rsid w:val="00BF3CA8"/>
    <w:rsid w:val="00C06C45"/>
    <w:rsid w:val="00C12A8E"/>
    <w:rsid w:val="00C139D3"/>
    <w:rsid w:val="00C36609"/>
    <w:rsid w:val="00C3679D"/>
    <w:rsid w:val="00C538F0"/>
    <w:rsid w:val="00C56D06"/>
    <w:rsid w:val="00C62641"/>
    <w:rsid w:val="00C6779D"/>
    <w:rsid w:val="00C73A17"/>
    <w:rsid w:val="00C763DB"/>
    <w:rsid w:val="00C801D6"/>
    <w:rsid w:val="00C82094"/>
    <w:rsid w:val="00C82882"/>
    <w:rsid w:val="00C86BD9"/>
    <w:rsid w:val="00C92538"/>
    <w:rsid w:val="00C9778F"/>
    <w:rsid w:val="00C977BE"/>
    <w:rsid w:val="00C97D1B"/>
    <w:rsid w:val="00CA087C"/>
    <w:rsid w:val="00CA54F3"/>
    <w:rsid w:val="00CB0CF6"/>
    <w:rsid w:val="00CB13A6"/>
    <w:rsid w:val="00CB38B5"/>
    <w:rsid w:val="00CB3AEC"/>
    <w:rsid w:val="00CB5993"/>
    <w:rsid w:val="00CC1036"/>
    <w:rsid w:val="00CC2EEE"/>
    <w:rsid w:val="00CC4F70"/>
    <w:rsid w:val="00CC51C7"/>
    <w:rsid w:val="00CC66BE"/>
    <w:rsid w:val="00CC7378"/>
    <w:rsid w:val="00CC79A7"/>
    <w:rsid w:val="00CD0945"/>
    <w:rsid w:val="00CE39E7"/>
    <w:rsid w:val="00CE439D"/>
    <w:rsid w:val="00CF25A1"/>
    <w:rsid w:val="00CF3A7A"/>
    <w:rsid w:val="00D000D0"/>
    <w:rsid w:val="00D04716"/>
    <w:rsid w:val="00D107B7"/>
    <w:rsid w:val="00D12BAF"/>
    <w:rsid w:val="00D15E24"/>
    <w:rsid w:val="00D1634B"/>
    <w:rsid w:val="00D169E7"/>
    <w:rsid w:val="00D17E81"/>
    <w:rsid w:val="00D37A25"/>
    <w:rsid w:val="00D513E8"/>
    <w:rsid w:val="00D6198E"/>
    <w:rsid w:val="00D61E64"/>
    <w:rsid w:val="00D73916"/>
    <w:rsid w:val="00D756D2"/>
    <w:rsid w:val="00D8566C"/>
    <w:rsid w:val="00D93A6F"/>
    <w:rsid w:val="00D97AFE"/>
    <w:rsid w:val="00D97D8E"/>
    <w:rsid w:val="00DA1CB0"/>
    <w:rsid w:val="00DA396F"/>
    <w:rsid w:val="00DA4DCC"/>
    <w:rsid w:val="00DA7ACD"/>
    <w:rsid w:val="00DB25B6"/>
    <w:rsid w:val="00DC5ECF"/>
    <w:rsid w:val="00DC66B3"/>
    <w:rsid w:val="00DE1D9B"/>
    <w:rsid w:val="00DE24B2"/>
    <w:rsid w:val="00DE6315"/>
    <w:rsid w:val="00DF0D46"/>
    <w:rsid w:val="00DF4F75"/>
    <w:rsid w:val="00E17467"/>
    <w:rsid w:val="00E17CC9"/>
    <w:rsid w:val="00E318A5"/>
    <w:rsid w:val="00E32EC6"/>
    <w:rsid w:val="00E33B7A"/>
    <w:rsid w:val="00E376FE"/>
    <w:rsid w:val="00E42560"/>
    <w:rsid w:val="00E563EC"/>
    <w:rsid w:val="00E633DE"/>
    <w:rsid w:val="00E6702A"/>
    <w:rsid w:val="00E71274"/>
    <w:rsid w:val="00E73B97"/>
    <w:rsid w:val="00E81B1C"/>
    <w:rsid w:val="00E8447D"/>
    <w:rsid w:val="00E84B0D"/>
    <w:rsid w:val="00E87EAF"/>
    <w:rsid w:val="00E95245"/>
    <w:rsid w:val="00E96FCE"/>
    <w:rsid w:val="00EA5546"/>
    <w:rsid w:val="00EB453C"/>
    <w:rsid w:val="00EC04FE"/>
    <w:rsid w:val="00EC3074"/>
    <w:rsid w:val="00EC5D4E"/>
    <w:rsid w:val="00EC68D3"/>
    <w:rsid w:val="00EC6CC3"/>
    <w:rsid w:val="00EE684E"/>
    <w:rsid w:val="00EF2DA9"/>
    <w:rsid w:val="00EF77B2"/>
    <w:rsid w:val="00F00B46"/>
    <w:rsid w:val="00F02081"/>
    <w:rsid w:val="00F5107D"/>
    <w:rsid w:val="00F5199C"/>
    <w:rsid w:val="00F534F3"/>
    <w:rsid w:val="00F54B43"/>
    <w:rsid w:val="00F600A5"/>
    <w:rsid w:val="00F606C3"/>
    <w:rsid w:val="00F61167"/>
    <w:rsid w:val="00F61AE8"/>
    <w:rsid w:val="00F67FC4"/>
    <w:rsid w:val="00F77DCA"/>
    <w:rsid w:val="00F80546"/>
    <w:rsid w:val="00F81042"/>
    <w:rsid w:val="00F92628"/>
    <w:rsid w:val="00F96906"/>
    <w:rsid w:val="00FA101E"/>
    <w:rsid w:val="00FA2C33"/>
    <w:rsid w:val="00FA33EE"/>
    <w:rsid w:val="00FA629B"/>
    <w:rsid w:val="00FB068A"/>
    <w:rsid w:val="00FB59C4"/>
    <w:rsid w:val="00FB62BB"/>
    <w:rsid w:val="00FC24F2"/>
    <w:rsid w:val="00FD6F04"/>
    <w:rsid w:val="00FD7050"/>
    <w:rsid w:val="00FD7CDB"/>
    <w:rsid w:val="00FE1538"/>
    <w:rsid w:val="00FE243B"/>
    <w:rsid w:val="00FE3BF2"/>
    <w:rsid w:val="00FE43BC"/>
    <w:rsid w:val="00FE48C1"/>
    <w:rsid w:val="00FE6CC4"/>
    <w:rsid w:val="00FF38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F48"/>
    <w:pPr>
      <w:spacing w:line="288" w:lineRule="auto"/>
      <w:jc w:val="both"/>
    </w:pPr>
    <w:rPr>
      <w:sz w:val="22"/>
      <w:szCs w:val="22"/>
    </w:rPr>
  </w:style>
  <w:style w:type="paragraph" w:styleId="Heading1">
    <w:name w:val="heading 1"/>
    <w:basedOn w:val="Normal"/>
    <w:next w:val="Normal"/>
    <w:qFormat/>
    <w:rsid w:val="00BE4F48"/>
    <w:pPr>
      <w:numPr>
        <w:numId w:val="1"/>
      </w:numPr>
      <w:ind w:left="567" w:hanging="567"/>
      <w:outlineLvl w:val="0"/>
    </w:pPr>
    <w:rPr>
      <w:kern w:val="28"/>
    </w:rPr>
  </w:style>
  <w:style w:type="paragraph" w:styleId="Heading2">
    <w:name w:val="heading 2"/>
    <w:basedOn w:val="Normal"/>
    <w:next w:val="Normal"/>
    <w:qFormat/>
    <w:rsid w:val="00BE4F48"/>
    <w:pPr>
      <w:numPr>
        <w:ilvl w:val="1"/>
        <w:numId w:val="1"/>
      </w:numPr>
      <w:ind w:left="567" w:hanging="567"/>
      <w:outlineLvl w:val="1"/>
    </w:pPr>
  </w:style>
  <w:style w:type="paragraph" w:styleId="Heading3">
    <w:name w:val="heading 3"/>
    <w:basedOn w:val="Normal"/>
    <w:next w:val="Normal"/>
    <w:qFormat/>
    <w:rsid w:val="00BE4F48"/>
    <w:pPr>
      <w:numPr>
        <w:ilvl w:val="2"/>
        <w:numId w:val="1"/>
      </w:numPr>
      <w:ind w:left="567" w:hanging="567"/>
      <w:outlineLvl w:val="2"/>
    </w:pPr>
  </w:style>
  <w:style w:type="paragraph" w:styleId="Heading4">
    <w:name w:val="heading 4"/>
    <w:basedOn w:val="Normal"/>
    <w:next w:val="Normal"/>
    <w:qFormat/>
    <w:rsid w:val="00BE4F48"/>
    <w:pPr>
      <w:numPr>
        <w:ilvl w:val="3"/>
        <w:numId w:val="1"/>
      </w:numPr>
      <w:ind w:left="567" w:hanging="567"/>
      <w:outlineLvl w:val="3"/>
    </w:pPr>
  </w:style>
  <w:style w:type="paragraph" w:styleId="Heading5">
    <w:name w:val="heading 5"/>
    <w:basedOn w:val="Normal"/>
    <w:next w:val="Normal"/>
    <w:qFormat/>
    <w:rsid w:val="00BE4F48"/>
    <w:pPr>
      <w:numPr>
        <w:ilvl w:val="4"/>
        <w:numId w:val="1"/>
      </w:numPr>
      <w:ind w:left="567" w:hanging="567"/>
      <w:outlineLvl w:val="4"/>
    </w:pPr>
  </w:style>
  <w:style w:type="paragraph" w:styleId="Heading6">
    <w:name w:val="heading 6"/>
    <w:basedOn w:val="Normal"/>
    <w:next w:val="Normal"/>
    <w:qFormat/>
    <w:rsid w:val="00BE4F48"/>
    <w:pPr>
      <w:numPr>
        <w:ilvl w:val="5"/>
        <w:numId w:val="1"/>
      </w:numPr>
      <w:ind w:left="567" w:hanging="567"/>
      <w:outlineLvl w:val="5"/>
    </w:pPr>
  </w:style>
  <w:style w:type="paragraph" w:styleId="Heading7">
    <w:name w:val="heading 7"/>
    <w:basedOn w:val="Normal"/>
    <w:next w:val="Normal"/>
    <w:qFormat/>
    <w:rsid w:val="00BE4F48"/>
    <w:pPr>
      <w:numPr>
        <w:ilvl w:val="6"/>
        <w:numId w:val="1"/>
      </w:numPr>
      <w:ind w:left="567" w:hanging="567"/>
      <w:outlineLvl w:val="6"/>
    </w:pPr>
  </w:style>
  <w:style w:type="paragraph" w:styleId="Heading8">
    <w:name w:val="heading 8"/>
    <w:basedOn w:val="Normal"/>
    <w:next w:val="Normal"/>
    <w:qFormat/>
    <w:rsid w:val="00BE4F48"/>
    <w:pPr>
      <w:numPr>
        <w:ilvl w:val="7"/>
        <w:numId w:val="1"/>
      </w:numPr>
      <w:ind w:left="567" w:hanging="567"/>
      <w:outlineLvl w:val="7"/>
    </w:pPr>
  </w:style>
  <w:style w:type="paragraph" w:styleId="Heading9">
    <w:name w:val="heading 9"/>
    <w:basedOn w:val="Normal"/>
    <w:next w:val="Normal"/>
    <w:qFormat/>
    <w:rsid w:val="00BE4F4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BE4F48"/>
  </w:style>
  <w:style w:type="paragraph" w:styleId="FootnoteText">
    <w:name w:val="footnote text"/>
    <w:basedOn w:val="Normal"/>
    <w:qFormat/>
    <w:rsid w:val="00BE4F48"/>
    <w:pPr>
      <w:keepLines/>
      <w:spacing w:after="60" w:line="240" w:lineRule="auto"/>
      <w:ind w:left="567" w:hanging="567"/>
    </w:pPr>
    <w:rPr>
      <w:sz w:val="16"/>
    </w:rPr>
  </w:style>
  <w:style w:type="paragraph" w:styleId="Header">
    <w:name w:val="header"/>
    <w:basedOn w:val="Normal"/>
    <w:link w:val="HeaderChar"/>
    <w:qFormat/>
    <w:rsid w:val="00BE4F48"/>
  </w:style>
  <w:style w:type="paragraph" w:customStyle="1" w:styleId="quotes">
    <w:name w:val="quotes"/>
    <w:basedOn w:val="Normal"/>
    <w:next w:val="Normal"/>
    <w:rsid w:val="00BE4F48"/>
    <w:pPr>
      <w:ind w:left="720"/>
    </w:pPr>
    <w:rPr>
      <w:i/>
    </w:rPr>
  </w:style>
  <w:style w:type="character" w:styleId="FootnoteReference">
    <w:name w:val="footnote reference"/>
    <w:basedOn w:val="DefaultParagraphFont"/>
    <w:unhideWhenUsed/>
    <w:qFormat/>
    <w:rsid w:val="00BE4F48"/>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it-IT"/>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it-IT" w:eastAsia="it-IT"/>
    </w:rPr>
  </w:style>
  <w:style w:type="character" w:customStyle="1" w:styleId="FooterChar">
    <w:name w:val="Footer Char"/>
    <w:basedOn w:val="DefaultParagraphFont"/>
    <w:link w:val="Footer"/>
    <w:rsid w:val="00402807"/>
    <w:rPr>
      <w:sz w:val="22"/>
      <w:szCs w:val="22"/>
      <w:lang w:val="it-IT" w:eastAsia="it-IT"/>
    </w:rPr>
  </w:style>
  <w:style w:type="paragraph" w:styleId="BalloonText">
    <w:name w:val="Balloon Text"/>
    <w:basedOn w:val="Normal"/>
    <w:link w:val="BalloonTextChar"/>
    <w:rsid w:val="00CB13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13A6"/>
    <w:rPr>
      <w:rFonts w:ascii="Tahom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F48"/>
    <w:pPr>
      <w:spacing w:line="288" w:lineRule="auto"/>
      <w:jc w:val="both"/>
    </w:pPr>
    <w:rPr>
      <w:sz w:val="22"/>
      <w:szCs w:val="22"/>
    </w:rPr>
  </w:style>
  <w:style w:type="paragraph" w:styleId="Heading1">
    <w:name w:val="heading 1"/>
    <w:basedOn w:val="Normal"/>
    <w:next w:val="Normal"/>
    <w:qFormat/>
    <w:rsid w:val="00BE4F48"/>
    <w:pPr>
      <w:numPr>
        <w:numId w:val="1"/>
      </w:numPr>
      <w:ind w:left="567" w:hanging="567"/>
      <w:outlineLvl w:val="0"/>
    </w:pPr>
    <w:rPr>
      <w:kern w:val="28"/>
    </w:rPr>
  </w:style>
  <w:style w:type="paragraph" w:styleId="Heading2">
    <w:name w:val="heading 2"/>
    <w:basedOn w:val="Normal"/>
    <w:next w:val="Normal"/>
    <w:qFormat/>
    <w:rsid w:val="00BE4F48"/>
    <w:pPr>
      <w:numPr>
        <w:ilvl w:val="1"/>
        <w:numId w:val="1"/>
      </w:numPr>
      <w:ind w:left="567" w:hanging="567"/>
      <w:outlineLvl w:val="1"/>
    </w:pPr>
  </w:style>
  <w:style w:type="paragraph" w:styleId="Heading3">
    <w:name w:val="heading 3"/>
    <w:basedOn w:val="Normal"/>
    <w:next w:val="Normal"/>
    <w:qFormat/>
    <w:rsid w:val="00BE4F48"/>
    <w:pPr>
      <w:numPr>
        <w:ilvl w:val="2"/>
        <w:numId w:val="1"/>
      </w:numPr>
      <w:ind w:left="567" w:hanging="567"/>
      <w:outlineLvl w:val="2"/>
    </w:pPr>
  </w:style>
  <w:style w:type="paragraph" w:styleId="Heading4">
    <w:name w:val="heading 4"/>
    <w:basedOn w:val="Normal"/>
    <w:next w:val="Normal"/>
    <w:qFormat/>
    <w:rsid w:val="00BE4F48"/>
    <w:pPr>
      <w:numPr>
        <w:ilvl w:val="3"/>
        <w:numId w:val="1"/>
      </w:numPr>
      <w:ind w:left="567" w:hanging="567"/>
      <w:outlineLvl w:val="3"/>
    </w:pPr>
  </w:style>
  <w:style w:type="paragraph" w:styleId="Heading5">
    <w:name w:val="heading 5"/>
    <w:basedOn w:val="Normal"/>
    <w:next w:val="Normal"/>
    <w:qFormat/>
    <w:rsid w:val="00BE4F48"/>
    <w:pPr>
      <w:numPr>
        <w:ilvl w:val="4"/>
        <w:numId w:val="1"/>
      </w:numPr>
      <w:ind w:left="567" w:hanging="567"/>
      <w:outlineLvl w:val="4"/>
    </w:pPr>
  </w:style>
  <w:style w:type="paragraph" w:styleId="Heading6">
    <w:name w:val="heading 6"/>
    <w:basedOn w:val="Normal"/>
    <w:next w:val="Normal"/>
    <w:qFormat/>
    <w:rsid w:val="00BE4F48"/>
    <w:pPr>
      <w:numPr>
        <w:ilvl w:val="5"/>
        <w:numId w:val="1"/>
      </w:numPr>
      <w:ind w:left="567" w:hanging="567"/>
      <w:outlineLvl w:val="5"/>
    </w:pPr>
  </w:style>
  <w:style w:type="paragraph" w:styleId="Heading7">
    <w:name w:val="heading 7"/>
    <w:basedOn w:val="Normal"/>
    <w:next w:val="Normal"/>
    <w:qFormat/>
    <w:rsid w:val="00BE4F48"/>
    <w:pPr>
      <w:numPr>
        <w:ilvl w:val="6"/>
        <w:numId w:val="1"/>
      </w:numPr>
      <w:ind w:left="567" w:hanging="567"/>
      <w:outlineLvl w:val="6"/>
    </w:pPr>
  </w:style>
  <w:style w:type="paragraph" w:styleId="Heading8">
    <w:name w:val="heading 8"/>
    <w:basedOn w:val="Normal"/>
    <w:next w:val="Normal"/>
    <w:qFormat/>
    <w:rsid w:val="00BE4F48"/>
    <w:pPr>
      <w:numPr>
        <w:ilvl w:val="7"/>
        <w:numId w:val="1"/>
      </w:numPr>
      <w:ind w:left="567" w:hanging="567"/>
      <w:outlineLvl w:val="7"/>
    </w:pPr>
  </w:style>
  <w:style w:type="paragraph" w:styleId="Heading9">
    <w:name w:val="heading 9"/>
    <w:basedOn w:val="Normal"/>
    <w:next w:val="Normal"/>
    <w:qFormat/>
    <w:rsid w:val="00BE4F4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BE4F48"/>
  </w:style>
  <w:style w:type="paragraph" w:styleId="FootnoteText">
    <w:name w:val="footnote text"/>
    <w:basedOn w:val="Normal"/>
    <w:qFormat/>
    <w:rsid w:val="00BE4F48"/>
    <w:pPr>
      <w:keepLines/>
      <w:spacing w:after="60" w:line="240" w:lineRule="auto"/>
      <w:ind w:left="567" w:hanging="567"/>
    </w:pPr>
    <w:rPr>
      <w:sz w:val="16"/>
    </w:rPr>
  </w:style>
  <w:style w:type="paragraph" w:styleId="Header">
    <w:name w:val="header"/>
    <w:basedOn w:val="Normal"/>
    <w:link w:val="HeaderChar"/>
    <w:qFormat/>
    <w:rsid w:val="00BE4F48"/>
  </w:style>
  <w:style w:type="paragraph" w:customStyle="1" w:styleId="quotes">
    <w:name w:val="quotes"/>
    <w:basedOn w:val="Normal"/>
    <w:next w:val="Normal"/>
    <w:rsid w:val="00BE4F48"/>
    <w:pPr>
      <w:ind w:left="720"/>
    </w:pPr>
    <w:rPr>
      <w:i/>
    </w:rPr>
  </w:style>
  <w:style w:type="character" w:styleId="FootnoteReference">
    <w:name w:val="footnote reference"/>
    <w:basedOn w:val="DefaultParagraphFont"/>
    <w:unhideWhenUsed/>
    <w:qFormat/>
    <w:rsid w:val="00BE4F48"/>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it-IT"/>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it-IT" w:eastAsia="it-IT"/>
    </w:rPr>
  </w:style>
  <w:style w:type="character" w:customStyle="1" w:styleId="FooterChar">
    <w:name w:val="Footer Char"/>
    <w:basedOn w:val="DefaultParagraphFont"/>
    <w:link w:val="Footer"/>
    <w:rsid w:val="00402807"/>
    <w:rPr>
      <w:sz w:val="22"/>
      <w:szCs w:val="22"/>
      <w:lang w:val="it-IT" w:eastAsia="it-IT"/>
    </w:rPr>
  </w:style>
  <w:style w:type="paragraph" w:styleId="BalloonText">
    <w:name w:val="Balloon Text"/>
    <w:basedOn w:val="Normal"/>
    <w:link w:val="BalloonTextChar"/>
    <w:rsid w:val="00CB13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13A6"/>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921">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67854580">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8183207">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5867205">
      <w:bodyDiv w:val="1"/>
      <w:marLeft w:val="0"/>
      <w:marRight w:val="0"/>
      <w:marTop w:val="0"/>
      <w:marBottom w:val="0"/>
      <w:divBdr>
        <w:top w:val="none" w:sz="0" w:space="0" w:color="auto"/>
        <w:left w:val="none" w:sz="0" w:space="0" w:color="auto"/>
        <w:bottom w:val="none" w:sz="0" w:space="0" w:color="auto"/>
        <w:right w:val="none" w:sz="0" w:space="0" w:color="auto"/>
      </w:divBdr>
    </w:div>
    <w:div w:id="62111170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84947774">
      <w:bodyDiv w:val="1"/>
      <w:marLeft w:val="0"/>
      <w:marRight w:val="0"/>
      <w:marTop w:val="0"/>
      <w:marBottom w:val="0"/>
      <w:divBdr>
        <w:top w:val="none" w:sz="0" w:space="0" w:color="auto"/>
        <w:left w:val="none" w:sz="0" w:space="0" w:color="auto"/>
        <w:bottom w:val="none" w:sz="0" w:space="0" w:color="auto"/>
        <w:right w:val="none" w:sz="0" w:space="0" w:color="auto"/>
      </w:divBdr>
    </w:div>
    <w:div w:id="905602498">
      <w:bodyDiv w:val="1"/>
      <w:marLeft w:val="0"/>
      <w:marRight w:val="0"/>
      <w:marTop w:val="0"/>
      <w:marBottom w:val="0"/>
      <w:divBdr>
        <w:top w:val="none" w:sz="0" w:space="0" w:color="auto"/>
        <w:left w:val="none" w:sz="0" w:space="0" w:color="auto"/>
        <w:bottom w:val="none" w:sz="0" w:space="0" w:color="auto"/>
        <w:right w:val="none" w:sz="0" w:space="0" w:color="auto"/>
      </w:divBdr>
    </w:div>
    <w:div w:id="1000237708">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80714418">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862308">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89550871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en.ten-opinions.3966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berec.europa.eu/" TargetMode="External"/><Relationship Id="rId2" Type="http://schemas.openxmlformats.org/officeDocument/2006/relationships/customXml" Target="../customXml/item2.xml"/><Relationship Id="rId16" Type="http://schemas.openxmlformats.org/officeDocument/2006/relationships/hyperlink" Target="http://www.eesc.europa.eu/?i=portal.en.int-opinions.39601" TargetMode="External"/><Relationship Id="rId20" Type="http://schemas.openxmlformats.org/officeDocument/2006/relationships/hyperlink" Target="mailto:press@eesc.europa.eu?subject=Gradirei%20delle%20informazion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eesc.europa.eu/?i=portal.en.int-opinions.3999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3XPXQ63Y2AW3-9-3032</_dlc_DocId>
    <_dlc_DocIdUrl xmlns="8835a8a4-5a07-4207-ac1e-223f88a8f7af">
      <Url>http://dm/EESC/2016/_layouts/DocIdRedir.aspx?ID=3XPXQ63Y2AW3-9-3032</Url>
      <Description>3XPXQ63Y2AW3-9-3032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fdc3d2aa-8103-4135-a18e-08b5be4f3e76"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2016-10-19T12:00:00+00:00</ProductionDate>
    <FicheYear xmlns="8835a8a4-5a07-4207-ac1e-223f88a8f7af">2016</FicheYear>
    <DocumentNumber xmlns="fdc3d2aa-8103-4135-a18e-08b5be4f3e76">5680</DocumentNumbe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22</Value>
      <Value>15</Value>
      <Value>14</Value>
      <Value>10</Value>
      <Value>28</Value>
      <Value>6</Value>
      <Value>5</Value>
      <Value>4</Value>
      <Value>24</Value>
      <Value>2</Value>
      <Value>1</Value>
    </TaxCatchAll>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11725</FicheNumber>
    <DocumentYear xmlns="8835a8a4-5a07-4207-ac1e-223f88a8f7af">2016</DocumentYear>
    <DocumentPart xmlns="8835a8a4-5a07-4207-ac1e-223f88a8f7af">0</DocumentPart>
    <AdoptionDate xmlns="8835a8a4-5a07-4207-ac1e-223f88a8f7af" xsi:nil="true"/>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purl.org/dc/terms/"/>
    <ds:schemaRef ds:uri="http://purl.org/dc/dcmitype/"/>
    <ds:schemaRef ds:uri="http://schemas.microsoft.com/office/infopath/2007/PartnerControls"/>
    <ds:schemaRef ds:uri="http://www.w3.org/XML/1998/namespace"/>
    <ds:schemaRef ds:uri="http://purl.org/dc/elements/1.1/"/>
    <ds:schemaRef ds:uri="8835a8a4-5a07-4207-ac1e-223f88a8f7af"/>
    <ds:schemaRef ds:uri="http://schemas.microsoft.com/office/2006/documentManagement/types"/>
    <ds:schemaRef ds:uri="http://schemas.openxmlformats.org/package/2006/metadata/core-properties"/>
    <ds:schemaRef ds:uri="fdc3d2aa-8103-4135-a18e-08b5be4f3e76"/>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DE58B6EE-72F8-4DEC-9A85-5DA174862B3A}">
  <ds:schemaRefs>
    <ds:schemaRef ds:uri="http://schemas.microsoft.com/sharepoint/events"/>
  </ds:schemaRefs>
</ds:datastoreItem>
</file>

<file path=customXml/itemProps5.xml><?xml version="1.0" encoding="utf-8"?>
<ds:datastoreItem xmlns:ds="http://schemas.openxmlformats.org/officeDocument/2006/customXml" ds:itemID="{B36CBABA-BA31-4D4E-9F10-E7DABCC88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3D4784-7C34-4115-8AF3-E49EA245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833</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CP - L'Europea che lavora per i consumatori (Plenaria)</vt:lpstr>
    </vt:vector>
  </TitlesOfParts>
  <Company>CESE-CdR</Company>
  <LinksUpToDate>false</LinksUpToDate>
  <CharactersWithSpaces>6094</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 L'Europea che lavora per i consumatori (Plenaria)</dc:title>
  <dc:subject>Comunicato stampa</dc:subject>
  <dc:creator>Caroline Alibert</dc:creator>
  <cp:keywords>EESC-2016-05680-00-00-CP-TRA-IT</cp:keywords>
  <dc:description>Relatore: -_x000d_
Lingua originale: EN_x000d_
Data del documento: 19/10/2016_x000d_
Data della riunione: _x000d_
Documenti esterni: -_x000d_
Funzionario responsabile: ALIBERT CAROLINE, telefono: + 2 546 9406_x000d_
_x000d_
Sintesi:</dc:description>
  <cp:lastModifiedBy>Caroline Alibert</cp:lastModifiedBy>
  <cp:revision>2</cp:revision>
  <cp:lastPrinted>2015-11-12T07:45:00Z</cp:lastPrinted>
  <dcterms:created xsi:type="dcterms:W3CDTF">2016-10-20T10:36:00Z</dcterms:created>
  <dcterms:modified xsi:type="dcterms:W3CDTF">2016-10-20T10:36:00Z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0x010100EA97B91038054C99906057A708A1480A006569393C852D1B41981698C0C702B5A1</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19/10/2016, 19/09/2016</vt:lpwstr>
  </property>
  <property fmtid="{D5CDD505-2E9C-101B-9397-08002B2CF9AE}" pid="7" name="Pref_Time">
    <vt:lpwstr>10:13:28, 14:58:56</vt:lpwstr>
  </property>
  <property fmtid="{D5CDD505-2E9C-101B-9397-08002B2CF9AE}" pid="8" name="Pref_User">
    <vt:lpwstr>mkop, mkop</vt:lpwstr>
  </property>
  <property fmtid="{D5CDD505-2E9C-101B-9397-08002B2CF9AE}" pid="9" name="Pref_FileName">
    <vt:lpwstr>EESC-2016-05680-00-00-CP-ORI.docx, EESC-2016-04997-00-00-CP-ORI.docx</vt:lpwstr>
  </property>
  <property fmtid="{D5CDD505-2E9C-101B-9397-08002B2CF9AE}" pid="10" name="_dlc_DocIdItemGuid">
    <vt:lpwstr>8727b633-f0e6-4380-a6ac-c267bb38fce0</vt:lpwstr>
  </property>
  <property fmtid="{D5CDD505-2E9C-101B-9397-08002B2CF9AE}" pid="11" name="DocumentType_0">
    <vt:lpwstr>CP|de8ad211-9e8d-408b-8324-674d21bb7d18</vt:lpwstr>
  </property>
  <property fmtid="{D5CDD505-2E9C-101B-9397-08002B2CF9AE}" pid="12" name="AvailableTranslations">
    <vt:lpwstr>22;#DE|f6b31e5a-26fa-4935-b661-318e46daf27e;#28;#ES|e7a6b05b-ae16-40c8-add9-68b64b03aeba;#15;#IT|0774613c-01ed-4e5d-a25d-11d2388de825;#4;#FR|d2afafd3-4c81-4f60-8f52-ee33f2f54ff3;#10;#EN|f2175f21-25d7-44a3-96da-d6a61b075e1b;#24;#PL|1e03da61-4678-4e07-b136-</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5680</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22;#DE|f6b31e5a-26fa-4935-b661-318e46daf27e;#14;#CP|de8ad211-9e8d-408b-8324-674d21bb7d18;#10;#EN|f2175f21-25d7-44a3-96da-d6a61b075e1b;#28;#ES|e7a6b05b-ae16-40c8-add9-68b64b03aeba;#6;#Final|ea5e6674-7b27-4bac-b091-73adbb394efe;#5;#Unrestricted|826e22d7-d02</vt:lpwstr>
  </property>
  <property fmtid="{D5CDD505-2E9C-101B-9397-08002B2CF9AE}" pid="32" name="AvailableTranslations_0">
    <vt:lpwstr>DE|f6b31e5a-26fa-4935-b661-318e46daf27e;ES|e7a6b05b-ae16-40c8-add9-68b64b03aeba;EN|f2175f21-25d7-44a3-96da-d6a61b075e1b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11725</vt:i4>
  </property>
  <property fmtid="{D5CDD505-2E9C-101B-9397-08002B2CF9AE}" pid="36" name="DocumentYear">
    <vt:i4>2016</vt:i4>
  </property>
  <property fmtid="{D5CDD505-2E9C-101B-9397-08002B2CF9AE}" pid="37" name="DocumentLanguage">
    <vt:lpwstr>15;#IT|0774613c-01ed-4e5d-a25d-11d2388de825</vt:lpwstr>
  </property>
  <property fmtid="{D5CDD505-2E9C-101B-9397-08002B2CF9AE}" pid="38" name="DocumentLanguage_0">
    <vt:lpwstr>EN|f2175f21-25d7-44a3-96da-d6a61b075e1b</vt:lpwstr>
  </property>
</Properties>
</file>