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AB7CF9" w:rsidRDefault="008D2063" w:rsidP="008D2063">
      <w:pPr>
        <w:overflowPunct w:val="0"/>
        <w:adjustRightInd w:val="0"/>
        <w:jc w:val="center"/>
        <w:textAlignment w:val="baseline"/>
      </w:pPr>
      <w:r w:rsidRPr="00AB7CF9">
        <w:rPr>
          <w:noProof/>
          <w:lang w:val="en-US" w:eastAsia="en-US" w:bidi="ar-SA"/>
        </w:rPr>
        <w:drawing>
          <wp:inline distT="0" distB="0" distL="0" distR="0" wp14:anchorId="20BB403C" wp14:editId="4A9C1011">
            <wp:extent cx="571500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nouveau logo.jpg"/>
                    <pic:cNvPicPr/>
                  </pic:nvPicPr>
                  <pic:blipFill>
                    <a:blip r:embed="rId14">
                      <a:extLst>
                        <a:ext uri="{28A0092B-C50C-407E-A947-70E740481C1C}">
                          <a14:useLocalDpi xmlns:a14="http://schemas.microsoft.com/office/drawing/2010/main" val="0"/>
                        </a:ext>
                      </a:extLst>
                    </a:blip>
                    <a:stretch>
                      <a:fillRect/>
                    </a:stretch>
                  </pic:blipFill>
                  <pic:spPr>
                    <a:xfrm>
                      <a:off x="0" y="0"/>
                      <a:ext cx="5715000" cy="139065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8820BE" w:rsidRPr="00AB7CF9">
        <w:trPr>
          <w:cantSplit/>
        </w:trPr>
        <w:tc>
          <w:tcPr>
            <w:tcW w:w="5168" w:type="dxa"/>
          </w:tcPr>
          <w:p w:rsidR="008820BE" w:rsidRPr="00AB7CF9" w:rsidRDefault="003F4FFB" w:rsidP="0090166A">
            <w:pPr>
              <w:overflowPunct w:val="0"/>
              <w:adjustRightInd w:val="0"/>
              <w:spacing w:line="240" w:lineRule="auto"/>
              <w:textAlignment w:val="baseline"/>
              <w:rPr>
                <w:rFonts w:ascii="Verdana" w:hAnsi="Verdana"/>
                <w:b/>
                <w:bCs/>
                <w:sz w:val="20"/>
              </w:rPr>
            </w:pPr>
            <w:r>
              <w:rPr>
                <w:rFonts w:ascii="Verdana" w:hAnsi="Verdana"/>
                <w:b/>
                <w:sz w:val="18"/>
              </w:rPr>
              <w:t>61</w:t>
            </w:r>
            <w:bookmarkStart w:id="0" w:name="_GoBack"/>
            <w:bookmarkEnd w:id="0"/>
            <w:r w:rsidR="00F61AE8" w:rsidRPr="00AB7CF9">
              <w:rPr>
                <w:rFonts w:ascii="Verdana" w:hAnsi="Verdana"/>
                <w:b/>
                <w:sz w:val="18"/>
              </w:rPr>
              <w:t>/2016</w:t>
            </w:r>
          </w:p>
        </w:tc>
        <w:tc>
          <w:tcPr>
            <w:tcW w:w="4119" w:type="dxa"/>
          </w:tcPr>
          <w:p w:rsidR="008820BE" w:rsidRPr="00AB7CF9" w:rsidRDefault="008730B3" w:rsidP="006B476B">
            <w:pPr>
              <w:overflowPunct w:val="0"/>
              <w:adjustRightInd w:val="0"/>
              <w:spacing w:line="240" w:lineRule="auto"/>
              <w:jc w:val="right"/>
              <w:textAlignment w:val="baseline"/>
              <w:rPr>
                <w:rFonts w:ascii="Verdana" w:hAnsi="Verdana"/>
                <w:b/>
                <w:bCs/>
                <w:sz w:val="18"/>
                <w:szCs w:val="18"/>
              </w:rPr>
            </w:pPr>
            <w:r w:rsidRPr="00AB7CF9">
              <w:rPr>
                <w:rFonts w:ascii="Verdana" w:hAnsi="Verdana"/>
                <w:b/>
                <w:sz w:val="18"/>
              </w:rPr>
              <w:t>Le 19 octobre 2016</w:t>
            </w:r>
          </w:p>
        </w:tc>
      </w:tr>
    </w:tbl>
    <w:p w:rsidR="008820BE" w:rsidRPr="00AB7CF9" w:rsidRDefault="00E17CC9" w:rsidP="0090166A">
      <w:pPr>
        <w:overflowPunct w:val="0"/>
        <w:adjustRightInd w:val="0"/>
        <w:spacing w:line="240" w:lineRule="auto"/>
        <w:textAlignment w:val="baseline"/>
        <w:rPr>
          <w:rFonts w:ascii="Verdana" w:hAnsi="Verdana"/>
          <w:sz w:val="20"/>
        </w:rPr>
        <w:sectPr w:rsidR="008820BE" w:rsidRPr="00AB7CF9" w:rsidSect="00BE4F48">
          <w:footerReference w:type="default" r:id="rId15"/>
          <w:pgSz w:w="11907" w:h="16839" w:code="9"/>
          <w:pgMar w:top="426" w:right="1418" w:bottom="1418" w:left="1418" w:header="3062" w:footer="118" w:gutter="0"/>
          <w:cols w:space="720"/>
          <w:docGrid w:linePitch="299"/>
        </w:sectPr>
      </w:pPr>
      <w:r w:rsidRPr="00AB7CF9">
        <w:rPr>
          <w:noProof/>
          <w:lang w:val="en-US" w:eastAsia="en-US" w:bidi="ar-SA"/>
        </w:rPr>
        <mc:AlternateContent>
          <mc:Choice Requires="wps">
            <w:drawing>
              <wp:anchor distT="0" distB="0" distL="114300" distR="114300" simplePos="0" relativeHeight="251657728" behindDoc="1" locked="0" layoutInCell="0" allowOverlap="1" wp14:anchorId="602146F2" wp14:editId="77ABABE5">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7F" w:rsidRPr="0090166A" w:rsidRDefault="00A9407F" w:rsidP="0090166A">
                            <w:pPr>
                              <w:overflowPunct w:val="0"/>
                              <w:adjustRightInd w:val="0"/>
                              <w:jc w:val="center"/>
                              <w:textAlignment w:val="baseline"/>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A9407F" w:rsidRPr="0090166A" w:rsidRDefault="00A9407F" w:rsidP="0090166A">
                      <w:pPr>
                        <w:overflowPunct w:val="0"/>
                        <w:adjustRightInd w:val="0"/>
                        <w:jc w:val="center"/>
                        <w:textAlignment w:val="baseline"/>
                        <w:rPr>
                          <w:rFonts w:ascii="Arial" w:hAnsi="Arial" w:cs="Arial"/>
                          <w:b/>
                          <w:sz w:val="48"/>
                        </w:rPr>
                      </w:pPr>
                      <w:r>
                        <w:rPr>
                          <w:rFonts w:ascii="Arial" w:hAnsi="Arial"/>
                          <w:b/>
                          <w:sz w:val="48"/>
                        </w:rPr>
                        <w:t>FR</w:t>
                      </w:r>
                    </w:p>
                  </w:txbxContent>
                </v:textbox>
                <w10:wrap xmlns:w10="urn:schemas-microsoft-com:office:word" anchorx="page" anchory="page"/>
              </v:shape>
            </w:pict>
          </mc:Fallback>
        </mc:AlternateContent>
      </w:r>
    </w:p>
    <w:p w:rsidR="003305C3" w:rsidRPr="00AB7CF9" w:rsidRDefault="003305C3" w:rsidP="0090166A">
      <w:pPr>
        <w:overflowPunct w:val="0"/>
        <w:adjustRightInd w:val="0"/>
        <w:spacing w:line="360" w:lineRule="auto"/>
        <w:jc w:val="left"/>
        <w:textAlignment w:val="baseline"/>
        <w:rPr>
          <w:rFonts w:ascii="Verdana" w:hAnsi="Verdana"/>
          <w:b/>
          <w:sz w:val="18"/>
        </w:rPr>
      </w:pPr>
    </w:p>
    <w:p w:rsidR="00D97AFE" w:rsidRPr="00AB7CF9" w:rsidRDefault="00D97AFE" w:rsidP="0090166A">
      <w:pPr>
        <w:overflowPunct w:val="0"/>
        <w:adjustRightInd w:val="0"/>
        <w:spacing w:line="240" w:lineRule="auto"/>
        <w:jc w:val="center"/>
        <w:textAlignment w:val="baseline"/>
        <w:rPr>
          <w:rFonts w:ascii="Verdana" w:hAnsi="Verdana"/>
          <w:b/>
          <w:sz w:val="24"/>
        </w:rPr>
      </w:pPr>
      <w:r w:rsidRPr="00AB7CF9">
        <w:rPr>
          <w:rFonts w:ascii="Verdana" w:hAnsi="Verdana"/>
          <w:b/>
          <w:sz w:val="24"/>
        </w:rPr>
        <w:t>CESE - L’Europe doit obtenir de meilleurs résultats pour</w:t>
      </w:r>
      <w:r w:rsidR="008D2063" w:rsidRPr="00AB7CF9">
        <w:rPr>
          <w:rFonts w:ascii="Verdana" w:hAnsi="Verdana"/>
          <w:b/>
          <w:sz w:val="24"/>
        </w:rPr>
        <w:t> </w:t>
      </w:r>
      <w:r w:rsidRPr="00AB7CF9">
        <w:rPr>
          <w:rFonts w:ascii="Verdana" w:hAnsi="Verdana"/>
          <w:b/>
          <w:sz w:val="24"/>
        </w:rPr>
        <w:t>les</w:t>
      </w:r>
      <w:r w:rsidR="008D2063" w:rsidRPr="00AB7CF9">
        <w:rPr>
          <w:rFonts w:ascii="Verdana" w:hAnsi="Verdana"/>
          <w:b/>
          <w:sz w:val="24"/>
        </w:rPr>
        <w:t> </w:t>
      </w:r>
      <w:r w:rsidRPr="00AB7CF9">
        <w:rPr>
          <w:rFonts w:ascii="Verdana" w:hAnsi="Verdana"/>
          <w:b/>
          <w:sz w:val="24"/>
        </w:rPr>
        <w:t xml:space="preserve">consommateurs concernant le blocage géographique, l’itinérance et la livraison de colis </w:t>
      </w:r>
    </w:p>
    <w:p w:rsidR="00D97AFE" w:rsidRPr="00AB7CF9" w:rsidRDefault="00D97AFE" w:rsidP="0090166A">
      <w:pPr>
        <w:overflowPunct w:val="0"/>
        <w:adjustRightInd w:val="0"/>
        <w:spacing w:line="240" w:lineRule="auto"/>
        <w:textAlignment w:val="baseline"/>
        <w:rPr>
          <w:rFonts w:ascii="Verdana" w:hAnsi="Verdana"/>
          <w:b/>
        </w:rPr>
      </w:pPr>
    </w:p>
    <w:p w:rsidR="00D97AFE" w:rsidRPr="00AB7CF9" w:rsidRDefault="00D97AFE" w:rsidP="0090166A">
      <w:pPr>
        <w:overflowPunct w:val="0"/>
        <w:adjustRightInd w:val="0"/>
        <w:spacing w:line="240" w:lineRule="auto"/>
        <w:textAlignment w:val="baseline"/>
        <w:rPr>
          <w:rFonts w:ascii="Verdana" w:hAnsi="Verdana"/>
          <w:b/>
          <w:sz w:val="18"/>
        </w:rPr>
      </w:pPr>
      <w:r w:rsidRPr="00AB7CF9">
        <w:rPr>
          <w:rFonts w:ascii="Verdana" w:hAnsi="Verdana"/>
          <w:b/>
          <w:sz w:val="18"/>
        </w:rPr>
        <w:t>L’UE n’a pas tenu sa promesse de supprimer les entraves à la libre circulation des biens et des services pour les consommateurs. Le Comité économique et social européen, porte-parole de la société civile européenne, a adopté trois avis importants sur le blocage géographique, l’itinérance et la livraison de colis, dans lesquels il conclut que l’Europe «peut mieux faire» pour que le marché unique devienne une réalité pour les consommateurs.</w:t>
      </w:r>
    </w:p>
    <w:p w:rsidR="00D97AFE" w:rsidRPr="00AB7CF9" w:rsidRDefault="00D97AFE" w:rsidP="0090166A">
      <w:pPr>
        <w:overflowPunct w:val="0"/>
        <w:adjustRightInd w:val="0"/>
        <w:spacing w:line="240" w:lineRule="auto"/>
        <w:textAlignment w:val="baseline"/>
        <w:rPr>
          <w:rFonts w:ascii="Verdana" w:hAnsi="Verdana"/>
          <w:sz w:val="18"/>
        </w:rPr>
      </w:pPr>
    </w:p>
    <w:p w:rsidR="00D97AFE" w:rsidRPr="00AB7CF9" w:rsidRDefault="00D97AFE" w:rsidP="0090166A">
      <w:pPr>
        <w:overflowPunct w:val="0"/>
        <w:adjustRightInd w:val="0"/>
        <w:spacing w:line="240" w:lineRule="auto"/>
        <w:textAlignment w:val="baseline"/>
        <w:rPr>
          <w:rFonts w:ascii="Verdana" w:hAnsi="Verdana"/>
          <w:b/>
          <w:sz w:val="18"/>
          <w:u w:val="single"/>
        </w:rPr>
      </w:pPr>
      <w:r w:rsidRPr="00AB7CF9">
        <w:rPr>
          <w:rFonts w:ascii="Verdana" w:hAnsi="Verdana"/>
          <w:b/>
          <w:sz w:val="18"/>
          <w:u w:val="single"/>
        </w:rPr>
        <w:t xml:space="preserve">Blocage géographique: il est peu probable que la proposition de la Commission réduise les frustrations des consommateurs </w:t>
      </w:r>
    </w:p>
    <w:p w:rsidR="00D97AFE" w:rsidRPr="00AB7CF9" w:rsidRDefault="00D97AFE" w:rsidP="0090166A">
      <w:pPr>
        <w:overflowPunct w:val="0"/>
        <w:adjustRightInd w:val="0"/>
        <w:spacing w:line="240" w:lineRule="auto"/>
        <w:textAlignment w:val="baseline"/>
        <w:rPr>
          <w:rFonts w:ascii="Verdana" w:hAnsi="Verdana"/>
          <w:b/>
          <w:sz w:val="18"/>
          <w:u w:val="single"/>
        </w:rPr>
      </w:pPr>
    </w:p>
    <w:p w:rsidR="00D97AFE" w:rsidRPr="00AB7CF9" w:rsidRDefault="00B9099A" w:rsidP="0090166A">
      <w:pPr>
        <w:overflowPunct w:val="0"/>
        <w:adjustRightInd w:val="0"/>
        <w:spacing w:line="240" w:lineRule="auto"/>
        <w:textAlignment w:val="baseline"/>
        <w:rPr>
          <w:rFonts w:ascii="Verdana" w:hAnsi="Verdana"/>
          <w:sz w:val="18"/>
        </w:rPr>
      </w:pPr>
      <w:r w:rsidRPr="00AB7CF9">
        <w:rPr>
          <w:rFonts w:ascii="Verdana" w:hAnsi="Verdana"/>
          <w:sz w:val="18"/>
        </w:rPr>
        <w:t>Les blocages géographiques injustifiés empêchent les consommateurs d’acheter des biens et des services à des professionnels établis dans un autre État membre. Le CESE estime que la proposition de la Commission visant à remédier à ce problème ne représente qu’«</w:t>
      </w:r>
      <w:r w:rsidRPr="00AB7CF9">
        <w:rPr>
          <w:rFonts w:ascii="Verdana" w:hAnsi="Verdana"/>
          <w:b/>
          <w:sz w:val="18"/>
        </w:rPr>
        <w:t>une légère avancée qui ne changera pas la donne</w:t>
      </w:r>
      <w:r w:rsidRPr="00AB7CF9">
        <w:rPr>
          <w:rFonts w:ascii="Verdana" w:hAnsi="Verdana"/>
          <w:sz w:val="18"/>
        </w:rPr>
        <w:t xml:space="preserve">» et qu’elle ne réduira sans doute pas les frustrations des entreprises et des consommateurs. Le CESE recommande d’instaurer des conditions de concurrence équitables pour les échanges en ligne et hors ligne, en supprimant les obstacles aux transactions de vente et d’achat par-delà les frontières. Dans ce contexte, le CESE souligne que la grande diversité des politiques industrielles et des législations nationales, y compris les questions de droit d’auteur et les tarifs de livraison de colis, entrave réellement l'accélération du processus d’harmonisation. Les PME et les microentreprises, en particulier, avancent un certain nombre de raisons pour éviter le commerce transfrontière en ligne ou adapter les prix et les conditions en fonction des différences entre les marchés, par exemple les environnements juridiques, les normes, les exigences linguistiques en matière d’informations précontractuelles et les frais de transport supplémentaires. </w:t>
      </w:r>
      <w:hyperlink r:id="rId16">
        <w:r w:rsidRPr="00AB7CF9">
          <w:rPr>
            <w:rStyle w:val="Hyperlink"/>
            <w:rFonts w:ascii="Verdana" w:hAnsi="Verdana"/>
            <w:sz w:val="18"/>
          </w:rPr>
          <w:t>Pour en savoir plus</w:t>
        </w:r>
      </w:hyperlink>
    </w:p>
    <w:p w:rsidR="00D97AFE" w:rsidRPr="00AB7CF9" w:rsidRDefault="00D97AFE" w:rsidP="0090166A">
      <w:pPr>
        <w:overflowPunct w:val="0"/>
        <w:adjustRightInd w:val="0"/>
        <w:spacing w:line="240" w:lineRule="auto"/>
        <w:textAlignment w:val="baseline"/>
        <w:rPr>
          <w:rFonts w:ascii="Verdana" w:hAnsi="Verdana"/>
          <w:sz w:val="18"/>
        </w:rPr>
      </w:pPr>
    </w:p>
    <w:p w:rsidR="00D97AFE" w:rsidRPr="00AB7CF9" w:rsidRDefault="00D97AFE" w:rsidP="0090166A">
      <w:pPr>
        <w:overflowPunct w:val="0"/>
        <w:adjustRightInd w:val="0"/>
        <w:spacing w:line="240" w:lineRule="auto"/>
        <w:textAlignment w:val="baseline"/>
        <w:rPr>
          <w:rFonts w:ascii="Verdana" w:hAnsi="Verdana"/>
          <w:b/>
          <w:sz w:val="18"/>
          <w:u w:val="single"/>
        </w:rPr>
      </w:pPr>
      <w:r w:rsidRPr="00AB7CF9">
        <w:rPr>
          <w:rFonts w:ascii="Verdana" w:hAnsi="Verdana"/>
          <w:b/>
          <w:sz w:val="18"/>
          <w:u w:val="single"/>
        </w:rPr>
        <w:t>Itinérance: les consommateurs pourraient être confrontés à une augmentation des tarifs nationaux pour compenser la baisse des recettes</w:t>
      </w:r>
    </w:p>
    <w:p w:rsidR="00D97AFE" w:rsidRPr="00AB7CF9" w:rsidRDefault="00D97AFE" w:rsidP="0090166A">
      <w:pPr>
        <w:overflowPunct w:val="0"/>
        <w:adjustRightInd w:val="0"/>
        <w:spacing w:line="240" w:lineRule="auto"/>
        <w:textAlignment w:val="baseline"/>
        <w:rPr>
          <w:rFonts w:ascii="Verdana" w:hAnsi="Verdana"/>
          <w:sz w:val="18"/>
        </w:rPr>
      </w:pPr>
    </w:p>
    <w:p w:rsidR="00D97AFE" w:rsidRPr="00AB7CF9" w:rsidRDefault="0021693B" w:rsidP="0090166A">
      <w:pPr>
        <w:overflowPunct w:val="0"/>
        <w:adjustRightInd w:val="0"/>
        <w:spacing w:line="240" w:lineRule="auto"/>
        <w:textAlignment w:val="baseline"/>
        <w:rPr>
          <w:rFonts w:ascii="Verdana" w:hAnsi="Verdana"/>
          <w:sz w:val="18"/>
          <w:szCs w:val="18"/>
        </w:rPr>
      </w:pPr>
      <w:r w:rsidRPr="00AB7CF9">
        <w:rPr>
          <w:rFonts w:ascii="Verdana" w:hAnsi="Verdana"/>
          <w:sz w:val="18"/>
        </w:rPr>
        <w:t>Si le CESE soutient les initiatives de la Commission visant à parvenir à «l’itinérance aux tarifs nationaux», il exprime toutefois de sérieuses réserves quant à la possibilité pour les opérateurs de négocier des barèmes de prix de gros en dehors des prix (plafonds) réglementés, comme le prévoit la proposition de la Commission. Aucun réseau mobile ne couvrant la totalité des États membres de l’UE, les fournisseurs de services d’itinérance doivent acheter des services à d’autres opérateurs actifs dans le pays visité. Le problème est que les «barèmes de prix de gros innovants» en dehors des prix réglementés ne seraient pas directement liés aux volumes consommés. Des négociations commerciales fondées sur des forfaits ou des engagements préalables sont susceptibles de créer des ententes et des abus de position dominante de la part des gros opérateurs, au détriment des plus petits. En outre, étant donné que les consommateurs risquent d’être confrontés à une augmentation générale des prix nationaux afin de compenser la chute des recettes due à la suppression des frais d’itinérance, le CESE préconise des mesures préventives et une plus grande transparence des tarifs nationaux. Enfin, le CESE salue la proposition de la Commission consistant, en cas de litige entre opérateurs concernant les marchés de gros de l’itinérance, à obliger les autorités réglementaires nationales à solliciter l’avis de l’</w:t>
      </w:r>
      <w:hyperlink r:id="rId17">
        <w:r w:rsidRPr="00AB7CF9">
          <w:rPr>
            <w:rStyle w:val="Hyperlink"/>
            <w:rFonts w:ascii="Verdana" w:hAnsi="Verdana"/>
            <w:sz w:val="18"/>
          </w:rPr>
          <w:t>ORECE</w:t>
        </w:r>
      </w:hyperlink>
      <w:r w:rsidRPr="00AB7CF9">
        <w:rPr>
          <w:rFonts w:ascii="Verdana" w:hAnsi="Verdana"/>
          <w:sz w:val="18"/>
          <w:szCs w:val="18"/>
        </w:rPr>
        <w:t xml:space="preserve">, l’Organe des régulateurs européens des communications électroniques. </w:t>
      </w:r>
      <w:hyperlink r:id="rId18">
        <w:r w:rsidRPr="00AB7CF9">
          <w:rPr>
            <w:rStyle w:val="Hyperlink"/>
            <w:rFonts w:ascii="Verdana" w:hAnsi="Verdana"/>
            <w:sz w:val="18"/>
            <w:szCs w:val="18"/>
          </w:rPr>
          <w:t>Pour en savoir plus</w:t>
        </w:r>
      </w:hyperlink>
    </w:p>
    <w:p w:rsidR="00D97AFE" w:rsidRPr="00AB7CF9" w:rsidRDefault="00D97AFE" w:rsidP="0090166A">
      <w:pPr>
        <w:overflowPunct w:val="0"/>
        <w:adjustRightInd w:val="0"/>
        <w:spacing w:line="240" w:lineRule="auto"/>
        <w:textAlignment w:val="baseline"/>
        <w:rPr>
          <w:rFonts w:ascii="Verdana" w:hAnsi="Verdana"/>
          <w:sz w:val="18"/>
          <w:szCs w:val="18"/>
        </w:rPr>
      </w:pPr>
    </w:p>
    <w:p w:rsidR="00D97AFE" w:rsidRPr="00AB7CF9" w:rsidRDefault="00D97AFE" w:rsidP="0090166A">
      <w:pPr>
        <w:overflowPunct w:val="0"/>
        <w:adjustRightInd w:val="0"/>
        <w:spacing w:line="240" w:lineRule="auto"/>
        <w:textAlignment w:val="baseline"/>
        <w:rPr>
          <w:rFonts w:ascii="Verdana" w:hAnsi="Verdana"/>
          <w:b/>
          <w:sz w:val="18"/>
          <w:u w:val="single"/>
        </w:rPr>
      </w:pPr>
      <w:r w:rsidRPr="00AB7CF9">
        <w:rPr>
          <w:rFonts w:ascii="Verdana" w:hAnsi="Verdana"/>
          <w:b/>
          <w:sz w:val="18"/>
          <w:u w:val="single"/>
        </w:rPr>
        <w:t>Le CESE réclame un plafonnement des tarifs de livraison transfrontière de colis</w:t>
      </w:r>
    </w:p>
    <w:p w:rsidR="00D97AFE" w:rsidRPr="00AB7CF9" w:rsidRDefault="00D97AFE" w:rsidP="0090166A">
      <w:pPr>
        <w:overflowPunct w:val="0"/>
        <w:adjustRightInd w:val="0"/>
        <w:spacing w:line="240" w:lineRule="auto"/>
        <w:textAlignment w:val="baseline"/>
        <w:rPr>
          <w:rFonts w:ascii="Verdana" w:hAnsi="Verdana"/>
          <w:sz w:val="18"/>
        </w:rPr>
      </w:pPr>
    </w:p>
    <w:p w:rsidR="00D97AFE" w:rsidRPr="00AB7CF9" w:rsidRDefault="00D97AFE" w:rsidP="0090166A">
      <w:pPr>
        <w:overflowPunct w:val="0"/>
        <w:adjustRightInd w:val="0"/>
        <w:spacing w:line="240" w:lineRule="auto"/>
        <w:textAlignment w:val="baseline"/>
        <w:rPr>
          <w:rFonts w:ascii="Verdana" w:hAnsi="Verdana"/>
          <w:sz w:val="18"/>
        </w:rPr>
      </w:pPr>
      <w:r w:rsidRPr="00AB7CF9">
        <w:rPr>
          <w:rFonts w:ascii="Verdana" w:hAnsi="Verdana"/>
          <w:sz w:val="18"/>
        </w:rPr>
        <w:t xml:space="preserve">Les tarifs de livraison transfrontière sont parfois </w:t>
      </w:r>
      <w:r w:rsidRPr="00AB7CF9">
        <w:rPr>
          <w:rFonts w:ascii="Verdana" w:hAnsi="Verdana"/>
          <w:b/>
          <w:sz w:val="18"/>
        </w:rPr>
        <w:t>près de cinq fois plus élevés que les tarifs nationaux</w:t>
      </w:r>
      <w:r w:rsidRPr="00AB7CF9">
        <w:rPr>
          <w:rFonts w:ascii="Verdana" w:hAnsi="Verdana"/>
          <w:sz w:val="18"/>
        </w:rPr>
        <w:t xml:space="preserve"> lorsque les colis proviennent de petites et moyennes entreprises de commerce électronique situées à l’étranger. Ces différences ne peuvent pas s’expliquer par les coûts de main-</w:t>
      </w:r>
      <w:r w:rsidRPr="00AB7CF9">
        <w:rPr>
          <w:rFonts w:ascii="Verdana" w:hAnsi="Verdana"/>
          <w:sz w:val="18"/>
        </w:rPr>
        <w:lastRenderedPageBreak/>
        <w:t xml:space="preserve">d’œuvre ou autres dans le pays de destination. De l’avis du CESE, la proposition de la Commission visant à rendre les services de livraison transfrontières plus abordables ne va pas assez loin pour faire baisser ces coûts disproportionnés et injustifiés. En 2014, à peine 15 % des consommateurs ont fait des achats en ligne dans d’autres États membres, contre 44 % dans leur propre pays, et leur réticence à effectuer des achats au-delà des frontières est souvent liée au caractère disproportionné du prix de la livraison des colis. Selon le CESE, la Commission devrait menacer de plafonner ces prix. Elle devrait adopter la même approche énergique que pour les prix d’itinérance et fixer des délais contraignants pour que tous les services de livraison de colis baissent leurs tarifs; elle devrait lancer un dernier appel pressant pour que le secteur ramène ses prix à un niveau raisonnable et annoncer - si pas menacer - que, dans le cas contraire, elle plafonnera les prix. </w:t>
      </w:r>
      <w:hyperlink r:id="rId19">
        <w:r w:rsidRPr="00AB7CF9">
          <w:rPr>
            <w:rStyle w:val="Hyperlink"/>
            <w:rFonts w:ascii="Verdana" w:hAnsi="Verdana"/>
            <w:sz w:val="18"/>
          </w:rPr>
          <w:t>Pour en savoir plus</w:t>
        </w:r>
      </w:hyperlink>
    </w:p>
    <w:p w:rsidR="008067C3" w:rsidRPr="00AB7CF9" w:rsidRDefault="008067C3" w:rsidP="0090166A">
      <w:pPr>
        <w:overflowPunct w:val="0"/>
        <w:adjustRightInd w:val="0"/>
        <w:spacing w:line="240" w:lineRule="auto"/>
        <w:textAlignment w:val="baseline"/>
        <w:rPr>
          <w:rFonts w:ascii="Verdana" w:hAnsi="Verdana"/>
          <w:sz w:val="18"/>
        </w:rPr>
      </w:pPr>
    </w:p>
    <w:p w:rsidR="00886362" w:rsidRPr="00AB7CF9" w:rsidRDefault="00886362" w:rsidP="0090166A">
      <w:pPr>
        <w:overflowPunct w:val="0"/>
        <w:adjustRightInd w:val="0"/>
        <w:spacing w:line="240" w:lineRule="auto"/>
        <w:textAlignment w:val="baseline"/>
        <w:rPr>
          <w:rFonts w:ascii="Verdana" w:hAnsi="Verdana"/>
        </w:rPr>
      </w:pPr>
    </w:p>
    <w:p w:rsidR="00AD7F3C" w:rsidRPr="00AB7CF9" w:rsidRDefault="00AD7F3C" w:rsidP="0090166A">
      <w:pPr>
        <w:overflowPunct w:val="0"/>
        <w:adjustRightInd w:val="0"/>
        <w:spacing w:line="240" w:lineRule="auto"/>
        <w:textAlignment w:val="baseline"/>
        <w:rPr>
          <w:rFonts w:ascii="Verdana" w:hAnsi="Verdana"/>
          <w:sz w:val="18"/>
        </w:rPr>
      </w:pPr>
    </w:p>
    <w:p w:rsidR="00325F72" w:rsidRPr="00AB7CF9" w:rsidRDefault="00B33867" w:rsidP="0090166A">
      <w:pPr>
        <w:overflowPunct w:val="0"/>
        <w:adjustRightInd w:val="0"/>
        <w:jc w:val="center"/>
        <w:textAlignment w:val="baseline"/>
        <w:rPr>
          <w:rFonts w:ascii="Verdana" w:hAnsi="Verdana"/>
          <w:b/>
          <w:sz w:val="17"/>
        </w:rPr>
      </w:pPr>
      <w:r w:rsidRPr="00AB7CF9">
        <w:rPr>
          <w:rFonts w:ascii="Verdana" w:hAnsi="Verdana"/>
          <w:b/>
          <w:sz w:val="17"/>
        </w:rPr>
        <w:t xml:space="preserve">Pour de plus amples informations, veuillez contacter: </w:t>
      </w:r>
    </w:p>
    <w:p w:rsidR="00B33867" w:rsidRPr="00AB7CF9" w:rsidRDefault="0000439A" w:rsidP="0090166A">
      <w:pPr>
        <w:spacing w:line="240" w:lineRule="auto"/>
        <w:jc w:val="center"/>
        <w:rPr>
          <w:rFonts w:ascii="Verdana" w:eastAsia="PMingLiU" w:hAnsi="Verdana"/>
          <w:sz w:val="17"/>
        </w:rPr>
      </w:pPr>
      <w:r w:rsidRPr="00AB7CF9">
        <w:rPr>
          <w:rFonts w:ascii="Verdana" w:hAnsi="Verdana"/>
          <w:sz w:val="17"/>
        </w:rPr>
        <w:t>Caroline Alibert-Deprez – service de presse du CESE</w:t>
      </w:r>
    </w:p>
    <w:p w:rsidR="00B33867" w:rsidRPr="00AB7CF9" w:rsidRDefault="00B33867" w:rsidP="0090166A">
      <w:pPr>
        <w:spacing w:line="240" w:lineRule="auto"/>
        <w:jc w:val="center"/>
        <w:rPr>
          <w:rFonts w:ascii="Verdana" w:eastAsia="PMingLiU" w:hAnsi="Verdana"/>
          <w:sz w:val="17"/>
        </w:rPr>
      </w:pPr>
      <w:r w:rsidRPr="00AB7CF9">
        <w:rPr>
          <w:rFonts w:ascii="Verdana" w:hAnsi="Verdana"/>
          <w:sz w:val="17"/>
        </w:rPr>
        <w:t xml:space="preserve">Courrier électronique: </w:t>
      </w:r>
      <w:hyperlink r:id="rId20">
        <w:r w:rsidRPr="00AB7CF9">
          <w:rPr>
            <w:rStyle w:val="Hyperlink"/>
            <w:rFonts w:ascii="Verdana" w:hAnsi="Verdana"/>
            <w:sz w:val="18"/>
          </w:rPr>
          <w:t>press@eesc.europa.eu</w:t>
        </w:r>
      </w:hyperlink>
    </w:p>
    <w:p w:rsidR="002C5CBB" w:rsidRPr="00AB7CF9" w:rsidRDefault="00822FAC" w:rsidP="0090166A">
      <w:pPr>
        <w:overflowPunct w:val="0"/>
        <w:adjustRightInd w:val="0"/>
        <w:spacing w:line="240" w:lineRule="auto"/>
        <w:jc w:val="center"/>
        <w:textAlignment w:val="baseline"/>
        <w:rPr>
          <w:rFonts w:ascii="Verdana" w:eastAsia="PMingLiU" w:hAnsi="Verdana"/>
          <w:sz w:val="16"/>
        </w:rPr>
      </w:pPr>
      <w:r w:rsidRPr="00AB7CF9">
        <w:rPr>
          <w:rFonts w:ascii="Verdana" w:hAnsi="Verdana"/>
          <w:sz w:val="16"/>
        </w:rPr>
        <w:t xml:space="preserve">Tél. fixe: +32 (0) 2 546 92 76 / Tél. mobile: + 32 (0) 473 53 40 02 </w:t>
      </w:r>
    </w:p>
    <w:p w:rsidR="00325F72" w:rsidRPr="00AB7CF9" w:rsidRDefault="002204E2" w:rsidP="0090166A">
      <w:pPr>
        <w:overflowPunct w:val="0"/>
        <w:adjustRightInd w:val="0"/>
        <w:spacing w:line="240" w:lineRule="auto"/>
        <w:jc w:val="center"/>
        <w:textAlignment w:val="baseline"/>
        <w:rPr>
          <w:rFonts w:ascii="Verdana" w:eastAsia="PMingLiU" w:hAnsi="Verdana"/>
          <w:sz w:val="16"/>
        </w:rPr>
      </w:pPr>
      <w:r w:rsidRPr="00AB7CF9">
        <w:rPr>
          <w:rFonts w:ascii="Verdana" w:hAnsi="Verdana"/>
          <w:b/>
          <w:color w:val="1F497D" w:themeColor="text2"/>
          <w:sz w:val="18"/>
        </w:rPr>
        <w:t>@EESC_PRESS</w:t>
      </w:r>
    </w:p>
    <w:p w:rsidR="00C763DB" w:rsidRPr="00AB7CF9" w:rsidRDefault="00C763DB" w:rsidP="0090166A">
      <w:pPr>
        <w:overflowPunct w:val="0"/>
        <w:adjustRightInd w:val="0"/>
        <w:textAlignment w:val="baseline"/>
        <w:rPr>
          <w:rFonts w:ascii="Verdana" w:hAnsi="Verdana"/>
          <w:sz w:val="18"/>
        </w:rPr>
      </w:pPr>
    </w:p>
    <w:p w:rsidR="00CE439D" w:rsidRPr="00AB7CF9" w:rsidRDefault="00CE439D" w:rsidP="0090166A">
      <w:pPr>
        <w:overflowPunct w:val="0"/>
        <w:adjustRightInd w:val="0"/>
        <w:textAlignment w:val="baseline"/>
        <w:rPr>
          <w:rFonts w:ascii="Verdana" w:hAnsi="Verdana"/>
          <w:b/>
          <w:i/>
          <w:sz w:val="16"/>
        </w:rPr>
      </w:pPr>
      <w:r w:rsidRPr="00AB7CF9">
        <w:rPr>
          <w:rFonts w:ascii="Verdana" w:hAnsi="Verdana"/>
          <w:b/>
          <w:i/>
          <w:sz w:val="16"/>
        </w:rPr>
        <w:t>______________________________________________________________________________</w:t>
      </w:r>
    </w:p>
    <w:p w:rsidR="00CE439D" w:rsidRPr="00AB7CF9" w:rsidRDefault="00CE439D" w:rsidP="0090166A">
      <w:pPr>
        <w:overflowPunct w:val="0"/>
        <w:adjustRightInd w:val="0"/>
        <w:textAlignment w:val="baseline"/>
        <w:rPr>
          <w:rFonts w:ascii="Verdana" w:hAnsi="Verdana"/>
          <w:i/>
          <w:sz w:val="16"/>
        </w:rPr>
      </w:pPr>
      <w:r w:rsidRPr="00AB7CF9">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Ils sont au nombre de 350, venus de l'Europe entière et nommés par le Conseil.</w:t>
      </w:r>
    </w:p>
    <w:p w:rsidR="00CE439D" w:rsidRPr="00AB7CF9" w:rsidRDefault="00CE439D" w:rsidP="0090166A">
      <w:pPr>
        <w:overflowPunct w:val="0"/>
        <w:adjustRightInd w:val="0"/>
        <w:textAlignment w:val="baseline"/>
        <w:rPr>
          <w:rFonts w:ascii="Verdana" w:hAnsi="Verdana"/>
          <w:b/>
          <w:i/>
          <w:sz w:val="16"/>
        </w:rPr>
      </w:pPr>
      <w:r w:rsidRPr="00AB7CF9">
        <w:rPr>
          <w:rFonts w:ascii="Verdana" w:hAnsi="Verdana"/>
          <w:b/>
          <w:i/>
          <w:sz w:val="16"/>
        </w:rPr>
        <w:t>_______________________________________________________________________________</w:t>
      </w:r>
    </w:p>
    <w:sectPr w:rsidR="00CE439D" w:rsidRPr="00AB7CF9" w:rsidSect="00BE4F48">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0C" w:rsidRDefault="0037490C">
      <w:r>
        <w:separator/>
      </w:r>
    </w:p>
  </w:endnote>
  <w:endnote w:type="continuationSeparator" w:id="0">
    <w:p w:rsidR="0037490C" w:rsidRDefault="0037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7F" w:rsidRPr="0090166A" w:rsidRDefault="00A9407F"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0C" w:rsidRDefault="0037490C">
      <w:r>
        <w:separator/>
      </w:r>
    </w:p>
  </w:footnote>
  <w:footnote w:type="continuationSeparator" w:id="0">
    <w:p w:rsidR="0037490C" w:rsidRDefault="00374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063E15"/>
    <w:multiLevelType w:val="hybridMultilevel"/>
    <w:tmpl w:val="B79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D372CDC"/>
    <w:multiLevelType w:val="hybridMultilevel"/>
    <w:tmpl w:val="1436C1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9C6802"/>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1EE27805"/>
    <w:multiLevelType w:val="hybridMultilevel"/>
    <w:tmpl w:val="655E57CE"/>
    <w:lvl w:ilvl="0" w:tplc="254A14B2">
      <w:start w:val="1"/>
      <w:numFmt w:val="bullet"/>
      <w:lvlRestart w:val="0"/>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2A3E97"/>
    <w:multiLevelType w:val="hybridMultilevel"/>
    <w:tmpl w:val="BB3EDF6A"/>
    <w:lvl w:ilvl="0" w:tplc="A7749612">
      <w:start w:val="1"/>
      <w:numFmt w:val="lowerLetter"/>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AA26D5"/>
    <w:multiLevelType w:val="hybridMultilevel"/>
    <w:tmpl w:val="3EE2B716"/>
    <w:lvl w:ilvl="0" w:tplc="4BAC55B4">
      <w:start w:val="1"/>
      <w:numFmt w:val="bullet"/>
      <w:lvlRestart w:val="0"/>
      <w:lvlText w:val="-"/>
      <w:lvlJc w:val="left"/>
      <w:pPr>
        <w:tabs>
          <w:tab w:val="num" w:pos="0"/>
        </w:tabs>
        <w:ind w:left="369" w:hanging="369"/>
      </w:pPr>
      <w:rPr>
        <w:rFonts w:ascii="Symbol" w:hAnsi="Symbol" w:hint="default"/>
        <w:b w:val="0"/>
        <w:i w:val="0"/>
        <w:color w:val="auto"/>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0"/>
  </w:num>
  <w:num w:numId="5">
    <w:abstractNumId w:val="6"/>
  </w:num>
  <w:num w:numId="6">
    <w:abstractNumId w:val="12"/>
  </w:num>
  <w:num w:numId="7">
    <w:abstractNumId w:val="3"/>
  </w:num>
  <w:num w:numId="8">
    <w:abstractNumId w:val="16"/>
  </w:num>
  <w:num w:numId="9">
    <w:abstractNumId w:val="15"/>
  </w:num>
  <w:num w:numId="10">
    <w:abstractNumId w:val="13"/>
  </w:num>
  <w:num w:numId="11">
    <w:abstractNumId w:val="14"/>
  </w:num>
  <w:num w:numId="12">
    <w:abstractNumId w:val="5"/>
  </w:num>
  <w:num w:numId="13">
    <w:abstractNumId w:val="8"/>
  </w:num>
  <w:num w:numId="14">
    <w:abstractNumId w:val="4"/>
  </w:num>
  <w:num w:numId="15">
    <w:abstractNumId w:val="7"/>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9A"/>
    <w:rsid w:val="000043FE"/>
    <w:rsid w:val="00013BF4"/>
    <w:rsid w:val="00015733"/>
    <w:rsid w:val="000178AE"/>
    <w:rsid w:val="0002038E"/>
    <w:rsid w:val="0002196A"/>
    <w:rsid w:val="00022547"/>
    <w:rsid w:val="00027222"/>
    <w:rsid w:val="00032159"/>
    <w:rsid w:val="00032AC8"/>
    <w:rsid w:val="0003364B"/>
    <w:rsid w:val="0003423E"/>
    <w:rsid w:val="00034390"/>
    <w:rsid w:val="00034652"/>
    <w:rsid w:val="00034AD4"/>
    <w:rsid w:val="0004647E"/>
    <w:rsid w:val="0004715C"/>
    <w:rsid w:val="00052678"/>
    <w:rsid w:val="00060A4A"/>
    <w:rsid w:val="00064EF7"/>
    <w:rsid w:val="00064F28"/>
    <w:rsid w:val="00065A40"/>
    <w:rsid w:val="00066E4E"/>
    <w:rsid w:val="00067F21"/>
    <w:rsid w:val="00070AF6"/>
    <w:rsid w:val="00071FC9"/>
    <w:rsid w:val="00073F61"/>
    <w:rsid w:val="00077FE9"/>
    <w:rsid w:val="000830E1"/>
    <w:rsid w:val="00084AD6"/>
    <w:rsid w:val="00086050"/>
    <w:rsid w:val="000879CA"/>
    <w:rsid w:val="00095160"/>
    <w:rsid w:val="00096B2F"/>
    <w:rsid w:val="000A270E"/>
    <w:rsid w:val="000A2CEE"/>
    <w:rsid w:val="000A60BE"/>
    <w:rsid w:val="000B4C8B"/>
    <w:rsid w:val="000B507E"/>
    <w:rsid w:val="000D3011"/>
    <w:rsid w:val="000D5B36"/>
    <w:rsid w:val="000E05AC"/>
    <w:rsid w:val="000E2CC7"/>
    <w:rsid w:val="000E7175"/>
    <w:rsid w:val="000F19EC"/>
    <w:rsid w:val="000F5238"/>
    <w:rsid w:val="000F56F6"/>
    <w:rsid w:val="00104DFA"/>
    <w:rsid w:val="00111E4B"/>
    <w:rsid w:val="001162E1"/>
    <w:rsid w:val="00116469"/>
    <w:rsid w:val="00127046"/>
    <w:rsid w:val="0013137C"/>
    <w:rsid w:val="00134081"/>
    <w:rsid w:val="00140B6A"/>
    <w:rsid w:val="00141C85"/>
    <w:rsid w:val="00142677"/>
    <w:rsid w:val="0014353A"/>
    <w:rsid w:val="0014447D"/>
    <w:rsid w:val="0015068E"/>
    <w:rsid w:val="00150E62"/>
    <w:rsid w:val="00161E2C"/>
    <w:rsid w:val="00164F81"/>
    <w:rsid w:val="00166961"/>
    <w:rsid w:val="0017165C"/>
    <w:rsid w:val="001719C4"/>
    <w:rsid w:val="00175643"/>
    <w:rsid w:val="00175E42"/>
    <w:rsid w:val="00184FF0"/>
    <w:rsid w:val="0018613F"/>
    <w:rsid w:val="001939E2"/>
    <w:rsid w:val="001A0F33"/>
    <w:rsid w:val="001B57CE"/>
    <w:rsid w:val="001B5975"/>
    <w:rsid w:val="001C0AA9"/>
    <w:rsid w:val="001C0DD2"/>
    <w:rsid w:val="001C346C"/>
    <w:rsid w:val="001D48D4"/>
    <w:rsid w:val="001D742E"/>
    <w:rsid w:val="001E0762"/>
    <w:rsid w:val="001E6444"/>
    <w:rsid w:val="00203251"/>
    <w:rsid w:val="00203921"/>
    <w:rsid w:val="0020436C"/>
    <w:rsid w:val="0020739D"/>
    <w:rsid w:val="0021693B"/>
    <w:rsid w:val="00216E6E"/>
    <w:rsid w:val="002204E2"/>
    <w:rsid w:val="0022628B"/>
    <w:rsid w:val="00227A31"/>
    <w:rsid w:val="0023316F"/>
    <w:rsid w:val="00244B53"/>
    <w:rsid w:val="0024520B"/>
    <w:rsid w:val="002506FE"/>
    <w:rsid w:val="00252D25"/>
    <w:rsid w:val="002562CD"/>
    <w:rsid w:val="00270392"/>
    <w:rsid w:val="00273102"/>
    <w:rsid w:val="002734F3"/>
    <w:rsid w:val="00283BAD"/>
    <w:rsid w:val="002866DC"/>
    <w:rsid w:val="002936E2"/>
    <w:rsid w:val="002A2433"/>
    <w:rsid w:val="002B04A8"/>
    <w:rsid w:val="002B6234"/>
    <w:rsid w:val="002C2C69"/>
    <w:rsid w:val="002C5CBB"/>
    <w:rsid w:val="002D08ED"/>
    <w:rsid w:val="002D6898"/>
    <w:rsid w:val="002D77DD"/>
    <w:rsid w:val="002D7A8C"/>
    <w:rsid w:val="002E14FC"/>
    <w:rsid w:val="002E1924"/>
    <w:rsid w:val="002E3BD1"/>
    <w:rsid w:val="002E6BC9"/>
    <w:rsid w:val="002E7189"/>
    <w:rsid w:val="002F1FC2"/>
    <w:rsid w:val="002F3534"/>
    <w:rsid w:val="002F41D4"/>
    <w:rsid w:val="002F7233"/>
    <w:rsid w:val="00304E7A"/>
    <w:rsid w:val="003054B2"/>
    <w:rsid w:val="003066F2"/>
    <w:rsid w:val="00306E88"/>
    <w:rsid w:val="003148CD"/>
    <w:rsid w:val="003164EF"/>
    <w:rsid w:val="00325F72"/>
    <w:rsid w:val="00327856"/>
    <w:rsid w:val="003305C3"/>
    <w:rsid w:val="00330BF8"/>
    <w:rsid w:val="003327CC"/>
    <w:rsid w:val="00335A37"/>
    <w:rsid w:val="00337F0A"/>
    <w:rsid w:val="00340194"/>
    <w:rsid w:val="00363DA8"/>
    <w:rsid w:val="00364ED2"/>
    <w:rsid w:val="00365D48"/>
    <w:rsid w:val="00370239"/>
    <w:rsid w:val="0037063C"/>
    <w:rsid w:val="0037490C"/>
    <w:rsid w:val="00374C88"/>
    <w:rsid w:val="00376637"/>
    <w:rsid w:val="003862FC"/>
    <w:rsid w:val="00386F1F"/>
    <w:rsid w:val="00392CB8"/>
    <w:rsid w:val="00394D81"/>
    <w:rsid w:val="003A18ED"/>
    <w:rsid w:val="003B2616"/>
    <w:rsid w:val="003B62F4"/>
    <w:rsid w:val="003B714A"/>
    <w:rsid w:val="003B74A0"/>
    <w:rsid w:val="003C21F5"/>
    <w:rsid w:val="003C3A03"/>
    <w:rsid w:val="003C7BF9"/>
    <w:rsid w:val="003D2255"/>
    <w:rsid w:val="003E5330"/>
    <w:rsid w:val="003E634B"/>
    <w:rsid w:val="003F3296"/>
    <w:rsid w:val="003F32EA"/>
    <w:rsid w:val="003F4FFB"/>
    <w:rsid w:val="003F5C5E"/>
    <w:rsid w:val="0040099B"/>
    <w:rsid w:val="00402807"/>
    <w:rsid w:val="004045EB"/>
    <w:rsid w:val="00404BFF"/>
    <w:rsid w:val="00414A53"/>
    <w:rsid w:val="00415811"/>
    <w:rsid w:val="004161B8"/>
    <w:rsid w:val="004179E6"/>
    <w:rsid w:val="004258C4"/>
    <w:rsid w:val="00430A45"/>
    <w:rsid w:val="004443A5"/>
    <w:rsid w:val="00445F73"/>
    <w:rsid w:val="0045265D"/>
    <w:rsid w:val="0045424F"/>
    <w:rsid w:val="00455119"/>
    <w:rsid w:val="004605FD"/>
    <w:rsid w:val="00470B59"/>
    <w:rsid w:val="00473B13"/>
    <w:rsid w:val="00473E94"/>
    <w:rsid w:val="00474419"/>
    <w:rsid w:val="00484B8C"/>
    <w:rsid w:val="00491A12"/>
    <w:rsid w:val="00492D0F"/>
    <w:rsid w:val="00494BBC"/>
    <w:rsid w:val="004969A2"/>
    <w:rsid w:val="004C44EE"/>
    <w:rsid w:val="004D47BD"/>
    <w:rsid w:val="004D55B7"/>
    <w:rsid w:val="004E0E3E"/>
    <w:rsid w:val="004E1858"/>
    <w:rsid w:val="004E5000"/>
    <w:rsid w:val="004E546A"/>
    <w:rsid w:val="004F3E26"/>
    <w:rsid w:val="004F4806"/>
    <w:rsid w:val="0050638B"/>
    <w:rsid w:val="005070FA"/>
    <w:rsid w:val="00510A96"/>
    <w:rsid w:val="005130D0"/>
    <w:rsid w:val="005134D3"/>
    <w:rsid w:val="00521032"/>
    <w:rsid w:val="005215C9"/>
    <w:rsid w:val="00526550"/>
    <w:rsid w:val="005269FE"/>
    <w:rsid w:val="005270ED"/>
    <w:rsid w:val="00540766"/>
    <w:rsid w:val="005407F1"/>
    <w:rsid w:val="00542994"/>
    <w:rsid w:val="00544FAF"/>
    <w:rsid w:val="00547506"/>
    <w:rsid w:val="0055255F"/>
    <w:rsid w:val="0055294F"/>
    <w:rsid w:val="00553B5B"/>
    <w:rsid w:val="00553E7C"/>
    <w:rsid w:val="005549A1"/>
    <w:rsid w:val="0055576C"/>
    <w:rsid w:val="00556CD0"/>
    <w:rsid w:val="0056215A"/>
    <w:rsid w:val="005658B4"/>
    <w:rsid w:val="00572C40"/>
    <w:rsid w:val="00575DF5"/>
    <w:rsid w:val="005848E8"/>
    <w:rsid w:val="00585DFE"/>
    <w:rsid w:val="00591DA1"/>
    <w:rsid w:val="00592F50"/>
    <w:rsid w:val="00594C5F"/>
    <w:rsid w:val="005A5F88"/>
    <w:rsid w:val="005A6FBD"/>
    <w:rsid w:val="005B0466"/>
    <w:rsid w:val="005B203C"/>
    <w:rsid w:val="005B3342"/>
    <w:rsid w:val="005B53B3"/>
    <w:rsid w:val="005B69E8"/>
    <w:rsid w:val="005C08F4"/>
    <w:rsid w:val="005C0DE6"/>
    <w:rsid w:val="005C27AB"/>
    <w:rsid w:val="005C27F1"/>
    <w:rsid w:val="005C46DB"/>
    <w:rsid w:val="005D03CA"/>
    <w:rsid w:val="005D1289"/>
    <w:rsid w:val="005D1C0D"/>
    <w:rsid w:val="005E17DA"/>
    <w:rsid w:val="005E1BBF"/>
    <w:rsid w:val="005F42C5"/>
    <w:rsid w:val="00604FB8"/>
    <w:rsid w:val="0060528C"/>
    <w:rsid w:val="0060771D"/>
    <w:rsid w:val="00607C27"/>
    <w:rsid w:val="006143C2"/>
    <w:rsid w:val="0061454B"/>
    <w:rsid w:val="006148A6"/>
    <w:rsid w:val="006171F3"/>
    <w:rsid w:val="00617E51"/>
    <w:rsid w:val="00626C38"/>
    <w:rsid w:val="00627902"/>
    <w:rsid w:val="00635A3E"/>
    <w:rsid w:val="006371D8"/>
    <w:rsid w:val="00637A99"/>
    <w:rsid w:val="00643B6D"/>
    <w:rsid w:val="00647A05"/>
    <w:rsid w:val="00647E74"/>
    <w:rsid w:val="00650F45"/>
    <w:rsid w:val="00657B35"/>
    <w:rsid w:val="00661B63"/>
    <w:rsid w:val="00662EE3"/>
    <w:rsid w:val="006632D5"/>
    <w:rsid w:val="00663F9C"/>
    <w:rsid w:val="00664630"/>
    <w:rsid w:val="006722B1"/>
    <w:rsid w:val="006849A9"/>
    <w:rsid w:val="00686EC2"/>
    <w:rsid w:val="006A7CB6"/>
    <w:rsid w:val="006B476B"/>
    <w:rsid w:val="006C07A6"/>
    <w:rsid w:val="006C10F6"/>
    <w:rsid w:val="006C15A4"/>
    <w:rsid w:val="006D0D46"/>
    <w:rsid w:val="006D2EDD"/>
    <w:rsid w:val="006D2F3C"/>
    <w:rsid w:val="006D6889"/>
    <w:rsid w:val="006D7231"/>
    <w:rsid w:val="006E0758"/>
    <w:rsid w:val="006E089C"/>
    <w:rsid w:val="006E1765"/>
    <w:rsid w:val="006E40E3"/>
    <w:rsid w:val="006E7218"/>
    <w:rsid w:val="0071010B"/>
    <w:rsid w:val="00712EA3"/>
    <w:rsid w:val="00714F5F"/>
    <w:rsid w:val="0071617F"/>
    <w:rsid w:val="00723B92"/>
    <w:rsid w:val="00725FEE"/>
    <w:rsid w:val="00726590"/>
    <w:rsid w:val="00732E78"/>
    <w:rsid w:val="00734330"/>
    <w:rsid w:val="007345CC"/>
    <w:rsid w:val="007431FC"/>
    <w:rsid w:val="00745ECE"/>
    <w:rsid w:val="007506DD"/>
    <w:rsid w:val="0075480A"/>
    <w:rsid w:val="0075747C"/>
    <w:rsid w:val="00763ABB"/>
    <w:rsid w:val="007644DA"/>
    <w:rsid w:val="00767C03"/>
    <w:rsid w:val="00776903"/>
    <w:rsid w:val="0078065F"/>
    <w:rsid w:val="00790C12"/>
    <w:rsid w:val="00791B4E"/>
    <w:rsid w:val="0079480D"/>
    <w:rsid w:val="00794F1B"/>
    <w:rsid w:val="0079639D"/>
    <w:rsid w:val="007965B7"/>
    <w:rsid w:val="007A036E"/>
    <w:rsid w:val="007A1010"/>
    <w:rsid w:val="007A28F9"/>
    <w:rsid w:val="007A5486"/>
    <w:rsid w:val="007B177E"/>
    <w:rsid w:val="007B245C"/>
    <w:rsid w:val="007C07B7"/>
    <w:rsid w:val="007C1DDE"/>
    <w:rsid w:val="007D191F"/>
    <w:rsid w:val="007D21F2"/>
    <w:rsid w:val="007D708F"/>
    <w:rsid w:val="007D7611"/>
    <w:rsid w:val="007E636E"/>
    <w:rsid w:val="007E645B"/>
    <w:rsid w:val="007E675D"/>
    <w:rsid w:val="007F0D33"/>
    <w:rsid w:val="007F36B6"/>
    <w:rsid w:val="007F385B"/>
    <w:rsid w:val="007F5085"/>
    <w:rsid w:val="007F647B"/>
    <w:rsid w:val="00804624"/>
    <w:rsid w:val="008067C3"/>
    <w:rsid w:val="00806A23"/>
    <w:rsid w:val="00811FCE"/>
    <w:rsid w:val="00814120"/>
    <w:rsid w:val="00822FAC"/>
    <w:rsid w:val="00825E10"/>
    <w:rsid w:val="00826B0B"/>
    <w:rsid w:val="00831D12"/>
    <w:rsid w:val="008331BA"/>
    <w:rsid w:val="008408FC"/>
    <w:rsid w:val="0085464F"/>
    <w:rsid w:val="00862C04"/>
    <w:rsid w:val="0086389C"/>
    <w:rsid w:val="00864501"/>
    <w:rsid w:val="00864B9E"/>
    <w:rsid w:val="00865EFE"/>
    <w:rsid w:val="0087205A"/>
    <w:rsid w:val="008730B3"/>
    <w:rsid w:val="008820BE"/>
    <w:rsid w:val="00886362"/>
    <w:rsid w:val="00886B25"/>
    <w:rsid w:val="00892AC3"/>
    <w:rsid w:val="008A05AA"/>
    <w:rsid w:val="008A0E9A"/>
    <w:rsid w:val="008A3967"/>
    <w:rsid w:val="008A5114"/>
    <w:rsid w:val="008A7BC8"/>
    <w:rsid w:val="008C3D7F"/>
    <w:rsid w:val="008C573E"/>
    <w:rsid w:val="008C6814"/>
    <w:rsid w:val="008C705E"/>
    <w:rsid w:val="008D2063"/>
    <w:rsid w:val="008D3853"/>
    <w:rsid w:val="008D45B3"/>
    <w:rsid w:val="008D58F4"/>
    <w:rsid w:val="008E5B09"/>
    <w:rsid w:val="008E6D76"/>
    <w:rsid w:val="008F5A64"/>
    <w:rsid w:val="008F5CCB"/>
    <w:rsid w:val="008F60FA"/>
    <w:rsid w:val="0090166A"/>
    <w:rsid w:val="00903049"/>
    <w:rsid w:val="0091006B"/>
    <w:rsid w:val="00910EE7"/>
    <w:rsid w:val="00913654"/>
    <w:rsid w:val="009164D9"/>
    <w:rsid w:val="009243BD"/>
    <w:rsid w:val="00925FAC"/>
    <w:rsid w:val="00927D51"/>
    <w:rsid w:val="00930ECB"/>
    <w:rsid w:val="00935C20"/>
    <w:rsid w:val="00936394"/>
    <w:rsid w:val="0094037E"/>
    <w:rsid w:val="00946DF1"/>
    <w:rsid w:val="009507B5"/>
    <w:rsid w:val="00952F58"/>
    <w:rsid w:val="009533B3"/>
    <w:rsid w:val="0095467B"/>
    <w:rsid w:val="00961216"/>
    <w:rsid w:val="0096658E"/>
    <w:rsid w:val="0097280B"/>
    <w:rsid w:val="00976592"/>
    <w:rsid w:val="00985346"/>
    <w:rsid w:val="00990350"/>
    <w:rsid w:val="00993A38"/>
    <w:rsid w:val="00996D8C"/>
    <w:rsid w:val="009A0D29"/>
    <w:rsid w:val="009A348E"/>
    <w:rsid w:val="009A4080"/>
    <w:rsid w:val="009B00D5"/>
    <w:rsid w:val="009C2FCF"/>
    <w:rsid w:val="009D06B0"/>
    <w:rsid w:val="009D3988"/>
    <w:rsid w:val="009D4A82"/>
    <w:rsid w:val="009D663A"/>
    <w:rsid w:val="009E095D"/>
    <w:rsid w:val="009E6AF3"/>
    <w:rsid w:val="009E6DD9"/>
    <w:rsid w:val="009F5812"/>
    <w:rsid w:val="00A00B19"/>
    <w:rsid w:val="00A022FA"/>
    <w:rsid w:val="00A0267E"/>
    <w:rsid w:val="00A03544"/>
    <w:rsid w:val="00A12EC1"/>
    <w:rsid w:val="00A13E71"/>
    <w:rsid w:val="00A14889"/>
    <w:rsid w:val="00A21AF7"/>
    <w:rsid w:val="00A274CD"/>
    <w:rsid w:val="00A30C79"/>
    <w:rsid w:val="00A463F8"/>
    <w:rsid w:val="00A46510"/>
    <w:rsid w:val="00A618B2"/>
    <w:rsid w:val="00A67DC9"/>
    <w:rsid w:val="00A700CA"/>
    <w:rsid w:val="00A70831"/>
    <w:rsid w:val="00A70D69"/>
    <w:rsid w:val="00A72EC9"/>
    <w:rsid w:val="00A75B47"/>
    <w:rsid w:val="00A801B4"/>
    <w:rsid w:val="00A821E5"/>
    <w:rsid w:val="00A866CB"/>
    <w:rsid w:val="00A90FC3"/>
    <w:rsid w:val="00A9124D"/>
    <w:rsid w:val="00A917FB"/>
    <w:rsid w:val="00A9407F"/>
    <w:rsid w:val="00A94C10"/>
    <w:rsid w:val="00A959B3"/>
    <w:rsid w:val="00AA0C32"/>
    <w:rsid w:val="00AA4F6C"/>
    <w:rsid w:val="00AA61D9"/>
    <w:rsid w:val="00AB4558"/>
    <w:rsid w:val="00AB6674"/>
    <w:rsid w:val="00AB730B"/>
    <w:rsid w:val="00AB74CD"/>
    <w:rsid w:val="00AB7CF9"/>
    <w:rsid w:val="00AD1CA6"/>
    <w:rsid w:val="00AD4B3D"/>
    <w:rsid w:val="00AD7F3C"/>
    <w:rsid w:val="00AE2304"/>
    <w:rsid w:val="00AE2B61"/>
    <w:rsid w:val="00AE30B6"/>
    <w:rsid w:val="00AE3B79"/>
    <w:rsid w:val="00AF2692"/>
    <w:rsid w:val="00AF4687"/>
    <w:rsid w:val="00B005B7"/>
    <w:rsid w:val="00B007CD"/>
    <w:rsid w:val="00B03F1A"/>
    <w:rsid w:val="00B05B15"/>
    <w:rsid w:val="00B068AD"/>
    <w:rsid w:val="00B12944"/>
    <w:rsid w:val="00B14944"/>
    <w:rsid w:val="00B172A0"/>
    <w:rsid w:val="00B239E2"/>
    <w:rsid w:val="00B31D91"/>
    <w:rsid w:val="00B33636"/>
    <w:rsid w:val="00B33867"/>
    <w:rsid w:val="00B403EA"/>
    <w:rsid w:val="00B43F58"/>
    <w:rsid w:val="00B46943"/>
    <w:rsid w:val="00B52063"/>
    <w:rsid w:val="00B54591"/>
    <w:rsid w:val="00B56053"/>
    <w:rsid w:val="00B70056"/>
    <w:rsid w:val="00B71203"/>
    <w:rsid w:val="00B72F4C"/>
    <w:rsid w:val="00B73294"/>
    <w:rsid w:val="00B738CE"/>
    <w:rsid w:val="00B87414"/>
    <w:rsid w:val="00B90699"/>
    <w:rsid w:val="00B9099A"/>
    <w:rsid w:val="00B924A7"/>
    <w:rsid w:val="00B9349D"/>
    <w:rsid w:val="00B9451A"/>
    <w:rsid w:val="00B96D77"/>
    <w:rsid w:val="00B96EB7"/>
    <w:rsid w:val="00B97CC4"/>
    <w:rsid w:val="00BB36F5"/>
    <w:rsid w:val="00BC044C"/>
    <w:rsid w:val="00BC1747"/>
    <w:rsid w:val="00BC60C2"/>
    <w:rsid w:val="00BD5F18"/>
    <w:rsid w:val="00BD68E5"/>
    <w:rsid w:val="00BE1AD1"/>
    <w:rsid w:val="00BE1DAF"/>
    <w:rsid w:val="00BE3B9C"/>
    <w:rsid w:val="00BE4F48"/>
    <w:rsid w:val="00BF0385"/>
    <w:rsid w:val="00BF3CA8"/>
    <w:rsid w:val="00C06C45"/>
    <w:rsid w:val="00C12A8E"/>
    <w:rsid w:val="00C139D3"/>
    <w:rsid w:val="00C36609"/>
    <w:rsid w:val="00C3679D"/>
    <w:rsid w:val="00C538F0"/>
    <w:rsid w:val="00C56D06"/>
    <w:rsid w:val="00C62641"/>
    <w:rsid w:val="00C6779D"/>
    <w:rsid w:val="00C73A17"/>
    <w:rsid w:val="00C763DB"/>
    <w:rsid w:val="00C801D6"/>
    <w:rsid w:val="00C82094"/>
    <w:rsid w:val="00C82882"/>
    <w:rsid w:val="00C86BD9"/>
    <w:rsid w:val="00C92538"/>
    <w:rsid w:val="00C9778F"/>
    <w:rsid w:val="00C977BE"/>
    <w:rsid w:val="00C97D1B"/>
    <w:rsid w:val="00CA087C"/>
    <w:rsid w:val="00CA54F3"/>
    <w:rsid w:val="00CB0CF6"/>
    <w:rsid w:val="00CB13A6"/>
    <w:rsid w:val="00CB38B5"/>
    <w:rsid w:val="00CB3AEC"/>
    <w:rsid w:val="00CB5993"/>
    <w:rsid w:val="00CC1036"/>
    <w:rsid w:val="00CC2EEE"/>
    <w:rsid w:val="00CC4F70"/>
    <w:rsid w:val="00CC51C7"/>
    <w:rsid w:val="00CC66BE"/>
    <w:rsid w:val="00CC7378"/>
    <w:rsid w:val="00CC79A7"/>
    <w:rsid w:val="00CD0945"/>
    <w:rsid w:val="00CE39E7"/>
    <w:rsid w:val="00CE439D"/>
    <w:rsid w:val="00CF25A1"/>
    <w:rsid w:val="00CF3A7A"/>
    <w:rsid w:val="00CF4723"/>
    <w:rsid w:val="00D000D0"/>
    <w:rsid w:val="00D04716"/>
    <w:rsid w:val="00D107B7"/>
    <w:rsid w:val="00D12BAF"/>
    <w:rsid w:val="00D15E24"/>
    <w:rsid w:val="00D1634B"/>
    <w:rsid w:val="00D169E7"/>
    <w:rsid w:val="00D17E81"/>
    <w:rsid w:val="00D37A25"/>
    <w:rsid w:val="00D513E8"/>
    <w:rsid w:val="00D6198E"/>
    <w:rsid w:val="00D73916"/>
    <w:rsid w:val="00D756D2"/>
    <w:rsid w:val="00D8566C"/>
    <w:rsid w:val="00D93A6F"/>
    <w:rsid w:val="00D97AFE"/>
    <w:rsid w:val="00D97D8E"/>
    <w:rsid w:val="00DA1CB0"/>
    <w:rsid w:val="00DA396F"/>
    <w:rsid w:val="00DA4DCC"/>
    <w:rsid w:val="00DA7ACD"/>
    <w:rsid w:val="00DB25B6"/>
    <w:rsid w:val="00DC5ECF"/>
    <w:rsid w:val="00DC66B3"/>
    <w:rsid w:val="00DE1D9B"/>
    <w:rsid w:val="00DE24B2"/>
    <w:rsid w:val="00DE6315"/>
    <w:rsid w:val="00DF4F75"/>
    <w:rsid w:val="00E17467"/>
    <w:rsid w:val="00E17CC9"/>
    <w:rsid w:val="00E318A5"/>
    <w:rsid w:val="00E32EC6"/>
    <w:rsid w:val="00E33B7A"/>
    <w:rsid w:val="00E376FE"/>
    <w:rsid w:val="00E42560"/>
    <w:rsid w:val="00E563EC"/>
    <w:rsid w:val="00E633DE"/>
    <w:rsid w:val="00E71274"/>
    <w:rsid w:val="00E73B97"/>
    <w:rsid w:val="00E81B1C"/>
    <w:rsid w:val="00E8447D"/>
    <w:rsid w:val="00E84B0D"/>
    <w:rsid w:val="00E87EAF"/>
    <w:rsid w:val="00E95245"/>
    <w:rsid w:val="00E96FCE"/>
    <w:rsid w:val="00EA5546"/>
    <w:rsid w:val="00EB453C"/>
    <w:rsid w:val="00EC04FE"/>
    <w:rsid w:val="00EC3074"/>
    <w:rsid w:val="00EC5D4E"/>
    <w:rsid w:val="00EC68D3"/>
    <w:rsid w:val="00EC6CC3"/>
    <w:rsid w:val="00EE684E"/>
    <w:rsid w:val="00EF2DA9"/>
    <w:rsid w:val="00EF77B2"/>
    <w:rsid w:val="00F00B46"/>
    <w:rsid w:val="00F02081"/>
    <w:rsid w:val="00F5107D"/>
    <w:rsid w:val="00F5199C"/>
    <w:rsid w:val="00F534F3"/>
    <w:rsid w:val="00F54B43"/>
    <w:rsid w:val="00F600A5"/>
    <w:rsid w:val="00F606C3"/>
    <w:rsid w:val="00F61167"/>
    <w:rsid w:val="00F61AE8"/>
    <w:rsid w:val="00F67FC4"/>
    <w:rsid w:val="00F77DCA"/>
    <w:rsid w:val="00F80546"/>
    <w:rsid w:val="00F81042"/>
    <w:rsid w:val="00F92628"/>
    <w:rsid w:val="00F96906"/>
    <w:rsid w:val="00FA101E"/>
    <w:rsid w:val="00FA2C33"/>
    <w:rsid w:val="00FA33EE"/>
    <w:rsid w:val="00FA629B"/>
    <w:rsid w:val="00FB068A"/>
    <w:rsid w:val="00FB59C4"/>
    <w:rsid w:val="00FB62BB"/>
    <w:rsid w:val="00FC24F2"/>
    <w:rsid w:val="00FD6F04"/>
    <w:rsid w:val="00FD7050"/>
    <w:rsid w:val="00FD7CDB"/>
    <w:rsid w:val="00FE1538"/>
    <w:rsid w:val="00FE243B"/>
    <w:rsid w:val="00FE3BF2"/>
    <w:rsid w:val="00FE43BC"/>
    <w:rsid w:val="00FE48C1"/>
    <w:rsid w:val="00FE6CC4"/>
    <w:rsid w:val="00FF38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F48"/>
    <w:pPr>
      <w:spacing w:line="288" w:lineRule="auto"/>
      <w:jc w:val="both"/>
    </w:pPr>
    <w:rPr>
      <w:sz w:val="22"/>
      <w:szCs w:val="22"/>
    </w:rPr>
  </w:style>
  <w:style w:type="paragraph" w:styleId="Heading1">
    <w:name w:val="heading 1"/>
    <w:basedOn w:val="Normal"/>
    <w:next w:val="Normal"/>
    <w:qFormat/>
    <w:rsid w:val="00BE4F48"/>
    <w:pPr>
      <w:numPr>
        <w:numId w:val="1"/>
      </w:numPr>
      <w:ind w:left="567" w:hanging="567"/>
      <w:outlineLvl w:val="0"/>
    </w:pPr>
    <w:rPr>
      <w:kern w:val="28"/>
    </w:rPr>
  </w:style>
  <w:style w:type="paragraph" w:styleId="Heading2">
    <w:name w:val="heading 2"/>
    <w:basedOn w:val="Normal"/>
    <w:next w:val="Normal"/>
    <w:qFormat/>
    <w:rsid w:val="00BE4F48"/>
    <w:pPr>
      <w:numPr>
        <w:ilvl w:val="1"/>
        <w:numId w:val="1"/>
      </w:numPr>
      <w:ind w:left="567" w:hanging="567"/>
      <w:outlineLvl w:val="1"/>
    </w:pPr>
  </w:style>
  <w:style w:type="paragraph" w:styleId="Heading3">
    <w:name w:val="heading 3"/>
    <w:basedOn w:val="Normal"/>
    <w:next w:val="Normal"/>
    <w:qFormat/>
    <w:rsid w:val="00BE4F48"/>
    <w:pPr>
      <w:numPr>
        <w:ilvl w:val="2"/>
        <w:numId w:val="1"/>
      </w:numPr>
      <w:ind w:left="567" w:hanging="567"/>
      <w:outlineLvl w:val="2"/>
    </w:pPr>
  </w:style>
  <w:style w:type="paragraph" w:styleId="Heading4">
    <w:name w:val="heading 4"/>
    <w:basedOn w:val="Normal"/>
    <w:next w:val="Normal"/>
    <w:qFormat/>
    <w:rsid w:val="00BE4F48"/>
    <w:pPr>
      <w:numPr>
        <w:ilvl w:val="3"/>
        <w:numId w:val="1"/>
      </w:numPr>
      <w:ind w:left="567" w:hanging="567"/>
      <w:outlineLvl w:val="3"/>
    </w:pPr>
  </w:style>
  <w:style w:type="paragraph" w:styleId="Heading5">
    <w:name w:val="heading 5"/>
    <w:basedOn w:val="Normal"/>
    <w:next w:val="Normal"/>
    <w:qFormat/>
    <w:rsid w:val="00BE4F48"/>
    <w:pPr>
      <w:numPr>
        <w:ilvl w:val="4"/>
        <w:numId w:val="1"/>
      </w:numPr>
      <w:ind w:left="567" w:hanging="567"/>
      <w:outlineLvl w:val="4"/>
    </w:pPr>
  </w:style>
  <w:style w:type="paragraph" w:styleId="Heading6">
    <w:name w:val="heading 6"/>
    <w:basedOn w:val="Normal"/>
    <w:next w:val="Normal"/>
    <w:qFormat/>
    <w:rsid w:val="00BE4F48"/>
    <w:pPr>
      <w:numPr>
        <w:ilvl w:val="5"/>
        <w:numId w:val="1"/>
      </w:numPr>
      <w:ind w:left="567" w:hanging="567"/>
      <w:outlineLvl w:val="5"/>
    </w:pPr>
  </w:style>
  <w:style w:type="paragraph" w:styleId="Heading7">
    <w:name w:val="heading 7"/>
    <w:basedOn w:val="Normal"/>
    <w:next w:val="Normal"/>
    <w:qFormat/>
    <w:rsid w:val="00BE4F48"/>
    <w:pPr>
      <w:numPr>
        <w:ilvl w:val="6"/>
        <w:numId w:val="1"/>
      </w:numPr>
      <w:ind w:left="567" w:hanging="567"/>
      <w:outlineLvl w:val="6"/>
    </w:pPr>
  </w:style>
  <w:style w:type="paragraph" w:styleId="Heading8">
    <w:name w:val="heading 8"/>
    <w:basedOn w:val="Normal"/>
    <w:next w:val="Normal"/>
    <w:qFormat/>
    <w:rsid w:val="00BE4F48"/>
    <w:pPr>
      <w:numPr>
        <w:ilvl w:val="7"/>
        <w:numId w:val="1"/>
      </w:numPr>
      <w:ind w:left="567" w:hanging="567"/>
      <w:outlineLvl w:val="7"/>
    </w:pPr>
  </w:style>
  <w:style w:type="paragraph" w:styleId="Heading9">
    <w:name w:val="heading 9"/>
    <w:basedOn w:val="Normal"/>
    <w:next w:val="Normal"/>
    <w:qFormat/>
    <w:rsid w:val="00BE4F4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BE4F48"/>
  </w:style>
  <w:style w:type="paragraph" w:styleId="FootnoteText">
    <w:name w:val="footnote text"/>
    <w:basedOn w:val="Normal"/>
    <w:qFormat/>
    <w:rsid w:val="00BE4F48"/>
    <w:pPr>
      <w:keepLines/>
      <w:spacing w:after="60" w:line="240" w:lineRule="auto"/>
      <w:ind w:left="567" w:hanging="567"/>
    </w:pPr>
    <w:rPr>
      <w:sz w:val="16"/>
    </w:rPr>
  </w:style>
  <w:style w:type="paragraph" w:styleId="Header">
    <w:name w:val="header"/>
    <w:basedOn w:val="Normal"/>
    <w:link w:val="HeaderChar"/>
    <w:qFormat/>
    <w:rsid w:val="00BE4F48"/>
  </w:style>
  <w:style w:type="paragraph" w:customStyle="1" w:styleId="quotes">
    <w:name w:val="quotes"/>
    <w:basedOn w:val="Normal"/>
    <w:next w:val="Normal"/>
    <w:rsid w:val="00BE4F48"/>
    <w:pPr>
      <w:ind w:left="720"/>
    </w:pPr>
    <w:rPr>
      <w:i/>
    </w:rPr>
  </w:style>
  <w:style w:type="character" w:styleId="FootnoteReference">
    <w:name w:val="footnote reference"/>
    <w:basedOn w:val="DefaultParagraphFont"/>
    <w:unhideWhenUsed/>
    <w:qFormat/>
    <w:rsid w:val="00BE4F48"/>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rsid w:val="00484B8C"/>
    <w:rPr>
      <w:sz w:val="22"/>
      <w:szCs w:val="22"/>
      <w:lang w:val="fr-FR" w:eastAsia="fr-FR"/>
    </w:rPr>
  </w:style>
  <w:style w:type="character" w:customStyle="1" w:styleId="FooterChar">
    <w:name w:val="Footer Char"/>
    <w:basedOn w:val="DefaultParagraphFont"/>
    <w:link w:val="Footer"/>
    <w:rsid w:val="00402807"/>
    <w:rPr>
      <w:sz w:val="22"/>
      <w:szCs w:val="22"/>
      <w:lang w:val="fr-FR" w:eastAsia="fr-FR"/>
    </w:rPr>
  </w:style>
  <w:style w:type="paragraph" w:styleId="BalloonText">
    <w:name w:val="Balloon Text"/>
    <w:basedOn w:val="Normal"/>
    <w:link w:val="BalloonTextChar"/>
    <w:rsid w:val="00CB13A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B13A6"/>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F48"/>
    <w:pPr>
      <w:spacing w:line="288" w:lineRule="auto"/>
      <w:jc w:val="both"/>
    </w:pPr>
    <w:rPr>
      <w:sz w:val="22"/>
      <w:szCs w:val="22"/>
    </w:rPr>
  </w:style>
  <w:style w:type="paragraph" w:styleId="Heading1">
    <w:name w:val="heading 1"/>
    <w:basedOn w:val="Normal"/>
    <w:next w:val="Normal"/>
    <w:qFormat/>
    <w:rsid w:val="00BE4F48"/>
    <w:pPr>
      <w:numPr>
        <w:numId w:val="1"/>
      </w:numPr>
      <w:ind w:left="567" w:hanging="567"/>
      <w:outlineLvl w:val="0"/>
    </w:pPr>
    <w:rPr>
      <w:kern w:val="28"/>
    </w:rPr>
  </w:style>
  <w:style w:type="paragraph" w:styleId="Heading2">
    <w:name w:val="heading 2"/>
    <w:basedOn w:val="Normal"/>
    <w:next w:val="Normal"/>
    <w:qFormat/>
    <w:rsid w:val="00BE4F48"/>
    <w:pPr>
      <w:numPr>
        <w:ilvl w:val="1"/>
        <w:numId w:val="1"/>
      </w:numPr>
      <w:ind w:left="567" w:hanging="567"/>
      <w:outlineLvl w:val="1"/>
    </w:pPr>
  </w:style>
  <w:style w:type="paragraph" w:styleId="Heading3">
    <w:name w:val="heading 3"/>
    <w:basedOn w:val="Normal"/>
    <w:next w:val="Normal"/>
    <w:qFormat/>
    <w:rsid w:val="00BE4F48"/>
    <w:pPr>
      <w:numPr>
        <w:ilvl w:val="2"/>
        <w:numId w:val="1"/>
      </w:numPr>
      <w:ind w:left="567" w:hanging="567"/>
      <w:outlineLvl w:val="2"/>
    </w:pPr>
  </w:style>
  <w:style w:type="paragraph" w:styleId="Heading4">
    <w:name w:val="heading 4"/>
    <w:basedOn w:val="Normal"/>
    <w:next w:val="Normal"/>
    <w:qFormat/>
    <w:rsid w:val="00BE4F48"/>
    <w:pPr>
      <w:numPr>
        <w:ilvl w:val="3"/>
        <w:numId w:val="1"/>
      </w:numPr>
      <w:ind w:left="567" w:hanging="567"/>
      <w:outlineLvl w:val="3"/>
    </w:pPr>
  </w:style>
  <w:style w:type="paragraph" w:styleId="Heading5">
    <w:name w:val="heading 5"/>
    <w:basedOn w:val="Normal"/>
    <w:next w:val="Normal"/>
    <w:qFormat/>
    <w:rsid w:val="00BE4F48"/>
    <w:pPr>
      <w:numPr>
        <w:ilvl w:val="4"/>
        <w:numId w:val="1"/>
      </w:numPr>
      <w:ind w:left="567" w:hanging="567"/>
      <w:outlineLvl w:val="4"/>
    </w:pPr>
  </w:style>
  <w:style w:type="paragraph" w:styleId="Heading6">
    <w:name w:val="heading 6"/>
    <w:basedOn w:val="Normal"/>
    <w:next w:val="Normal"/>
    <w:qFormat/>
    <w:rsid w:val="00BE4F48"/>
    <w:pPr>
      <w:numPr>
        <w:ilvl w:val="5"/>
        <w:numId w:val="1"/>
      </w:numPr>
      <w:ind w:left="567" w:hanging="567"/>
      <w:outlineLvl w:val="5"/>
    </w:pPr>
  </w:style>
  <w:style w:type="paragraph" w:styleId="Heading7">
    <w:name w:val="heading 7"/>
    <w:basedOn w:val="Normal"/>
    <w:next w:val="Normal"/>
    <w:qFormat/>
    <w:rsid w:val="00BE4F48"/>
    <w:pPr>
      <w:numPr>
        <w:ilvl w:val="6"/>
        <w:numId w:val="1"/>
      </w:numPr>
      <w:ind w:left="567" w:hanging="567"/>
      <w:outlineLvl w:val="6"/>
    </w:pPr>
  </w:style>
  <w:style w:type="paragraph" w:styleId="Heading8">
    <w:name w:val="heading 8"/>
    <w:basedOn w:val="Normal"/>
    <w:next w:val="Normal"/>
    <w:qFormat/>
    <w:rsid w:val="00BE4F48"/>
    <w:pPr>
      <w:numPr>
        <w:ilvl w:val="7"/>
        <w:numId w:val="1"/>
      </w:numPr>
      <w:ind w:left="567" w:hanging="567"/>
      <w:outlineLvl w:val="7"/>
    </w:pPr>
  </w:style>
  <w:style w:type="paragraph" w:styleId="Heading9">
    <w:name w:val="heading 9"/>
    <w:basedOn w:val="Normal"/>
    <w:next w:val="Normal"/>
    <w:qFormat/>
    <w:rsid w:val="00BE4F4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BE4F48"/>
  </w:style>
  <w:style w:type="paragraph" w:styleId="FootnoteText">
    <w:name w:val="footnote text"/>
    <w:basedOn w:val="Normal"/>
    <w:qFormat/>
    <w:rsid w:val="00BE4F48"/>
    <w:pPr>
      <w:keepLines/>
      <w:spacing w:after="60" w:line="240" w:lineRule="auto"/>
      <w:ind w:left="567" w:hanging="567"/>
    </w:pPr>
    <w:rPr>
      <w:sz w:val="16"/>
    </w:rPr>
  </w:style>
  <w:style w:type="paragraph" w:styleId="Header">
    <w:name w:val="header"/>
    <w:basedOn w:val="Normal"/>
    <w:link w:val="HeaderChar"/>
    <w:qFormat/>
    <w:rsid w:val="00BE4F48"/>
  </w:style>
  <w:style w:type="paragraph" w:customStyle="1" w:styleId="quotes">
    <w:name w:val="quotes"/>
    <w:basedOn w:val="Normal"/>
    <w:next w:val="Normal"/>
    <w:rsid w:val="00BE4F48"/>
    <w:pPr>
      <w:ind w:left="720"/>
    </w:pPr>
    <w:rPr>
      <w:i/>
    </w:rPr>
  </w:style>
  <w:style w:type="character" w:styleId="FootnoteReference">
    <w:name w:val="footnote reference"/>
    <w:basedOn w:val="DefaultParagraphFont"/>
    <w:unhideWhenUsed/>
    <w:qFormat/>
    <w:rsid w:val="00BE4F48"/>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rsid w:val="00484B8C"/>
    <w:rPr>
      <w:sz w:val="22"/>
      <w:szCs w:val="22"/>
      <w:lang w:val="fr-FR" w:eastAsia="fr-FR"/>
    </w:rPr>
  </w:style>
  <w:style w:type="character" w:customStyle="1" w:styleId="FooterChar">
    <w:name w:val="Footer Char"/>
    <w:basedOn w:val="DefaultParagraphFont"/>
    <w:link w:val="Footer"/>
    <w:rsid w:val="00402807"/>
    <w:rPr>
      <w:sz w:val="22"/>
      <w:szCs w:val="22"/>
      <w:lang w:val="fr-FR" w:eastAsia="fr-FR"/>
    </w:rPr>
  </w:style>
  <w:style w:type="paragraph" w:styleId="BalloonText">
    <w:name w:val="Balloon Text"/>
    <w:basedOn w:val="Normal"/>
    <w:link w:val="BalloonTextChar"/>
    <w:rsid w:val="00CB13A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B13A6"/>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1921">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67854580">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28183207">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5867205">
      <w:bodyDiv w:val="1"/>
      <w:marLeft w:val="0"/>
      <w:marRight w:val="0"/>
      <w:marTop w:val="0"/>
      <w:marBottom w:val="0"/>
      <w:divBdr>
        <w:top w:val="none" w:sz="0" w:space="0" w:color="auto"/>
        <w:left w:val="none" w:sz="0" w:space="0" w:color="auto"/>
        <w:bottom w:val="none" w:sz="0" w:space="0" w:color="auto"/>
        <w:right w:val="none" w:sz="0" w:space="0" w:color="auto"/>
      </w:divBdr>
    </w:div>
    <w:div w:id="62111170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84947774">
      <w:bodyDiv w:val="1"/>
      <w:marLeft w:val="0"/>
      <w:marRight w:val="0"/>
      <w:marTop w:val="0"/>
      <w:marBottom w:val="0"/>
      <w:divBdr>
        <w:top w:val="none" w:sz="0" w:space="0" w:color="auto"/>
        <w:left w:val="none" w:sz="0" w:space="0" w:color="auto"/>
        <w:bottom w:val="none" w:sz="0" w:space="0" w:color="auto"/>
        <w:right w:val="none" w:sz="0" w:space="0" w:color="auto"/>
      </w:divBdr>
    </w:div>
    <w:div w:id="905602498">
      <w:bodyDiv w:val="1"/>
      <w:marLeft w:val="0"/>
      <w:marRight w:val="0"/>
      <w:marTop w:val="0"/>
      <w:marBottom w:val="0"/>
      <w:divBdr>
        <w:top w:val="none" w:sz="0" w:space="0" w:color="auto"/>
        <w:left w:val="none" w:sz="0" w:space="0" w:color="auto"/>
        <w:bottom w:val="none" w:sz="0" w:space="0" w:color="auto"/>
        <w:right w:val="none" w:sz="0" w:space="0" w:color="auto"/>
      </w:divBdr>
    </w:div>
    <w:div w:id="1000237708">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80714418">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862308">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89550871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i=portal.fr.ten-opinions.3966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berec.europa.eu/" TargetMode="External"/><Relationship Id="rId2" Type="http://schemas.openxmlformats.org/officeDocument/2006/relationships/customXml" Target="../customXml/item2.xml"/><Relationship Id="rId16" Type="http://schemas.openxmlformats.org/officeDocument/2006/relationships/hyperlink" Target="http://www.eesc.europa.eu/?i=portal.fr.int-opinions.39601" TargetMode="External"/><Relationship Id="rId20" Type="http://schemas.openxmlformats.org/officeDocument/2006/relationships/hyperlink" Target="mailto:press@eesc.europa.eu?subject=Je%20d%C3%A9sire%20obtenir%20des%20inform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eesc.europa.eu/?i=portal.fr.int-opinions.39990"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3XPXQ63Y2AW3-9-3039</_dlc_DocId>
    <_dlc_DocIdUrl xmlns="8835a8a4-5a07-4207-ac1e-223f88a8f7af">
      <Url>http://dm/EESC/2016/_layouts/DocIdRedir.aspx?ID=3XPXQ63Y2AW3-9-3039</Url>
      <Description>3XPXQ63Y2AW3-9-3039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fdc3d2aa-8103-4135-a18e-08b5be4f3e76"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2016-10-19T12:00:00+00:00</ProductionDate>
    <FicheYear xmlns="8835a8a4-5a07-4207-ac1e-223f88a8f7af">2016</FicheYear>
    <DocumentNumber xmlns="fdc3d2aa-8103-4135-a18e-08b5be4f3e76">5680</DocumentNumbe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22</Value>
      <Value>15</Value>
      <Value>14</Value>
      <Value>10</Value>
      <Value>28</Value>
      <Value>6</Value>
      <Value>5</Value>
      <Value>4</Value>
      <Value>24</Value>
      <Value>2</Value>
      <Value>1</Value>
    </TaxCatchAll>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11725</FicheNumber>
    <DocumentYear xmlns="8835a8a4-5a07-4207-ac1e-223f88a8f7af">2016</DocumentYear>
    <DocumentPart xmlns="8835a8a4-5a07-4207-ac1e-223f88a8f7af">0</DocumentPart>
    <AdoptionDate xmlns="8835a8a4-5a07-4207-ac1e-223f88a8f7af" xsi:nil="true"/>
    <RequestingService xmlns="8835a8a4-5a07-4207-ac1e-223f88a8f7a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6569393C852D1B41981698C0C702B5A1" ma:contentTypeVersion="4" ma:contentTypeDescription="Defines the documents for Document Manager V2" ma:contentTypeScope="" ma:versionID="f03367117d5e152adf00a8cc29936596">
  <xsd:schema xmlns:xsd="http://www.w3.org/2001/XMLSchema" xmlns:xs="http://www.w3.org/2001/XMLSchema" xmlns:p="http://schemas.microsoft.com/office/2006/metadata/properties" xmlns:ns2="8835a8a4-5a07-4207-ac1e-223f88a8f7af" xmlns:ns3="http://schemas.microsoft.com/sharepoint/v3/fields" xmlns:ns4="fdc3d2aa-8103-4135-a18e-08b5be4f3e76" targetNamespace="http://schemas.microsoft.com/office/2006/metadata/properties" ma:root="true" ma:fieldsID="98b0c0f90ac6cf0caaa37d10a532a094" ns2:_="" ns3:_="" ns4:_="">
    <xsd:import namespace="8835a8a4-5a07-4207-ac1e-223f88a8f7af"/>
    <xsd:import namespace="http://schemas.microsoft.com/sharepoint/v3/fields"/>
    <xsd:import namespace="fdc3d2aa-8103-4135-a18e-08b5be4f3e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3d2aa-8103-4135-a18e-08b5be4f3e7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1F9F2E8D-092A-403F-BFED-F2D5EA0B8AC3}">
  <ds:schemaRefs>
    <ds:schemaRef ds:uri="http://purl.org/dc/terms/"/>
    <ds:schemaRef ds:uri="http://schemas.microsoft.com/office/2006/metadata/properties"/>
    <ds:schemaRef ds:uri="http://purl.org/dc/elements/1.1/"/>
    <ds:schemaRef ds:uri="8835a8a4-5a07-4207-ac1e-223f88a8f7af"/>
    <ds:schemaRef ds:uri="http://schemas.microsoft.com/office/infopath/2007/PartnerControls"/>
    <ds:schemaRef ds:uri="http://www.w3.org/XML/1998/namespace"/>
    <ds:schemaRef ds:uri="http://schemas.microsoft.com/office/2006/documentManagement/types"/>
    <ds:schemaRef ds:uri="http://schemas.microsoft.com/sharepoint/v3/fields"/>
    <ds:schemaRef ds:uri="http://schemas.openxmlformats.org/package/2006/metadata/core-properties"/>
    <ds:schemaRef ds:uri="fdc3d2aa-8103-4135-a18e-08b5be4f3e76"/>
    <ds:schemaRef ds:uri="http://purl.org/dc/dcmitype/"/>
  </ds:schemaRefs>
</ds:datastoreItem>
</file>

<file path=customXml/itemProps4.xml><?xml version="1.0" encoding="utf-8"?>
<ds:datastoreItem xmlns:ds="http://schemas.openxmlformats.org/officeDocument/2006/customXml" ds:itemID="{DE58B6EE-72F8-4DEC-9A85-5DA174862B3A}">
  <ds:schemaRefs>
    <ds:schemaRef ds:uri="http://schemas.microsoft.com/sharepoint/events"/>
  </ds:schemaRefs>
</ds:datastoreItem>
</file>

<file path=customXml/itemProps5.xml><?xml version="1.0" encoding="utf-8"?>
<ds:datastoreItem xmlns:ds="http://schemas.openxmlformats.org/officeDocument/2006/customXml" ds:itemID="{F42137E6-E893-4529-8F76-346CF5E35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fdc3d2aa-8103-4135-a18e-08b5be4f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E8167F-23B6-46DD-9AC0-15ECF016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877</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CP - Une Europe qui oeuvre pour les consommateurs (PLÉNIÈRE)</vt:lpstr>
    </vt:vector>
  </TitlesOfParts>
  <Company>CESE-CdR</Company>
  <LinksUpToDate>false</LinksUpToDate>
  <CharactersWithSpaces>6288</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 Une Europe qui oeuvre pour les consommateurs (PLÉNIÈRE)</dc:title>
  <dc:subject>Communiqué de presse</dc:subject>
  <dc:creator>Caroline Alibert</dc:creator>
  <cp:keywords>EESC-2016-05680-00-00-CP-TRA-FR</cp:keywords>
  <dc:description>Rapporteur : -_x000d_
Langue originale : EN_x000d_
Date du document : 19/10/2016_x000d_
Date de la réunion : _x000d_
Documents externes : -_x000d_
Fonctionnaire responsable : ALIBERT CAROLINE, téléphone : + 2 546 9406_x000d_
_x000d_
Résumé :</dc:description>
  <cp:lastModifiedBy>Caroline Alibert</cp:lastModifiedBy>
  <cp:revision>3</cp:revision>
  <cp:lastPrinted>2015-11-12T07:45:00Z</cp:lastPrinted>
  <dcterms:created xsi:type="dcterms:W3CDTF">2016-10-20T10:35:00Z</dcterms:created>
  <dcterms:modified xsi:type="dcterms:W3CDTF">2016-10-20T10:38:00Z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0x010100EA97B91038054C99906057A708A1480A006569393C852D1B41981698C0C702B5A1</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19/10/2016, 19/09/2016</vt:lpwstr>
  </property>
  <property fmtid="{D5CDD505-2E9C-101B-9397-08002B2CF9AE}" pid="7" name="Pref_Time">
    <vt:lpwstr>10:13:28, 14:58:56</vt:lpwstr>
  </property>
  <property fmtid="{D5CDD505-2E9C-101B-9397-08002B2CF9AE}" pid="8" name="Pref_User">
    <vt:lpwstr>mkop, mkop</vt:lpwstr>
  </property>
  <property fmtid="{D5CDD505-2E9C-101B-9397-08002B2CF9AE}" pid="9" name="Pref_FileName">
    <vt:lpwstr>EESC-2016-05680-00-00-CP-ORI.docx, EESC-2016-04997-00-00-CP-ORI.docx</vt:lpwstr>
  </property>
  <property fmtid="{D5CDD505-2E9C-101B-9397-08002B2CF9AE}" pid="10" name="_dlc_DocIdItemGuid">
    <vt:lpwstr>9e945db7-f7e3-4254-8552-d1fe94b54757</vt:lpwstr>
  </property>
  <property fmtid="{D5CDD505-2E9C-101B-9397-08002B2CF9AE}" pid="11" name="DocumentType_0">
    <vt:lpwstr>CP|de8ad211-9e8d-408b-8324-674d21bb7d18</vt:lpwstr>
  </property>
  <property fmtid="{D5CDD505-2E9C-101B-9397-08002B2CF9AE}" pid="12" name="AvailableTranslations">
    <vt:lpwstr>22;#DE|f6b31e5a-26fa-4935-b661-318e46daf27e;#28;#ES|e7a6b05b-ae16-40c8-add9-68b64b03aeba;#15;#IT|0774613c-01ed-4e5d-a25d-11d2388de825;#4;#FR|d2afafd3-4c81-4f60-8f52-ee33f2f54ff3;#10;#EN|f2175f21-25d7-44a3-96da-d6a61b075e1b;#24;#PL|1e03da61-4678-4e07-b136-</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5680</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22;#DE|f6b31e5a-26fa-4935-b661-318e46daf27e;#15;#IT|0774613c-01ed-4e5d-a25d-11d2388de825;#14;#CP|de8ad211-9e8d-408b-8324-674d21bb7d18;#10;#EN|f2175f21-25d7-44a3-96da-d6a61b075e1b;#28;#ES|e7a6b05b-ae16-40c8-add9-68b64b03aeba;#6;#Final|ea5e6674-7b27-4bac-b0</vt:lpwstr>
  </property>
  <property fmtid="{D5CDD505-2E9C-101B-9397-08002B2CF9AE}" pid="32" name="AvailableTranslations_0">
    <vt:lpwstr>DE|f6b31e5a-26fa-4935-b661-318e46daf27e;ES|e7a6b05b-ae16-40c8-add9-68b64b03aeba;IT|0774613c-01ed-4e5d-a25d-11d2388de825;EN|f2175f21-25d7-44a3-96da-d6a61b075e1b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11725</vt:i4>
  </property>
  <property fmtid="{D5CDD505-2E9C-101B-9397-08002B2CF9AE}" pid="36" name="DocumentYear">
    <vt:i4>2016</vt:i4>
  </property>
  <property fmtid="{D5CDD505-2E9C-101B-9397-08002B2CF9AE}" pid="37" name="DocumentLanguage">
    <vt:lpwstr>4;#FR|d2afafd3-4c81-4f60-8f52-ee33f2f54ff3</vt:lpwstr>
  </property>
  <property fmtid="{D5CDD505-2E9C-101B-9397-08002B2CF9AE}" pid="38" name="DocumentLanguage_0">
    <vt:lpwstr>EN|f2175f21-25d7-44a3-96da-d6a61b075e1b</vt:lpwstr>
  </property>
</Properties>
</file>