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E0" w:rsidRPr="00783A06" w:rsidRDefault="008415E0">
      <w:r w:rsidRPr="00783A06">
        <w:rPr>
          <w:rFonts w:ascii="Verdana" w:hAnsi="Verdana"/>
          <w:b/>
          <w:noProof/>
          <w:sz w:val="18"/>
          <w:lang w:val="fr-BE" w:eastAsia="fr-BE" w:bidi="ar-SA"/>
        </w:rPr>
        <w:drawing>
          <wp:anchor distT="0" distB="0" distL="114300" distR="114300" simplePos="0" relativeHeight="251659776" behindDoc="0" locked="0" layoutInCell="1" allowOverlap="1" wp14:anchorId="6814CA99" wp14:editId="00AD4CB7">
            <wp:simplePos x="0" y="0"/>
            <wp:positionH relativeFrom="column">
              <wp:posOffset>-310515</wp:posOffset>
            </wp:positionH>
            <wp:positionV relativeFrom="paragraph">
              <wp:posOffset>-350520</wp:posOffset>
            </wp:positionV>
            <wp:extent cx="6631388" cy="1614115"/>
            <wp:effectExtent l="0" t="0" r="0" b="5715"/>
            <wp:wrapNone/>
            <wp:docPr id="5" name="Picture 5" descr="F:\01.PRESS RELEASES\2015\visuals_CP\EESC-PressRelease-EN-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2015\visuals_CP\EESC-PressRelease-EN-h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1388" cy="161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15E0" w:rsidRPr="00783A06" w:rsidRDefault="008415E0"/>
    <w:p w:rsidR="008415E0" w:rsidRPr="00783A06" w:rsidRDefault="008415E0"/>
    <w:p w:rsidR="008415E0" w:rsidRPr="00783A06" w:rsidRDefault="008415E0"/>
    <w:p w:rsidR="008415E0" w:rsidRPr="00783A06" w:rsidRDefault="008415E0"/>
    <w:p w:rsidR="008415E0" w:rsidRPr="00783A06" w:rsidRDefault="008415E0"/>
    <w:p w:rsidR="008415E0" w:rsidRPr="00783A06" w:rsidRDefault="008415E0"/>
    <w:tbl>
      <w:tblPr>
        <w:tblW w:w="9335" w:type="dxa"/>
        <w:tblLook w:val="0000" w:firstRow="0" w:lastRow="0" w:firstColumn="0" w:lastColumn="0" w:noHBand="0" w:noVBand="0"/>
      </w:tblPr>
      <w:tblGrid>
        <w:gridCol w:w="5216"/>
        <w:gridCol w:w="4119"/>
      </w:tblGrid>
      <w:tr w:rsidR="00F83179" w:rsidRPr="00783A06" w:rsidTr="008415E0">
        <w:trPr>
          <w:cantSplit/>
          <w:trHeight w:val="170"/>
        </w:trPr>
        <w:tc>
          <w:tcPr>
            <w:tcW w:w="5216" w:type="dxa"/>
          </w:tcPr>
          <w:p w:rsidR="00F83179" w:rsidRPr="00783A06" w:rsidRDefault="005550E7" w:rsidP="00083843">
            <w:pPr>
              <w:spacing w:line="240" w:lineRule="auto"/>
              <w:rPr>
                <w:rFonts w:ascii="Verdana" w:hAnsi="Verdana"/>
                <w:b/>
                <w:bCs/>
                <w:sz w:val="20"/>
              </w:rPr>
            </w:pPr>
            <w:r w:rsidRPr="00783A06">
              <w:rPr>
                <w:rFonts w:ascii="Verdana" w:hAnsi="Verdana"/>
                <w:b/>
                <w:sz w:val="20"/>
              </w:rPr>
              <w:t xml:space="preserve">LEHDISTÖTIEDOTE N:o 60/2015 </w:t>
            </w:r>
          </w:p>
        </w:tc>
        <w:tc>
          <w:tcPr>
            <w:tcW w:w="4119" w:type="dxa"/>
          </w:tcPr>
          <w:p w:rsidR="00F83179" w:rsidRPr="00783A06" w:rsidRDefault="004174F1" w:rsidP="004174F1">
            <w:pPr>
              <w:spacing w:line="240" w:lineRule="auto"/>
              <w:jc w:val="right"/>
              <w:rPr>
                <w:rFonts w:ascii="Verdana" w:hAnsi="Verdana"/>
                <w:b/>
                <w:bCs/>
                <w:sz w:val="20"/>
              </w:rPr>
            </w:pPr>
            <w:r w:rsidRPr="00783A06">
              <w:rPr>
                <w:rFonts w:ascii="Verdana" w:hAnsi="Verdana"/>
                <w:b/>
                <w:sz w:val="20"/>
              </w:rPr>
              <w:t xml:space="preserve">7. lokakuuta 2015 </w:t>
            </w:r>
          </w:p>
        </w:tc>
      </w:tr>
    </w:tbl>
    <w:p w:rsidR="00F83179" w:rsidRPr="00783A06" w:rsidRDefault="004174F1" w:rsidP="00686EC2">
      <w:pPr>
        <w:spacing w:line="240" w:lineRule="auto"/>
        <w:rPr>
          <w:rFonts w:ascii="Verdana" w:hAnsi="Verdana"/>
          <w:sz w:val="20"/>
        </w:rPr>
      </w:pPr>
      <w:r w:rsidRPr="00783A06">
        <w:rPr>
          <w:noProof/>
          <w:lang w:val="fr-BE" w:eastAsia="fr-BE" w:bidi="ar-SA"/>
        </w:rPr>
        <mc:AlternateContent>
          <mc:Choice Requires="wps">
            <w:drawing>
              <wp:anchor distT="0" distB="0" distL="114300" distR="114300" simplePos="0" relativeHeight="251657728" behindDoc="1" locked="0" layoutInCell="0" allowOverlap="1" wp14:anchorId="1364C8FF" wp14:editId="1C7FA12D">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8C573E" w:rsidRDefault="00F83179">
                            <w:pPr>
                              <w:jc w:val="center"/>
                              <w:rPr>
                                <w:rFonts w:ascii="Arial" w:hAnsi="Arial" w:cs="Arial"/>
                                <w:b/>
                                <w:bCs/>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8C573E" w:rsidRDefault="00F83179">
                      <w:pPr>
                        <w:jc w:val="center"/>
                        <w:rPr>
                          <w:rFonts w:ascii="Arial" w:hAnsi="Arial" w:cs="Arial"/>
                          <w:b/>
                          <w:bCs/>
                          <w:sz w:val="48"/>
                        </w:rPr>
                      </w:pPr>
                      <w:r>
                        <w:rPr>
                          <w:rFonts w:ascii="Arial" w:hAnsi="Arial"/>
                          <w:b/>
                          <w:sz w:val="48"/>
                        </w:rPr>
                        <w:t>FI</w:t>
                      </w:r>
                    </w:p>
                  </w:txbxContent>
                </v:textbox>
                <w10:wrap xmlns:w10="urn:schemas-microsoft-com:office:word" anchorx="page" anchory="page"/>
              </v:shape>
            </w:pict>
          </mc:Fallback>
        </mc:AlternateContent>
      </w:r>
    </w:p>
    <w:p w:rsidR="00F83179" w:rsidRPr="00783A06" w:rsidRDefault="00F83179" w:rsidP="00686EC2">
      <w:pPr>
        <w:spacing w:line="240" w:lineRule="auto"/>
        <w:rPr>
          <w:rFonts w:ascii="Verdana" w:hAnsi="Verdana"/>
          <w:sz w:val="20"/>
        </w:rPr>
        <w:sectPr w:rsidR="00F83179" w:rsidRPr="00783A06" w:rsidSect="008415E0">
          <w:footerReference w:type="default" r:id="rId13"/>
          <w:pgSz w:w="11907" w:h="16839" w:code="9"/>
          <w:pgMar w:top="993" w:right="1418" w:bottom="1418" w:left="1418" w:header="3062" w:footer="454" w:gutter="0"/>
          <w:cols w:space="720"/>
          <w:docGrid w:linePitch="299"/>
        </w:sectPr>
      </w:pPr>
    </w:p>
    <w:p w:rsidR="00C81E88" w:rsidRPr="00783A06" w:rsidRDefault="00C81E88" w:rsidP="00C81E88">
      <w:pPr>
        <w:spacing w:line="240" w:lineRule="auto"/>
        <w:jc w:val="center"/>
        <w:rPr>
          <w:rFonts w:ascii="Verdana" w:hAnsi="Verdana"/>
          <w:b/>
          <w:bCs/>
          <w:sz w:val="28"/>
          <w:szCs w:val="28"/>
        </w:rPr>
      </w:pPr>
      <w:bookmarkStart w:id="0" w:name="_GoBack"/>
      <w:bookmarkEnd w:id="0"/>
    </w:p>
    <w:p w:rsidR="004174F1" w:rsidRPr="00783A06" w:rsidRDefault="004174F1" w:rsidP="00C81E88">
      <w:pPr>
        <w:spacing w:line="240" w:lineRule="auto"/>
        <w:jc w:val="center"/>
        <w:rPr>
          <w:rFonts w:ascii="Verdana" w:hAnsi="Verdana"/>
          <w:b/>
          <w:sz w:val="28"/>
          <w:szCs w:val="28"/>
        </w:rPr>
      </w:pPr>
      <w:proofErr w:type="spellStart"/>
      <w:r w:rsidRPr="00783A06">
        <w:rPr>
          <w:rFonts w:ascii="Verdana" w:hAnsi="Verdana"/>
          <w:b/>
          <w:sz w:val="28"/>
        </w:rPr>
        <w:t>ETSK:n</w:t>
      </w:r>
      <w:proofErr w:type="spellEnd"/>
      <w:r w:rsidRPr="00783A06">
        <w:rPr>
          <w:rFonts w:ascii="Verdana" w:hAnsi="Verdana"/>
          <w:b/>
          <w:sz w:val="28"/>
        </w:rPr>
        <w:t xml:space="preserve"> uusi puheenjohtaja Georgios Dassis esitteli ohjelmansa: yhtenäistämistä edistyksen hengessä</w:t>
      </w:r>
    </w:p>
    <w:p w:rsidR="004174F1" w:rsidRPr="00783A06" w:rsidRDefault="004174F1" w:rsidP="00C81E88">
      <w:pPr>
        <w:spacing w:line="240" w:lineRule="auto"/>
        <w:jc w:val="center"/>
        <w:rPr>
          <w:rFonts w:ascii="Verdana" w:hAnsi="Verdana"/>
          <w:sz w:val="28"/>
          <w:szCs w:val="28"/>
        </w:rPr>
      </w:pPr>
    </w:p>
    <w:p w:rsidR="004174F1" w:rsidRPr="00783A06" w:rsidRDefault="004174F1" w:rsidP="004174F1">
      <w:pPr>
        <w:spacing w:line="240" w:lineRule="auto"/>
        <w:rPr>
          <w:rFonts w:ascii="Verdana" w:hAnsi="Verdana"/>
          <w:sz w:val="18"/>
          <w:szCs w:val="18"/>
        </w:rPr>
      </w:pPr>
      <w:r w:rsidRPr="00783A06">
        <w:rPr>
          <w:rFonts w:ascii="Verdana" w:hAnsi="Verdana"/>
          <w:sz w:val="18"/>
        </w:rPr>
        <w:t xml:space="preserve">Euroopan talous- ja sosiaalikomitean 31. puheenjohtajaksi on valittu ylivoimaisella ääntenenemmistöllä Georgios Dassis. Häntä avustavat komitean johdossa vuosina 2015–2018 kaksi varapuheenjohtajaa, Michael Smyth (budjetti) ja Gonçalo Lobo Xavier (viestintä). </w:t>
      </w:r>
    </w:p>
    <w:p w:rsidR="004174F1" w:rsidRPr="00783A06" w:rsidRDefault="004174F1" w:rsidP="004174F1">
      <w:pPr>
        <w:spacing w:line="240" w:lineRule="auto"/>
        <w:rPr>
          <w:rFonts w:ascii="Verdana" w:hAnsi="Verdana"/>
          <w:sz w:val="18"/>
          <w:szCs w:val="18"/>
        </w:rPr>
      </w:pPr>
    </w:p>
    <w:p w:rsidR="004174F1" w:rsidRPr="00783A06" w:rsidRDefault="004174F1" w:rsidP="004174F1">
      <w:pPr>
        <w:spacing w:line="240" w:lineRule="auto"/>
        <w:rPr>
          <w:rFonts w:ascii="Verdana" w:hAnsi="Verdana"/>
          <w:sz w:val="18"/>
          <w:szCs w:val="18"/>
        </w:rPr>
      </w:pPr>
      <w:r w:rsidRPr="00783A06">
        <w:rPr>
          <w:rFonts w:ascii="Verdana" w:hAnsi="Verdana"/>
          <w:sz w:val="18"/>
        </w:rPr>
        <w:t>"Alkava toimikausi omistetaan kokonaan kansalaisille ja kansalaisten hyväksi tehtävälle työlle.</w:t>
      </w:r>
      <w:r w:rsidRPr="00783A06">
        <w:rPr>
          <w:rFonts w:ascii="Verdana" w:hAnsi="Verdana"/>
          <w:i/>
          <w:sz w:val="18"/>
        </w:rPr>
        <w:t xml:space="preserve"> </w:t>
      </w:r>
      <w:r w:rsidRPr="00783A06">
        <w:rPr>
          <w:rFonts w:ascii="Verdana" w:hAnsi="Verdana"/>
          <w:sz w:val="18"/>
        </w:rPr>
        <w:t>Koko kansalaisyhteiskunta kutsutaan mukaan työhön, jolla Euroopan unionista tehdään houkutteleva ja se tuodaan nykyistä paremmin näkyviin eurooppalaisten arkielämässä.</w:t>
      </w:r>
      <w:r w:rsidRPr="00783A06">
        <w:rPr>
          <w:rFonts w:ascii="Verdana" w:hAnsi="Verdana"/>
          <w:i/>
          <w:sz w:val="18"/>
        </w:rPr>
        <w:t xml:space="preserve"> </w:t>
      </w:r>
      <w:r w:rsidRPr="00783A06">
        <w:rPr>
          <w:rFonts w:ascii="Verdana" w:hAnsi="Verdana"/>
          <w:sz w:val="18"/>
        </w:rPr>
        <w:t>Ensimmäiseksi täytyy tuoda helpotusta äärimmäiseen köyhyyteen ja investoida nuorten työllisyyteen, infrastruktuurihankkeisiin, tutkimukseen ja innovointiin – massiivisesti.</w:t>
      </w:r>
      <w:r w:rsidRPr="00783A06">
        <w:rPr>
          <w:rFonts w:ascii="Verdana" w:hAnsi="Verdana"/>
          <w:i/>
          <w:sz w:val="18"/>
        </w:rPr>
        <w:t xml:space="preserve"> </w:t>
      </w:r>
      <w:r w:rsidRPr="00783A06">
        <w:rPr>
          <w:rFonts w:ascii="Verdana" w:hAnsi="Verdana"/>
          <w:sz w:val="18"/>
        </w:rPr>
        <w:t>Euroopan yhdentäminen ei saa johtaa heikennyksiin, vaan parannuksiin.</w:t>
      </w:r>
      <w:r w:rsidRPr="00783A06">
        <w:rPr>
          <w:rFonts w:ascii="Verdana" w:hAnsi="Verdana"/>
          <w:i/>
          <w:sz w:val="18"/>
        </w:rPr>
        <w:t xml:space="preserve"> </w:t>
      </w:r>
      <w:r w:rsidRPr="00783A06">
        <w:rPr>
          <w:rFonts w:ascii="Verdana" w:hAnsi="Verdana"/>
          <w:sz w:val="18"/>
        </w:rPr>
        <w:t xml:space="preserve">EU:n ansiosta kaikkien kansalaisten elämänlaadun pitää parantua – pohjoisessa, etelässä, idässä ja lännessä. Kutsumme sitä yhtenäistämiseksi edistyksen hengessä", ilmoitti </w:t>
      </w:r>
      <w:r w:rsidRPr="00783A06">
        <w:rPr>
          <w:rFonts w:ascii="Verdana" w:hAnsi="Verdana"/>
          <w:b/>
          <w:sz w:val="18"/>
        </w:rPr>
        <w:t>Georgios Dassis</w:t>
      </w:r>
      <w:r w:rsidRPr="00783A06">
        <w:rPr>
          <w:rFonts w:ascii="Verdana" w:hAnsi="Verdana"/>
          <w:sz w:val="18"/>
        </w:rPr>
        <w:t>.</w:t>
      </w:r>
    </w:p>
    <w:p w:rsidR="004174F1" w:rsidRPr="00783A06" w:rsidRDefault="004174F1" w:rsidP="004174F1">
      <w:pPr>
        <w:spacing w:line="240" w:lineRule="auto"/>
        <w:rPr>
          <w:rFonts w:ascii="Verdana" w:hAnsi="Verdana"/>
          <w:sz w:val="18"/>
          <w:szCs w:val="18"/>
        </w:rPr>
      </w:pPr>
    </w:p>
    <w:p w:rsidR="004174F1" w:rsidRPr="00783A06" w:rsidRDefault="004174F1" w:rsidP="004174F1">
      <w:pPr>
        <w:spacing w:line="240" w:lineRule="auto"/>
        <w:rPr>
          <w:rFonts w:ascii="Verdana" w:hAnsi="Verdana"/>
          <w:sz w:val="18"/>
          <w:szCs w:val="18"/>
        </w:rPr>
      </w:pPr>
      <w:r w:rsidRPr="00783A06">
        <w:rPr>
          <w:rFonts w:ascii="Verdana" w:hAnsi="Verdana"/>
          <w:sz w:val="18"/>
        </w:rPr>
        <w:t xml:space="preserve">Puheenjohtajan ohjelman tarjoama näkökulma Euroopan unionin politiikkoihin on siis hyvin käytännönläheinen. Ohjelma pohjautuu lausuntoihin, joita komitea antaa EU:n toimielimille perussopimuksissa sille osoitetun tehtävän mukaisesti. EU:ta ei pidetä itsestäänselvyytenä, vaan päinvastoin korostetaan vakavaa unioniin kohdistuvaa kriisiä eli sitä, että kansalaisten luottamus EU:hun on järkkynyt talouskriisin ja sosiaalisen taantuman seurauksena. Ohjelmassa peräänkuulutetaan yrittäjähenkeä, työtä ja solidaarisuutta ja korostetaan </w:t>
      </w:r>
      <w:r w:rsidRPr="00783A06">
        <w:rPr>
          <w:rFonts w:ascii="Verdana" w:hAnsi="Verdana"/>
          <w:b/>
          <w:sz w:val="18"/>
        </w:rPr>
        <w:t>sosiaalista, taloudellista ja alueellista yhteenkuuluvuutta</w:t>
      </w:r>
      <w:r w:rsidRPr="00783A06">
        <w:rPr>
          <w:rFonts w:ascii="Verdana" w:hAnsi="Verdana"/>
          <w:sz w:val="18"/>
        </w:rPr>
        <w:t>, joka on edelleen oikeudenmukaisen ja tasapuolisen unionin perusta. Eurooppalainen vähimmäistulo ja verotus ovat välineitä, joita tulee käyttää sen saavuttamiseksi.</w:t>
      </w:r>
    </w:p>
    <w:p w:rsidR="004174F1" w:rsidRPr="00783A06" w:rsidRDefault="004174F1" w:rsidP="004174F1">
      <w:pPr>
        <w:spacing w:line="240" w:lineRule="auto"/>
        <w:rPr>
          <w:rFonts w:ascii="Verdana" w:hAnsi="Verdana"/>
          <w:sz w:val="18"/>
          <w:szCs w:val="18"/>
        </w:rPr>
      </w:pPr>
    </w:p>
    <w:p w:rsidR="004174F1" w:rsidRPr="00783A06" w:rsidRDefault="004174F1" w:rsidP="004174F1">
      <w:pPr>
        <w:spacing w:line="240" w:lineRule="auto"/>
        <w:rPr>
          <w:rFonts w:ascii="Verdana" w:hAnsi="Verdana"/>
          <w:sz w:val="18"/>
          <w:szCs w:val="18"/>
        </w:rPr>
      </w:pPr>
      <w:r w:rsidRPr="00783A06">
        <w:rPr>
          <w:rFonts w:ascii="Verdana" w:hAnsi="Verdana"/>
          <w:sz w:val="18"/>
        </w:rPr>
        <w:t xml:space="preserve">Ohjelmassa kannatetaan Euroopan investointiohjelmaa mutta pyydetään lisäämään siihen kasvua ja työllisyyttä edistävä </w:t>
      </w:r>
      <w:r w:rsidRPr="00783A06">
        <w:rPr>
          <w:rFonts w:ascii="Verdana" w:hAnsi="Verdana"/>
          <w:b/>
          <w:sz w:val="18"/>
        </w:rPr>
        <w:t>ylimääräinen investointiohjelma</w:t>
      </w:r>
      <w:r w:rsidRPr="00783A06">
        <w:rPr>
          <w:rFonts w:ascii="Verdana" w:hAnsi="Verdana"/>
          <w:sz w:val="18"/>
        </w:rPr>
        <w:t xml:space="preserve"> ja toteuttamaan erityisiä talouden lähentymiseen tähtääviä toimenpiteitä, joita ovat esimerkiksi velkainstrumenttien yhteinen liikkeeseenlaskujärjestelmä ja väliaikainen euroalueen velkasitoumusrahasto.</w:t>
      </w:r>
    </w:p>
    <w:p w:rsidR="004174F1" w:rsidRPr="00783A06" w:rsidRDefault="004174F1" w:rsidP="004174F1">
      <w:pPr>
        <w:spacing w:line="240" w:lineRule="auto"/>
        <w:rPr>
          <w:rFonts w:ascii="Verdana" w:hAnsi="Verdana"/>
          <w:sz w:val="18"/>
          <w:szCs w:val="18"/>
        </w:rPr>
      </w:pPr>
    </w:p>
    <w:p w:rsidR="004174F1" w:rsidRPr="00783A06" w:rsidRDefault="004174F1" w:rsidP="004174F1">
      <w:pPr>
        <w:spacing w:line="240" w:lineRule="auto"/>
        <w:rPr>
          <w:rFonts w:ascii="Verdana" w:hAnsi="Verdana"/>
          <w:sz w:val="18"/>
          <w:szCs w:val="18"/>
        </w:rPr>
      </w:pPr>
      <w:r w:rsidRPr="00783A06">
        <w:rPr>
          <w:rFonts w:ascii="Verdana" w:hAnsi="Verdana"/>
          <w:b/>
          <w:sz w:val="18"/>
        </w:rPr>
        <w:t>Digitaaliset sisämarkkinat</w:t>
      </w:r>
      <w:r w:rsidRPr="00783A06">
        <w:rPr>
          <w:rFonts w:ascii="Verdana" w:hAnsi="Verdana"/>
          <w:sz w:val="18"/>
        </w:rPr>
        <w:t xml:space="preserve">, </w:t>
      </w:r>
      <w:r w:rsidRPr="00783A06">
        <w:rPr>
          <w:rFonts w:ascii="Verdana" w:hAnsi="Verdana"/>
          <w:b/>
          <w:sz w:val="18"/>
        </w:rPr>
        <w:t>eurooppalaisen liikennealueen</w:t>
      </w:r>
      <w:r w:rsidRPr="00783A06">
        <w:rPr>
          <w:rFonts w:ascii="Verdana" w:hAnsi="Verdana"/>
          <w:sz w:val="18"/>
        </w:rPr>
        <w:t xml:space="preserve"> luominen ja todellisen </w:t>
      </w:r>
      <w:r w:rsidRPr="00783A06">
        <w:rPr>
          <w:rFonts w:ascii="Verdana" w:hAnsi="Verdana"/>
          <w:b/>
          <w:sz w:val="18"/>
        </w:rPr>
        <w:t xml:space="preserve">energiaunionin </w:t>
      </w:r>
      <w:r w:rsidRPr="00783A06">
        <w:rPr>
          <w:rFonts w:ascii="Verdana" w:hAnsi="Verdana"/>
          <w:sz w:val="18"/>
        </w:rPr>
        <w:t xml:space="preserve">käyttöönotto ovat myös </w:t>
      </w:r>
      <w:proofErr w:type="spellStart"/>
      <w:r w:rsidRPr="00783A06">
        <w:rPr>
          <w:rFonts w:ascii="Verdana" w:hAnsi="Verdana"/>
          <w:sz w:val="18"/>
        </w:rPr>
        <w:t>ETSK:n</w:t>
      </w:r>
      <w:proofErr w:type="spellEnd"/>
      <w:r w:rsidRPr="00783A06">
        <w:rPr>
          <w:rFonts w:ascii="Verdana" w:hAnsi="Verdana"/>
          <w:sz w:val="18"/>
        </w:rPr>
        <w:t xml:space="preserve"> uuden puheenjohtajan painopisteitä, jotka osaltaan edistävät unionin kestävää kehitystä etenkin ilmastonmuutoksen näkökulmasta. Ilmastonmuutoksen asettamat rajoitteet tulee ottaa huomioon kaikessa EU:n toiminnassa.</w:t>
      </w:r>
    </w:p>
    <w:p w:rsidR="004174F1" w:rsidRPr="00783A06" w:rsidRDefault="004174F1" w:rsidP="004174F1">
      <w:pPr>
        <w:spacing w:line="240" w:lineRule="auto"/>
        <w:rPr>
          <w:rFonts w:ascii="Verdana" w:hAnsi="Verdana"/>
          <w:sz w:val="18"/>
          <w:szCs w:val="18"/>
        </w:rPr>
      </w:pPr>
    </w:p>
    <w:p w:rsidR="004174F1" w:rsidRPr="00783A06" w:rsidRDefault="004174F1" w:rsidP="004174F1">
      <w:pPr>
        <w:spacing w:line="240" w:lineRule="auto"/>
        <w:rPr>
          <w:rFonts w:ascii="Verdana" w:hAnsi="Verdana"/>
          <w:sz w:val="18"/>
          <w:szCs w:val="18"/>
        </w:rPr>
      </w:pPr>
      <w:r w:rsidRPr="00783A06">
        <w:rPr>
          <w:rFonts w:ascii="Verdana" w:hAnsi="Verdana"/>
          <w:sz w:val="18"/>
        </w:rPr>
        <w:t xml:space="preserve">Puheenjohtaja muistuttaa ohjelmassaan olevansa sitoutunut ajamaan </w:t>
      </w:r>
      <w:r w:rsidRPr="00783A06">
        <w:rPr>
          <w:rFonts w:ascii="Verdana" w:hAnsi="Verdana"/>
          <w:b/>
          <w:sz w:val="18"/>
        </w:rPr>
        <w:t>unionin vahvaa asemaa maailmassa</w:t>
      </w:r>
      <w:r w:rsidRPr="00783A06">
        <w:rPr>
          <w:rFonts w:ascii="Verdana" w:hAnsi="Verdana"/>
          <w:sz w:val="18"/>
        </w:rPr>
        <w:t xml:space="preserve">: EU:n tulee puolustaa paitsi taloudellisia etujaan myös sosiaalisia ja ympäristöön liittyviä vaatimuksiaan. Tällaisen EU:n tulee vastaanottaa turvapaikanhakijat ja ryhtyä soveltamaan </w:t>
      </w:r>
      <w:r w:rsidRPr="00783A06">
        <w:rPr>
          <w:rFonts w:ascii="Verdana" w:hAnsi="Verdana"/>
          <w:b/>
          <w:sz w:val="18"/>
        </w:rPr>
        <w:t>uutta muuttopolitiikkaa</w:t>
      </w:r>
      <w:r w:rsidRPr="00783A06">
        <w:rPr>
          <w:rFonts w:ascii="Verdana" w:hAnsi="Verdana"/>
          <w:sz w:val="18"/>
        </w:rPr>
        <w:t>, joka perustuu solidaarisuuden ja ihmisoikeuksien kunnioittamisen periaatteisiin. Siihen liittyy kiinteästi salakuljetuksen torjuminen jäsenvaltioiden välisen tiiviimmän yhteistyön avulla.</w:t>
      </w:r>
    </w:p>
    <w:p w:rsidR="004174F1" w:rsidRPr="00783A06" w:rsidRDefault="004174F1" w:rsidP="004174F1">
      <w:pPr>
        <w:spacing w:line="240" w:lineRule="auto"/>
        <w:rPr>
          <w:rFonts w:ascii="Verdana" w:hAnsi="Verdana"/>
          <w:sz w:val="18"/>
          <w:szCs w:val="18"/>
        </w:rPr>
      </w:pPr>
    </w:p>
    <w:p w:rsidR="004174F1" w:rsidRPr="00783A06" w:rsidRDefault="004174F1" w:rsidP="004174F1">
      <w:pPr>
        <w:spacing w:line="240" w:lineRule="auto"/>
        <w:rPr>
          <w:rFonts w:ascii="Verdana" w:hAnsi="Verdana"/>
          <w:sz w:val="18"/>
          <w:szCs w:val="18"/>
        </w:rPr>
      </w:pPr>
      <w:r w:rsidRPr="00783A06">
        <w:rPr>
          <w:rFonts w:ascii="Verdana" w:hAnsi="Verdana"/>
          <w:sz w:val="18"/>
        </w:rPr>
        <w:t xml:space="preserve">Jotta näihin haasteisiin, tavoitteisiin ja hätätilanteisiin voidaan vastata, jäsenvaltioiden on vihdoin annettava Euroopan unionille tarvittavat toimintakeinot ja laadittava EU:lle asetettujen tavoitteiden tasalla oleva </w:t>
      </w:r>
      <w:r w:rsidRPr="00783A06">
        <w:rPr>
          <w:rFonts w:ascii="Verdana" w:hAnsi="Verdana"/>
          <w:b/>
          <w:sz w:val="18"/>
        </w:rPr>
        <w:t>budjetti</w:t>
      </w:r>
      <w:r w:rsidRPr="00783A06">
        <w:rPr>
          <w:rFonts w:ascii="Verdana" w:hAnsi="Verdana"/>
          <w:sz w:val="18"/>
        </w:rPr>
        <w:t>.</w:t>
      </w:r>
    </w:p>
    <w:p w:rsidR="004174F1" w:rsidRPr="00783A06" w:rsidRDefault="004174F1" w:rsidP="004174F1">
      <w:pPr>
        <w:spacing w:line="240" w:lineRule="auto"/>
        <w:rPr>
          <w:rFonts w:ascii="Verdana" w:hAnsi="Verdana"/>
          <w:sz w:val="18"/>
          <w:szCs w:val="18"/>
        </w:rPr>
      </w:pPr>
    </w:p>
    <w:p w:rsidR="004174F1" w:rsidRPr="00783A06" w:rsidRDefault="004174F1" w:rsidP="004174F1">
      <w:pPr>
        <w:keepLines/>
        <w:spacing w:line="240" w:lineRule="auto"/>
        <w:rPr>
          <w:rFonts w:ascii="Verdana" w:hAnsi="Verdana"/>
          <w:i/>
          <w:sz w:val="18"/>
          <w:szCs w:val="18"/>
        </w:rPr>
      </w:pPr>
      <w:r w:rsidRPr="00783A06">
        <w:rPr>
          <w:rFonts w:ascii="Verdana" w:hAnsi="Verdana"/>
          <w:sz w:val="18"/>
        </w:rPr>
        <w:lastRenderedPageBreak/>
        <w:t xml:space="preserve">Budjettiasioista vastaava varapuheenjohtaja </w:t>
      </w:r>
      <w:r w:rsidRPr="00783A06">
        <w:rPr>
          <w:rFonts w:ascii="Verdana" w:hAnsi="Verdana"/>
          <w:b/>
          <w:sz w:val="18"/>
        </w:rPr>
        <w:t>Michael Smyth</w:t>
      </w:r>
      <w:r w:rsidRPr="00783A06">
        <w:rPr>
          <w:rFonts w:ascii="Verdana" w:hAnsi="Verdana"/>
          <w:sz w:val="18"/>
        </w:rPr>
        <w:t xml:space="preserve"> ilmoitti aikovansa jatkaa komitean rakentavaa yhteistyötä budjettivallan käyttäjän kanssa ja pitää </w:t>
      </w:r>
      <w:proofErr w:type="spellStart"/>
      <w:r w:rsidRPr="00783A06">
        <w:rPr>
          <w:rFonts w:ascii="Verdana" w:hAnsi="Verdana"/>
          <w:sz w:val="18"/>
        </w:rPr>
        <w:t>ETSK:n</w:t>
      </w:r>
      <w:proofErr w:type="spellEnd"/>
      <w:r w:rsidRPr="00783A06">
        <w:rPr>
          <w:rFonts w:ascii="Verdana" w:hAnsi="Verdana"/>
          <w:sz w:val="18"/>
        </w:rPr>
        <w:t xml:space="preserve"> varainhoidon tinkimättömänä ja selkeänä.</w:t>
      </w:r>
      <w:r w:rsidRPr="00783A06">
        <w:rPr>
          <w:rFonts w:ascii="Verdana" w:hAnsi="Verdana"/>
          <w:i/>
          <w:sz w:val="18"/>
        </w:rPr>
        <w:t xml:space="preserve"> </w:t>
      </w:r>
      <w:r w:rsidRPr="00783A06">
        <w:rPr>
          <w:rFonts w:ascii="Verdana" w:hAnsi="Verdana"/>
          <w:sz w:val="18"/>
        </w:rPr>
        <w:t>"Komitean tulee seuraavien viiden vuoden aikana keskittää huomio sosiaalisiin kysymyksiin eli muun muassa yhteiskunnalliseen yrittäjyyteen ja työllisyysturvaan – sekä tietysti muuttoliikekysymyksiin."</w:t>
      </w:r>
    </w:p>
    <w:p w:rsidR="004174F1" w:rsidRPr="00783A06" w:rsidRDefault="004174F1" w:rsidP="004174F1">
      <w:pPr>
        <w:spacing w:line="240" w:lineRule="auto"/>
        <w:rPr>
          <w:rFonts w:ascii="Verdana" w:hAnsi="Verdana"/>
          <w:sz w:val="18"/>
          <w:szCs w:val="18"/>
        </w:rPr>
      </w:pPr>
    </w:p>
    <w:p w:rsidR="004174F1" w:rsidRPr="00783A06" w:rsidRDefault="004174F1" w:rsidP="004174F1">
      <w:pPr>
        <w:spacing w:line="240" w:lineRule="auto"/>
        <w:rPr>
          <w:rFonts w:ascii="Verdana" w:hAnsi="Verdana"/>
          <w:sz w:val="18"/>
          <w:szCs w:val="18"/>
        </w:rPr>
      </w:pPr>
      <w:r w:rsidRPr="00783A06">
        <w:rPr>
          <w:rFonts w:ascii="Verdana" w:hAnsi="Verdana"/>
          <w:sz w:val="18"/>
        </w:rPr>
        <w:t xml:space="preserve">Viestinnästä vastaavaksi varapuheenjohtajaksi valittu </w:t>
      </w:r>
      <w:r w:rsidRPr="00783A06">
        <w:rPr>
          <w:rFonts w:ascii="Verdana" w:hAnsi="Verdana"/>
          <w:b/>
          <w:sz w:val="18"/>
        </w:rPr>
        <w:t xml:space="preserve">Gonçalo Lobo Xavier </w:t>
      </w:r>
      <w:r w:rsidRPr="00783A06">
        <w:rPr>
          <w:rFonts w:ascii="Verdana" w:hAnsi="Verdana"/>
          <w:sz w:val="18"/>
        </w:rPr>
        <w:t xml:space="preserve">totesi puolestaan, että komitea ja sen jäsenet saavat alkavalla toimikaudella tilaisuuden työskennellä paremman ja </w:t>
      </w:r>
      <w:proofErr w:type="spellStart"/>
      <w:r w:rsidRPr="00783A06">
        <w:rPr>
          <w:rFonts w:ascii="Verdana" w:hAnsi="Verdana"/>
          <w:sz w:val="18"/>
        </w:rPr>
        <w:t>osallistavamman</w:t>
      </w:r>
      <w:proofErr w:type="spellEnd"/>
      <w:r w:rsidRPr="00783A06">
        <w:rPr>
          <w:rFonts w:ascii="Verdana" w:hAnsi="Verdana"/>
          <w:sz w:val="18"/>
        </w:rPr>
        <w:t xml:space="preserve"> Euroopan puolesta.</w:t>
      </w:r>
      <w:r w:rsidRPr="00783A06">
        <w:rPr>
          <w:rFonts w:ascii="Verdana" w:hAnsi="Verdana"/>
          <w:i/>
          <w:sz w:val="18"/>
        </w:rPr>
        <w:t xml:space="preserve"> </w:t>
      </w:r>
      <w:r w:rsidRPr="00783A06">
        <w:rPr>
          <w:rFonts w:ascii="Verdana" w:hAnsi="Verdana"/>
          <w:sz w:val="18"/>
        </w:rPr>
        <w:t xml:space="preserve">"Tärkeimpänä tavoitteenani on luoda mahdollisimman hyvät edellytykset sille, että </w:t>
      </w:r>
      <w:proofErr w:type="spellStart"/>
      <w:r w:rsidRPr="00783A06">
        <w:rPr>
          <w:rFonts w:ascii="Verdana" w:hAnsi="Verdana"/>
          <w:sz w:val="18"/>
        </w:rPr>
        <w:t>ETSK:n</w:t>
      </w:r>
      <w:proofErr w:type="spellEnd"/>
      <w:r w:rsidRPr="00783A06">
        <w:rPr>
          <w:rFonts w:ascii="Verdana" w:hAnsi="Verdana"/>
          <w:sz w:val="18"/>
        </w:rPr>
        <w:t xml:space="preserve"> jäsenet voivat tiedottaa työnsä tuloksista tehokkaasti laajalle yleisölle ja EU:n toimielimille, joilla on keskeinen rooli eurooppalaisten elämässä."</w:t>
      </w:r>
    </w:p>
    <w:p w:rsidR="004174F1" w:rsidRPr="00783A06" w:rsidRDefault="004174F1" w:rsidP="004174F1">
      <w:pPr>
        <w:spacing w:line="240" w:lineRule="auto"/>
        <w:rPr>
          <w:rFonts w:ascii="Verdana" w:hAnsi="Verdana"/>
          <w:sz w:val="18"/>
          <w:szCs w:val="18"/>
        </w:rPr>
      </w:pPr>
    </w:p>
    <w:p w:rsidR="004174F1" w:rsidRPr="00783A06" w:rsidRDefault="0050259F" w:rsidP="004174F1">
      <w:pPr>
        <w:spacing w:line="240" w:lineRule="auto"/>
        <w:rPr>
          <w:rFonts w:ascii="Verdana" w:hAnsi="Verdana"/>
          <w:b/>
          <w:sz w:val="18"/>
          <w:szCs w:val="18"/>
          <w:u w:val="single"/>
        </w:rPr>
      </w:pPr>
      <w:r w:rsidRPr="00783A06">
        <w:rPr>
          <w:rFonts w:ascii="Verdana" w:hAnsi="Verdana"/>
          <w:b/>
          <w:sz w:val="18"/>
          <w:u w:val="single"/>
        </w:rPr>
        <w:t>Taustaa</w:t>
      </w:r>
    </w:p>
    <w:p w:rsidR="004174F1" w:rsidRPr="00783A06" w:rsidRDefault="004174F1" w:rsidP="004174F1">
      <w:pPr>
        <w:spacing w:line="240" w:lineRule="auto"/>
        <w:rPr>
          <w:rFonts w:ascii="Verdana" w:hAnsi="Verdana"/>
          <w:b/>
          <w:sz w:val="18"/>
          <w:szCs w:val="18"/>
          <w:u w:val="single"/>
        </w:rPr>
      </w:pPr>
    </w:p>
    <w:p w:rsidR="00830F7C" w:rsidRPr="00783A06" w:rsidRDefault="004174F1" w:rsidP="004174F1">
      <w:pPr>
        <w:numPr>
          <w:ilvl w:val="0"/>
          <w:numId w:val="2"/>
        </w:numPr>
        <w:spacing w:line="240" w:lineRule="auto"/>
        <w:ind w:left="369" w:hanging="369"/>
        <w:contextualSpacing/>
        <w:rPr>
          <w:rFonts w:ascii="Verdana" w:hAnsi="Verdana"/>
          <w:sz w:val="18"/>
          <w:szCs w:val="18"/>
        </w:rPr>
      </w:pPr>
      <w:r w:rsidRPr="00783A06">
        <w:rPr>
          <w:rFonts w:ascii="Verdana" w:hAnsi="Verdana"/>
          <w:b/>
          <w:sz w:val="18"/>
        </w:rPr>
        <w:t>Georgios Dassis (EL):</w:t>
      </w:r>
      <w:r w:rsidRPr="00783A06">
        <w:t xml:space="preserve"> </w:t>
      </w:r>
      <w:proofErr w:type="spellStart"/>
      <w:r w:rsidRPr="00783A06">
        <w:rPr>
          <w:rFonts w:ascii="Verdana" w:hAnsi="Verdana"/>
          <w:sz w:val="18"/>
        </w:rPr>
        <w:t>ETSK:n</w:t>
      </w:r>
      <w:proofErr w:type="spellEnd"/>
      <w:r w:rsidRPr="00783A06">
        <w:rPr>
          <w:rFonts w:ascii="Verdana" w:hAnsi="Verdana"/>
          <w:sz w:val="18"/>
        </w:rPr>
        <w:t xml:space="preserve"> puheenjohtaja, entinen </w:t>
      </w:r>
      <w:proofErr w:type="spellStart"/>
      <w:r w:rsidRPr="00783A06">
        <w:rPr>
          <w:rFonts w:ascii="Verdana" w:hAnsi="Verdana"/>
          <w:sz w:val="18"/>
        </w:rPr>
        <w:t>työntekijät-ryhmän</w:t>
      </w:r>
      <w:proofErr w:type="spellEnd"/>
      <w:r w:rsidRPr="00783A06">
        <w:rPr>
          <w:rFonts w:ascii="Verdana" w:hAnsi="Verdana"/>
          <w:sz w:val="18"/>
        </w:rPr>
        <w:t xml:space="preserve"> puheenjohtaja (2008–2015) – </w:t>
      </w:r>
      <w:hyperlink r:id="rId14">
        <w:r w:rsidRPr="00783A06">
          <w:rPr>
            <w:rStyle w:val="Hyperlink"/>
            <w:rFonts w:ascii="Verdana" w:hAnsi="Verdana"/>
            <w:sz w:val="18"/>
          </w:rPr>
          <w:t>Ansioluettelo</w:t>
        </w:r>
      </w:hyperlink>
    </w:p>
    <w:p w:rsidR="00830F7C" w:rsidRPr="00783A06" w:rsidRDefault="004174F1" w:rsidP="004174F1">
      <w:pPr>
        <w:numPr>
          <w:ilvl w:val="0"/>
          <w:numId w:val="2"/>
        </w:numPr>
        <w:spacing w:line="240" w:lineRule="auto"/>
        <w:ind w:left="369" w:hanging="369"/>
        <w:contextualSpacing/>
        <w:rPr>
          <w:rFonts w:ascii="Verdana" w:hAnsi="Verdana"/>
          <w:sz w:val="18"/>
          <w:szCs w:val="18"/>
        </w:rPr>
      </w:pPr>
      <w:r w:rsidRPr="00783A06">
        <w:rPr>
          <w:rFonts w:ascii="Verdana" w:hAnsi="Verdana"/>
          <w:b/>
          <w:sz w:val="18"/>
        </w:rPr>
        <w:t xml:space="preserve">Michael Smyth (UK): </w:t>
      </w:r>
      <w:proofErr w:type="spellStart"/>
      <w:r w:rsidRPr="00783A06">
        <w:rPr>
          <w:rFonts w:ascii="Verdana" w:hAnsi="Verdana"/>
          <w:sz w:val="18"/>
        </w:rPr>
        <w:t>ETSK:n</w:t>
      </w:r>
      <w:proofErr w:type="spellEnd"/>
      <w:r w:rsidRPr="00783A06">
        <w:rPr>
          <w:rFonts w:ascii="Verdana" w:hAnsi="Verdana"/>
          <w:sz w:val="18"/>
        </w:rPr>
        <w:t xml:space="preserve"> varapuheenjohtaja, entinen </w:t>
      </w:r>
      <w:proofErr w:type="spellStart"/>
      <w:r w:rsidRPr="00783A06">
        <w:rPr>
          <w:rFonts w:ascii="Verdana" w:hAnsi="Verdana"/>
          <w:sz w:val="18"/>
        </w:rPr>
        <w:t>ETSK:n</w:t>
      </w:r>
      <w:proofErr w:type="spellEnd"/>
      <w:r w:rsidRPr="00783A06">
        <w:rPr>
          <w:rFonts w:ascii="Verdana" w:hAnsi="Verdana"/>
          <w:sz w:val="18"/>
        </w:rPr>
        <w:t xml:space="preserve"> </w:t>
      </w:r>
      <w:proofErr w:type="spellStart"/>
      <w:r w:rsidRPr="00783A06">
        <w:rPr>
          <w:rFonts w:ascii="Verdana" w:hAnsi="Verdana"/>
          <w:sz w:val="18"/>
        </w:rPr>
        <w:t>ECO-jaoston</w:t>
      </w:r>
      <w:proofErr w:type="spellEnd"/>
      <w:r w:rsidRPr="00783A06">
        <w:rPr>
          <w:rFonts w:ascii="Verdana" w:hAnsi="Verdana"/>
          <w:sz w:val="18"/>
        </w:rPr>
        <w:t xml:space="preserve"> puheenjohtaja (2010–2013), muut eturyhmät – </w:t>
      </w:r>
      <w:hyperlink r:id="rId15">
        <w:r w:rsidRPr="00783A06">
          <w:rPr>
            <w:rStyle w:val="Hyperlink"/>
            <w:rFonts w:ascii="Verdana" w:hAnsi="Verdana"/>
            <w:sz w:val="18"/>
          </w:rPr>
          <w:t>Ansioluettelo</w:t>
        </w:r>
      </w:hyperlink>
    </w:p>
    <w:p w:rsidR="004174F1" w:rsidRPr="00783A06" w:rsidRDefault="004174F1" w:rsidP="004174F1">
      <w:pPr>
        <w:numPr>
          <w:ilvl w:val="0"/>
          <w:numId w:val="2"/>
        </w:numPr>
        <w:spacing w:line="240" w:lineRule="auto"/>
        <w:ind w:left="369" w:hanging="369"/>
        <w:contextualSpacing/>
        <w:rPr>
          <w:rFonts w:ascii="Verdana" w:hAnsi="Verdana"/>
          <w:sz w:val="18"/>
          <w:szCs w:val="18"/>
        </w:rPr>
      </w:pPr>
      <w:r w:rsidRPr="00783A06">
        <w:rPr>
          <w:rFonts w:ascii="Verdana" w:hAnsi="Verdana"/>
          <w:b/>
          <w:sz w:val="18"/>
        </w:rPr>
        <w:t>Gonçalo Lobo Xavier (PT):</w:t>
      </w:r>
      <w:r w:rsidRPr="00783A06">
        <w:t xml:space="preserve"> </w:t>
      </w:r>
      <w:proofErr w:type="spellStart"/>
      <w:r w:rsidRPr="00783A06">
        <w:rPr>
          <w:rFonts w:ascii="Verdana" w:hAnsi="Verdana"/>
          <w:sz w:val="18"/>
        </w:rPr>
        <w:t>ETSK:n</w:t>
      </w:r>
      <w:proofErr w:type="spellEnd"/>
      <w:r w:rsidRPr="00783A06">
        <w:rPr>
          <w:rFonts w:ascii="Verdana" w:hAnsi="Verdana"/>
          <w:sz w:val="18"/>
        </w:rPr>
        <w:t xml:space="preserve"> varapuheenjohtaja, entinen Eurooppa 2020 </w:t>
      </w:r>
      <w:r w:rsidRPr="00783A06">
        <w:noBreakHyphen/>
      </w:r>
      <w:r w:rsidRPr="00783A06">
        <w:rPr>
          <w:rFonts w:ascii="Verdana" w:hAnsi="Verdana"/>
          <w:sz w:val="18"/>
        </w:rPr>
        <w:t xml:space="preserve">ohjauskomitean varapuheenjohtaja (2013–2015), </w:t>
      </w:r>
      <w:proofErr w:type="spellStart"/>
      <w:r w:rsidRPr="00783A06">
        <w:rPr>
          <w:rFonts w:ascii="Verdana" w:hAnsi="Verdana"/>
          <w:sz w:val="18"/>
        </w:rPr>
        <w:t>työnantajat-ryhmä</w:t>
      </w:r>
      <w:proofErr w:type="spellEnd"/>
      <w:r w:rsidRPr="00783A06">
        <w:rPr>
          <w:rFonts w:ascii="Verdana" w:hAnsi="Verdana"/>
          <w:sz w:val="18"/>
        </w:rPr>
        <w:t xml:space="preserve"> – </w:t>
      </w:r>
      <w:hyperlink r:id="rId16">
        <w:r w:rsidRPr="00783A06">
          <w:rPr>
            <w:rStyle w:val="Hyperlink"/>
            <w:rFonts w:ascii="Verdana" w:hAnsi="Verdana"/>
            <w:sz w:val="18"/>
          </w:rPr>
          <w:t>Ansioluettelo</w:t>
        </w:r>
      </w:hyperlink>
    </w:p>
    <w:p w:rsidR="004174F1" w:rsidRPr="00783A06" w:rsidRDefault="004174F1" w:rsidP="004174F1">
      <w:pPr>
        <w:spacing w:line="240" w:lineRule="auto"/>
        <w:contextualSpacing/>
        <w:rPr>
          <w:rFonts w:ascii="Verdana" w:hAnsi="Verdana"/>
          <w:sz w:val="18"/>
          <w:szCs w:val="18"/>
        </w:rPr>
      </w:pPr>
    </w:p>
    <w:p w:rsidR="004174F1" w:rsidRPr="00783A06" w:rsidRDefault="00DA4AF5" w:rsidP="004174F1">
      <w:pPr>
        <w:numPr>
          <w:ilvl w:val="0"/>
          <w:numId w:val="2"/>
        </w:numPr>
        <w:spacing w:line="240" w:lineRule="auto"/>
        <w:ind w:left="369" w:hanging="369"/>
        <w:contextualSpacing/>
        <w:rPr>
          <w:rFonts w:ascii="Verdana" w:hAnsi="Verdana"/>
          <w:sz w:val="18"/>
          <w:szCs w:val="18"/>
        </w:rPr>
      </w:pPr>
      <w:hyperlink r:id="rId17">
        <w:r w:rsidR="007A7C3B" w:rsidRPr="00783A06">
          <w:rPr>
            <w:rStyle w:val="Hyperlink"/>
            <w:rFonts w:ascii="Verdana" w:hAnsi="Verdana"/>
            <w:sz w:val="18"/>
          </w:rPr>
          <w:t>Puheenjohtajan ja varapuheenjohtajien valokuvat:</w:t>
        </w:r>
      </w:hyperlink>
      <w:r w:rsidR="007A7C3B" w:rsidRPr="00783A06">
        <w:rPr>
          <w:rFonts w:ascii="Verdana" w:hAnsi="Verdana"/>
          <w:sz w:val="18"/>
        </w:rPr>
        <w:t xml:space="preserve"> </w:t>
      </w:r>
    </w:p>
    <w:p w:rsidR="004174F1" w:rsidRPr="00783A06" w:rsidRDefault="004174F1" w:rsidP="004174F1">
      <w:pPr>
        <w:rPr>
          <w:rFonts w:ascii="Verdana" w:hAnsi="Verdana"/>
          <w:sz w:val="18"/>
          <w:szCs w:val="18"/>
        </w:rPr>
      </w:pPr>
    </w:p>
    <w:p w:rsidR="004174F1" w:rsidRPr="00783A06" w:rsidRDefault="00DA4AF5" w:rsidP="004174F1">
      <w:pPr>
        <w:numPr>
          <w:ilvl w:val="0"/>
          <w:numId w:val="2"/>
        </w:numPr>
        <w:spacing w:line="240" w:lineRule="auto"/>
        <w:ind w:left="369" w:hanging="369"/>
        <w:contextualSpacing/>
        <w:rPr>
          <w:rFonts w:ascii="Verdana" w:hAnsi="Verdana"/>
          <w:sz w:val="18"/>
          <w:szCs w:val="18"/>
        </w:rPr>
      </w:pPr>
      <w:hyperlink r:id="rId18">
        <w:r w:rsidR="007A7C3B" w:rsidRPr="00783A06">
          <w:rPr>
            <w:rStyle w:val="Hyperlink"/>
            <w:rFonts w:ascii="Verdana" w:hAnsi="Verdana"/>
            <w:sz w:val="18"/>
          </w:rPr>
          <w:t>Puheenjohtajan ja varapuheenjohtajien videot:</w:t>
        </w:r>
      </w:hyperlink>
      <w:r w:rsidR="007A7C3B" w:rsidRPr="00783A06">
        <w:rPr>
          <w:rFonts w:ascii="Verdana" w:hAnsi="Verdana"/>
          <w:sz w:val="18"/>
        </w:rPr>
        <w:t xml:space="preserve"> </w:t>
      </w:r>
    </w:p>
    <w:p w:rsidR="004174F1" w:rsidRPr="00783A06" w:rsidRDefault="004174F1" w:rsidP="004174F1">
      <w:pPr>
        <w:spacing w:line="240" w:lineRule="auto"/>
        <w:contextualSpacing/>
        <w:rPr>
          <w:rFonts w:ascii="Verdana" w:hAnsi="Verdana"/>
          <w:sz w:val="18"/>
          <w:szCs w:val="18"/>
        </w:rPr>
      </w:pPr>
    </w:p>
    <w:p w:rsidR="00083843" w:rsidRPr="00783A06" w:rsidRDefault="004174F1" w:rsidP="00083843">
      <w:pPr>
        <w:numPr>
          <w:ilvl w:val="0"/>
          <w:numId w:val="2"/>
        </w:numPr>
        <w:spacing w:line="240" w:lineRule="auto"/>
        <w:ind w:left="369" w:hanging="369"/>
        <w:contextualSpacing/>
        <w:rPr>
          <w:rFonts w:ascii="Verdana" w:hAnsi="Verdana"/>
          <w:sz w:val="18"/>
          <w:szCs w:val="18"/>
        </w:rPr>
      </w:pPr>
      <w:r w:rsidRPr="00783A06">
        <w:rPr>
          <w:rFonts w:ascii="Verdana" w:hAnsi="Verdana"/>
          <w:sz w:val="18"/>
        </w:rPr>
        <w:t xml:space="preserve">Komitean uuden toimikauden alettua syyskuussa 2015 valittiin 7. lokakuuta 2015 kahden ja puolen vuoden toimikaudeksi puheenjohtaja ja kaksi varapuheenjohtajaa, jotka edustavat kutakin kolmea ryhmää (työnantajat, työntekijät, muut eturyhmät) vuorotteluperiaatteen mukaisesti. Komitean puheenjohtaja ja varapuheenjohtajat </w:t>
      </w:r>
      <w:r w:rsidRPr="00783A06">
        <w:rPr>
          <w:rFonts w:ascii="Verdana" w:hAnsi="Verdana"/>
          <w:b/>
          <w:sz w:val="18"/>
        </w:rPr>
        <w:t xml:space="preserve">valittiin </w:t>
      </w:r>
      <w:r w:rsidRPr="00783A06">
        <w:rPr>
          <w:rFonts w:ascii="Verdana" w:hAnsi="Verdana"/>
          <w:sz w:val="18"/>
        </w:rPr>
        <w:t xml:space="preserve">täysistunnon järjestäytymisistunnossa (6.–8. lokakuuta 2015). Valintansa jälkeen puheenjohtaja esitteli täysistunnolle työohjelman toimikautensa ajaksi. </w:t>
      </w:r>
      <w:r w:rsidRPr="00783A06">
        <w:rPr>
          <w:rFonts w:ascii="Verdana" w:hAnsi="Verdana"/>
          <w:b/>
          <w:sz w:val="18"/>
        </w:rPr>
        <w:t xml:space="preserve">Puheenjohtaja </w:t>
      </w:r>
      <w:r w:rsidRPr="00783A06">
        <w:rPr>
          <w:rFonts w:ascii="Verdana" w:hAnsi="Verdana"/>
          <w:sz w:val="18"/>
        </w:rPr>
        <w:t xml:space="preserve">vastaa komitean toiminnan sujuvuudesta ja edustaa </w:t>
      </w:r>
      <w:proofErr w:type="spellStart"/>
      <w:r w:rsidRPr="00783A06">
        <w:rPr>
          <w:rFonts w:ascii="Verdana" w:hAnsi="Verdana"/>
          <w:sz w:val="18"/>
        </w:rPr>
        <w:t>ETSK:ta</w:t>
      </w:r>
      <w:proofErr w:type="spellEnd"/>
      <w:r w:rsidRPr="00783A06">
        <w:rPr>
          <w:rFonts w:ascii="Verdana" w:hAnsi="Verdana"/>
          <w:sz w:val="18"/>
        </w:rPr>
        <w:t xml:space="preserve"> suhteissa muihin toimielimiin ja elimiin. </w:t>
      </w:r>
      <w:r w:rsidRPr="00783A06">
        <w:rPr>
          <w:rFonts w:ascii="Verdana" w:hAnsi="Verdana"/>
          <w:b/>
          <w:sz w:val="18"/>
        </w:rPr>
        <w:t xml:space="preserve">Kaksi varapuheenjohtajaa </w:t>
      </w:r>
      <w:r w:rsidRPr="00783A06">
        <w:rPr>
          <w:rFonts w:ascii="Verdana" w:hAnsi="Verdana"/>
          <w:sz w:val="18"/>
        </w:rPr>
        <w:t xml:space="preserve">valitaan niiden kahden ryhmän jäsenten keskuudesta, joihin puheenjohtaja ei kuulu. Heistä toinen vastaa viestinnästä ja toinen budjetista. </w:t>
      </w:r>
    </w:p>
    <w:p w:rsidR="00083843" w:rsidRPr="00783A06" w:rsidRDefault="00083843" w:rsidP="00083843">
      <w:pPr>
        <w:spacing w:line="240" w:lineRule="auto"/>
        <w:ind w:left="369"/>
        <w:contextualSpacing/>
        <w:rPr>
          <w:rFonts w:ascii="Verdana" w:hAnsi="Verdana"/>
          <w:sz w:val="18"/>
          <w:szCs w:val="18"/>
        </w:rPr>
      </w:pPr>
    </w:p>
    <w:p w:rsidR="004174F1" w:rsidRPr="00783A06" w:rsidRDefault="004174F1" w:rsidP="00083843">
      <w:pPr>
        <w:numPr>
          <w:ilvl w:val="0"/>
          <w:numId w:val="2"/>
        </w:numPr>
        <w:spacing w:line="240" w:lineRule="auto"/>
        <w:ind w:left="369" w:hanging="369"/>
        <w:contextualSpacing/>
        <w:rPr>
          <w:rFonts w:ascii="Verdana" w:hAnsi="Verdana"/>
          <w:sz w:val="18"/>
          <w:szCs w:val="18"/>
        </w:rPr>
      </w:pPr>
      <w:proofErr w:type="spellStart"/>
      <w:r w:rsidRPr="00783A06">
        <w:rPr>
          <w:rFonts w:ascii="Verdana" w:hAnsi="Verdana"/>
          <w:sz w:val="18"/>
        </w:rPr>
        <w:t>ETSK:hon</w:t>
      </w:r>
      <w:proofErr w:type="spellEnd"/>
      <w:r w:rsidRPr="00783A06">
        <w:rPr>
          <w:rFonts w:ascii="Verdana" w:hAnsi="Verdana"/>
          <w:sz w:val="18"/>
        </w:rPr>
        <w:t xml:space="preserve"> kuuluu 350 jäsentä EU:n 28 jäsenvaltiosta. Euroopan unionin neuvosto nimeää jäsenvaltioiden hallitusten ehdottamat </w:t>
      </w:r>
      <w:proofErr w:type="spellStart"/>
      <w:r w:rsidRPr="00783A06">
        <w:rPr>
          <w:rFonts w:ascii="Verdana" w:hAnsi="Verdana"/>
          <w:sz w:val="18"/>
        </w:rPr>
        <w:t>ETSK:n</w:t>
      </w:r>
      <w:proofErr w:type="spellEnd"/>
      <w:r w:rsidRPr="00783A06">
        <w:rPr>
          <w:rFonts w:ascii="Verdana" w:hAnsi="Verdana"/>
          <w:sz w:val="18"/>
        </w:rPr>
        <w:t xml:space="preserve"> jäsenet viiden vuoden toimikaudeksi. He työskentelevät </w:t>
      </w:r>
      <w:r w:rsidRPr="00783A06">
        <w:rPr>
          <w:rFonts w:ascii="Verdana" w:hAnsi="Verdana"/>
          <w:b/>
          <w:sz w:val="18"/>
        </w:rPr>
        <w:t xml:space="preserve">riippumattomasti </w:t>
      </w:r>
      <w:r w:rsidRPr="00783A06">
        <w:rPr>
          <w:rFonts w:ascii="Verdana" w:hAnsi="Verdana"/>
          <w:sz w:val="18"/>
        </w:rPr>
        <w:t>kaikkien EU:n kansalaisten etujen puolesta. Jäsenet eivät ole poliittisia päättäjiä vaan työnantajia, ammattijärjestöaktiiveja ja erilaisten eturyhmien, kuten maataloustuottaja-, kuluttaja- ja ympäristöjärjestöjen, yhteisötalouden, pk-yritysten, vapaiden ammattien sekä vammaisia, vapaaehtoissektoria, sukupuolten tasa-arvoa, nuorisoa ja tiedemaailmaa edustavien järjestöjen edustajia.</w:t>
      </w:r>
    </w:p>
    <w:p w:rsidR="004174F1" w:rsidRPr="00783A06" w:rsidRDefault="004174F1" w:rsidP="004174F1">
      <w:pPr>
        <w:spacing w:line="240" w:lineRule="auto"/>
        <w:jc w:val="left"/>
        <w:rPr>
          <w:rFonts w:ascii="Verdana" w:hAnsi="Verdana"/>
          <w:sz w:val="18"/>
          <w:szCs w:val="18"/>
        </w:rPr>
      </w:pPr>
    </w:p>
    <w:p w:rsidR="004174F1" w:rsidRPr="00783A06" w:rsidRDefault="004174F1" w:rsidP="004174F1">
      <w:pPr>
        <w:spacing w:line="240" w:lineRule="auto"/>
        <w:jc w:val="center"/>
        <w:rPr>
          <w:rFonts w:ascii="Verdana" w:hAnsi="Verdana"/>
          <w:b/>
          <w:sz w:val="18"/>
          <w:szCs w:val="18"/>
        </w:rPr>
      </w:pPr>
      <w:r w:rsidRPr="00783A06">
        <w:rPr>
          <w:rFonts w:ascii="Verdana" w:hAnsi="Verdana"/>
          <w:b/>
          <w:sz w:val="18"/>
        </w:rPr>
        <w:t>Lisätietoja:</w:t>
      </w:r>
    </w:p>
    <w:p w:rsidR="004174F1" w:rsidRPr="00783A06" w:rsidRDefault="0050259F" w:rsidP="004174F1">
      <w:pPr>
        <w:overflowPunct/>
        <w:autoSpaceDE/>
        <w:autoSpaceDN/>
        <w:adjustRightInd/>
        <w:spacing w:line="240" w:lineRule="auto"/>
        <w:jc w:val="center"/>
        <w:textAlignment w:val="auto"/>
        <w:rPr>
          <w:rFonts w:ascii="Verdana" w:eastAsia="PMingLiU" w:hAnsi="Verdana"/>
          <w:sz w:val="18"/>
          <w:szCs w:val="18"/>
        </w:rPr>
      </w:pPr>
      <w:r w:rsidRPr="00783A06">
        <w:rPr>
          <w:rFonts w:ascii="Verdana" w:hAnsi="Verdana"/>
          <w:sz w:val="18"/>
        </w:rPr>
        <w:t xml:space="preserve">Caroline </w:t>
      </w:r>
      <w:proofErr w:type="spellStart"/>
      <w:r w:rsidRPr="00783A06">
        <w:rPr>
          <w:rFonts w:ascii="Verdana" w:hAnsi="Verdana"/>
          <w:sz w:val="18"/>
        </w:rPr>
        <w:t>Alibert-Deprez</w:t>
      </w:r>
      <w:proofErr w:type="spellEnd"/>
      <w:r w:rsidRPr="00783A06">
        <w:rPr>
          <w:rFonts w:ascii="Verdana" w:hAnsi="Verdana"/>
          <w:sz w:val="18"/>
        </w:rPr>
        <w:t xml:space="preserve"> – </w:t>
      </w:r>
      <w:proofErr w:type="spellStart"/>
      <w:r w:rsidRPr="00783A06">
        <w:rPr>
          <w:rFonts w:ascii="Verdana" w:hAnsi="Verdana"/>
          <w:sz w:val="18"/>
        </w:rPr>
        <w:t>ETSK:n</w:t>
      </w:r>
      <w:proofErr w:type="spellEnd"/>
      <w:r w:rsidRPr="00783A06">
        <w:rPr>
          <w:rFonts w:ascii="Verdana" w:hAnsi="Verdana"/>
          <w:sz w:val="18"/>
        </w:rPr>
        <w:t xml:space="preserve"> lehdistöyksikkö</w:t>
      </w:r>
    </w:p>
    <w:p w:rsidR="004174F1" w:rsidRPr="00783A06" w:rsidRDefault="004174F1" w:rsidP="004174F1">
      <w:pPr>
        <w:overflowPunct/>
        <w:autoSpaceDE/>
        <w:autoSpaceDN/>
        <w:adjustRightInd/>
        <w:spacing w:line="240" w:lineRule="auto"/>
        <w:jc w:val="center"/>
        <w:textAlignment w:val="auto"/>
        <w:rPr>
          <w:rFonts w:ascii="Verdana" w:eastAsia="PMingLiU" w:hAnsi="Verdana"/>
          <w:sz w:val="18"/>
          <w:szCs w:val="18"/>
        </w:rPr>
      </w:pPr>
      <w:r w:rsidRPr="00783A06">
        <w:rPr>
          <w:rFonts w:ascii="Verdana" w:hAnsi="Verdana"/>
          <w:sz w:val="18"/>
        </w:rPr>
        <w:t xml:space="preserve">Sähköposti: </w:t>
      </w:r>
      <w:hyperlink r:id="rId19">
        <w:r w:rsidRPr="00783A06">
          <w:rPr>
            <w:rFonts w:ascii="Verdana" w:hAnsi="Verdana"/>
            <w:color w:val="0000FF"/>
            <w:sz w:val="18"/>
            <w:u w:val="single"/>
          </w:rPr>
          <w:t>press@eesc.europa.eu</w:t>
        </w:r>
      </w:hyperlink>
    </w:p>
    <w:p w:rsidR="004174F1" w:rsidRPr="00783A06" w:rsidRDefault="004174F1" w:rsidP="004174F1">
      <w:pPr>
        <w:spacing w:line="240" w:lineRule="auto"/>
        <w:jc w:val="center"/>
        <w:rPr>
          <w:rFonts w:ascii="Verdana" w:eastAsia="PMingLiU" w:hAnsi="Verdana"/>
          <w:sz w:val="18"/>
          <w:szCs w:val="18"/>
        </w:rPr>
      </w:pPr>
      <w:r w:rsidRPr="00783A06">
        <w:rPr>
          <w:rFonts w:ascii="Verdana" w:hAnsi="Verdana"/>
          <w:sz w:val="18"/>
        </w:rPr>
        <w:t>P. +32 25469406 / +32 475753202</w:t>
      </w:r>
    </w:p>
    <w:p w:rsidR="004174F1" w:rsidRPr="00783A06" w:rsidRDefault="004174F1" w:rsidP="004174F1">
      <w:pPr>
        <w:spacing w:line="240" w:lineRule="auto"/>
        <w:jc w:val="center"/>
        <w:rPr>
          <w:rFonts w:ascii="Verdana" w:eastAsia="PMingLiU" w:hAnsi="Verdana"/>
          <w:b/>
          <w:sz w:val="18"/>
          <w:szCs w:val="18"/>
        </w:rPr>
      </w:pPr>
      <w:r w:rsidRPr="00783A06">
        <w:rPr>
          <w:rFonts w:ascii="Verdana" w:hAnsi="Verdana"/>
          <w:b/>
          <w:color w:val="1F497D"/>
          <w:sz w:val="18"/>
        </w:rPr>
        <w:t>@EESC_PRESS</w:t>
      </w:r>
    </w:p>
    <w:p w:rsidR="004174F1" w:rsidRPr="00783A06" w:rsidRDefault="004174F1" w:rsidP="004174F1">
      <w:pPr>
        <w:spacing w:line="240" w:lineRule="auto"/>
        <w:jc w:val="left"/>
        <w:rPr>
          <w:rFonts w:ascii="Verdana" w:hAnsi="Verdana"/>
          <w:sz w:val="18"/>
          <w:szCs w:val="18"/>
        </w:rPr>
      </w:pPr>
    </w:p>
    <w:p w:rsidR="0010243A" w:rsidRPr="00783A06" w:rsidRDefault="0010243A" w:rsidP="0010243A">
      <w:pPr>
        <w:spacing w:line="240" w:lineRule="auto"/>
        <w:jc w:val="left"/>
        <w:rPr>
          <w:rFonts w:ascii="Verdana" w:hAnsi="Verdana"/>
          <w:i/>
          <w:sz w:val="18"/>
          <w:szCs w:val="18"/>
        </w:rPr>
      </w:pPr>
    </w:p>
    <w:p w:rsidR="004174F1" w:rsidRPr="00783A06" w:rsidRDefault="0010243A" w:rsidP="0010243A">
      <w:pPr>
        <w:pBdr>
          <w:top w:val="single" w:sz="4" w:space="1" w:color="auto"/>
          <w:bottom w:val="single" w:sz="4" w:space="1" w:color="auto"/>
        </w:pBdr>
        <w:spacing w:line="240" w:lineRule="auto"/>
        <w:rPr>
          <w:rFonts w:ascii="Verdana" w:hAnsi="Verdana"/>
          <w:i/>
          <w:sz w:val="16"/>
          <w:szCs w:val="16"/>
        </w:rPr>
      </w:pPr>
      <w:r w:rsidRPr="00783A06">
        <w:rPr>
          <w:rFonts w:ascii="Verdana" w:hAnsi="Verdana"/>
          <w:i/>
          <w:sz w:val="16"/>
        </w:rPr>
        <w:t>Euroopan talous- ja sosiaalikomitea edustaa järjestäytyneeseen kansalaisyhteiskuntaan kuuluvia talous- ja yhteiskuntaelämän eri aloja. Komitea on neuvoa-antava elin, joka on perustettu vuonna 1957 allekirjoitetulla Rooman sopimuksella. Sen neuvoa-antava tehtävä antaa komitean jäsenille ja heidän edustamilleen organisaatioille mahdollisuuden osallistua Euroopan unionin päätöksentekoprosessiin. Euroopan unionin neuvosto nimeää komitean 350 jäsentä kaikkialta Euroopasta.</w:t>
      </w:r>
    </w:p>
    <w:sectPr w:rsidR="004174F1" w:rsidRPr="00783A06" w:rsidSect="008415E0">
      <w:type w:val="continuous"/>
      <w:pgSz w:w="11907" w:h="16839" w:code="9"/>
      <w:pgMar w:top="1276"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F5" w:rsidRDefault="00AB52F5">
      <w:r>
        <w:separator/>
      </w:r>
    </w:p>
  </w:endnote>
  <w:endnote w:type="continuationSeparator" w:id="0">
    <w:p w:rsidR="00AB52F5" w:rsidRDefault="00AB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Belliard/Belliardstraat</w:t>
    </w:r>
    <w:proofErr w:type="spellEnd"/>
    <w:r>
      <w:rPr>
        <w:rFonts w:ascii="Verdana" w:hAnsi="Verdana"/>
        <w:sz w:val="16"/>
      </w:rPr>
      <w:t xml:space="preserve"> 99 – 1040 </w:t>
    </w:r>
    <w:proofErr w:type="spellStart"/>
    <w:r>
      <w:rPr>
        <w:rFonts w:ascii="Verdana" w:hAnsi="Verdana"/>
        <w:sz w:val="16"/>
      </w:rPr>
      <w:t>Bruxelles/Brussel</w:t>
    </w:r>
    <w:proofErr w:type="spellEnd"/>
    <w:r>
      <w:rPr>
        <w:rFonts w:ascii="Verdana" w:hAnsi="Verdana"/>
        <w:sz w:val="16"/>
      </w:rPr>
      <w:t xml:space="preserve">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rPr>
      <w:t>P. +32 25469406 – F. +32 25469764</w:t>
    </w:r>
  </w:p>
  <w:p w:rsidR="00F83179" w:rsidRDefault="00F83179" w:rsidP="0004715C">
    <w:pPr>
      <w:spacing w:line="240" w:lineRule="auto"/>
      <w:jc w:val="center"/>
      <w:rPr>
        <w:rFonts w:ascii="Verdana" w:hAnsi="Verdana"/>
        <w:sz w:val="16"/>
        <w:szCs w:val="16"/>
      </w:rPr>
    </w:pPr>
    <w:r>
      <w:rPr>
        <w:rFonts w:ascii="Verdana" w:hAnsi="Verdana"/>
        <w:sz w:val="16"/>
      </w:rPr>
      <w:t xml:space="preserve">Sähköposti: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 xml:space="preserve">Seuraa </w:t>
    </w:r>
    <w:proofErr w:type="spellStart"/>
    <w:r>
      <w:rPr>
        <w:rFonts w:ascii="Verdana" w:hAnsi="Verdana"/>
        <w:sz w:val="16"/>
      </w:rPr>
      <w:t>ETSK:ta</w:t>
    </w:r>
    <w:proofErr w:type="spellEnd"/>
    <w:r>
      <w:rPr>
        <w:rFonts w:ascii="Verdana" w:hAnsi="Verdana"/>
        <w:sz w:val="16"/>
      </w:rPr>
      <w:t xml:space="preserve"> verkossa: </w:t>
    </w:r>
    <w:r>
      <w:rPr>
        <w:noProof/>
        <w:lang w:val="fr-BE" w:eastAsia="fr-BE" w:bidi="ar-SA"/>
      </w:rPr>
      <w:drawing>
        <wp:inline distT="0" distB="0" distL="0" distR="0" wp14:anchorId="6E53025C" wp14:editId="018E85BA">
          <wp:extent cx="222250" cy="222250"/>
          <wp:effectExtent l="0" t="0" r="6350" b="6350"/>
          <wp:docPr id="6" name="Picture 6"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3ACDF40" wp14:editId="29FD7A50">
          <wp:extent cx="222250" cy="222250"/>
          <wp:effectExtent l="0" t="0" r="6350" b="6350"/>
          <wp:docPr id="7" name="Picture 7"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7C4A08C1" wp14:editId="3F3ECF12">
          <wp:extent cx="222250" cy="222250"/>
          <wp:effectExtent l="0" t="0" r="6350" b="6350"/>
          <wp:docPr id="8" name="Picture 8"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F5" w:rsidRDefault="00AB52F5">
      <w:r>
        <w:separator/>
      </w:r>
    </w:p>
  </w:footnote>
  <w:footnote w:type="continuationSeparator" w:id="0">
    <w:p w:rsidR="00AB52F5" w:rsidRDefault="00AB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3BE5"/>
    <w:rsid w:val="000364BB"/>
    <w:rsid w:val="0004715C"/>
    <w:rsid w:val="00067F21"/>
    <w:rsid w:val="0007785C"/>
    <w:rsid w:val="00083843"/>
    <w:rsid w:val="0010243A"/>
    <w:rsid w:val="00104DFA"/>
    <w:rsid w:val="00142677"/>
    <w:rsid w:val="0018613F"/>
    <w:rsid w:val="0019000D"/>
    <w:rsid w:val="00210C3E"/>
    <w:rsid w:val="00227A31"/>
    <w:rsid w:val="002734F3"/>
    <w:rsid w:val="0029237D"/>
    <w:rsid w:val="002F49A4"/>
    <w:rsid w:val="00323EA5"/>
    <w:rsid w:val="00337F0A"/>
    <w:rsid w:val="003425AB"/>
    <w:rsid w:val="00355A5E"/>
    <w:rsid w:val="00394D81"/>
    <w:rsid w:val="003B714A"/>
    <w:rsid w:val="003C12FC"/>
    <w:rsid w:val="004174F1"/>
    <w:rsid w:val="00424928"/>
    <w:rsid w:val="004605FD"/>
    <w:rsid w:val="00494BBC"/>
    <w:rsid w:val="004D1E94"/>
    <w:rsid w:val="0050259F"/>
    <w:rsid w:val="005270ED"/>
    <w:rsid w:val="005549A1"/>
    <w:rsid w:val="005550E7"/>
    <w:rsid w:val="00556CD0"/>
    <w:rsid w:val="005A0E46"/>
    <w:rsid w:val="005B3342"/>
    <w:rsid w:val="005C08F4"/>
    <w:rsid w:val="005C2258"/>
    <w:rsid w:val="005C46DB"/>
    <w:rsid w:val="005D7AA0"/>
    <w:rsid w:val="005E3DB7"/>
    <w:rsid w:val="00626C38"/>
    <w:rsid w:val="00662EE3"/>
    <w:rsid w:val="00686EC2"/>
    <w:rsid w:val="006B4D96"/>
    <w:rsid w:val="00712EA3"/>
    <w:rsid w:val="00783A06"/>
    <w:rsid w:val="007A5486"/>
    <w:rsid w:val="007A7C3B"/>
    <w:rsid w:val="008133EA"/>
    <w:rsid w:val="00830F7C"/>
    <w:rsid w:val="008368E9"/>
    <w:rsid w:val="008415E0"/>
    <w:rsid w:val="008820BE"/>
    <w:rsid w:val="008C573E"/>
    <w:rsid w:val="0090174E"/>
    <w:rsid w:val="00907874"/>
    <w:rsid w:val="0094165F"/>
    <w:rsid w:val="009C2FCF"/>
    <w:rsid w:val="009C6C2B"/>
    <w:rsid w:val="009D3245"/>
    <w:rsid w:val="00A74687"/>
    <w:rsid w:val="00A96CE7"/>
    <w:rsid w:val="00AA61D9"/>
    <w:rsid w:val="00AB52F5"/>
    <w:rsid w:val="00AF2692"/>
    <w:rsid w:val="00B239E2"/>
    <w:rsid w:val="00B710AF"/>
    <w:rsid w:val="00B9349D"/>
    <w:rsid w:val="00B96D77"/>
    <w:rsid w:val="00BB36F5"/>
    <w:rsid w:val="00C81E88"/>
    <w:rsid w:val="00C97D1B"/>
    <w:rsid w:val="00CB5993"/>
    <w:rsid w:val="00CE439D"/>
    <w:rsid w:val="00D33368"/>
    <w:rsid w:val="00D734A3"/>
    <w:rsid w:val="00D86E57"/>
    <w:rsid w:val="00D9016E"/>
    <w:rsid w:val="00DA4AF5"/>
    <w:rsid w:val="00DC66B3"/>
    <w:rsid w:val="00F16FD3"/>
    <w:rsid w:val="00F61167"/>
    <w:rsid w:val="00F83179"/>
    <w:rsid w:val="00FC64AA"/>
    <w:rsid w:val="00FD35E6"/>
    <w:rsid w:val="00FE6B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i-FI" w:eastAsia="fi-FI"/>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i-FI" w:eastAsia="fi-FI"/>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i-FI" w:eastAsia="fi-FI"/>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i-FI" w:eastAsia="fi-FI"/>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i-FI" w:eastAsia="fi-FI"/>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i-FI" w:eastAsia="fi-FI"/>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i-FI" w:eastAsia="fi-FI"/>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i-FI" w:eastAsia="fi-FI"/>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i-FI" w:eastAsia="fi-FI"/>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i-FI" w:eastAsia="fi-FI"/>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i-FI" w:eastAsia="fi-FI"/>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i-FI" w:eastAsia="fi-FI"/>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i-FI" w:eastAsia="fi-FI"/>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i-FI" w:eastAsia="fi-FI"/>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i-FI" w:eastAsia="fi-FI"/>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i-FI" w:eastAsia="fi-FI"/>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i-FI" w:eastAsia="fi-FI"/>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i-FI" w:eastAsia="fi-FI"/>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i-FI" w:eastAsia="fi-FI"/>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i-FI" w:eastAsia="fi-FI"/>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i-FI" w:eastAsia="fi-FI"/>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i-FI" w:eastAsia="fi-FI"/>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i-FI" w:eastAsia="fi-FI"/>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i-FI" w:eastAsia="fi-FI"/>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esc.europa.eu/?i=portal.en.video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esc.europa.eu/?i=portal.en.photo-galleries" TargetMode="External"/><Relationship Id="rId2" Type="http://schemas.openxmlformats.org/officeDocument/2006/relationships/customXml" Target="../customXml/item2.xml"/><Relationship Id="rId16" Type="http://schemas.openxmlformats.org/officeDocument/2006/relationships/hyperlink" Target="http://www.eesc.europa.eu/?i=portal.en.vice-president-commun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esc.europa.eu/?i=portal.en.vice-president-budget" TargetMode="External"/><Relationship Id="rId10" Type="http://schemas.openxmlformats.org/officeDocument/2006/relationships/footnotes" Target="footnote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n.president"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SNS6YXTC77FS-8-243</_dlc_DocId>
    <_dlc_DocIdUrl xmlns="9f264e46-9252-4f01-a3b2-4cb67eb6fc3c">
      <Url>http://dm/EESC/2015/_layouts/DocIdRedir.aspx?ID=SNS6YXTC77FS-8-243</Url>
      <Description>SNS6YXTC77FS-8-243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2015-10-08T12:00:00+00:00</ProductionDate>
    <FicheYear xmlns="9f264e46-9252-4f01-a3b2-4cb67eb6fc3c">2015</FicheYear>
    <DocumentNumber xmlns="57dbe824-75b7-48a3-bfa5-af99f883c842">5133</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43</Value>
      <Value>41</Value>
      <Value>40</Value>
      <Value>39</Value>
      <Value>38</Value>
      <Value>37</Value>
      <Value>36</Value>
      <Value>35</Value>
      <Value>34</Value>
      <Value>33</Value>
      <Value>120</Value>
      <Value>25</Value>
      <Value>24</Value>
      <Value>22</Value>
      <Value>21</Value>
      <Value>18</Value>
      <Value>17</Value>
      <Value>16</Value>
      <Value>14</Value>
      <Value>13</Value>
      <Value>11</Value>
      <Value>10</Value>
      <Value>9</Value>
      <Value>5</Value>
      <Value>2</Value>
      <Value>1</Value>
    </TaxCatchAll>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9799</FicheNumber>
    <DocumentYear xmlns="9f264e46-9252-4f01-a3b2-4cb67eb6fc3c">2015</DocumentYear>
    <DocumentPart xmlns="9f264e46-9252-4f01-a3b2-4cb67eb6fc3c">0</DocumentPart>
    <AdoptionDate xmlns="9f264e46-9252-4f01-a3b2-4cb67eb6fc3c" xsi:nil="true"/>
    <RequestingService xmlns="9f264e46-9252-4f01-a3b2-4cb67eb6fc3c">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BBA35-2349-4797-9CD6-7ED1002B639A}">
  <ds:schemaRefs>
    <ds:schemaRef ds:uri="http://schemas.microsoft.com/sharepoint/v3/contenttype/forms"/>
  </ds:schemaRefs>
</ds:datastoreItem>
</file>

<file path=customXml/itemProps2.xml><?xml version="1.0" encoding="utf-8"?>
<ds:datastoreItem xmlns:ds="http://schemas.openxmlformats.org/officeDocument/2006/customXml" ds:itemID="{9660EF4C-4A19-4660-ADD2-1748F963E854}">
  <ds:schemaRef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sharepoint/v3/fields"/>
    <ds:schemaRef ds:uri="http://schemas.microsoft.com/office/infopath/2007/PartnerControls"/>
    <ds:schemaRef ds:uri="57dbe824-75b7-48a3-bfa5-af99f883c842"/>
    <ds:schemaRef ds:uri="9f264e46-9252-4f01-a3b2-4cb67eb6fc3c"/>
  </ds:schemaRefs>
</ds:datastoreItem>
</file>

<file path=customXml/itemProps3.xml><?xml version="1.0" encoding="utf-8"?>
<ds:datastoreItem xmlns:ds="http://schemas.openxmlformats.org/officeDocument/2006/customXml" ds:itemID="{C8ECB9DD-C262-4039-ADB4-1DDEDF296DCB}">
  <ds:schemaRefs>
    <ds:schemaRef ds:uri="http://schemas.microsoft.com/sharepoint/events"/>
  </ds:schemaRefs>
</ds:datastoreItem>
</file>

<file path=customXml/itemProps4.xml><?xml version="1.0" encoding="utf-8"?>
<ds:datastoreItem xmlns:ds="http://schemas.openxmlformats.org/officeDocument/2006/customXml" ds:itemID="{764FF928-CCA2-4B90-8A9C-DBD952A54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676</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CP 60 ETSK:n puheenjohtajuus</vt:lpstr>
    </vt:vector>
  </TitlesOfParts>
  <Company>CESE-CdR</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60 ETSK:n puheenjohtajuus</dc:title>
  <dc:subject>lehdistötiedote</dc:subject>
  <cp:lastModifiedBy>Agata Berdys</cp:lastModifiedBy>
  <cp:revision>2</cp:revision>
  <cp:lastPrinted>2015-10-07T07:27:00Z</cp:lastPrinted>
  <dcterms:created xsi:type="dcterms:W3CDTF">2015-10-09T07:46:00Z</dcterms:created>
  <dcterms:modified xsi:type="dcterms:W3CDTF">2015-10-09T07:46:00Z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_dlc_DocIdItemGuid">
    <vt:lpwstr>952976d5-5c0b-4fcd-821b-f268c7c9afde</vt:lpwstr>
  </property>
  <property fmtid="{D5CDD505-2E9C-101B-9397-08002B2CF9AE}" pid="4" name="DocumentType_0">
    <vt:lpwstr>CP|de8ad211-9e8d-408b-8324-674d21bb7d18</vt:lpwstr>
  </property>
  <property fmtid="{D5CDD505-2E9C-101B-9397-08002B2CF9AE}" pid="5" name="AvailableTranslations">
    <vt:lpwstr>14;#DA|5d49c027-8956-412b-aa16-e85a0f96ad0e;#16;#PL|1e03da61-4678-4e07-b136-b5024ca9197b;#40;#MT|7df99101-6854-4a26-b53a-b88c0da02c26;#37;#BG|1a1b3951-7821-4e6a-85f5-5673fc08bd2c;#33;#HU|6b229040-c589-4408-b4c1-4285663d20a8;#18;#SV|c2ed69e7-a339-43d7-8f22</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2015</vt:i4>
  </property>
  <property fmtid="{D5CDD505-2E9C-101B-9397-08002B2CF9AE}" pid="9" name="DocumentNumber">
    <vt:i4>5133</vt:i4>
  </property>
  <property fmtid="{D5CDD505-2E9C-101B-9397-08002B2CF9AE}" pid="10" name="DocumentVersion">
    <vt:i4>0</vt:i4>
  </property>
  <property fmtid="{D5CDD505-2E9C-101B-9397-08002B2CF9AE}" pid="11" name="FicheNumber">
    <vt:i4>9799</vt:i4>
  </property>
  <property fmtid="{D5CDD505-2E9C-101B-9397-08002B2CF9AE}" pid="12" name="DocumentYear">
    <vt:i4>2015</vt:i4>
  </property>
  <property fmtid="{D5CDD505-2E9C-101B-9397-08002B2CF9AE}" pid="13" name="DocumentType">
    <vt:lpwstr>34;#CP|de8ad211-9e8d-408b-8324-674d21bb7d18</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9;#EN|f2175f21-25d7-44a3-96da-d6a61b075e1b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43;#SK|46d9fce0-ef79-4f71-b89b-cd6aa82426b8;#41;#NL|55c6556c-b4f4-441d-9acf-c498d4f838bd;#40;#MT|7df99101-6854-4a26-b53a-b88c0da02c26;#39;#CS|72f9705b-0217-4fd3-bea2-cbc7ed80e26e;#38;#IT|0774613c-01ed-4e5d-a25d-11d2388de825;#37;#BG|1a1b3951-7821-4e6a-85f5</vt:lpwstr>
  </property>
  <property fmtid="{D5CDD505-2E9C-101B-9397-08002B2CF9AE}" pid="27" name="AvailableTranslations_0">
    <vt:lpwstr>DA|5d49c027-8956-412b-aa16-e85a0f96ad0e;PL|1e03da61-4678-4e07-b136-b5024ca9197b;MT|7df99101-6854-4a26-b53a-b88c0da02c26;BG|1a1b3951-7821-4e6a-85f5-5673fc08bd2c;HU|6b229040-c589-4408-b4c1-4285663d20a8;SV|c2ed69e7-a339-43d7-8f22-d93680a92aa0;EN|f2175f21-25d</vt:lpwstr>
  </property>
  <property fmtid="{D5CDD505-2E9C-101B-9397-08002B2CF9AE}" pid="28" name="VersionStatus">
    <vt:lpwstr>120;#Final|ea5e6674-7b27-4bac-b091-73adbb394efe</vt:lpwstr>
  </property>
  <property fmtid="{D5CDD505-2E9C-101B-9397-08002B2CF9AE}" pid="29" name="VersionStatus_0">
    <vt:lpwstr>Final|ea5e6674-7b27-4bac-b091-73adbb394efe</vt:lpwstr>
  </property>
  <property fmtid="{D5CDD505-2E9C-101B-9397-08002B2CF9AE}" pid="30" name="DocumentLanguage">
    <vt:lpwstr>36;#FI|87606a43-d45f-42d6-b8c9-e1a3457db5b7</vt:lpwstr>
  </property>
  <property fmtid="{D5CDD505-2E9C-101B-9397-08002B2CF9AE}" pid="31" name="Pref_formatted">
    <vt:bool>true</vt:bool>
  </property>
  <property fmtid="{D5CDD505-2E9C-101B-9397-08002B2CF9AE}" pid="32" name="Pref_Date">
    <vt:lpwstr>08/10/2015</vt:lpwstr>
  </property>
  <property fmtid="{D5CDD505-2E9C-101B-9397-08002B2CF9AE}" pid="33" name="Pref_Time">
    <vt:lpwstr>10:35:57</vt:lpwstr>
  </property>
  <property fmtid="{D5CDD505-2E9C-101B-9397-08002B2CF9AE}" pid="34" name="Pref_User">
    <vt:lpwstr>tvoc</vt:lpwstr>
  </property>
  <property fmtid="{D5CDD505-2E9C-101B-9397-08002B2CF9AE}" pid="35" name="Pref_FileName">
    <vt:lpwstr>EESC-2015-05133-00-00-CP-ORI.docx</vt:lpwstr>
  </property>
  <property fmtid="{D5CDD505-2E9C-101B-9397-08002B2CF9AE}" pid="36" name="DocumentLanguage_0">
    <vt:lpwstr>EN|f2175f21-25d7-44a3-96da-d6a61b075e1b</vt:lpwstr>
  </property>
</Properties>
</file>