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3A66C0" w:rsidRDefault="008A3633" w:rsidP="008A3633">
      <w:pPr>
        <w:jc w:val="center"/>
      </w:pPr>
      <w:r>
        <w:rPr>
          <w:noProof/>
          <w:lang w:val="fr-BE" w:eastAsia="fr-BE" w:bidi="ar-SA"/>
        </w:rPr>
        <w:drawing>
          <wp:inline distT="0" distB="0" distL="0" distR="0" wp14:anchorId="47404E69" wp14:editId="090CE0AC">
            <wp:extent cx="5732145" cy="1262380"/>
            <wp:effectExtent l="0" t="0" r="1905" b="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126238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3A66C0">
        <w:trPr>
          <w:cantSplit/>
        </w:trPr>
        <w:tc>
          <w:tcPr>
            <w:tcW w:w="5168" w:type="dxa"/>
          </w:tcPr>
          <w:p w:rsidR="0070012D" w:rsidRPr="003A66C0" w:rsidRDefault="001F2DFD" w:rsidP="000B1C14">
            <w:pPr>
              <w:spacing w:line="240" w:lineRule="auto"/>
              <w:rPr>
                <w:rFonts w:ascii="Verdana" w:hAnsi="Verdana"/>
                <w:b/>
                <w:bCs/>
                <w:sz w:val="18"/>
                <w:szCs w:val="18"/>
              </w:rPr>
            </w:pPr>
            <w:r>
              <w:rPr>
                <w:rFonts w:ascii="Verdana" w:hAnsi="Verdana"/>
                <w:b/>
                <w:sz w:val="18"/>
              </w:rPr>
              <w:t>N° 5</w:t>
            </w:r>
            <w:r w:rsidR="000B1C14">
              <w:rPr>
                <w:rFonts w:ascii="Verdana" w:hAnsi="Verdana"/>
                <w:b/>
                <w:sz w:val="18"/>
              </w:rPr>
              <w:t>6</w:t>
            </w:r>
            <w:r>
              <w:rPr>
                <w:rFonts w:ascii="Verdana" w:hAnsi="Verdana"/>
                <w:b/>
                <w:sz w:val="18"/>
              </w:rPr>
              <w:t>/2016</w:t>
            </w:r>
          </w:p>
        </w:tc>
        <w:tc>
          <w:tcPr>
            <w:tcW w:w="4119" w:type="dxa"/>
          </w:tcPr>
          <w:p w:rsidR="008820BE" w:rsidRPr="003A66C0" w:rsidRDefault="00503B6B" w:rsidP="00503B6B">
            <w:pPr>
              <w:spacing w:line="240" w:lineRule="auto"/>
              <w:jc w:val="right"/>
              <w:rPr>
                <w:rFonts w:ascii="Verdana" w:hAnsi="Verdana"/>
                <w:b/>
                <w:bCs/>
                <w:sz w:val="18"/>
                <w:szCs w:val="18"/>
              </w:rPr>
            </w:pPr>
            <w:r>
              <w:rPr>
                <w:rFonts w:ascii="Verdana" w:hAnsi="Verdana"/>
                <w:b/>
                <w:sz w:val="18"/>
              </w:rPr>
              <w:t>21 septembre 2016</w:t>
            </w:r>
          </w:p>
        </w:tc>
      </w:tr>
    </w:tbl>
    <w:p w:rsidR="008820BE" w:rsidRPr="00970035" w:rsidRDefault="00CA2C5C" w:rsidP="00473E94">
      <w:pPr>
        <w:spacing w:line="240" w:lineRule="auto"/>
        <w:rPr>
          <w:rFonts w:ascii="Verdana" w:hAnsi="Verdana"/>
          <w:b/>
          <w:i/>
          <w:sz w:val="20"/>
        </w:rPr>
        <w:sectPr w:rsidR="008820BE" w:rsidRPr="00970035" w:rsidSect="00D93A6F">
          <w:footerReference w:type="default" r:id="rId15"/>
          <w:pgSz w:w="11907" w:h="16839" w:code="9"/>
          <w:pgMar w:top="426" w:right="1418" w:bottom="1418" w:left="1418" w:header="3062" w:footer="118" w:gutter="0"/>
          <w:cols w:space="720"/>
          <w:docGrid w:linePitch="299"/>
        </w:sectPr>
      </w:pPr>
      <w:r>
        <w:rPr>
          <w:b/>
          <w:i/>
          <w:noProof/>
          <w:lang w:val="fr-BE" w:eastAsia="fr-BE" w:bidi="ar-SA"/>
        </w:rPr>
        <mc:AlternateContent>
          <mc:Choice Requires="wps">
            <w:drawing>
              <wp:anchor distT="0" distB="0" distL="114300" distR="114300" simplePos="0" relativeHeight="251657728" behindDoc="1" locked="0" layoutInCell="0" allowOverlap="1" wp14:anchorId="4E13E7BF" wp14:editId="6CAE6C3E">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171080" w:rsidRDefault="00171080" w:rsidP="00592F92">
      <w:pPr>
        <w:ind w:left="-284" w:right="-285"/>
        <w:rPr>
          <w:rFonts w:ascii="Verdana" w:hAnsi="Verdana"/>
          <w:sz w:val="18"/>
          <w:szCs w:val="18"/>
          <w:u w:val="single"/>
        </w:rPr>
      </w:pPr>
    </w:p>
    <w:p w:rsidR="0046023F" w:rsidRPr="004F10E6" w:rsidRDefault="0046023F" w:rsidP="00592F92">
      <w:pPr>
        <w:ind w:left="-284" w:right="-285"/>
        <w:rPr>
          <w:rFonts w:ascii="Verdana" w:hAnsi="Verdana"/>
          <w:sz w:val="10"/>
          <w:szCs w:val="18"/>
          <w:u w:val="single"/>
        </w:rPr>
      </w:pPr>
    </w:p>
    <w:p w:rsidR="00171080" w:rsidRPr="00171080" w:rsidRDefault="00EF0709" w:rsidP="00171080">
      <w:pPr>
        <w:ind w:left="-284" w:right="-285"/>
        <w:jc w:val="center"/>
        <w:rPr>
          <w:rFonts w:ascii="Verdana" w:hAnsi="Verdana"/>
          <w:b/>
          <w:color w:val="548DD4" w:themeColor="text2" w:themeTint="99"/>
          <w:sz w:val="28"/>
          <w:szCs w:val="28"/>
        </w:rPr>
      </w:pPr>
      <w:r>
        <w:rPr>
          <w:rFonts w:ascii="Verdana" w:hAnsi="Verdana"/>
          <w:b/>
          <w:color w:val="0033CC"/>
          <w:sz w:val="28"/>
        </w:rPr>
        <w:t xml:space="preserve">Le CESE plaide pour un abaissement du seuil d’information fiscale des multinationales </w:t>
      </w:r>
      <w:r w:rsidR="008A3633">
        <w:rPr>
          <w:rFonts w:ascii="Verdana" w:hAnsi="Verdana"/>
          <w:b/>
          <w:color w:val="0033CC"/>
          <w:sz w:val="28"/>
        </w:rPr>
        <w:t>à moins de 750 millions d’euros</w:t>
      </w:r>
    </w:p>
    <w:p w:rsidR="0046023F" w:rsidRPr="004F10E6" w:rsidRDefault="0046023F" w:rsidP="0046023F">
      <w:pPr>
        <w:ind w:left="-284" w:right="-285"/>
        <w:rPr>
          <w:rFonts w:ascii="Verdana" w:hAnsi="Verdana"/>
          <w:sz w:val="10"/>
          <w:szCs w:val="18"/>
          <w:u w:val="single"/>
        </w:rPr>
      </w:pPr>
    </w:p>
    <w:p w:rsidR="00171080" w:rsidRPr="00C05FD0" w:rsidRDefault="00B77DBC" w:rsidP="00171080">
      <w:pPr>
        <w:ind w:left="-284" w:right="-285"/>
        <w:jc w:val="center"/>
        <w:rPr>
          <w:rFonts w:ascii="Verdana" w:hAnsi="Verdana"/>
          <w:b/>
          <w:color w:val="548DD4" w:themeColor="text2" w:themeTint="99"/>
          <w:szCs w:val="22"/>
        </w:rPr>
      </w:pPr>
      <w:r>
        <w:rPr>
          <w:rFonts w:ascii="Verdana" w:hAnsi="Verdana"/>
          <w:b/>
          <w:color w:val="548DD4" w:themeColor="text2" w:themeTint="99"/>
        </w:rPr>
        <w:t xml:space="preserve">L’actuelle proposition de l’UE est insuffisante, </w:t>
      </w:r>
      <w:r w:rsidR="008A3633">
        <w:rPr>
          <w:rFonts w:ascii="Verdana" w:hAnsi="Verdana"/>
          <w:b/>
          <w:color w:val="548DD4" w:themeColor="text2" w:themeTint="99"/>
        </w:rPr>
        <w:br/>
      </w:r>
      <w:r>
        <w:rPr>
          <w:rFonts w:ascii="Verdana" w:hAnsi="Verdana"/>
          <w:b/>
          <w:color w:val="548DD4" w:themeColor="text2" w:themeTint="99"/>
        </w:rPr>
        <w:t>étant donné qu’elle ne concerne que 10 à 15 % des multinationales</w:t>
      </w:r>
    </w:p>
    <w:p w:rsidR="00171080" w:rsidRPr="008A3633" w:rsidRDefault="00171080" w:rsidP="00592F92">
      <w:pPr>
        <w:ind w:left="-284" w:right="-285"/>
        <w:rPr>
          <w:rFonts w:ascii="Verdana" w:hAnsi="Verdana"/>
          <w:sz w:val="18"/>
          <w:szCs w:val="18"/>
          <w:u w:val="single"/>
        </w:rPr>
      </w:pPr>
    </w:p>
    <w:p w:rsidR="00922B6E" w:rsidRPr="008A3633" w:rsidRDefault="00922B6E" w:rsidP="00592F92">
      <w:pPr>
        <w:ind w:left="-284" w:right="-285"/>
        <w:rPr>
          <w:rFonts w:ascii="Verdana" w:hAnsi="Verdana"/>
          <w:sz w:val="18"/>
          <w:szCs w:val="18"/>
        </w:rPr>
      </w:pPr>
      <w:r w:rsidRPr="008A3633">
        <w:rPr>
          <w:rFonts w:ascii="Verdana" w:hAnsi="Verdana"/>
          <w:sz w:val="18"/>
          <w:szCs w:val="18"/>
        </w:rPr>
        <w:t>Le 21 septembre, lors de sa session plé</w:t>
      </w:r>
      <w:r w:rsidR="00781C25">
        <w:rPr>
          <w:rFonts w:ascii="Verdana" w:hAnsi="Verdana"/>
          <w:sz w:val="18"/>
          <w:szCs w:val="18"/>
        </w:rPr>
        <w:t xml:space="preserve">nière, le CESE a adopté un </w:t>
      </w:r>
      <w:hyperlink r:id="rId16" w:history="1">
        <w:r w:rsidR="00781C25" w:rsidRPr="00781C25">
          <w:rPr>
            <w:rStyle w:val="Hyperlink"/>
            <w:rFonts w:ascii="Verdana" w:hAnsi="Verdana"/>
            <w:sz w:val="18"/>
            <w:szCs w:val="18"/>
          </w:rPr>
          <w:t>avis</w:t>
        </w:r>
      </w:hyperlink>
      <w:r w:rsidRPr="008A3633">
        <w:rPr>
          <w:rFonts w:ascii="Verdana" w:hAnsi="Verdana"/>
          <w:sz w:val="18"/>
          <w:szCs w:val="18"/>
        </w:rPr>
        <w:t xml:space="preserve"> visant la planification fiscale agressive pratiquée par les multinationales. La </w:t>
      </w:r>
      <w:hyperlink r:id="rId17">
        <w:r w:rsidRPr="008A3633">
          <w:rPr>
            <w:rStyle w:val="Hyperlink"/>
            <w:rFonts w:ascii="Verdana" w:hAnsi="Verdana"/>
            <w:sz w:val="18"/>
            <w:szCs w:val="18"/>
          </w:rPr>
          <w:t>proposition de la Commission européenne relative à la transparence de l’impôt sur les sociétés</w:t>
        </w:r>
      </w:hyperlink>
      <w:r w:rsidRPr="008A3633">
        <w:rPr>
          <w:rFonts w:ascii="Verdana" w:hAnsi="Verdana"/>
          <w:sz w:val="18"/>
          <w:szCs w:val="18"/>
        </w:rPr>
        <w:t xml:space="preserve"> impose aux multinationales dont le chiffre d’affaires annuel est supérieur à 750 millions d’euros de divulguer publiquement l’impôt sur les bénéfices qu’elles paient, ainsi que d’autres informations fiscales majeures, et ce par pays. Il est en effet estimé que la planification fiscale agressive pratiquée par certaines multinationales érode les recettes fiscales de l’UE à concurrence d’un montant pouvant atteindre </w:t>
      </w:r>
      <w:r w:rsidRPr="008A3633">
        <w:rPr>
          <w:rFonts w:ascii="Verdana" w:hAnsi="Verdana"/>
          <w:b/>
          <w:sz w:val="18"/>
          <w:szCs w:val="18"/>
        </w:rPr>
        <w:t>70 milliards d’euros par an</w:t>
      </w:r>
      <w:r w:rsidRPr="008A3633">
        <w:rPr>
          <w:rFonts w:ascii="Verdana" w:hAnsi="Verdana"/>
          <w:sz w:val="18"/>
          <w:szCs w:val="18"/>
        </w:rPr>
        <w:t>.</w:t>
      </w:r>
    </w:p>
    <w:p w:rsidR="00922B6E" w:rsidRPr="008A3633" w:rsidRDefault="00922B6E" w:rsidP="00592F92">
      <w:pPr>
        <w:ind w:left="-284" w:right="-285"/>
        <w:rPr>
          <w:rFonts w:ascii="Verdana" w:hAnsi="Verdana"/>
          <w:sz w:val="18"/>
          <w:szCs w:val="18"/>
        </w:rPr>
      </w:pPr>
    </w:p>
    <w:p w:rsidR="0041021B" w:rsidRPr="008A3633" w:rsidRDefault="00922B6E" w:rsidP="00592F92">
      <w:pPr>
        <w:ind w:left="-284" w:right="-285"/>
        <w:rPr>
          <w:rFonts w:ascii="Verdana" w:hAnsi="Verdana"/>
          <w:sz w:val="18"/>
          <w:szCs w:val="18"/>
        </w:rPr>
      </w:pPr>
      <w:r w:rsidRPr="008A3633">
        <w:rPr>
          <w:rFonts w:ascii="Verdana" w:hAnsi="Verdana"/>
          <w:sz w:val="18"/>
          <w:szCs w:val="18"/>
        </w:rPr>
        <w:t xml:space="preserve">Bien qu’il </w:t>
      </w:r>
      <w:r w:rsidR="00236D55">
        <w:rPr>
          <w:rFonts w:ascii="Verdana" w:hAnsi="Verdana"/>
          <w:sz w:val="18"/>
          <w:szCs w:val="18"/>
        </w:rPr>
        <w:t>soutienne l</w:t>
      </w:r>
      <w:r w:rsidRPr="008A3633">
        <w:rPr>
          <w:rFonts w:ascii="Verdana" w:hAnsi="Verdana"/>
          <w:sz w:val="18"/>
          <w:szCs w:val="18"/>
        </w:rPr>
        <w:t xml:space="preserve">es nouvelles mesures prises par la Commission, le CESE a invité cette dernière à s’efforcer de parvenir à progressivement </w:t>
      </w:r>
      <w:r w:rsidRPr="008A3633">
        <w:rPr>
          <w:rFonts w:ascii="Verdana" w:hAnsi="Verdana"/>
          <w:b/>
          <w:sz w:val="18"/>
          <w:szCs w:val="18"/>
        </w:rPr>
        <w:t>abaisser le seuil de 750 millions d’euros de chiffre d’affaires</w:t>
      </w:r>
      <w:r w:rsidRPr="008A3633">
        <w:rPr>
          <w:rFonts w:ascii="Verdana" w:hAnsi="Verdana"/>
          <w:sz w:val="18"/>
          <w:szCs w:val="18"/>
        </w:rPr>
        <w:t xml:space="preserve">, étant donné que la proposition à l’examen ne s’appliquerait qu’à 15 % des entreprises multinationales. </w:t>
      </w:r>
    </w:p>
    <w:p w:rsidR="00B54EB1" w:rsidRPr="008A3633" w:rsidRDefault="00B54EB1" w:rsidP="00592F92">
      <w:pPr>
        <w:ind w:left="-284" w:right="-285"/>
        <w:rPr>
          <w:rFonts w:ascii="Verdana" w:hAnsi="Verdana"/>
          <w:sz w:val="18"/>
          <w:szCs w:val="18"/>
        </w:rPr>
      </w:pPr>
    </w:p>
    <w:p w:rsidR="00E67F66" w:rsidRPr="008A3633" w:rsidRDefault="00E67F66" w:rsidP="00592F92">
      <w:pPr>
        <w:ind w:left="-284" w:right="-285"/>
        <w:rPr>
          <w:rFonts w:ascii="Verdana" w:hAnsi="Verdana"/>
          <w:sz w:val="18"/>
          <w:szCs w:val="18"/>
        </w:rPr>
      </w:pPr>
      <w:r w:rsidRPr="008A3633">
        <w:rPr>
          <w:rFonts w:ascii="Verdana" w:hAnsi="Verdana"/>
          <w:sz w:val="18"/>
          <w:szCs w:val="18"/>
        </w:rPr>
        <w:t>«</w:t>
      </w:r>
      <w:r w:rsidRPr="008A3633">
        <w:rPr>
          <w:rFonts w:ascii="Verdana" w:hAnsi="Verdana"/>
          <w:i/>
          <w:sz w:val="18"/>
          <w:szCs w:val="18"/>
        </w:rPr>
        <w:t>À la suite de l’indignation suscitée dans l’opinion publique ces dernières années à l’égard de l’ingénierie fiscale des multinationales de l’UE, il incombe à l’Union de répondre à ces préoccupations. N’appliquer cette mesure qu’à 15 % des multinationales positionnerait l’UE en total décalage avec les préoccupations de pratiquement tous les citoyens européens</w:t>
      </w:r>
      <w:r w:rsidRPr="008A3633">
        <w:rPr>
          <w:rFonts w:ascii="Verdana" w:hAnsi="Verdana"/>
          <w:sz w:val="18"/>
          <w:szCs w:val="18"/>
        </w:rPr>
        <w:t xml:space="preserve">», a déclaré le rapporteur de l’avis, </w:t>
      </w:r>
      <w:r w:rsidRPr="008A3633">
        <w:rPr>
          <w:rFonts w:ascii="Verdana" w:hAnsi="Verdana"/>
          <w:b/>
          <w:sz w:val="18"/>
          <w:szCs w:val="18"/>
        </w:rPr>
        <w:t>Victor Alistar</w:t>
      </w:r>
      <w:r w:rsidRPr="008A3633">
        <w:rPr>
          <w:rFonts w:ascii="Verdana" w:hAnsi="Verdana"/>
          <w:sz w:val="18"/>
          <w:szCs w:val="18"/>
        </w:rPr>
        <w:t xml:space="preserve"> (groupe des activités diverses – Roumanie).</w:t>
      </w:r>
    </w:p>
    <w:p w:rsidR="00B77DBC" w:rsidRPr="008A3633" w:rsidRDefault="00B77DBC" w:rsidP="00592F92">
      <w:pPr>
        <w:ind w:left="-284" w:right="-285"/>
        <w:rPr>
          <w:rFonts w:ascii="Verdana" w:hAnsi="Verdana"/>
          <w:sz w:val="18"/>
          <w:szCs w:val="18"/>
        </w:rPr>
      </w:pPr>
    </w:p>
    <w:p w:rsidR="00970035" w:rsidRPr="008A3633" w:rsidRDefault="00970035" w:rsidP="0053720C">
      <w:pPr>
        <w:ind w:left="-284" w:right="-285"/>
        <w:rPr>
          <w:rFonts w:ascii="Verdana" w:hAnsi="Verdana"/>
          <w:sz w:val="18"/>
          <w:szCs w:val="18"/>
        </w:rPr>
      </w:pPr>
      <w:r w:rsidRPr="008A3633">
        <w:rPr>
          <w:rFonts w:ascii="Verdana" w:hAnsi="Verdana"/>
          <w:sz w:val="18"/>
          <w:szCs w:val="18"/>
        </w:rPr>
        <w:t xml:space="preserve">Par ailleurs, le Comité a plaidé en faveur de la </w:t>
      </w:r>
      <w:r w:rsidRPr="008A3633">
        <w:rPr>
          <w:rFonts w:ascii="Verdana" w:hAnsi="Verdana"/>
          <w:b/>
          <w:sz w:val="18"/>
          <w:szCs w:val="18"/>
        </w:rPr>
        <w:t>publication d’états financiers distincts non seulement pour chaque État membre, mais aussi pour chaque pays tiers dans lequel opèrent de grandes multinationales</w:t>
      </w:r>
      <w:r w:rsidRPr="008A3633">
        <w:rPr>
          <w:rFonts w:ascii="Verdana" w:hAnsi="Verdana"/>
          <w:sz w:val="18"/>
          <w:szCs w:val="18"/>
        </w:rPr>
        <w:t xml:space="preserve">, étant donné que les données consolidées pourraient contribuer à dissimuler des opérations de planification fiscale agressive. Les multinationales devraient également </w:t>
      </w:r>
      <w:r w:rsidRPr="008A3633">
        <w:rPr>
          <w:rFonts w:ascii="Verdana" w:hAnsi="Verdana"/>
          <w:b/>
          <w:sz w:val="18"/>
          <w:szCs w:val="18"/>
        </w:rPr>
        <w:t>mettre à disposition une liste des opérations effectuées dans des pays tiers considérés comme des paradis fiscaux</w:t>
      </w:r>
      <w:r w:rsidRPr="008A3633">
        <w:rPr>
          <w:rFonts w:ascii="Verdana" w:hAnsi="Verdana"/>
          <w:sz w:val="18"/>
          <w:szCs w:val="18"/>
        </w:rPr>
        <w:t>. Les données relatives aux actifs et aux ventes devraient de même être publiées.</w:t>
      </w:r>
    </w:p>
    <w:p w:rsidR="00970035" w:rsidRPr="008A3633" w:rsidRDefault="00970035" w:rsidP="0053720C">
      <w:pPr>
        <w:ind w:left="-284" w:right="-285"/>
        <w:rPr>
          <w:rFonts w:ascii="Verdana" w:hAnsi="Verdana"/>
          <w:sz w:val="18"/>
          <w:szCs w:val="18"/>
        </w:rPr>
      </w:pPr>
    </w:p>
    <w:p w:rsidR="008356AD" w:rsidRPr="008A3633" w:rsidRDefault="008356AD" w:rsidP="0053720C">
      <w:pPr>
        <w:ind w:left="-284" w:right="-285"/>
        <w:rPr>
          <w:rFonts w:ascii="Verdana" w:hAnsi="Verdana"/>
          <w:sz w:val="18"/>
          <w:szCs w:val="18"/>
        </w:rPr>
      </w:pPr>
      <w:r w:rsidRPr="008A3633">
        <w:rPr>
          <w:rFonts w:ascii="Verdana" w:hAnsi="Verdana"/>
          <w:sz w:val="18"/>
          <w:szCs w:val="18"/>
        </w:rPr>
        <w:t xml:space="preserve">La planification fiscale agressive pratiquée par les entreprises multinationales a souvent fait la une de l’actualité ces derniers temps et a suscité l’indignation de l’opinion publique. Les propositions de la Commission en matière de transparence fiscale ont été avancées dans la foulée des scandales des «Panama </w:t>
      </w:r>
      <w:proofErr w:type="spellStart"/>
      <w:r w:rsidRPr="008A3633">
        <w:rPr>
          <w:rFonts w:ascii="Verdana" w:hAnsi="Verdana"/>
          <w:sz w:val="18"/>
          <w:szCs w:val="18"/>
        </w:rPr>
        <w:t>Papers</w:t>
      </w:r>
      <w:proofErr w:type="spellEnd"/>
      <w:r w:rsidRPr="008A3633">
        <w:rPr>
          <w:rFonts w:ascii="Verdana" w:hAnsi="Verdana"/>
          <w:sz w:val="18"/>
          <w:szCs w:val="18"/>
        </w:rPr>
        <w:t xml:space="preserve">» et </w:t>
      </w:r>
      <w:proofErr w:type="spellStart"/>
      <w:r w:rsidRPr="008A3633">
        <w:rPr>
          <w:rFonts w:ascii="Verdana" w:hAnsi="Verdana"/>
          <w:sz w:val="18"/>
          <w:szCs w:val="18"/>
        </w:rPr>
        <w:t>Luxleaks</w:t>
      </w:r>
      <w:proofErr w:type="spellEnd"/>
      <w:r w:rsidRPr="008A3633">
        <w:rPr>
          <w:rFonts w:ascii="Verdana" w:hAnsi="Verdana"/>
          <w:sz w:val="18"/>
          <w:szCs w:val="18"/>
        </w:rPr>
        <w:t>, qui ont mis en évidence des pratiques ayant permis à certaines des plus grandes entreprises de la planète, y compris Apple, Ikea et Pepsi, d’éluder des milliards de dollars d’impôts. Les opérations fiscales d’Apple en Irlande, de Starbucks aux Pays-Bas, et d’Amazon et Fiat au Luxembourg ont également mis cette problématique en avant, sur fond de gouvernements ne disposant pas de ressources suffisantes pour mener à</w:t>
      </w:r>
      <w:r w:rsidR="008A3633">
        <w:rPr>
          <w:rFonts w:ascii="Verdana" w:hAnsi="Verdana"/>
          <w:sz w:val="18"/>
          <w:szCs w:val="18"/>
        </w:rPr>
        <w:t xml:space="preserve"> bien leurs programmes sociaux.</w:t>
      </w:r>
    </w:p>
    <w:p w:rsidR="008356AD" w:rsidRPr="008A3633" w:rsidRDefault="008356AD" w:rsidP="0053720C">
      <w:pPr>
        <w:ind w:left="-284" w:right="-285"/>
        <w:rPr>
          <w:rFonts w:ascii="Verdana" w:hAnsi="Verdana"/>
          <w:sz w:val="18"/>
          <w:szCs w:val="18"/>
        </w:rPr>
      </w:pPr>
    </w:p>
    <w:p w:rsidR="0053720C" w:rsidRPr="008A3633" w:rsidRDefault="0077590D" w:rsidP="0053720C">
      <w:pPr>
        <w:ind w:left="-284" w:right="-285"/>
        <w:rPr>
          <w:rFonts w:ascii="Verdana" w:hAnsi="Verdana"/>
          <w:sz w:val="18"/>
          <w:szCs w:val="18"/>
        </w:rPr>
      </w:pPr>
      <w:r w:rsidRPr="008A3633">
        <w:rPr>
          <w:rFonts w:ascii="Verdana" w:hAnsi="Verdana"/>
          <w:sz w:val="18"/>
          <w:szCs w:val="18"/>
        </w:rPr>
        <w:t xml:space="preserve">Les informations complémentaires que le CESE souhaite voir publiées s’inscrivent dans le cadre des critères EBITB (érosion de la base d’imposition et transfert de bénéfices) de l’OCDE qui ont d’ores et déjà été adoptés par l’UE et la plupart des États membres. Il s’agit d’un échange automatique d’informations de nature fiscale entre les administrations fiscales des États membres, celles-ci n’étant toutefois pas accessibles au public. La Commission estime cependant que ces informations supplémentaires pourraient </w:t>
      </w:r>
      <w:r w:rsidRPr="008A3633">
        <w:rPr>
          <w:rFonts w:ascii="Verdana" w:hAnsi="Verdana"/>
          <w:sz w:val="18"/>
          <w:szCs w:val="18"/>
        </w:rPr>
        <w:lastRenderedPageBreak/>
        <w:t xml:space="preserve">mettre en péril la compétitivité des entreprises européennes et que certaines données pourraient être mal interprétées par le public. </w:t>
      </w:r>
    </w:p>
    <w:p w:rsidR="00980B74" w:rsidRPr="008A3633" w:rsidRDefault="00980B74" w:rsidP="00592F92">
      <w:pPr>
        <w:ind w:left="-284" w:right="-285"/>
        <w:rPr>
          <w:rFonts w:ascii="Verdana" w:hAnsi="Verdana"/>
          <w:i/>
          <w:sz w:val="18"/>
          <w:szCs w:val="18"/>
        </w:rPr>
      </w:pPr>
    </w:p>
    <w:p w:rsidR="007C72FC" w:rsidRPr="008A3633" w:rsidRDefault="007C72FC" w:rsidP="00592F92">
      <w:pPr>
        <w:ind w:left="-284" w:right="-285"/>
        <w:rPr>
          <w:rFonts w:ascii="Verdana" w:hAnsi="Verdana"/>
          <w:sz w:val="18"/>
          <w:szCs w:val="18"/>
        </w:rPr>
      </w:pPr>
      <w:r w:rsidRPr="008A3633">
        <w:rPr>
          <w:rFonts w:ascii="Verdana" w:hAnsi="Verdana"/>
          <w:sz w:val="18"/>
          <w:szCs w:val="18"/>
        </w:rPr>
        <w:t xml:space="preserve">Par ailleurs, le CESE recommande que </w:t>
      </w:r>
      <w:r w:rsidRPr="008A3633">
        <w:rPr>
          <w:rFonts w:ascii="Verdana" w:hAnsi="Verdana"/>
          <w:b/>
          <w:sz w:val="18"/>
          <w:szCs w:val="18"/>
        </w:rPr>
        <w:t>les données soient rendues plus aisément accessibles à la société civile et aux entreprises</w:t>
      </w:r>
      <w:r w:rsidRPr="008A3633">
        <w:rPr>
          <w:rFonts w:ascii="Verdana" w:hAnsi="Verdana"/>
          <w:sz w:val="18"/>
          <w:szCs w:val="18"/>
        </w:rPr>
        <w:t xml:space="preserve">, grâce à leur publication dans un registre central dans chaque État membre, dans le cadre d’un </w:t>
      </w:r>
      <w:r w:rsidRPr="008A3633">
        <w:rPr>
          <w:rFonts w:ascii="Verdana" w:hAnsi="Verdana"/>
          <w:b/>
          <w:sz w:val="18"/>
          <w:szCs w:val="18"/>
        </w:rPr>
        <w:t>système ouvert</w:t>
      </w:r>
      <w:r w:rsidRPr="008A3633">
        <w:rPr>
          <w:rFonts w:ascii="Verdana" w:hAnsi="Verdana"/>
          <w:sz w:val="18"/>
          <w:szCs w:val="18"/>
        </w:rPr>
        <w:t xml:space="preserve">, selon un </w:t>
      </w:r>
      <w:r w:rsidRPr="008A3633">
        <w:rPr>
          <w:rFonts w:ascii="Verdana" w:hAnsi="Verdana"/>
          <w:b/>
          <w:sz w:val="18"/>
          <w:szCs w:val="18"/>
        </w:rPr>
        <w:t>format uniforme à l’échelle de l’Union</w:t>
      </w:r>
      <w:r w:rsidRPr="008A3633">
        <w:rPr>
          <w:rFonts w:ascii="Verdana" w:hAnsi="Verdana"/>
          <w:sz w:val="18"/>
          <w:szCs w:val="18"/>
        </w:rPr>
        <w:t xml:space="preserve"> et dans une </w:t>
      </w:r>
      <w:r w:rsidRPr="008A3633">
        <w:rPr>
          <w:rFonts w:ascii="Verdana" w:hAnsi="Verdana"/>
          <w:b/>
          <w:sz w:val="18"/>
          <w:szCs w:val="18"/>
        </w:rPr>
        <w:t>langue internationale</w:t>
      </w:r>
      <w:r w:rsidRPr="008A3633">
        <w:rPr>
          <w:rFonts w:ascii="Verdana" w:hAnsi="Verdana"/>
          <w:sz w:val="18"/>
          <w:szCs w:val="18"/>
        </w:rPr>
        <w:t xml:space="preserve"> majeure, en sus de la langue locale, ce qui permettrait un véritable accès aux données pour l’ensemble du marché unique.</w:t>
      </w:r>
    </w:p>
    <w:p w:rsidR="00053E58" w:rsidRPr="008A3633" w:rsidRDefault="00053E58" w:rsidP="00592F92">
      <w:pPr>
        <w:ind w:left="-284" w:right="-285"/>
        <w:rPr>
          <w:rFonts w:ascii="Verdana" w:hAnsi="Verdana"/>
          <w:sz w:val="18"/>
          <w:szCs w:val="18"/>
        </w:rPr>
      </w:pPr>
    </w:p>
    <w:p w:rsidR="00425160" w:rsidRDefault="004F10E6" w:rsidP="00425160">
      <w:pPr>
        <w:ind w:left="-284" w:right="-285"/>
        <w:rPr>
          <w:rFonts w:ascii="Verdana" w:hAnsi="Verdana"/>
          <w:sz w:val="18"/>
          <w:szCs w:val="18"/>
        </w:rPr>
      </w:pPr>
      <w:r w:rsidRPr="004F10E6">
        <w:rPr>
          <w:rFonts w:ascii="Verdana" w:hAnsi="Verdana"/>
          <w:sz w:val="18"/>
          <w:szCs w:val="18"/>
        </w:rPr>
        <w:t>L'avis a été adopté par 204 voix contre 7 et 16 abstentions</w:t>
      </w:r>
      <w:r>
        <w:rPr>
          <w:rFonts w:ascii="Verdana" w:hAnsi="Verdana"/>
          <w:sz w:val="18"/>
          <w:szCs w:val="18"/>
        </w:rPr>
        <w:t>.</w:t>
      </w:r>
    </w:p>
    <w:p w:rsidR="004F10E6" w:rsidRDefault="004F10E6" w:rsidP="00425160">
      <w:pPr>
        <w:ind w:left="-284" w:right="-285"/>
        <w:rPr>
          <w:rFonts w:ascii="Verdana" w:hAnsi="Verdana"/>
          <w:sz w:val="18"/>
          <w:szCs w:val="18"/>
        </w:rPr>
      </w:pPr>
    </w:p>
    <w:p w:rsidR="006520D8" w:rsidRPr="008A3633" w:rsidRDefault="006520D8" w:rsidP="00425160">
      <w:pPr>
        <w:ind w:left="-284" w:right="-285"/>
        <w:rPr>
          <w:rFonts w:ascii="Verdana" w:hAnsi="Verdana"/>
          <w:sz w:val="18"/>
          <w:szCs w:val="18"/>
        </w:rPr>
      </w:pPr>
      <w:bookmarkStart w:id="0" w:name="_GoBack"/>
      <w:bookmarkEnd w:id="0"/>
    </w:p>
    <w:p w:rsidR="003532CC" w:rsidRPr="008A3633" w:rsidRDefault="003532CC" w:rsidP="003532CC">
      <w:pPr>
        <w:jc w:val="center"/>
        <w:rPr>
          <w:rFonts w:ascii="Verdana" w:hAnsi="Verdana"/>
          <w:b/>
          <w:sz w:val="18"/>
          <w:szCs w:val="18"/>
        </w:rPr>
      </w:pPr>
      <w:r w:rsidRPr="008A3633">
        <w:rPr>
          <w:rFonts w:ascii="Verdana" w:hAnsi="Verdana"/>
          <w:b/>
          <w:sz w:val="18"/>
          <w:szCs w:val="18"/>
        </w:rPr>
        <w:t xml:space="preserve">Pour de plus amples informations, veuillez contacter: </w:t>
      </w:r>
    </w:p>
    <w:p w:rsidR="00FF5CA0" w:rsidRPr="008A3633" w:rsidRDefault="00503B6B" w:rsidP="003532CC">
      <w:pPr>
        <w:overflowPunct/>
        <w:autoSpaceDE/>
        <w:autoSpaceDN/>
        <w:adjustRightInd/>
        <w:spacing w:line="240" w:lineRule="auto"/>
        <w:jc w:val="center"/>
        <w:textAlignment w:val="auto"/>
        <w:rPr>
          <w:rFonts w:ascii="Verdana" w:eastAsia="PMingLiU" w:hAnsi="Verdana"/>
          <w:sz w:val="18"/>
          <w:szCs w:val="18"/>
        </w:rPr>
      </w:pPr>
      <w:r w:rsidRPr="008A3633">
        <w:rPr>
          <w:rFonts w:ascii="Verdana" w:hAnsi="Verdana"/>
          <w:sz w:val="18"/>
          <w:szCs w:val="18"/>
        </w:rPr>
        <w:t>Daniela Marangoni</w:t>
      </w:r>
    </w:p>
    <w:p w:rsidR="003532CC" w:rsidRPr="008A3633" w:rsidRDefault="003532CC" w:rsidP="003532CC">
      <w:pPr>
        <w:overflowPunct/>
        <w:autoSpaceDE/>
        <w:autoSpaceDN/>
        <w:adjustRightInd/>
        <w:spacing w:line="240" w:lineRule="auto"/>
        <w:jc w:val="center"/>
        <w:textAlignment w:val="auto"/>
        <w:rPr>
          <w:rFonts w:ascii="Verdana" w:eastAsia="PMingLiU" w:hAnsi="Verdana"/>
          <w:sz w:val="18"/>
          <w:szCs w:val="18"/>
        </w:rPr>
      </w:pPr>
      <w:r w:rsidRPr="008A3633">
        <w:rPr>
          <w:rFonts w:ascii="Verdana" w:hAnsi="Verdana"/>
          <w:sz w:val="18"/>
          <w:szCs w:val="18"/>
        </w:rPr>
        <w:t>Courrier électronique: press@eesc.europa.eu</w:t>
      </w:r>
    </w:p>
    <w:p w:rsidR="00325F72" w:rsidRPr="008A3633" w:rsidRDefault="003532CC" w:rsidP="00822FAC">
      <w:pPr>
        <w:spacing w:line="240" w:lineRule="auto"/>
        <w:jc w:val="center"/>
        <w:rPr>
          <w:rFonts w:ascii="Verdana" w:eastAsia="PMingLiU" w:hAnsi="Verdana"/>
          <w:sz w:val="18"/>
          <w:szCs w:val="18"/>
        </w:rPr>
      </w:pPr>
      <w:r w:rsidRPr="008A3633">
        <w:rPr>
          <w:rFonts w:ascii="Verdana" w:hAnsi="Verdana"/>
          <w:sz w:val="18"/>
          <w:szCs w:val="18"/>
        </w:rPr>
        <w:t>Tél.: +32 2 546 8422</w:t>
      </w:r>
    </w:p>
    <w:p w:rsidR="00DB2340" w:rsidRPr="008A3633" w:rsidRDefault="00BA6EEC" w:rsidP="00822FAC">
      <w:pPr>
        <w:spacing w:line="240" w:lineRule="auto"/>
        <w:jc w:val="center"/>
        <w:rPr>
          <w:rFonts w:ascii="Verdana" w:eastAsia="PMingLiU" w:hAnsi="Verdana"/>
          <w:b/>
          <w:sz w:val="18"/>
          <w:szCs w:val="18"/>
        </w:rPr>
      </w:pPr>
      <w:r w:rsidRPr="008A3633">
        <w:rPr>
          <w:rFonts w:ascii="Verdana" w:hAnsi="Verdana"/>
          <w:b/>
          <w:sz w:val="18"/>
          <w:szCs w:val="18"/>
        </w:rPr>
        <w:t>@EESC_PRESS</w:t>
      </w:r>
    </w:p>
    <w:p w:rsidR="0043687E" w:rsidRPr="008A3633" w:rsidRDefault="0043687E" w:rsidP="00822FAC">
      <w:pPr>
        <w:spacing w:line="240" w:lineRule="auto"/>
        <w:jc w:val="center"/>
        <w:rPr>
          <w:rFonts w:ascii="Verdana" w:eastAsia="PMingLiU" w:hAnsi="Verdana"/>
          <w:sz w:val="18"/>
          <w:szCs w:val="18"/>
        </w:rPr>
      </w:pPr>
    </w:p>
    <w:p w:rsidR="00CE439D" w:rsidRPr="00BE45B2" w:rsidRDefault="00CE439D" w:rsidP="00C1739B">
      <w:pPr>
        <w:jc w:val="center"/>
        <w:rPr>
          <w:rFonts w:ascii="Verdana" w:hAnsi="Verdana"/>
          <w:b/>
          <w:i/>
          <w:sz w:val="16"/>
          <w:szCs w:val="16"/>
        </w:rPr>
      </w:pPr>
    </w:p>
    <w:p w:rsidR="00CE439D" w:rsidRPr="00BE45B2" w:rsidRDefault="00CE439D" w:rsidP="0046023F">
      <w:pPr>
        <w:pBdr>
          <w:top w:val="single" w:sz="4" w:space="1" w:color="auto"/>
          <w:bottom w:val="single" w:sz="4" w:space="1" w:color="auto"/>
        </w:pBdr>
        <w:rPr>
          <w:rFonts w:ascii="Verdana" w:hAnsi="Verdana"/>
          <w:i/>
          <w:sz w:val="16"/>
          <w:szCs w:val="16"/>
        </w:rPr>
      </w:pPr>
      <w:r>
        <w:rPr>
          <w:rFonts w:ascii="Verdana" w:hAnsi="Verdana"/>
          <w:i/>
          <w:sz w:val="16"/>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9F7B3B" w:rsidRPr="00BE45B2" w:rsidRDefault="009F7B3B" w:rsidP="00473E94">
      <w:pPr>
        <w:rPr>
          <w:rFonts w:ascii="Verdana" w:hAnsi="Verdana"/>
          <w:b/>
          <w:i/>
          <w:sz w:val="16"/>
          <w:szCs w:val="16"/>
        </w:rPr>
      </w:pPr>
    </w:p>
    <w:sectPr w:rsidR="009F7B3B" w:rsidRPr="00BE45B2" w:rsidSect="005666AE">
      <w:type w:val="continuous"/>
      <w:pgSz w:w="11907" w:h="16839" w:code="9"/>
      <w:pgMar w:top="993" w:right="1418" w:bottom="709" w:left="1418" w:header="3062" w:footer="11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7CCF4" w15:done="0"/>
  <w15:commentEx w15:paraId="1BFE9D1C" w15:done="0"/>
  <w15:commentEx w15:paraId="11DE0761" w15:done="0"/>
  <w15:commentEx w15:paraId="0DCDBD4D" w15:done="0"/>
  <w15:commentEx w15:paraId="28E3F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E1" w:rsidRDefault="00B36CE1">
      <w:r>
        <w:separator/>
      </w:r>
    </w:p>
  </w:endnote>
  <w:endnote w:type="continuationSeparator" w:id="0">
    <w:p w:rsidR="00B36CE1" w:rsidRDefault="00B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 9779 – Fax +32 2 546 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2E4BD3E6" wp14:editId="2E0CFD6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4362A3B3" wp14:editId="3A2EDBDA">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32B4FB29" wp14:editId="641419E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E1" w:rsidRDefault="00B36CE1">
      <w:r>
        <w:separator/>
      </w:r>
    </w:p>
  </w:footnote>
  <w:footnote w:type="continuationSeparator" w:id="0">
    <w:p w:rsidR="00B36CE1" w:rsidRDefault="00B3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4E5879"/>
    <w:multiLevelType w:val="hybridMultilevel"/>
    <w:tmpl w:val="35763BDA"/>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4">
    <w:nsid w:val="2A292D40"/>
    <w:multiLevelType w:val="hybridMultilevel"/>
    <w:tmpl w:val="33F479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5"/>
  </w:num>
  <w:num w:numId="14">
    <w:abstractNumId w:val="12"/>
  </w:num>
  <w:num w:numId="15">
    <w:abstractNumId w:val="16"/>
  </w:num>
  <w:num w:numId="16">
    <w:abstractNumId w:val="10"/>
  </w:num>
  <w:num w:numId="17">
    <w:abstractNumId w:val="7"/>
  </w:num>
  <w:num w:numId="18">
    <w:abstractNumId w:val="6"/>
  </w:num>
  <w:num w:numId="19">
    <w:abstractNumId w:val="3"/>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Barcelo">
    <w15:presenceInfo w15:providerId="AD" w15:userId="S-1-5-21-1844237615-823518204-725345543-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6BFC"/>
    <w:rsid w:val="00007BAE"/>
    <w:rsid w:val="00011DF5"/>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6A1D"/>
    <w:rsid w:val="0003721F"/>
    <w:rsid w:val="000404B0"/>
    <w:rsid w:val="0004507B"/>
    <w:rsid w:val="0004647E"/>
    <w:rsid w:val="000465B9"/>
    <w:rsid w:val="0004715C"/>
    <w:rsid w:val="00051E4A"/>
    <w:rsid w:val="00052678"/>
    <w:rsid w:val="00052F16"/>
    <w:rsid w:val="000538AA"/>
    <w:rsid w:val="00053E58"/>
    <w:rsid w:val="00055FCC"/>
    <w:rsid w:val="00060A4A"/>
    <w:rsid w:val="000615BB"/>
    <w:rsid w:val="000619B0"/>
    <w:rsid w:val="00061D4C"/>
    <w:rsid w:val="000635F1"/>
    <w:rsid w:val="00063CC1"/>
    <w:rsid w:val="00064EF7"/>
    <w:rsid w:val="00064F28"/>
    <w:rsid w:val="00066E4E"/>
    <w:rsid w:val="00067F21"/>
    <w:rsid w:val="00070AF6"/>
    <w:rsid w:val="00071FC9"/>
    <w:rsid w:val="00076BEA"/>
    <w:rsid w:val="00077FE9"/>
    <w:rsid w:val="000817CB"/>
    <w:rsid w:val="000828FE"/>
    <w:rsid w:val="00084AD6"/>
    <w:rsid w:val="00086050"/>
    <w:rsid w:val="000879CA"/>
    <w:rsid w:val="000879FC"/>
    <w:rsid w:val="000910A8"/>
    <w:rsid w:val="00096E97"/>
    <w:rsid w:val="00096F3D"/>
    <w:rsid w:val="00097EA7"/>
    <w:rsid w:val="000A1EAD"/>
    <w:rsid w:val="000A270E"/>
    <w:rsid w:val="000A4A23"/>
    <w:rsid w:val="000B1C14"/>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E35"/>
    <w:rsid w:val="00111E4B"/>
    <w:rsid w:val="0011271F"/>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080"/>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3C77"/>
    <w:rsid w:val="001C6D61"/>
    <w:rsid w:val="001D19EB"/>
    <w:rsid w:val="001D48D4"/>
    <w:rsid w:val="001D4ADB"/>
    <w:rsid w:val="001E0762"/>
    <w:rsid w:val="001E7F01"/>
    <w:rsid w:val="001F2DFD"/>
    <w:rsid w:val="001F3BB0"/>
    <w:rsid w:val="001F43BE"/>
    <w:rsid w:val="001F4A23"/>
    <w:rsid w:val="001F729B"/>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36D55"/>
    <w:rsid w:val="002431C3"/>
    <w:rsid w:val="002439E3"/>
    <w:rsid w:val="00244B53"/>
    <w:rsid w:val="0024520B"/>
    <w:rsid w:val="002474B4"/>
    <w:rsid w:val="00247522"/>
    <w:rsid w:val="00247BB5"/>
    <w:rsid w:val="00251322"/>
    <w:rsid w:val="002562CD"/>
    <w:rsid w:val="00257B3A"/>
    <w:rsid w:val="00273102"/>
    <w:rsid w:val="002734F3"/>
    <w:rsid w:val="00273CDE"/>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44DE"/>
    <w:rsid w:val="002B6234"/>
    <w:rsid w:val="002B640B"/>
    <w:rsid w:val="002B67A9"/>
    <w:rsid w:val="002B7F00"/>
    <w:rsid w:val="002C0269"/>
    <w:rsid w:val="002C5AD0"/>
    <w:rsid w:val="002C5CBB"/>
    <w:rsid w:val="002C7E87"/>
    <w:rsid w:val="002D08ED"/>
    <w:rsid w:val="002D12B2"/>
    <w:rsid w:val="002D22E9"/>
    <w:rsid w:val="002D33A8"/>
    <w:rsid w:val="002D685E"/>
    <w:rsid w:val="002D6898"/>
    <w:rsid w:val="002D7A8C"/>
    <w:rsid w:val="002E1022"/>
    <w:rsid w:val="002E14FC"/>
    <w:rsid w:val="002E1924"/>
    <w:rsid w:val="002E6F72"/>
    <w:rsid w:val="002E75A0"/>
    <w:rsid w:val="002F04D7"/>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4670B"/>
    <w:rsid w:val="003532CC"/>
    <w:rsid w:val="00353453"/>
    <w:rsid w:val="00354CB8"/>
    <w:rsid w:val="0035564F"/>
    <w:rsid w:val="00356045"/>
    <w:rsid w:val="003570E9"/>
    <w:rsid w:val="00357B53"/>
    <w:rsid w:val="00357D8C"/>
    <w:rsid w:val="0036045A"/>
    <w:rsid w:val="003623F9"/>
    <w:rsid w:val="00362786"/>
    <w:rsid w:val="00364AEC"/>
    <w:rsid w:val="00364ED2"/>
    <w:rsid w:val="00365244"/>
    <w:rsid w:val="00365D48"/>
    <w:rsid w:val="00370239"/>
    <w:rsid w:val="003708A5"/>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D7E38"/>
    <w:rsid w:val="003E1E99"/>
    <w:rsid w:val="003E5EB2"/>
    <w:rsid w:val="003F4711"/>
    <w:rsid w:val="003F5C5E"/>
    <w:rsid w:val="003F73CB"/>
    <w:rsid w:val="00401766"/>
    <w:rsid w:val="00404BEC"/>
    <w:rsid w:val="00406F00"/>
    <w:rsid w:val="00406FBD"/>
    <w:rsid w:val="0041021B"/>
    <w:rsid w:val="00412D3D"/>
    <w:rsid w:val="00415811"/>
    <w:rsid w:val="004161B8"/>
    <w:rsid w:val="00420C6F"/>
    <w:rsid w:val="00421579"/>
    <w:rsid w:val="004219B7"/>
    <w:rsid w:val="00422C7A"/>
    <w:rsid w:val="00424DA8"/>
    <w:rsid w:val="00424F74"/>
    <w:rsid w:val="00425160"/>
    <w:rsid w:val="004258C4"/>
    <w:rsid w:val="00425C6D"/>
    <w:rsid w:val="0043055C"/>
    <w:rsid w:val="00430A45"/>
    <w:rsid w:val="00431CA6"/>
    <w:rsid w:val="00432726"/>
    <w:rsid w:val="0043687E"/>
    <w:rsid w:val="00436BF3"/>
    <w:rsid w:val="00442FC6"/>
    <w:rsid w:val="0044429E"/>
    <w:rsid w:val="004443A5"/>
    <w:rsid w:val="00445F73"/>
    <w:rsid w:val="0045424F"/>
    <w:rsid w:val="0046023F"/>
    <w:rsid w:val="004605FD"/>
    <w:rsid w:val="00460FE4"/>
    <w:rsid w:val="00462AF4"/>
    <w:rsid w:val="00465C38"/>
    <w:rsid w:val="00470B59"/>
    <w:rsid w:val="0047111F"/>
    <w:rsid w:val="00471681"/>
    <w:rsid w:val="00472D63"/>
    <w:rsid w:val="00473E94"/>
    <w:rsid w:val="004775EF"/>
    <w:rsid w:val="004809B3"/>
    <w:rsid w:val="00485300"/>
    <w:rsid w:val="00487258"/>
    <w:rsid w:val="00490528"/>
    <w:rsid w:val="00492D0F"/>
    <w:rsid w:val="00494BBC"/>
    <w:rsid w:val="00495BF2"/>
    <w:rsid w:val="004969A2"/>
    <w:rsid w:val="00496C47"/>
    <w:rsid w:val="004A114B"/>
    <w:rsid w:val="004A35E4"/>
    <w:rsid w:val="004A391C"/>
    <w:rsid w:val="004A60E3"/>
    <w:rsid w:val="004A7307"/>
    <w:rsid w:val="004B05C0"/>
    <w:rsid w:val="004B2C2A"/>
    <w:rsid w:val="004B5BC1"/>
    <w:rsid w:val="004C1A83"/>
    <w:rsid w:val="004C230E"/>
    <w:rsid w:val="004C3C68"/>
    <w:rsid w:val="004C44EE"/>
    <w:rsid w:val="004C5DAA"/>
    <w:rsid w:val="004C75C9"/>
    <w:rsid w:val="004D1CDB"/>
    <w:rsid w:val="004D1E68"/>
    <w:rsid w:val="004D47BD"/>
    <w:rsid w:val="004D4A2F"/>
    <w:rsid w:val="004D5C3D"/>
    <w:rsid w:val="004E05DC"/>
    <w:rsid w:val="004E08FC"/>
    <w:rsid w:val="004E0E3E"/>
    <w:rsid w:val="004E1858"/>
    <w:rsid w:val="004E54E9"/>
    <w:rsid w:val="004E6C85"/>
    <w:rsid w:val="004F10E6"/>
    <w:rsid w:val="004F3E26"/>
    <w:rsid w:val="004F4806"/>
    <w:rsid w:val="00503B6B"/>
    <w:rsid w:val="00503DA7"/>
    <w:rsid w:val="0050549C"/>
    <w:rsid w:val="005060EF"/>
    <w:rsid w:val="0050638B"/>
    <w:rsid w:val="005070FA"/>
    <w:rsid w:val="005130D0"/>
    <w:rsid w:val="00520EBE"/>
    <w:rsid w:val="00521032"/>
    <w:rsid w:val="005269FE"/>
    <w:rsid w:val="005270ED"/>
    <w:rsid w:val="0052786C"/>
    <w:rsid w:val="00531C0E"/>
    <w:rsid w:val="00535C1F"/>
    <w:rsid w:val="0053720C"/>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4298"/>
    <w:rsid w:val="005658B4"/>
    <w:rsid w:val="005666AE"/>
    <w:rsid w:val="00573726"/>
    <w:rsid w:val="00575DF5"/>
    <w:rsid w:val="00577478"/>
    <w:rsid w:val="0058245B"/>
    <w:rsid w:val="00585DFE"/>
    <w:rsid w:val="00586088"/>
    <w:rsid w:val="00592F92"/>
    <w:rsid w:val="00593672"/>
    <w:rsid w:val="00593FD0"/>
    <w:rsid w:val="00594C5F"/>
    <w:rsid w:val="00594EDB"/>
    <w:rsid w:val="00595856"/>
    <w:rsid w:val="00597197"/>
    <w:rsid w:val="005A09BA"/>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D74F8"/>
    <w:rsid w:val="005E1BBF"/>
    <w:rsid w:val="005E2EAF"/>
    <w:rsid w:val="005E391A"/>
    <w:rsid w:val="005E6547"/>
    <w:rsid w:val="005E7648"/>
    <w:rsid w:val="005F080E"/>
    <w:rsid w:val="005F1943"/>
    <w:rsid w:val="005F42C5"/>
    <w:rsid w:val="005F65F7"/>
    <w:rsid w:val="005F71C5"/>
    <w:rsid w:val="005F76F2"/>
    <w:rsid w:val="006032C8"/>
    <w:rsid w:val="00604F68"/>
    <w:rsid w:val="00604FB8"/>
    <w:rsid w:val="00605496"/>
    <w:rsid w:val="006076F5"/>
    <w:rsid w:val="0060771D"/>
    <w:rsid w:val="00610D74"/>
    <w:rsid w:val="0061288B"/>
    <w:rsid w:val="006143C2"/>
    <w:rsid w:val="006148A6"/>
    <w:rsid w:val="006171F3"/>
    <w:rsid w:val="00626C38"/>
    <w:rsid w:val="00627902"/>
    <w:rsid w:val="006300C9"/>
    <w:rsid w:val="006309A7"/>
    <w:rsid w:val="006333E0"/>
    <w:rsid w:val="006371D8"/>
    <w:rsid w:val="00643B6D"/>
    <w:rsid w:val="00644672"/>
    <w:rsid w:val="006479E7"/>
    <w:rsid w:val="00647E74"/>
    <w:rsid w:val="006520D8"/>
    <w:rsid w:val="0065445D"/>
    <w:rsid w:val="00661B63"/>
    <w:rsid w:val="00662EE3"/>
    <w:rsid w:val="00663D53"/>
    <w:rsid w:val="00663F9C"/>
    <w:rsid w:val="006643D9"/>
    <w:rsid w:val="00664630"/>
    <w:rsid w:val="00664DF7"/>
    <w:rsid w:val="00667152"/>
    <w:rsid w:val="0067262C"/>
    <w:rsid w:val="006755EE"/>
    <w:rsid w:val="00676157"/>
    <w:rsid w:val="00676C70"/>
    <w:rsid w:val="00680869"/>
    <w:rsid w:val="006817A0"/>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C5F55"/>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3E75"/>
    <w:rsid w:val="00714F5F"/>
    <w:rsid w:val="007156A9"/>
    <w:rsid w:val="0071617F"/>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590D"/>
    <w:rsid w:val="00776594"/>
    <w:rsid w:val="0077777F"/>
    <w:rsid w:val="00780037"/>
    <w:rsid w:val="00781C25"/>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247D"/>
    <w:rsid w:val="007B3175"/>
    <w:rsid w:val="007B5659"/>
    <w:rsid w:val="007B56CD"/>
    <w:rsid w:val="007C07B7"/>
    <w:rsid w:val="007C1DDE"/>
    <w:rsid w:val="007C72FC"/>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1D3B"/>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356AD"/>
    <w:rsid w:val="00842B81"/>
    <w:rsid w:val="00844A5C"/>
    <w:rsid w:val="008512DF"/>
    <w:rsid w:val="008534A3"/>
    <w:rsid w:val="0085352B"/>
    <w:rsid w:val="00854001"/>
    <w:rsid w:val="0085464F"/>
    <w:rsid w:val="008605DC"/>
    <w:rsid w:val="00862C04"/>
    <w:rsid w:val="00863AB1"/>
    <w:rsid w:val="0086517A"/>
    <w:rsid w:val="0086606E"/>
    <w:rsid w:val="00867162"/>
    <w:rsid w:val="0087205A"/>
    <w:rsid w:val="00876120"/>
    <w:rsid w:val="008775D1"/>
    <w:rsid w:val="008820BE"/>
    <w:rsid w:val="00883365"/>
    <w:rsid w:val="008843A7"/>
    <w:rsid w:val="008927DF"/>
    <w:rsid w:val="00893C91"/>
    <w:rsid w:val="008A0E9A"/>
    <w:rsid w:val="008A1257"/>
    <w:rsid w:val="008A2477"/>
    <w:rsid w:val="008A3633"/>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6BD3"/>
    <w:rsid w:val="00900C21"/>
    <w:rsid w:val="00903521"/>
    <w:rsid w:val="00904D1E"/>
    <w:rsid w:val="00905F70"/>
    <w:rsid w:val="0091006B"/>
    <w:rsid w:val="00910D82"/>
    <w:rsid w:val="00910EE7"/>
    <w:rsid w:val="00912242"/>
    <w:rsid w:val="00913BE8"/>
    <w:rsid w:val="00913FEC"/>
    <w:rsid w:val="00915CDD"/>
    <w:rsid w:val="009165FC"/>
    <w:rsid w:val="009214B5"/>
    <w:rsid w:val="00922B6E"/>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6DCA"/>
    <w:rsid w:val="00957D71"/>
    <w:rsid w:val="00960E94"/>
    <w:rsid w:val="00961216"/>
    <w:rsid w:val="009623D9"/>
    <w:rsid w:val="0096658E"/>
    <w:rsid w:val="00966CA0"/>
    <w:rsid w:val="00967547"/>
    <w:rsid w:val="00967844"/>
    <w:rsid w:val="009678A3"/>
    <w:rsid w:val="00970035"/>
    <w:rsid w:val="0097280B"/>
    <w:rsid w:val="009777E2"/>
    <w:rsid w:val="00980840"/>
    <w:rsid w:val="00980B74"/>
    <w:rsid w:val="009852B8"/>
    <w:rsid w:val="00985C17"/>
    <w:rsid w:val="00990350"/>
    <w:rsid w:val="00994326"/>
    <w:rsid w:val="00996D8C"/>
    <w:rsid w:val="00997755"/>
    <w:rsid w:val="009A098F"/>
    <w:rsid w:val="009A0D29"/>
    <w:rsid w:val="009A124F"/>
    <w:rsid w:val="009A1B0D"/>
    <w:rsid w:val="009A299E"/>
    <w:rsid w:val="009A348E"/>
    <w:rsid w:val="009B00D5"/>
    <w:rsid w:val="009B1860"/>
    <w:rsid w:val="009B1FEF"/>
    <w:rsid w:val="009B2498"/>
    <w:rsid w:val="009B3DCB"/>
    <w:rsid w:val="009B5355"/>
    <w:rsid w:val="009B5C09"/>
    <w:rsid w:val="009C11F1"/>
    <w:rsid w:val="009C2FCF"/>
    <w:rsid w:val="009C32A8"/>
    <w:rsid w:val="009C6426"/>
    <w:rsid w:val="009D02B8"/>
    <w:rsid w:val="009D05C9"/>
    <w:rsid w:val="009D3988"/>
    <w:rsid w:val="009D663A"/>
    <w:rsid w:val="009D7FA3"/>
    <w:rsid w:val="009E0550"/>
    <w:rsid w:val="009E095D"/>
    <w:rsid w:val="009E2E56"/>
    <w:rsid w:val="009E4D66"/>
    <w:rsid w:val="009E6BF7"/>
    <w:rsid w:val="009E6DD9"/>
    <w:rsid w:val="009E6EA1"/>
    <w:rsid w:val="009E79A3"/>
    <w:rsid w:val="009F1222"/>
    <w:rsid w:val="009F271A"/>
    <w:rsid w:val="009F401B"/>
    <w:rsid w:val="009F5812"/>
    <w:rsid w:val="009F601D"/>
    <w:rsid w:val="009F7B3B"/>
    <w:rsid w:val="00A00EAD"/>
    <w:rsid w:val="00A017B8"/>
    <w:rsid w:val="00A020E6"/>
    <w:rsid w:val="00A022FA"/>
    <w:rsid w:val="00A0571E"/>
    <w:rsid w:val="00A11825"/>
    <w:rsid w:val="00A1195A"/>
    <w:rsid w:val="00A1273D"/>
    <w:rsid w:val="00A13282"/>
    <w:rsid w:val="00A14889"/>
    <w:rsid w:val="00A15E07"/>
    <w:rsid w:val="00A16E4D"/>
    <w:rsid w:val="00A21AF7"/>
    <w:rsid w:val="00A23175"/>
    <w:rsid w:val="00A24A5D"/>
    <w:rsid w:val="00A31439"/>
    <w:rsid w:val="00A32E71"/>
    <w:rsid w:val="00A3590B"/>
    <w:rsid w:val="00A37599"/>
    <w:rsid w:val="00A37B51"/>
    <w:rsid w:val="00A425AD"/>
    <w:rsid w:val="00A4462E"/>
    <w:rsid w:val="00A463F8"/>
    <w:rsid w:val="00A52F1A"/>
    <w:rsid w:val="00A55396"/>
    <w:rsid w:val="00A575FA"/>
    <w:rsid w:val="00A6117B"/>
    <w:rsid w:val="00A618B2"/>
    <w:rsid w:val="00A624A1"/>
    <w:rsid w:val="00A62B8A"/>
    <w:rsid w:val="00A65E93"/>
    <w:rsid w:val="00A700CA"/>
    <w:rsid w:val="00A70714"/>
    <w:rsid w:val="00A71A39"/>
    <w:rsid w:val="00A72EC9"/>
    <w:rsid w:val="00A75B47"/>
    <w:rsid w:val="00A801B4"/>
    <w:rsid w:val="00A81F65"/>
    <w:rsid w:val="00A82E6B"/>
    <w:rsid w:val="00A83226"/>
    <w:rsid w:val="00A83BB2"/>
    <w:rsid w:val="00A84BEC"/>
    <w:rsid w:val="00A876CF"/>
    <w:rsid w:val="00A9124D"/>
    <w:rsid w:val="00A94C10"/>
    <w:rsid w:val="00A94D22"/>
    <w:rsid w:val="00A95040"/>
    <w:rsid w:val="00A959B3"/>
    <w:rsid w:val="00A96AAE"/>
    <w:rsid w:val="00A9706C"/>
    <w:rsid w:val="00AA0C32"/>
    <w:rsid w:val="00AA1840"/>
    <w:rsid w:val="00AA417D"/>
    <w:rsid w:val="00AA4F6C"/>
    <w:rsid w:val="00AA61D9"/>
    <w:rsid w:val="00AA6FDC"/>
    <w:rsid w:val="00AA7F6C"/>
    <w:rsid w:val="00AB2016"/>
    <w:rsid w:val="00AB4558"/>
    <w:rsid w:val="00AB615A"/>
    <w:rsid w:val="00AB730B"/>
    <w:rsid w:val="00AB797C"/>
    <w:rsid w:val="00AC0976"/>
    <w:rsid w:val="00AC4953"/>
    <w:rsid w:val="00AD1544"/>
    <w:rsid w:val="00AD3B04"/>
    <w:rsid w:val="00AD3E00"/>
    <w:rsid w:val="00AD6BD1"/>
    <w:rsid w:val="00AD7710"/>
    <w:rsid w:val="00AD7971"/>
    <w:rsid w:val="00AE06D5"/>
    <w:rsid w:val="00AE639D"/>
    <w:rsid w:val="00AF2692"/>
    <w:rsid w:val="00AF2E99"/>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2F69"/>
    <w:rsid w:val="00B33636"/>
    <w:rsid w:val="00B33867"/>
    <w:rsid w:val="00B3478A"/>
    <w:rsid w:val="00B3530C"/>
    <w:rsid w:val="00B36CE1"/>
    <w:rsid w:val="00B36E03"/>
    <w:rsid w:val="00B403EA"/>
    <w:rsid w:val="00B41CDB"/>
    <w:rsid w:val="00B43F58"/>
    <w:rsid w:val="00B44528"/>
    <w:rsid w:val="00B45742"/>
    <w:rsid w:val="00B523FD"/>
    <w:rsid w:val="00B54123"/>
    <w:rsid w:val="00B54EB1"/>
    <w:rsid w:val="00B55085"/>
    <w:rsid w:val="00B57D80"/>
    <w:rsid w:val="00B60B16"/>
    <w:rsid w:val="00B61411"/>
    <w:rsid w:val="00B62589"/>
    <w:rsid w:val="00B6574C"/>
    <w:rsid w:val="00B66941"/>
    <w:rsid w:val="00B66AB1"/>
    <w:rsid w:val="00B7000E"/>
    <w:rsid w:val="00B70056"/>
    <w:rsid w:val="00B71203"/>
    <w:rsid w:val="00B73294"/>
    <w:rsid w:val="00B738CE"/>
    <w:rsid w:val="00B74E74"/>
    <w:rsid w:val="00B76E9A"/>
    <w:rsid w:val="00B77DBC"/>
    <w:rsid w:val="00B864B3"/>
    <w:rsid w:val="00B86F7D"/>
    <w:rsid w:val="00B87414"/>
    <w:rsid w:val="00B9349D"/>
    <w:rsid w:val="00B94224"/>
    <w:rsid w:val="00B96D77"/>
    <w:rsid w:val="00B96EB7"/>
    <w:rsid w:val="00B97CC4"/>
    <w:rsid w:val="00BA2DE6"/>
    <w:rsid w:val="00BA3111"/>
    <w:rsid w:val="00BA6EEC"/>
    <w:rsid w:val="00BB070E"/>
    <w:rsid w:val="00BB0EE2"/>
    <w:rsid w:val="00BB36F5"/>
    <w:rsid w:val="00BC07A3"/>
    <w:rsid w:val="00BC1747"/>
    <w:rsid w:val="00BC27A7"/>
    <w:rsid w:val="00BC54AB"/>
    <w:rsid w:val="00BC6025"/>
    <w:rsid w:val="00BC60C2"/>
    <w:rsid w:val="00BD1DCB"/>
    <w:rsid w:val="00BD4347"/>
    <w:rsid w:val="00BD437C"/>
    <w:rsid w:val="00BE1AD1"/>
    <w:rsid w:val="00BE1DAF"/>
    <w:rsid w:val="00BE45B2"/>
    <w:rsid w:val="00BF0D55"/>
    <w:rsid w:val="00BF1192"/>
    <w:rsid w:val="00BF3CA8"/>
    <w:rsid w:val="00BF5A0B"/>
    <w:rsid w:val="00BF5FCE"/>
    <w:rsid w:val="00BF6BED"/>
    <w:rsid w:val="00BF7D17"/>
    <w:rsid w:val="00C027A5"/>
    <w:rsid w:val="00C05075"/>
    <w:rsid w:val="00C05FD0"/>
    <w:rsid w:val="00C065A7"/>
    <w:rsid w:val="00C112BD"/>
    <w:rsid w:val="00C12A8E"/>
    <w:rsid w:val="00C13DBC"/>
    <w:rsid w:val="00C1739B"/>
    <w:rsid w:val="00C21C96"/>
    <w:rsid w:val="00C22491"/>
    <w:rsid w:val="00C24233"/>
    <w:rsid w:val="00C24707"/>
    <w:rsid w:val="00C25B3A"/>
    <w:rsid w:val="00C26F5C"/>
    <w:rsid w:val="00C30652"/>
    <w:rsid w:val="00C3085E"/>
    <w:rsid w:val="00C3511A"/>
    <w:rsid w:val="00C36609"/>
    <w:rsid w:val="00C3679D"/>
    <w:rsid w:val="00C36C84"/>
    <w:rsid w:val="00C41126"/>
    <w:rsid w:val="00C42407"/>
    <w:rsid w:val="00C449D5"/>
    <w:rsid w:val="00C50394"/>
    <w:rsid w:val="00C51729"/>
    <w:rsid w:val="00C51E31"/>
    <w:rsid w:val="00C52473"/>
    <w:rsid w:val="00C52BBD"/>
    <w:rsid w:val="00C56B37"/>
    <w:rsid w:val="00C56D06"/>
    <w:rsid w:val="00C62A3C"/>
    <w:rsid w:val="00C65224"/>
    <w:rsid w:val="00C676E8"/>
    <w:rsid w:val="00C70063"/>
    <w:rsid w:val="00C73CC3"/>
    <w:rsid w:val="00C755F1"/>
    <w:rsid w:val="00C818A3"/>
    <w:rsid w:val="00C82A73"/>
    <w:rsid w:val="00C83074"/>
    <w:rsid w:val="00C83428"/>
    <w:rsid w:val="00C83470"/>
    <w:rsid w:val="00C84283"/>
    <w:rsid w:val="00C86A64"/>
    <w:rsid w:val="00C870AB"/>
    <w:rsid w:val="00C92538"/>
    <w:rsid w:val="00C951E1"/>
    <w:rsid w:val="00C9778F"/>
    <w:rsid w:val="00C97D1B"/>
    <w:rsid w:val="00CA087C"/>
    <w:rsid w:val="00CA2C5C"/>
    <w:rsid w:val="00CA315F"/>
    <w:rsid w:val="00CA4B64"/>
    <w:rsid w:val="00CA4BC6"/>
    <w:rsid w:val="00CA51E2"/>
    <w:rsid w:val="00CA54F3"/>
    <w:rsid w:val="00CA72FB"/>
    <w:rsid w:val="00CB06C8"/>
    <w:rsid w:val="00CB0F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CF780E"/>
    <w:rsid w:val="00D000D0"/>
    <w:rsid w:val="00D0041E"/>
    <w:rsid w:val="00D026A5"/>
    <w:rsid w:val="00D04716"/>
    <w:rsid w:val="00D05BD4"/>
    <w:rsid w:val="00D0661E"/>
    <w:rsid w:val="00D107B7"/>
    <w:rsid w:val="00D11AF6"/>
    <w:rsid w:val="00D12BAF"/>
    <w:rsid w:val="00D13708"/>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0FF1"/>
    <w:rsid w:val="00D6198E"/>
    <w:rsid w:val="00D62DF8"/>
    <w:rsid w:val="00D65555"/>
    <w:rsid w:val="00D70574"/>
    <w:rsid w:val="00D71269"/>
    <w:rsid w:val="00D71673"/>
    <w:rsid w:val="00D7221D"/>
    <w:rsid w:val="00D72DCD"/>
    <w:rsid w:val="00D72FBC"/>
    <w:rsid w:val="00D735E3"/>
    <w:rsid w:val="00D73916"/>
    <w:rsid w:val="00D756D2"/>
    <w:rsid w:val="00D821FD"/>
    <w:rsid w:val="00D85524"/>
    <w:rsid w:val="00D9312D"/>
    <w:rsid w:val="00D93A6F"/>
    <w:rsid w:val="00D9429B"/>
    <w:rsid w:val="00D97D8E"/>
    <w:rsid w:val="00DA0D4D"/>
    <w:rsid w:val="00DA1AC4"/>
    <w:rsid w:val="00DA3896"/>
    <w:rsid w:val="00DA396F"/>
    <w:rsid w:val="00DA3997"/>
    <w:rsid w:val="00DA3F3D"/>
    <w:rsid w:val="00DA4907"/>
    <w:rsid w:val="00DA4DCC"/>
    <w:rsid w:val="00DA708C"/>
    <w:rsid w:val="00DA7ACD"/>
    <w:rsid w:val="00DB2340"/>
    <w:rsid w:val="00DB3658"/>
    <w:rsid w:val="00DB3D58"/>
    <w:rsid w:val="00DB4187"/>
    <w:rsid w:val="00DB70A6"/>
    <w:rsid w:val="00DC5ECF"/>
    <w:rsid w:val="00DC66B3"/>
    <w:rsid w:val="00DC7B2C"/>
    <w:rsid w:val="00DD0142"/>
    <w:rsid w:val="00DD34B5"/>
    <w:rsid w:val="00DD3986"/>
    <w:rsid w:val="00DD5AC2"/>
    <w:rsid w:val="00DE1D9B"/>
    <w:rsid w:val="00DE4A32"/>
    <w:rsid w:val="00DE7FD8"/>
    <w:rsid w:val="00DF0FEF"/>
    <w:rsid w:val="00DF138C"/>
    <w:rsid w:val="00DF3083"/>
    <w:rsid w:val="00DF3164"/>
    <w:rsid w:val="00DF4F75"/>
    <w:rsid w:val="00DF6144"/>
    <w:rsid w:val="00E00167"/>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67F66"/>
    <w:rsid w:val="00E7107D"/>
    <w:rsid w:val="00E71274"/>
    <w:rsid w:val="00E74CF2"/>
    <w:rsid w:val="00E8127E"/>
    <w:rsid w:val="00E82C38"/>
    <w:rsid w:val="00E860F9"/>
    <w:rsid w:val="00E87EAF"/>
    <w:rsid w:val="00E907E4"/>
    <w:rsid w:val="00E91325"/>
    <w:rsid w:val="00E91490"/>
    <w:rsid w:val="00E95621"/>
    <w:rsid w:val="00E965C0"/>
    <w:rsid w:val="00E97AF6"/>
    <w:rsid w:val="00EA472D"/>
    <w:rsid w:val="00EA4790"/>
    <w:rsid w:val="00EA5513"/>
    <w:rsid w:val="00EA5580"/>
    <w:rsid w:val="00EA6F53"/>
    <w:rsid w:val="00EB50E7"/>
    <w:rsid w:val="00EB5CD1"/>
    <w:rsid w:val="00EB7E56"/>
    <w:rsid w:val="00EC04FE"/>
    <w:rsid w:val="00EC16C4"/>
    <w:rsid w:val="00EC1AE7"/>
    <w:rsid w:val="00EC3251"/>
    <w:rsid w:val="00EC68D3"/>
    <w:rsid w:val="00EC6E5B"/>
    <w:rsid w:val="00ED040C"/>
    <w:rsid w:val="00ED2A11"/>
    <w:rsid w:val="00ED3162"/>
    <w:rsid w:val="00ED70B2"/>
    <w:rsid w:val="00ED71B5"/>
    <w:rsid w:val="00EE0D88"/>
    <w:rsid w:val="00EE2045"/>
    <w:rsid w:val="00EE3A33"/>
    <w:rsid w:val="00EE684E"/>
    <w:rsid w:val="00EF0709"/>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1DB3"/>
    <w:rsid w:val="00F52E5B"/>
    <w:rsid w:val="00F534F3"/>
    <w:rsid w:val="00F53D11"/>
    <w:rsid w:val="00F54B43"/>
    <w:rsid w:val="00F576F3"/>
    <w:rsid w:val="00F61167"/>
    <w:rsid w:val="00F61B8C"/>
    <w:rsid w:val="00F654B3"/>
    <w:rsid w:val="00F67E91"/>
    <w:rsid w:val="00F70D20"/>
    <w:rsid w:val="00F72C33"/>
    <w:rsid w:val="00F76360"/>
    <w:rsid w:val="00F772D5"/>
    <w:rsid w:val="00F77AB1"/>
    <w:rsid w:val="00F77DCA"/>
    <w:rsid w:val="00F80546"/>
    <w:rsid w:val="00F80D83"/>
    <w:rsid w:val="00F8165C"/>
    <w:rsid w:val="00F90371"/>
    <w:rsid w:val="00F90602"/>
    <w:rsid w:val="00F92628"/>
    <w:rsid w:val="00F92755"/>
    <w:rsid w:val="00F9427F"/>
    <w:rsid w:val="00F94621"/>
    <w:rsid w:val="00F95A09"/>
    <w:rsid w:val="00F97F92"/>
    <w:rsid w:val="00FA106F"/>
    <w:rsid w:val="00FA1218"/>
    <w:rsid w:val="00FA1F8A"/>
    <w:rsid w:val="00FA2A53"/>
    <w:rsid w:val="00FA2B5B"/>
    <w:rsid w:val="00FA33EE"/>
    <w:rsid w:val="00FA50A5"/>
    <w:rsid w:val="00FA5DF4"/>
    <w:rsid w:val="00FA629B"/>
    <w:rsid w:val="00FA7FFE"/>
    <w:rsid w:val="00FB55A1"/>
    <w:rsid w:val="00FB6005"/>
    <w:rsid w:val="00FC21E0"/>
    <w:rsid w:val="00FC3DAC"/>
    <w:rsid w:val="00FD0526"/>
    <w:rsid w:val="00FD0A48"/>
    <w:rsid w:val="00FD2EAB"/>
    <w:rsid w:val="00FD2F70"/>
    <w:rsid w:val="00FD3497"/>
    <w:rsid w:val="00FD4821"/>
    <w:rsid w:val="00FD63D9"/>
    <w:rsid w:val="00FD7050"/>
    <w:rsid w:val="00FD7B0C"/>
    <w:rsid w:val="00FE1538"/>
    <w:rsid w:val="00FE31F1"/>
    <w:rsid w:val="00FE48C1"/>
    <w:rsid w:val="00FE7EFE"/>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paragraph" w:styleId="Revision">
    <w:name w:val="Revision"/>
    <w:hidden/>
    <w:uiPriority w:val="99"/>
    <w:semiHidden/>
    <w:rsid w:val="00564298"/>
    <w:rPr>
      <w:sz w:val="22"/>
    </w:rPr>
  </w:style>
  <w:style w:type="character" w:customStyle="1" w:styleId="FooterChar">
    <w:name w:val="Footer Char"/>
    <w:basedOn w:val="DefaultParagraphFont"/>
    <w:link w:val="Footer"/>
    <w:uiPriority w:val="99"/>
    <w:rsid w:val="00B54EB1"/>
    <w:rPr>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paragraph" w:styleId="Revision">
    <w:name w:val="Revision"/>
    <w:hidden/>
    <w:uiPriority w:val="99"/>
    <w:semiHidden/>
    <w:rsid w:val="00564298"/>
    <w:rPr>
      <w:sz w:val="22"/>
    </w:rPr>
  </w:style>
  <w:style w:type="character" w:customStyle="1" w:styleId="FooterChar">
    <w:name w:val="Footer Char"/>
    <w:basedOn w:val="DefaultParagraphFont"/>
    <w:link w:val="Footer"/>
    <w:uiPriority w:val="99"/>
    <w:rsid w:val="00B54EB1"/>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49839616">
      <w:bodyDiv w:val="1"/>
      <w:marLeft w:val="0"/>
      <w:marRight w:val="0"/>
      <w:marTop w:val="0"/>
      <w:marBottom w:val="0"/>
      <w:divBdr>
        <w:top w:val="none" w:sz="0" w:space="0" w:color="auto"/>
        <w:left w:val="none" w:sz="0" w:space="0" w:color="auto"/>
        <w:bottom w:val="none" w:sz="0" w:space="0" w:color="auto"/>
        <w:right w:val="none" w:sz="0" w:space="0" w:color="auto"/>
      </w:divBdr>
      <w:divsChild>
        <w:div w:id="564533692">
          <w:marLeft w:val="0"/>
          <w:marRight w:val="0"/>
          <w:marTop w:val="0"/>
          <w:marBottom w:val="0"/>
          <w:divBdr>
            <w:top w:val="none" w:sz="0" w:space="0" w:color="auto"/>
            <w:left w:val="none" w:sz="0" w:space="0" w:color="auto"/>
            <w:bottom w:val="none" w:sz="0" w:space="0" w:color="auto"/>
            <w:right w:val="none" w:sz="0" w:space="0" w:color="auto"/>
          </w:divBdr>
          <w:divsChild>
            <w:div w:id="1589272003">
              <w:marLeft w:val="0"/>
              <w:marRight w:val="0"/>
              <w:marTop w:val="0"/>
              <w:marBottom w:val="0"/>
              <w:divBdr>
                <w:top w:val="none" w:sz="0" w:space="0" w:color="auto"/>
                <w:left w:val="none" w:sz="0" w:space="0" w:color="auto"/>
                <w:bottom w:val="none" w:sz="0" w:space="0" w:color="auto"/>
                <w:right w:val="none" w:sz="0" w:space="0" w:color="auto"/>
              </w:divBdr>
              <w:divsChild>
                <w:div w:id="827331267">
                  <w:marLeft w:val="0"/>
                  <w:marRight w:val="0"/>
                  <w:marTop w:val="0"/>
                  <w:marBottom w:val="0"/>
                  <w:divBdr>
                    <w:top w:val="none" w:sz="0" w:space="0" w:color="auto"/>
                    <w:left w:val="none" w:sz="0" w:space="0" w:color="auto"/>
                    <w:bottom w:val="none" w:sz="0" w:space="0" w:color="auto"/>
                    <w:right w:val="none" w:sz="0" w:space="0" w:color="auto"/>
                  </w:divBdr>
                  <w:divsChild>
                    <w:div w:id="119107720">
                      <w:marLeft w:val="0"/>
                      <w:marRight w:val="0"/>
                      <w:marTop w:val="0"/>
                      <w:marBottom w:val="0"/>
                      <w:divBdr>
                        <w:top w:val="none" w:sz="0" w:space="0" w:color="auto"/>
                        <w:left w:val="none" w:sz="0" w:space="0" w:color="auto"/>
                        <w:bottom w:val="none" w:sz="0" w:space="0" w:color="auto"/>
                        <w:right w:val="none" w:sz="0" w:space="0" w:color="auto"/>
                      </w:divBdr>
                      <w:divsChild>
                        <w:div w:id="501356255">
                          <w:marLeft w:val="0"/>
                          <w:marRight w:val="0"/>
                          <w:marTop w:val="0"/>
                          <w:marBottom w:val="0"/>
                          <w:divBdr>
                            <w:top w:val="none" w:sz="0" w:space="0" w:color="auto"/>
                            <w:left w:val="none" w:sz="0" w:space="0" w:color="auto"/>
                            <w:bottom w:val="none" w:sz="0" w:space="0" w:color="auto"/>
                            <w:right w:val="none" w:sz="0" w:space="0" w:color="auto"/>
                          </w:divBdr>
                          <w:divsChild>
                            <w:div w:id="977300281">
                              <w:marLeft w:val="0"/>
                              <w:marRight w:val="0"/>
                              <w:marTop w:val="0"/>
                              <w:marBottom w:val="0"/>
                              <w:divBdr>
                                <w:top w:val="none" w:sz="0" w:space="0" w:color="auto"/>
                                <w:left w:val="none" w:sz="0" w:space="0" w:color="auto"/>
                                <w:bottom w:val="none" w:sz="0" w:space="0" w:color="auto"/>
                                <w:right w:val="none" w:sz="0" w:space="0" w:color="auto"/>
                              </w:divBdr>
                              <w:divsChild>
                                <w:div w:id="1987930404">
                                  <w:marLeft w:val="0"/>
                                  <w:marRight w:val="0"/>
                                  <w:marTop w:val="0"/>
                                  <w:marBottom w:val="0"/>
                                  <w:divBdr>
                                    <w:top w:val="none" w:sz="0" w:space="0" w:color="auto"/>
                                    <w:left w:val="none" w:sz="0" w:space="0" w:color="auto"/>
                                    <w:bottom w:val="none" w:sz="0" w:space="0" w:color="auto"/>
                                    <w:right w:val="none" w:sz="0" w:space="0" w:color="auto"/>
                                  </w:divBdr>
                                  <w:divsChild>
                                    <w:div w:id="1972132223">
                                      <w:marLeft w:val="0"/>
                                      <w:marRight w:val="0"/>
                                      <w:marTop w:val="0"/>
                                      <w:marBottom w:val="0"/>
                                      <w:divBdr>
                                        <w:top w:val="none" w:sz="0" w:space="0" w:color="auto"/>
                                        <w:left w:val="none" w:sz="0" w:space="0" w:color="auto"/>
                                        <w:bottom w:val="none" w:sz="0" w:space="0" w:color="auto"/>
                                        <w:right w:val="none" w:sz="0" w:space="0" w:color="auto"/>
                                      </w:divBdr>
                                      <w:divsChild>
                                        <w:div w:id="482622411">
                                          <w:marLeft w:val="0"/>
                                          <w:marRight w:val="0"/>
                                          <w:marTop w:val="0"/>
                                          <w:marBottom w:val="0"/>
                                          <w:divBdr>
                                            <w:top w:val="none" w:sz="0" w:space="0" w:color="auto"/>
                                            <w:left w:val="none" w:sz="0" w:space="0" w:color="auto"/>
                                            <w:bottom w:val="none" w:sz="0" w:space="0" w:color="auto"/>
                                            <w:right w:val="none" w:sz="0" w:space="0" w:color="auto"/>
                                          </w:divBdr>
                                          <w:divsChild>
                                            <w:div w:id="1328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transparency/regdoc/rep/1/2016/FR/1-2016-198-FR-F1-1.PDF" TargetMode="External"/><Relationship Id="rId2" Type="http://schemas.openxmlformats.org/officeDocument/2006/relationships/customXml" Target="../customXml/item2.xml"/><Relationship Id="rId16" Type="http://schemas.openxmlformats.org/officeDocument/2006/relationships/hyperlink" Target="http://www.eesc.europa.eu/?i=portal.fr.eco-opinions&amp;itemCode=39040"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3XPXQ63Y2AW3-7-4727</_dlc_DocId>
    <_dlc_DocIdUrl xmlns="8835a8a4-5a07-4207-ac1e-223f88a8f7af">
      <Url>http://dm/EESC/2016/_layouts/DocIdRedir.aspx?ID=3XPXQ63Y2AW3-7-4727</Url>
      <Description>3XPXQ63Y2AW3-7-4727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2016-09-20T12:00:00+00:00</ProductionDate>
    <DocumentNumber xmlns="bd7587f5-5d05-4de0-b01a-b53d7118613b">4998</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4</Value>
      <Value>28</Value>
      <Value>6</Value>
      <Value>5</Value>
      <Value>25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10270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bd7587f5-5d05-4de0-b01a-b53d7118613b"/>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2B392FD1-B3A3-445D-980D-969C84980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3F6B94-6FB3-4295-89F2-CA8C7FFB0936}">
  <ds:schemaRefs>
    <ds:schemaRef ds:uri="http://schemas.microsoft.com/sharepoint/events"/>
  </ds:schemaRefs>
</ds:datastoreItem>
</file>

<file path=customXml/itemProps6.xml><?xml version="1.0" encoding="utf-8"?>
<ds:datastoreItem xmlns:ds="http://schemas.openxmlformats.org/officeDocument/2006/customXml" ds:itemID="{8AB5057F-BD76-41C9-AE7F-12FE62D5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2</Pages>
  <Words>780</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Transparence fiscale publique</vt:lpstr>
      <vt:lpstr>CP EN 30 tax avoidance</vt:lpstr>
    </vt:vector>
  </TitlesOfParts>
  <Company>CESE-CdR</Company>
  <LinksUpToDate>false</LinksUpToDate>
  <CharactersWithSpaces>5063</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Transparence fiscale publique</dc:title>
  <dc:subject>Communiqué de presse</dc:subject>
  <dc:creator>Milen Minchev</dc:creator>
  <cp:keywords>EESC-2016-04998-00-00-CP-TRA-FR</cp:keywords>
  <dc:description>Rapporteur : -_x000d_
Langue originale : EN_x000d_
Date du document : 20/09/2016_x000d_
Date de la réunion : _x000d_
Documents externes : -_x000d_
Fonctionnaire responsable : Marangoni Daniela, téléphone : + 2 546 8422_x000d_
_x000d_
Résumé :</dc:description>
  <cp:lastModifiedBy>Milen Minchev</cp:lastModifiedBy>
  <cp:revision>7</cp:revision>
  <cp:lastPrinted>2016-09-15T15:02:00Z</cp:lastPrinted>
  <dcterms:created xsi:type="dcterms:W3CDTF">2016-09-21T13:11:00Z</dcterms:created>
  <dcterms:modified xsi:type="dcterms:W3CDTF">2016-09-22T09:16:00Z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0x010100EA97B91038054C99906057A708A1480A0052D2E1C50FFCCA4DB10C28DB2B971CD9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19/09/2016</vt:lpwstr>
  </property>
  <property fmtid="{D5CDD505-2E9C-101B-9397-08002B2CF9AE}" pid="7" name="Pref_Time">
    <vt:lpwstr>15:15:01</vt:lpwstr>
  </property>
  <property fmtid="{D5CDD505-2E9C-101B-9397-08002B2CF9AE}" pid="8" name="Pref_User">
    <vt:lpwstr>mkop</vt:lpwstr>
  </property>
  <property fmtid="{D5CDD505-2E9C-101B-9397-08002B2CF9AE}" pid="9" name="Pref_FileName">
    <vt:lpwstr>EESC-2016-04998-00-00-CP-ORI.docx</vt:lpwstr>
  </property>
  <property fmtid="{D5CDD505-2E9C-101B-9397-08002B2CF9AE}" pid="10" name="_dlc_DocIdItemGuid">
    <vt:lpwstr>485200b4-0cf1-41bf-b9d9-d8ef234b3f2a</vt:lpwstr>
  </property>
  <property fmtid="{D5CDD505-2E9C-101B-9397-08002B2CF9AE}" pid="11" name="DocumentType_0">
    <vt:lpwstr>CP|de8ad211-9e8d-408b-8324-674d21bb7d18</vt:lpwstr>
  </property>
  <property fmtid="{D5CDD505-2E9C-101B-9397-08002B2CF9AE}" pid="12" name="AvailableTranslations">
    <vt:lpwstr>28;#ES|e7a6b05b-ae16-40c8-add9-68b64b03aeba;#25;#RO|feb747a2-64cd-4299-af12-4833ddc30497;#22;#DE|f6b31e5a-26fa-4935-b661-318e46daf27e;#15;#IT|0774613c-01ed-4e5d-a25d-11d2388de825;#4;#FR|d2afafd3-4c81-4f60-8f52-ee33f2f54ff3;#10;#EN|f2175f21-25d7-44a3-96da-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4998</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10270</vt:i4>
  </property>
  <property fmtid="{D5CDD505-2E9C-101B-9397-08002B2CF9AE}" pid="36" name="DocumentYear">
    <vt:i4>2016</vt:i4>
  </property>
  <property fmtid="{D5CDD505-2E9C-101B-9397-08002B2CF9AE}" pid="37" name="DocumentLanguage">
    <vt:lpwstr>4;#FR|d2afafd3-4c81-4f60-8f52-ee33f2f54ff3</vt:lpwstr>
  </property>
</Properties>
</file>