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6279CF" w:rsidRDefault="00E17CC9" w:rsidP="007F385B">
      <w:pPr>
        <w:ind w:left="-993"/>
        <w:jc w:val="center"/>
      </w:pPr>
      <w:r w:rsidRPr="006279CF">
        <w:rPr>
          <w:noProof/>
          <w:lang w:val="fr-BE" w:eastAsia="fr-BE" w:bidi="ar-SA"/>
        </w:rPr>
        <w:drawing>
          <wp:inline distT="0" distB="0" distL="0" distR="0" wp14:anchorId="75A5EDAA" wp14:editId="799B7D74">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6279CF">
        <w:trPr>
          <w:cantSplit/>
        </w:trPr>
        <w:tc>
          <w:tcPr>
            <w:tcW w:w="5168" w:type="dxa"/>
          </w:tcPr>
          <w:p w:rsidR="008820BE" w:rsidRPr="006279CF" w:rsidRDefault="008820BE" w:rsidP="00D17E81">
            <w:pPr>
              <w:spacing w:line="240" w:lineRule="auto"/>
              <w:rPr>
                <w:rFonts w:ascii="Verdana" w:hAnsi="Verdana"/>
                <w:b/>
                <w:bCs/>
                <w:sz w:val="20"/>
              </w:rPr>
            </w:pPr>
          </w:p>
        </w:tc>
        <w:tc>
          <w:tcPr>
            <w:tcW w:w="4119" w:type="dxa"/>
          </w:tcPr>
          <w:p w:rsidR="008820BE" w:rsidRPr="006279CF" w:rsidRDefault="00D17E81" w:rsidP="005215C9">
            <w:pPr>
              <w:spacing w:line="240" w:lineRule="auto"/>
              <w:jc w:val="right"/>
              <w:rPr>
                <w:rFonts w:ascii="Verdana" w:hAnsi="Verdana"/>
                <w:b/>
                <w:bCs/>
                <w:sz w:val="18"/>
                <w:szCs w:val="18"/>
              </w:rPr>
            </w:pPr>
            <w:r w:rsidRPr="006279CF">
              <w:rPr>
                <w:rFonts w:ascii="Verdana" w:hAnsi="Verdana"/>
                <w:b/>
                <w:sz w:val="18"/>
              </w:rPr>
              <w:t>Le 21/9/2016</w:t>
            </w:r>
          </w:p>
        </w:tc>
      </w:tr>
    </w:tbl>
    <w:p w:rsidR="008820BE" w:rsidRPr="006279CF" w:rsidRDefault="00E17CC9" w:rsidP="00473E94">
      <w:pPr>
        <w:spacing w:line="240" w:lineRule="auto"/>
        <w:rPr>
          <w:rFonts w:ascii="Verdana" w:hAnsi="Verdana"/>
          <w:sz w:val="20"/>
        </w:rPr>
        <w:sectPr w:rsidR="008820BE" w:rsidRPr="006279CF" w:rsidSect="00D93A6F">
          <w:footerReference w:type="default" r:id="rId15"/>
          <w:pgSz w:w="11907" w:h="16839" w:code="9"/>
          <w:pgMar w:top="426" w:right="1418" w:bottom="1418" w:left="1418" w:header="3062" w:footer="118" w:gutter="0"/>
          <w:cols w:space="720"/>
          <w:docGrid w:linePitch="299"/>
        </w:sectPr>
      </w:pPr>
      <w:r w:rsidRPr="006279CF">
        <w:rPr>
          <w:noProof/>
          <w:lang w:val="fr-BE" w:eastAsia="fr-BE" w:bidi="ar-SA"/>
        </w:rPr>
        <mc:AlternateContent>
          <mc:Choice Requires="wps">
            <w:drawing>
              <wp:anchor distT="0" distB="0" distL="114300" distR="114300" simplePos="0" relativeHeight="251657728" behindDoc="1" locked="0" layoutInCell="0" allowOverlap="1" wp14:anchorId="5D28BE27" wp14:editId="7F13D779">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07F" w:rsidRPr="00473E94" w:rsidRDefault="00A9407F"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A9407F" w:rsidRPr="00473E94" w:rsidRDefault="00A9407F" w:rsidP="00473E94">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p>
    <w:p w:rsidR="003305C3" w:rsidRPr="006279CF" w:rsidRDefault="003305C3" w:rsidP="008A05AA">
      <w:pPr>
        <w:spacing w:line="360" w:lineRule="auto"/>
        <w:jc w:val="center"/>
        <w:rPr>
          <w:rFonts w:ascii="Verdana" w:hAnsi="Verdana"/>
          <w:b/>
          <w:sz w:val="18"/>
          <w:szCs w:val="18"/>
        </w:rPr>
      </w:pPr>
    </w:p>
    <w:p w:rsidR="000B507E" w:rsidRPr="006279CF" w:rsidRDefault="00935C20" w:rsidP="00935C20">
      <w:pPr>
        <w:spacing w:line="240" w:lineRule="auto"/>
        <w:jc w:val="center"/>
        <w:rPr>
          <w:rFonts w:ascii="Verdana" w:hAnsi="Verdana"/>
          <w:b/>
          <w:sz w:val="24"/>
          <w:szCs w:val="24"/>
        </w:rPr>
      </w:pPr>
      <w:r w:rsidRPr="006279CF">
        <w:rPr>
          <w:rFonts w:ascii="Verdana" w:hAnsi="Verdana"/>
          <w:b/>
          <w:sz w:val="24"/>
        </w:rPr>
        <w:t>Le CESE attire l’attention sur le rôle essentiel des prestataires de</w:t>
      </w:r>
      <w:r w:rsidR="005F62DD" w:rsidRPr="006279CF">
        <w:rPr>
          <w:rFonts w:ascii="Verdana" w:hAnsi="Verdana"/>
          <w:b/>
          <w:sz w:val="24"/>
        </w:rPr>
        <w:t> </w:t>
      </w:r>
      <w:r w:rsidRPr="006279CF">
        <w:rPr>
          <w:rFonts w:ascii="Verdana" w:hAnsi="Verdana"/>
          <w:b/>
          <w:sz w:val="24"/>
        </w:rPr>
        <w:t>services à la personne logés à domicile</w:t>
      </w:r>
    </w:p>
    <w:p w:rsidR="000B507E" w:rsidRPr="006279CF" w:rsidRDefault="000B507E" w:rsidP="001B57CE">
      <w:pPr>
        <w:spacing w:line="240" w:lineRule="auto"/>
        <w:rPr>
          <w:rFonts w:ascii="Verdana" w:hAnsi="Verdana"/>
          <w:b/>
          <w:szCs w:val="22"/>
        </w:rPr>
      </w:pPr>
    </w:p>
    <w:p w:rsidR="00FB62BB" w:rsidRPr="006279CF" w:rsidRDefault="00935C20" w:rsidP="000B507E">
      <w:pPr>
        <w:spacing w:line="240" w:lineRule="auto"/>
        <w:jc w:val="center"/>
        <w:rPr>
          <w:rFonts w:ascii="Verdana" w:hAnsi="Verdana"/>
          <w:b/>
          <w:sz w:val="18"/>
          <w:szCs w:val="18"/>
        </w:rPr>
      </w:pPr>
      <w:r w:rsidRPr="006279CF">
        <w:rPr>
          <w:rFonts w:ascii="Verdana" w:hAnsi="Verdana"/>
          <w:b/>
          <w:sz w:val="18"/>
        </w:rPr>
        <w:t>Après avoir été trop longtemps négligés, ceux-ci méritent de bénéficier de droits et</w:t>
      </w:r>
      <w:r w:rsidR="005F62DD" w:rsidRPr="006279CF">
        <w:rPr>
          <w:rFonts w:ascii="Verdana" w:hAnsi="Verdana"/>
          <w:b/>
          <w:sz w:val="18"/>
        </w:rPr>
        <w:t> </w:t>
      </w:r>
      <w:r w:rsidRPr="006279CF">
        <w:rPr>
          <w:rFonts w:ascii="Verdana" w:hAnsi="Verdana"/>
          <w:b/>
          <w:sz w:val="18"/>
        </w:rPr>
        <w:t>d'une</w:t>
      </w:r>
      <w:r w:rsidR="005F62DD" w:rsidRPr="006279CF">
        <w:rPr>
          <w:rFonts w:ascii="Verdana" w:hAnsi="Verdana"/>
          <w:b/>
          <w:sz w:val="18"/>
        </w:rPr>
        <w:t> </w:t>
      </w:r>
      <w:r w:rsidRPr="006279CF">
        <w:rPr>
          <w:rFonts w:ascii="Verdana" w:hAnsi="Verdana"/>
          <w:b/>
          <w:sz w:val="18"/>
        </w:rPr>
        <w:t>pleine reconnaissance.</w:t>
      </w:r>
    </w:p>
    <w:p w:rsidR="00FE6CC4" w:rsidRPr="006279CF" w:rsidRDefault="00FE6CC4" w:rsidP="00B72F4C">
      <w:pPr>
        <w:spacing w:line="240" w:lineRule="auto"/>
        <w:rPr>
          <w:b/>
          <w:szCs w:val="22"/>
        </w:rPr>
      </w:pPr>
    </w:p>
    <w:p w:rsidR="00526550" w:rsidRPr="006279CF" w:rsidRDefault="00A821E5" w:rsidP="00526550">
      <w:pPr>
        <w:spacing w:line="240" w:lineRule="auto"/>
        <w:rPr>
          <w:rFonts w:ascii="Verdana" w:hAnsi="Verdana"/>
          <w:sz w:val="18"/>
          <w:szCs w:val="18"/>
        </w:rPr>
      </w:pPr>
      <w:r w:rsidRPr="006279CF">
        <w:rPr>
          <w:rFonts w:ascii="Verdana" w:hAnsi="Verdana"/>
          <w:sz w:val="18"/>
        </w:rPr>
        <w:t xml:space="preserve">Le Comité économique et social européen (CESE) a </w:t>
      </w:r>
      <w:hyperlink r:id="rId16" w:history="1">
        <w:r w:rsidRPr="000F5488">
          <w:rPr>
            <w:rStyle w:val="Hyperlink"/>
            <w:rFonts w:ascii="Verdana" w:hAnsi="Verdana"/>
            <w:sz w:val="18"/>
          </w:rPr>
          <w:t>adopté un avis</w:t>
        </w:r>
      </w:hyperlink>
      <w:r w:rsidRPr="006279CF">
        <w:rPr>
          <w:rFonts w:ascii="Verdana" w:hAnsi="Verdana"/>
          <w:sz w:val="18"/>
        </w:rPr>
        <w:t xml:space="preserve"> relatif aux droits des prestataires de services à la personne logés à domicile. Il exhorte les décideurs politiques à reconnaître pleinement leur contribution aux soins de longue durée, à les traiter de la même manière que les autres prestataires de soins et à régulariser la si</w:t>
      </w:r>
      <w:bookmarkStart w:id="0" w:name="_GoBack"/>
      <w:bookmarkEnd w:id="0"/>
      <w:r w:rsidRPr="006279CF">
        <w:rPr>
          <w:rFonts w:ascii="Verdana" w:hAnsi="Verdana"/>
          <w:sz w:val="18"/>
        </w:rPr>
        <w:t>tuation des travailleurs sans papiers.</w:t>
      </w:r>
    </w:p>
    <w:p w:rsidR="00FB62BB" w:rsidRPr="006279CF" w:rsidRDefault="00FB62BB" w:rsidP="00936394">
      <w:pPr>
        <w:spacing w:line="240" w:lineRule="auto"/>
        <w:rPr>
          <w:rFonts w:ascii="Verdana" w:hAnsi="Verdana"/>
          <w:b/>
          <w:sz w:val="18"/>
          <w:szCs w:val="18"/>
        </w:rPr>
      </w:pPr>
    </w:p>
    <w:p w:rsidR="008067C3" w:rsidRPr="006279CF" w:rsidRDefault="00FB62BB" w:rsidP="008067C3">
      <w:pPr>
        <w:spacing w:line="240" w:lineRule="auto"/>
        <w:rPr>
          <w:rFonts w:ascii="Verdana" w:hAnsi="Verdana"/>
          <w:kern w:val="28"/>
          <w:sz w:val="18"/>
          <w:szCs w:val="18"/>
        </w:rPr>
      </w:pPr>
      <w:r w:rsidRPr="006279CF">
        <w:rPr>
          <w:rFonts w:ascii="Verdana" w:hAnsi="Verdana"/>
          <w:sz w:val="18"/>
        </w:rPr>
        <w:t>Le vieillissement de la population et les coupes dans les dépenses publiques ont engendré un déficit dans l’offre de soins de longue durée. Alors que les prestataires de services à la personne résidant à domicile — souvent en dehors de toute réglementation — ont contribué à atténuer la grave pénurie de main-d’œuvre dans ce secteur, un grand nombre d’entre eux connaissent des conditions de travail précaires, notamment sous le statut de faux indépendants. L’Europe orientale fournit un grand nombre de ces prestataires domestiques de services à la personne aux autres pays, alors que ses ressources en travailleurs de ce secteur s’épuisent. Par ailleurs, lorsqu’ils sont licenciés, ceux-ci peuvent se retrouver sans-abris.</w:t>
      </w:r>
    </w:p>
    <w:p w:rsidR="008067C3" w:rsidRPr="006279CF" w:rsidRDefault="008067C3" w:rsidP="00FB62BB">
      <w:pPr>
        <w:spacing w:line="240" w:lineRule="auto"/>
        <w:rPr>
          <w:rFonts w:ascii="Verdana" w:hAnsi="Verdana"/>
          <w:kern w:val="28"/>
          <w:sz w:val="18"/>
          <w:szCs w:val="18"/>
        </w:rPr>
      </w:pPr>
    </w:p>
    <w:p w:rsidR="008067C3" w:rsidRPr="006279CF" w:rsidRDefault="008067C3" w:rsidP="008067C3">
      <w:pPr>
        <w:spacing w:line="240" w:lineRule="auto"/>
        <w:rPr>
          <w:rFonts w:ascii="Verdana" w:hAnsi="Verdana"/>
          <w:sz w:val="18"/>
          <w:szCs w:val="18"/>
        </w:rPr>
      </w:pPr>
      <w:r w:rsidRPr="006279CF">
        <w:rPr>
          <w:rFonts w:ascii="Verdana" w:hAnsi="Verdana"/>
          <w:i/>
          <w:sz w:val="18"/>
        </w:rPr>
        <w:t>«Dans un contexte où la main-d’œuvre employée dans le secteur des services à la personne est peu reconnue et mal rémunérée, les prestataires de services logés au domicile des bénéficiaires restent depuis trop longtemps invisibles aux yeux des décideurs politiques»</w:t>
      </w:r>
      <w:r w:rsidRPr="006279CF">
        <w:rPr>
          <w:rFonts w:ascii="Verdana" w:hAnsi="Verdana"/>
          <w:sz w:val="18"/>
        </w:rPr>
        <w:t xml:space="preserve">, explique </w:t>
      </w:r>
      <w:r w:rsidRPr="006279CF">
        <w:rPr>
          <w:rFonts w:ascii="Verdana" w:hAnsi="Verdana"/>
          <w:b/>
          <w:sz w:val="18"/>
        </w:rPr>
        <w:t>Adam Rogalewski</w:t>
      </w:r>
      <w:r w:rsidRPr="006279CF">
        <w:rPr>
          <w:rFonts w:ascii="Verdana" w:hAnsi="Verdana"/>
          <w:sz w:val="18"/>
        </w:rPr>
        <w:t>, le rapporteur du CESE pour cet avis.</w:t>
      </w:r>
    </w:p>
    <w:p w:rsidR="008067C3" w:rsidRPr="006279CF" w:rsidRDefault="008067C3" w:rsidP="008067C3">
      <w:pPr>
        <w:spacing w:line="240" w:lineRule="auto"/>
        <w:rPr>
          <w:rFonts w:ascii="Verdana" w:hAnsi="Verdana"/>
          <w:sz w:val="18"/>
          <w:szCs w:val="18"/>
        </w:rPr>
      </w:pPr>
    </w:p>
    <w:p w:rsidR="008067C3" w:rsidRPr="006279CF" w:rsidRDefault="008067C3" w:rsidP="008067C3">
      <w:pPr>
        <w:spacing w:line="240" w:lineRule="auto"/>
        <w:rPr>
          <w:rFonts w:ascii="Verdana" w:hAnsi="Verdana"/>
          <w:b/>
          <w:sz w:val="18"/>
          <w:szCs w:val="18"/>
        </w:rPr>
      </w:pPr>
      <w:r w:rsidRPr="006279CF">
        <w:rPr>
          <w:rFonts w:ascii="Verdana" w:hAnsi="Verdana"/>
          <w:b/>
          <w:sz w:val="18"/>
        </w:rPr>
        <w:t>Une pleine reconnaissance et des droits</w:t>
      </w:r>
    </w:p>
    <w:p w:rsidR="00FB62BB" w:rsidRPr="006279CF" w:rsidRDefault="00FB62BB" w:rsidP="00A821E5">
      <w:pPr>
        <w:spacing w:line="240" w:lineRule="auto"/>
        <w:rPr>
          <w:rFonts w:ascii="Verdana" w:hAnsi="Verdana"/>
          <w:b/>
          <w:sz w:val="18"/>
          <w:szCs w:val="18"/>
        </w:rPr>
      </w:pPr>
    </w:p>
    <w:p w:rsidR="00526550" w:rsidRPr="006279CF" w:rsidRDefault="0000439A" w:rsidP="00526550">
      <w:pPr>
        <w:spacing w:line="240" w:lineRule="auto"/>
        <w:rPr>
          <w:rFonts w:ascii="Verdana" w:hAnsi="Verdana"/>
          <w:sz w:val="18"/>
          <w:szCs w:val="18"/>
        </w:rPr>
      </w:pPr>
      <w:r w:rsidRPr="006279CF">
        <w:rPr>
          <w:rFonts w:ascii="Verdana" w:hAnsi="Verdana"/>
          <w:sz w:val="18"/>
        </w:rPr>
        <w:t xml:space="preserve">À l’heure actuelle, il n’existe aucune législation en la matière au niveau de l’UE et aucune proposition n’est en préparation. Dans un premier temps, le CESE souhaite lancer un débat sur une définition commune de la profession de «prestataire de services à la personne logé à domicile» en Europe. Celle-ci devrait reconnaître ce travail comme une forme de prestation de services à domicile et couvrir les formules de travail dans lesquelles les travailleurs résident au domicile privé des bénéficiaires. Le CESE est d’avis que ces travailleurs devraient être rattachés au secteur des services de longue durée à la personne et bénéficier des mêmes droits que les autres prestataires de soins, que ce soit en matière de rémunération, de protection de la santé et de la sécurité, de sécurité sociale ou de droit à la liberté d’association. </w:t>
      </w:r>
    </w:p>
    <w:p w:rsidR="00526550" w:rsidRPr="006279CF" w:rsidRDefault="00526550" w:rsidP="00526550">
      <w:pPr>
        <w:spacing w:line="240" w:lineRule="auto"/>
        <w:rPr>
          <w:rFonts w:ascii="Verdana" w:hAnsi="Verdana"/>
          <w:sz w:val="18"/>
          <w:szCs w:val="18"/>
        </w:rPr>
      </w:pPr>
    </w:p>
    <w:p w:rsidR="00806A23" w:rsidRPr="006279CF" w:rsidRDefault="00806A23" w:rsidP="00806A23">
      <w:pPr>
        <w:spacing w:line="240" w:lineRule="auto"/>
        <w:rPr>
          <w:rFonts w:ascii="Verdana" w:hAnsi="Verdana"/>
          <w:sz w:val="18"/>
          <w:szCs w:val="18"/>
        </w:rPr>
      </w:pPr>
      <w:r w:rsidRPr="006279CF">
        <w:rPr>
          <w:rFonts w:ascii="Verdana" w:hAnsi="Verdana"/>
          <w:sz w:val="18"/>
        </w:rPr>
        <w:t xml:space="preserve">Concrètement, cela signifie: </w:t>
      </w:r>
    </w:p>
    <w:p w:rsidR="00806A23" w:rsidRPr="006279CF" w:rsidRDefault="00806A23" w:rsidP="00806A23">
      <w:pPr>
        <w:pStyle w:val="ListParagraph"/>
        <w:numPr>
          <w:ilvl w:val="0"/>
          <w:numId w:val="17"/>
        </w:numPr>
        <w:rPr>
          <w:rFonts w:ascii="Verdana" w:hAnsi="Verdana"/>
          <w:sz w:val="18"/>
          <w:szCs w:val="18"/>
        </w:rPr>
      </w:pPr>
      <w:r w:rsidRPr="006279CF">
        <w:rPr>
          <w:rFonts w:ascii="Verdana" w:hAnsi="Verdana"/>
          <w:sz w:val="18"/>
        </w:rPr>
        <w:t xml:space="preserve">inclure les droits des prestataires de services à la personne logés à domicile et les bénéficiaires de ces prestations dans les futures révisions ou propositions de législation de l’UE et des États membres; </w:t>
      </w:r>
    </w:p>
    <w:p w:rsidR="00806A23" w:rsidRPr="006279CF" w:rsidRDefault="00806A23" w:rsidP="00806A23">
      <w:pPr>
        <w:pStyle w:val="ListParagraph"/>
        <w:numPr>
          <w:ilvl w:val="0"/>
          <w:numId w:val="17"/>
        </w:numPr>
        <w:rPr>
          <w:rFonts w:ascii="Verdana" w:hAnsi="Verdana"/>
          <w:sz w:val="18"/>
          <w:szCs w:val="18"/>
        </w:rPr>
      </w:pPr>
      <w:r w:rsidRPr="006279CF">
        <w:rPr>
          <w:rFonts w:ascii="Verdana" w:hAnsi="Verdana"/>
          <w:sz w:val="18"/>
        </w:rPr>
        <w:t xml:space="preserve">surveiller et améliorer le détachement des prestataires de services à la personne logés à domicile en appliquant le principe «à travail égal, salaire égal»; </w:t>
      </w:r>
    </w:p>
    <w:p w:rsidR="00806A23" w:rsidRPr="006279CF" w:rsidRDefault="00806A23" w:rsidP="00806A23">
      <w:pPr>
        <w:pStyle w:val="ListParagraph"/>
        <w:numPr>
          <w:ilvl w:val="0"/>
          <w:numId w:val="17"/>
        </w:numPr>
        <w:rPr>
          <w:rFonts w:ascii="Verdana" w:hAnsi="Verdana"/>
          <w:sz w:val="18"/>
          <w:szCs w:val="18"/>
        </w:rPr>
      </w:pPr>
      <w:r w:rsidRPr="006279CF">
        <w:rPr>
          <w:rFonts w:ascii="Verdana" w:hAnsi="Verdana"/>
          <w:sz w:val="18"/>
        </w:rPr>
        <w:t>lutter contre le dumping social et l’exploitation;</w:t>
      </w:r>
    </w:p>
    <w:p w:rsidR="00806A23" w:rsidRPr="006279CF" w:rsidRDefault="00806A23" w:rsidP="00806A23">
      <w:pPr>
        <w:pStyle w:val="ListParagraph"/>
        <w:numPr>
          <w:ilvl w:val="0"/>
          <w:numId w:val="17"/>
        </w:numPr>
        <w:rPr>
          <w:rFonts w:ascii="Verdana" w:hAnsi="Verdana"/>
          <w:sz w:val="18"/>
          <w:szCs w:val="18"/>
        </w:rPr>
      </w:pPr>
      <w:r w:rsidRPr="006279CF">
        <w:rPr>
          <w:rFonts w:ascii="Verdana" w:hAnsi="Verdana"/>
          <w:sz w:val="18"/>
        </w:rPr>
        <w:t>réglementer par anticipation le secteur des services de longue durée à la personne, en vue notamment d’y assurer le respect du droit du travail, afin de garantir la protection de leurs bénéficiaires comme des prestataires de services à la personne logés à domicile;</w:t>
      </w:r>
    </w:p>
    <w:p w:rsidR="00806A23" w:rsidRPr="006279CF" w:rsidRDefault="00806A23" w:rsidP="00806A23">
      <w:pPr>
        <w:pStyle w:val="ListParagraph"/>
        <w:numPr>
          <w:ilvl w:val="0"/>
          <w:numId w:val="17"/>
        </w:numPr>
        <w:rPr>
          <w:rFonts w:ascii="Verdana" w:hAnsi="Verdana"/>
          <w:sz w:val="18"/>
          <w:szCs w:val="18"/>
        </w:rPr>
      </w:pPr>
      <w:r w:rsidRPr="006279CF">
        <w:rPr>
          <w:rFonts w:ascii="Verdana" w:hAnsi="Verdana"/>
          <w:sz w:val="18"/>
        </w:rPr>
        <w:t>faire ratifier et mettre en œuvre par les États membres la convention n° 189 de l’OIT afin de régulariser les prestataires de services à la personne logés à domicile.</w:t>
      </w:r>
    </w:p>
    <w:p w:rsidR="00806A23" w:rsidRPr="006279CF" w:rsidRDefault="00806A23" w:rsidP="00FE6CC4">
      <w:pPr>
        <w:spacing w:line="240" w:lineRule="auto"/>
        <w:rPr>
          <w:rFonts w:ascii="Verdana" w:hAnsi="Verdana"/>
          <w:sz w:val="18"/>
          <w:szCs w:val="18"/>
        </w:rPr>
      </w:pPr>
    </w:p>
    <w:p w:rsidR="00FE6CC4" w:rsidRPr="006279CF" w:rsidRDefault="0061454B" w:rsidP="00FE6CC4">
      <w:pPr>
        <w:spacing w:line="240" w:lineRule="auto"/>
        <w:rPr>
          <w:rFonts w:ascii="Verdana" w:hAnsi="Verdana"/>
          <w:sz w:val="18"/>
          <w:szCs w:val="18"/>
        </w:rPr>
      </w:pPr>
      <w:r w:rsidRPr="006279CF">
        <w:rPr>
          <w:rFonts w:ascii="Verdana" w:hAnsi="Verdana"/>
          <w:sz w:val="18"/>
        </w:rPr>
        <w:lastRenderedPageBreak/>
        <w:t>En outre, bon nombre de ces travailleurs possèdent des compétences et qualifications, qui sont le fruit d’années d’expérience ou de programmes non reconnus de formation ou de certification. Il conviendrait de leur accorder une reconnaissance. Un soutien financier en faveur des patients qui dépendent de prestataires de services à la personne logés à leur domicile devrait être assuré par des investissements publics pérennes et à long terme.</w:t>
      </w:r>
      <w:r w:rsidRPr="006279CF">
        <w:rPr>
          <w:rFonts w:ascii="Calibri" w:hAnsi="Calibri"/>
          <w:color w:val="1F497D"/>
        </w:rPr>
        <w:t xml:space="preserve"> </w:t>
      </w:r>
    </w:p>
    <w:p w:rsidR="008067C3" w:rsidRPr="006279CF" w:rsidRDefault="008067C3" w:rsidP="008067C3">
      <w:pPr>
        <w:rPr>
          <w:rFonts w:ascii="Verdana" w:hAnsi="Verdana"/>
          <w:sz w:val="18"/>
          <w:szCs w:val="18"/>
        </w:rPr>
      </w:pPr>
    </w:p>
    <w:p w:rsidR="008067C3" w:rsidRPr="006279CF" w:rsidRDefault="008067C3" w:rsidP="008067C3">
      <w:pPr>
        <w:rPr>
          <w:rFonts w:ascii="Verdana" w:hAnsi="Verdana"/>
          <w:b/>
          <w:sz w:val="18"/>
          <w:szCs w:val="18"/>
        </w:rPr>
      </w:pPr>
      <w:r w:rsidRPr="006279CF">
        <w:rPr>
          <w:rFonts w:ascii="Verdana" w:hAnsi="Verdana"/>
          <w:b/>
          <w:sz w:val="18"/>
        </w:rPr>
        <w:t>Le rôle de la société civile</w:t>
      </w:r>
    </w:p>
    <w:p w:rsidR="00FE6CC4" w:rsidRPr="006279CF" w:rsidRDefault="00FE6CC4" w:rsidP="00935C20">
      <w:pPr>
        <w:spacing w:line="240" w:lineRule="auto"/>
        <w:rPr>
          <w:rFonts w:ascii="Verdana" w:hAnsi="Verdana"/>
          <w:sz w:val="18"/>
          <w:szCs w:val="18"/>
        </w:rPr>
      </w:pPr>
    </w:p>
    <w:p w:rsidR="00FE6CC4" w:rsidRPr="006279CF" w:rsidRDefault="00935C20" w:rsidP="00FE6CC4">
      <w:pPr>
        <w:spacing w:line="240" w:lineRule="auto"/>
        <w:rPr>
          <w:rFonts w:ascii="Verdana" w:hAnsi="Verdana"/>
          <w:sz w:val="18"/>
          <w:szCs w:val="18"/>
        </w:rPr>
      </w:pPr>
      <w:r w:rsidRPr="006279CF">
        <w:rPr>
          <w:rFonts w:ascii="Verdana" w:hAnsi="Verdana"/>
          <w:sz w:val="18"/>
        </w:rPr>
        <w:t>Pour mener à bien ces changements, il importe d’associer les syndicats, les employeurs et les organisations de la société civile à la planification des politiques. L’une des principales réussites de l’avis du CESE tient au fait qu’il est parvenu à mettre d’accord ceux qui plaident en faveur d’un secteur des soins de longue durée durable et équitable avec les défenseurs des droits des travailleurs et des migrants.</w:t>
      </w:r>
    </w:p>
    <w:p w:rsidR="00FE6CC4" w:rsidRPr="006279CF" w:rsidRDefault="00FE6CC4" w:rsidP="00FE6CC4">
      <w:pPr>
        <w:spacing w:line="240" w:lineRule="auto"/>
        <w:rPr>
          <w:rFonts w:ascii="Verdana" w:hAnsi="Verdana"/>
          <w:sz w:val="18"/>
          <w:szCs w:val="18"/>
        </w:rPr>
      </w:pPr>
    </w:p>
    <w:p w:rsidR="00FE6CC4" w:rsidRPr="006279CF" w:rsidRDefault="00886362" w:rsidP="00935C20">
      <w:pPr>
        <w:spacing w:line="240" w:lineRule="auto"/>
        <w:rPr>
          <w:rFonts w:ascii="Verdana" w:hAnsi="Verdana"/>
          <w:sz w:val="18"/>
          <w:szCs w:val="18"/>
        </w:rPr>
      </w:pPr>
      <w:r w:rsidRPr="006279CF">
        <w:rPr>
          <w:rFonts w:ascii="Verdana" w:hAnsi="Verdana"/>
          <w:sz w:val="18"/>
        </w:rPr>
        <w:t xml:space="preserve">Le CESE a l’intention de s’appuyer sur ce succès pour favoriser le développement de politiques européennes destinées à accompagner les prestataires de services à la personne, les bénéficiaires de ceux-ci, ainsi que leurs familles, notamment en organisant </w:t>
      </w:r>
      <w:r w:rsidRPr="006279CF">
        <w:rPr>
          <w:rFonts w:ascii="Verdana" w:hAnsi="Verdana"/>
          <w:b/>
          <w:sz w:val="18"/>
        </w:rPr>
        <w:t>au cours de la seconde moitié de 2017</w:t>
      </w:r>
      <w:r w:rsidRPr="006279CF">
        <w:rPr>
          <w:rFonts w:ascii="Verdana" w:hAnsi="Verdana"/>
          <w:sz w:val="18"/>
        </w:rPr>
        <w:t xml:space="preserve"> </w:t>
      </w:r>
      <w:r w:rsidRPr="006279CF">
        <w:rPr>
          <w:rFonts w:ascii="Verdana" w:hAnsi="Verdana"/>
          <w:b/>
          <w:sz w:val="18"/>
        </w:rPr>
        <w:t>une</w:t>
      </w:r>
      <w:r w:rsidRPr="006279CF">
        <w:rPr>
          <w:rFonts w:ascii="Verdana" w:hAnsi="Verdana"/>
          <w:sz w:val="18"/>
        </w:rPr>
        <w:t xml:space="preserve"> </w:t>
      </w:r>
      <w:r w:rsidRPr="006279CF">
        <w:rPr>
          <w:rFonts w:ascii="Verdana" w:hAnsi="Verdana"/>
          <w:b/>
          <w:sz w:val="18"/>
        </w:rPr>
        <w:t>conférence sur l’avenir des services à la personne par des prestataires logés à domicile en Europe, afin de discuter d’initiatives concrètes en vue de réglementer le secteur de manière appropriée</w:t>
      </w:r>
      <w:r w:rsidRPr="006279CF">
        <w:rPr>
          <w:rFonts w:ascii="Verdana" w:hAnsi="Verdana"/>
          <w:sz w:val="18"/>
        </w:rPr>
        <w:t>.</w:t>
      </w:r>
    </w:p>
    <w:p w:rsidR="00806A23" w:rsidRPr="006279CF" w:rsidRDefault="00806A23" w:rsidP="00935C20">
      <w:pPr>
        <w:spacing w:line="240" w:lineRule="auto"/>
        <w:rPr>
          <w:rFonts w:ascii="Verdana" w:hAnsi="Verdana"/>
          <w:sz w:val="18"/>
          <w:szCs w:val="18"/>
        </w:rPr>
      </w:pPr>
    </w:p>
    <w:p w:rsidR="00886362" w:rsidRPr="006279CF" w:rsidRDefault="00935C20" w:rsidP="00886362">
      <w:pPr>
        <w:spacing w:line="240" w:lineRule="auto"/>
        <w:rPr>
          <w:rFonts w:ascii="Verdana" w:hAnsi="Verdana"/>
          <w:sz w:val="18"/>
          <w:szCs w:val="18"/>
        </w:rPr>
      </w:pPr>
      <w:r w:rsidRPr="006279CF">
        <w:rPr>
          <w:rFonts w:ascii="Verdana" w:hAnsi="Verdana"/>
          <w:i/>
          <w:sz w:val="18"/>
        </w:rPr>
        <w:t>«Nous pensons qu’il faut avoir une vision positive de l’investissement dans les services de longue durée à la personne, en les considérant comme une perspective favorable pour l’économie et un relais privilégié de la création d’emplois, de l’accompagnement social des familles et de l’égalité entre les sexes»</w:t>
      </w:r>
      <w:r w:rsidRPr="006279CF">
        <w:rPr>
          <w:rFonts w:ascii="Verdana" w:hAnsi="Verdana"/>
          <w:sz w:val="18"/>
        </w:rPr>
        <w:t xml:space="preserve">, précise </w:t>
      </w:r>
      <w:r w:rsidRPr="006279CF">
        <w:rPr>
          <w:rFonts w:ascii="Verdana" w:hAnsi="Verdana"/>
          <w:b/>
          <w:sz w:val="18"/>
        </w:rPr>
        <w:t>Adam Rogalewski</w:t>
      </w:r>
      <w:r w:rsidRPr="006279CF">
        <w:rPr>
          <w:rFonts w:ascii="Verdana" w:hAnsi="Verdana"/>
          <w:sz w:val="18"/>
        </w:rPr>
        <w:t xml:space="preserve">. </w:t>
      </w:r>
      <w:r w:rsidRPr="006279CF">
        <w:rPr>
          <w:rFonts w:ascii="Verdana" w:hAnsi="Verdana"/>
          <w:i/>
          <w:sz w:val="18"/>
        </w:rPr>
        <w:t>«Investir dans ce domaine augmente les taux de participation au marché de l’emploi et ouvre une piste envisageable pour sortir de la crise économique.»</w:t>
      </w:r>
    </w:p>
    <w:p w:rsidR="00886362" w:rsidRPr="006279CF" w:rsidRDefault="00886362" w:rsidP="00886362">
      <w:pPr>
        <w:spacing w:line="240" w:lineRule="auto"/>
        <w:rPr>
          <w:rFonts w:ascii="Verdana" w:hAnsi="Verdana"/>
          <w:sz w:val="18"/>
          <w:szCs w:val="18"/>
        </w:rPr>
      </w:pPr>
    </w:p>
    <w:p w:rsidR="00886362" w:rsidRPr="006279CF" w:rsidRDefault="00886362" w:rsidP="00AD7F3C">
      <w:pPr>
        <w:spacing w:line="240" w:lineRule="auto"/>
        <w:rPr>
          <w:rFonts w:ascii="Verdana" w:hAnsi="Verdana"/>
          <w:szCs w:val="22"/>
        </w:rPr>
      </w:pPr>
    </w:p>
    <w:p w:rsidR="00AD7F3C" w:rsidRPr="006279CF" w:rsidRDefault="00AD7F3C" w:rsidP="00E95245">
      <w:pPr>
        <w:spacing w:line="240" w:lineRule="auto"/>
        <w:rPr>
          <w:rFonts w:ascii="Verdana" w:hAnsi="Verdana"/>
          <w:sz w:val="18"/>
          <w:szCs w:val="18"/>
        </w:rPr>
      </w:pPr>
    </w:p>
    <w:p w:rsidR="00325F72" w:rsidRPr="006279CF" w:rsidRDefault="00B33867" w:rsidP="00822FAC">
      <w:pPr>
        <w:jc w:val="center"/>
        <w:rPr>
          <w:rFonts w:ascii="Verdana" w:hAnsi="Verdana"/>
          <w:b/>
          <w:sz w:val="17"/>
          <w:szCs w:val="17"/>
        </w:rPr>
      </w:pPr>
      <w:r w:rsidRPr="006279CF">
        <w:rPr>
          <w:rFonts w:ascii="Verdana" w:hAnsi="Verdana"/>
          <w:b/>
          <w:sz w:val="17"/>
        </w:rPr>
        <w:t xml:space="preserve">Pour de plus amples informations, contacter: </w:t>
      </w:r>
    </w:p>
    <w:p w:rsidR="00B33867" w:rsidRPr="006279CF" w:rsidRDefault="0000439A" w:rsidP="00822FAC">
      <w:pPr>
        <w:overflowPunct/>
        <w:autoSpaceDE/>
        <w:autoSpaceDN/>
        <w:adjustRightInd/>
        <w:spacing w:line="240" w:lineRule="auto"/>
        <w:jc w:val="center"/>
        <w:textAlignment w:val="auto"/>
        <w:rPr>
          <w:rFonts w:ascii="Verdana" w:eastAsia="PMingLiU" w:hAnsi="Verdana"/>
          <w:sz w:val="17"/>
          <w:szCs w:val="17"/>
        </w:rPr>
      </w:pPr>
      <w:r w:rsidRPr="006279CF">
        <w:rPr>
          <w:rFonts w:ascii="Verdana" w:hAnsi="Verdana"/>
          <w:sz w:val="17"/>
        </w:rPr>
        <w:t>Caroline Alibert-Deprez – service de presse du CESE</w:t>
      </w:r>
    </w:p>
    <w:p w:rsidR="00B33867" w:rsidRPr="006279CF" w:rsidRDefault="00B33867" w:rsidP="00822FAC">
      <w:pPr>
        <w:overflowPunct/>
        <w:autoSpaceDE/>
        <w:autoSpaceDN/>
        <w:adjustRightInd/>
        <w:spacing w:line="240" w:lineRule="auto"/>
        <w:jc w:val="center"/>
        <w:textAlignment w:val="auto"/>
        <w:rPr>
          <w:rFonts w:ascii="Verdana" w:eastAsia="PMingLiU" w:hAnsi="Verdana"/>
          <w:sz w:val="17"/>
          <w:szCs w:val="17"/>
        </w:rPr>
      </w:pPr>
      <w:r w:rsidRPr="006279CF">
        <w:rPr>
          <w:rFonts w:ascii="Verdana" w:hAnsi="Verdana"/>
          <w:sz w:val="17"/>
        </w:rPr>
        <w:t>Courrier électronique:</w:t>
      </w:r>
      <w:r w:rsidRPr="006279CF">
        <w:t xml:space="preserve"> </w:t>
      </w:r>
      <w:hyperlink r:id="rId17">
        <w:r w:rsidRPr="006279CF">
          <w:rPr>
            <w:rStyle w:val="Hyperlink"/>
            <w:rFonts w:ascii="Verdana" w:hAnsi="Verdana"/>
            <w:sz w:val="18"/>
          </w:rPr>
          <w:t>press@eesc.europa.eu</w:t>
        </w:r>
      </w:hyperlink>
    </w:p>
    <w:p w:rsidR="002C5CBB" w:rsidRPr="006279CF" w:rsidRDefault="00822FAC" w:rsidP="00822FAC">
      <w:pPr>
        <w:spacing w:line="240" w:lineRule="auto"/>
        <w:jc w:val="center"/>
        <w:rPr>
          <w:rFonts w:ascii="Verdana" w:eastAsia="PMingLiU" w:hAnsi="Verdana"/>
          <w:sz w:val="16"/>
          <w:szCs w:val="16"/>
        </w:rPr>
      </w:pPr>
      <w:r w:rsidRPr="006279CF">
        <w:rPr>
          <w:rFonts w:ascii="Verdana" w:hAnsi="Verdana"/>
          <w:sz w:val="16"/>
        </w:rPr>
        <w:t xml:space="preserve">Tél. fixe: +32 (0) 2 546 92 76 / Tél. mobile: + 32 (0) 473 53 40 02 </w:t>
      </w:r>
    </w:p>
    <w:p w:rsidR="00325F72" w:rsidRPr="006279CF" w:rsidRDefault="002204E2" w:rsidP="00822FAC">
      <w:pPr>
        <w:spacing w:line="240" w:lineRule="auto"/>
        <w:jc w:val="center"/>
        <w:rPr>
          <w:rFonts w:ascii="Verdana" w:eastAsia="PMingLiU" w:hAnsi="Verdana"/>
          <w:sz w:val="16"/>
          <w:szCs w:val="16"/>
        </w:rPr>
      </w:pPr>
      <w:r w:rsidRPr="006279CF">
        <w:rPr>
          <w:rFonts w:ascii="Verdana" w:hAnsi="Verdana"/>
          <w:b/>
          <w:color w:val="1F497D" w:themeColor="text2"/>
          <w:sz w:val="18"/>
        </w:rPr>
        <w:t>@EESC_PRESS</w:t>
      </w:r>
    </w:p>
    <w:p w:rsidR="00C763DB" w:rsidRPr="006279CF" w:rsidRDefault="00C763DB" w:rsidP="00473E94">
      <w:pPr>
        <w:rPr>
          <w:rFonts w:ascii="Verdana" w:hAnsi="Verdana"/>
          <w:sz w:val="18"/>
          <w:szCs w:val="18"/>
        </w:rPr>
      </w:pPr>
    </w:p>
    <w:p w:rsidR="00CE439D" w:rsidRPr="006279CF" w:rsidRDefault="00CE439D" w:rsidP="00473E94">
      <w:pPr>
        <w:rPr>
          <w:rFonts w:ascii="Verdana" w:hAnsi="Verdana"/>
          <w:b/>
          <w:i/>
          <w:sz w:val="16"/>
          <w:szCs w:val="16"/>
        </w:rPr>
      </w:pPr>
      <w:r w:rsidRPr="006279CF">
        <w:rPr>
          <w:rFonts w:ascii="Verdana" w:hAnsi="Verdana"/>
          <w:b/>
          <w:i/>
          <w:sz w:val="16"/>
        </w:rPr>
        <w:t>______________________________________________________________________________</w:t>
      </w:r>
    </w:p>
    <w:p w:rsidR="00CE439D" w:rsidRPr="006279CF" w:rsidRDefault="00CE439D" w:rsidP="00473E94">
      <w:pPr>
        <w:rPr>
          <w:rFonts w:ascii="Verdana" w:hAnsi="Verdana"/>
          <w:i/>
          <w:sz w:val="16"/>
          <w:szCs w:val="16"/>
        </w:rPr>
      </w:pPr>
      <w:r w:rsidRPr="006279CF">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CE439D" w:rsidRPr="006279CF" w:rsidRDefault="00CE439D" w:rsidP="00473E94">
      <w:pPr>
        <w:rPr>
          <w:rFonts w:ascii="Verdana" w:hAnsi="Verdana"/>
          <w:b/>
          <w:i/>
          <w:sz w:val="16"/>
          <w:szCs w:val="16"/>
        </w:rPr>
      </w:pPr>
      <w:r w:rsidRPr="006279CF">
        <w:rPr>
          <w:rFonts w:ascii="Verdana" w:hAnsi="Verdana"/>
          <w:b/>
          <w:i/>
          <w:sz w:val="16"/>
        </w:rPr>
        <w:t>_______________________________________________________________________________</w:t>
      </w:r>
    </w:p>
    <w:sectPr w:rsidR="00CE439D" w:rsidRPr="006279CF"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DF" w:rsidRDefault="001821DF">
      <w:r>
        <w:separator/>
      </w:r>
    </w:p>
  </w:endnote>
  <w:endnote w:type="continuationSeparator" w:id="0">
    <w:p w:rsidR="001821DF" w:rsidRDefault="0018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7F" w:rsidRPr="00473E94" w:rsidRDefault="00A9407F"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DF" w:rsidRDefault="001821DF">
      <w:r>
        <w:separator/>
      </w:r>
    </w:p>
  </w:footnote>
  <w:footnote w:type="continuationSeparator" w:id="0">
    <w:p w:rsidR="001821DF" w:rsidRDefault="00182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063E15"/>
    <w:multiLevelType w:val="hybridMultilevel"/>
    <w:tmpl w:val="B79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372CDC"/>
    <w:multiLevelType w:val="hybridMultilevel"/>
    <w:tmpl w:val="1436C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27805"/>
    <w:multiLevelType w:val="hybridMultilevel"/>
    <w:tmpl w:val="655E57CE"/>
    <w:lvl w:ilvl="0" w:tplc="254A14B2">
      <w:start w:val="1"/>
      <w:numFmt w:val="bullet"/>
      <w:lvlRestart w:val="0"/>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2A3E97"/>
    <w:multiLevelType w:val="hybridMultilevel"/>
    <w:tmpl w:val="BB3EDF6A"/>
    <w:lvl w:ilvl="0" w:tplc="A7749612">
      <w:start w:val="1"/>
      <w:numFmt w:val="lowerLetter"/>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1AA26D5"/>
    <w:multiLevelType w:val="hybridMultilevel"/>
    <w:tmpl w:val="3EE2B716"/>
    <w:lvl w:ilvl="0" w:tplc="4BAC55B4">
      <w:start w:val="1"/>
      <w:numFmt w:val="bullet"/>
      <w:lvlRestart w:val="0"/>
      <w:lvlText w:val="-"/>
      <w:lvlJc w:val="left"/>
      <w:pPr>
        <w:tabs>
          <w:tab w:val="num" w:pos="0"/>
        </w:tabs>
        <w:ind w:left="369" w:hanging="369"/>
      </w:pPr>
      <w:rPr>
        <w:rFonts w:ascii="Symbol" w:hAnsi="Symbol" w:hint="default"/>
        <w:b w:val="0"/>
        <w:i w:val="0"/>
        <w:color w:val="auto"/>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0"/>
  </w:num>
  <w:num w:numId="5">
    <w:abstractNumId w:val="8"/>
  </w:num>
  <w:num w:numId="6">
    <w:abstractNumId w:val="12"/>
  </w:num>
  <w:num w:numId="7">
    <w:abstractNumId w:val="3"/>
  </w:num>
  <w:num w:numId="8">
    <w:abstractNumId w:val="16"/>
  </w:num>
  <w:num w:numId="9">
    <w:abstractNumId w:val="15"/>
  </w:num>
  <w:num w:numId="10">
    <w:abstractNumId w:val="13"/>
  </w:num>
  <w:num w:numId="11">
    <w:abstractNumId w:val="14"/>
  </w:num>
  <w:num w:numId="12">
    <w:abstractNumId w:val="5"/>
  </w:num>
  <w:num w:numId="13">
    <w:abstractNumId w:val="7"/>
  </w:num>
  <w:num w:numId="14">
    <w:abstractNumId w:val="4"/>
  </w:num>
  <w:num w:numId="15">
    <w:abstractNumId w:val="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9A"/>
    <w:rsid w:val="000043FE"/>
    <w:rsid w:val="00013BF4"/>
    <w:rsid w:val="00015733"/>
    <w:rsid w:val="000178AE"/>
    <w:rsid w:val="0002038E"/>
    <w:rsid w:val="0002196A"/>
    <w:rsid w:val="00032159"/>
    <w:rsid w:val="00032AC8"/>
    <w:rsid w:val="0003364B"/>
    <w:rsid w:val="0003423E"/>
    <w:rsid w:val="00034390"/>
    <w:rsid w:val="00034652"/>
    <w:rsid w:val="00034AD4"/>
    <w:rsid w:val="0004647E"/>
    <w:rsid w:val="0004715C"/>
    <w:rsid w:val="00052678"/>
    <w:rsid w:val="00060A4A"/>
    <w:rsid w:val="00064EF7"/>
    <w:rsid w:val="00064F28"/>
    <w:rsid w:val="00065A40"/>
    <w:rsid w:val="00066E4E"/>
    <w:rsid w:val="00067F21"/>
    <w:rsid w:val="00070AF6"/>
    <w:rsid w:val="00071FC9"/>
    <w:rsid w:val="00073F61"/>
    <w:rsid w:val="00077FE9"/>
    <w:rsid w:val="000830E1"/>
    <w:rsid w:val="00084AD6"/>
    <w:rsid w:val="00086050"/>
    <w:rsid w:val="000879CA"/>
    <w:rsid w:val="00095160"/>
    <w:rsid w:val="00096B2F"/>
    <w:rsid w:val="000A270E"/>
    <w:rsid w:val="000A2CEE"/>
    <w:rsid w:val="000A60BE"/>
    <w:rsid w:val="000B4C8B"/>
    <w:rsid w:val="000B507E"/>
    <w:rsid w:val="000D5B36"/>
    <w:rsid w:val="000E05AC"/>
    <w:rsid w:val="000E2CC7"/>
    <w:rsid w:val="000E7175"/>
    <w:rsid w:val="000F19EC"/>
    <w:rsid w:val="000F5238"/>
    <w:rsid w:val="000F5488"/>
    <w:rsid w:val="000F56F6"/>
    <w:rsid w:val="00104DFA"/>
    <w:rsid w:val="00111E4B"/>
    <w:rsid w:val="001162E1"/>
    <w:rsid w:val="00116469"/>
    <w:rsid w:val="00127046"/>
    <w:rsid w:val="0013137C"/>
    <w:rsid w:val="00134081"/>
    <w:rsid w:val="00140B6A"/>
    <w:rsid w:val="00141C85"/>
    <w:rsid w:val="00142677"/>
    <w:rsid w:val="0014353A"/>
    <w:rsid w:val="0014447D"/>
    <w:rsid w:val="0015068E"/>
    <w:rsid w:val="00150E62"/>
    <w:rsid w:val="00161E2C"/>
    <w:rsid w:val="00166961"/>
    <w:rsid w:val="0017165C"/>
    <w:rsid w:val="001719C4"/>
    <w:rsid w:val="00175643"/>
    <w:rsid w:val="00175E42"/>
    <w:rsid w:val="001821DF"/>
    <w:rsid w:val="00184FF0"/>
    <w:rsid w:val="0018613F"/>
    <w:rsid w:val="001939E2"/>
    <w:rsid w:val="001A0F33"/>
    <w:rsid w:val="001B57CE"/>
    <w:rsid w:val="001B5975"/>
    <w:rsid w:val="001C0AA9"/>
    <w:rsid w:val="001C346C"/>
    <w:rsid w:val="001D48D4"/>
    <w:rsid w:val="001D742E"/>
    <w:rsid w:val="001E0762"/>
    <w:rsid w:val="001E6444"/>
    <w:rsid w:val="00203251"/>
    <w:rsid w:val="0020436C"/>
    <w:rsid w:val="0020739D"/>
    <w:rsid w:val="00216E6E"/>
    <w:rsid w:val="002204E2"/>
    <w:rsid w:val="0022628B"/>
    <w:rsid w:val="00227A31"/>
    <w:rsid w:val="0023316F"/>
    <w:rsid w:val="00244B53"/>
    <w:rsid w:val="0024520B"/>
    <w:rsid w:val="002506FE"/>
    <w:rsid w:val="00252D25"/>
    <w:rsid w:val="002562CD"/>
    <w:rsid w:val="00270392"/>
    <w:rsid w:val="00273102"/>
    <w:rsid w:val="002734F3"/>
    <w:rsid w:val="00283BAD"/>
    <w:rsid w:val="002866DC"/>
    <w:rsid w:val="002936E2"/>
    <w:rsid w:val="002A2433"/>
    <w:rsid w:val="002B04A8"/>
    <w:rsid w:val="002B6234"/>
    <w:rsid w:val="002C2C69"/>
    <w:rsid w:val="002C5CBB"/>
    <w:rsid w:val="002D08ED"/>
    <w:rsid w:val="002D6898"/>
    <w:rsid w:val="002D77DD"/>
    <w:rsid w:val="002D7A8C"/>
    <w:rsid w:val="002E14FC"/>
    <w:rsid w:val="002E1924"/>
    <w:rsid w:val="002E3BD1"/>
    <w:rsid w:val="002E6BC9"/>
    <w:rsid w:val="002E7189"/>
    <w:rsid w:val="002F1FC2"/>
    <w:rsid w:val="002F3534"/>
    <w:rsid w:val="002F41D4"/>
    <w:rsid w:val="002F7233"/>
    <w:rsid w:val="00304E7A"/>
    <w:rsid w:val="003054B2"/>
    <w:rsid w:val="00306E88"/>
    <w:rsid w:val="003148CD"/>
    <w:rsid w:val="003164EF"/>
    <w:rsid w:val="00325F72"/>
    <w:rsid w:val="00327856"/>
    <w:rsid w:val="003305C3"/>
    <w:rsid w:val="00330BF8"/>
    <w:rsid w:val="003327CC"/>
    <w:rsid w:val="00335A37"/>
    <w:rsid w:val="00337F0A"/>
    <w:rsid w:val="00340194"/>
    <w:rsid w:val="00363DA8"/>
    <w:rsid w:val="00364ED2"/>
    <w:rsid w:val="00365D48"/>
    <w:rsid w:val="00370239"/>
    <w:rsid w:val="00374C88"/>
    <w:rsid w:val="00376637"/>
    <w:rsid w:val="00386F1F"/>
    <w:rsid w:val="00392CB8"/>
    <w:rsid w:val="00394D81"/>
    <w:rsid w:val="003A18ED"/>
    <w:rsid w:val="003B2616"/>
    <w:rsid w:val="003B62F4"/>
    <w:rsid w:val="003B714A"/>
    <w:rsid w:val="003B74A0"/>
    <w:rsid w:val="003C21F5"/>
    <w:rsid w:val="003C7BF9"/>
    <w:rsid w:val="003D2255"/>
    <w:rsid w:val="003E634B"/>
    <w:rsid w:val="003F3296"/>
    <w:rsid w:val="003F32EA"/>
    <w:rsid w:val="003F5C5E"/>
    <w:rsid w:val="0040099B"/>
    <w:rsid w:val="00402807"/>
    <w:rsid w:val="004045EB"/>
    <w:rsid w:val="00404BFF"/>
    <w:rsid w:val="00414A53"/>
    <w:rsid w:val="00415811"/>
    <w:rsid w:val="004161B8"/>
    <w:rsid w:val="004179E6"/>
    <w:rsid w:val="004258C4"/>
    <w:rsid w:val="00430A45"/>
    <w:rsid w:val="004443A5"/>
    <w:rsid w:val="00445F73"/>
    <w:rsid w:val="0045265D"/>
    <w:rsid w:val="0045424F"/>
    <w:rsid w:val="00455119"/>
    <w:rsid w:val="004605FD"/>
    <w:rsid w:val="00470B59"/>
    <w:rsid w:val="00473B13"/>
    <w:rsid w:val="00473E94"/>
    <w:rsid w:val="00474419"/>
    <w:rsid w:val="00484B8C"/>
    <w:rsid w:val="00491A12"/>
    <w:rsid w:val="00492D0F"/>
    <w:rsid w:val="00494BBC"/>
    <w:rsid w:val="004969A2"/>
    <w:rsid w:val="004C44EE"/>
    <w:rsid w:val="004D47BD"/>
    <w:rsid w:val="004D55B7"/>
    <w:rsid w:val="004E0E3E"/>
    <w:rsid w:val="004E1858"/>
    <w:rsid w:val="004E5000"/>
    <w:rsid w:val="004E546A"/>
    <w:rsid w:val="004F3E26"/>
    <w:rsid w:val="004F4806"/>
    <w:rsid w:val="0050638B"/>
    <w:rsid w:val="005070FA"/>
    <w:rsid w:val="00510A96"/>
    <w:rsid w:val="005130D0"/>
    <w:rsid w:val="005134D3"/>
    <w:rsid w:val="00521032"/>
    <w:rsid w:val="005215C9"/>
    <w:rsid w:val="00526550"/>
    <w:rsid w:val="005269FE"/>
    <w:rsid w:val="005270ED"/>
    <w:rsid w:val="00540766"/>
    <w:rsid w:val="005407F1"/>
    <w:rsid w:val="00542994"/>
    <w:rsid w:val="00544FAF"/>
    <w:rsid w:val="0055255F"/>
    <w:rsid w:val="0055294F"/>
    <w:rsid w:val="00553B5B"/>
    <w:rsid w:val="00553E7C"/>
    <w:rsid w:val="005549A1"/>
    <w:rsid w:val="00556CD0"/>
    <w:rsid w:val="0056215A"/>
    <w:rsid w:val="005658B4"/>
    <w:rsid w:val="00572C40"/>
    <w:rsid w:val="00575DF5"/>
    <w:rsid w:val="005848E8"/>
    <w:rsid w:val="00585DFE"/>
    <w:rsid w:val="00592F50"/>
    <w:rsid w:val="00594C5F"/>
    <w:rsid w:val="005A5F88"/>
    <w:rsid w:val="005A6FBD"/>
    <w:rsid w:val="005B0466"/>
    <w:rsid w:val="005B203C"/>
    <w:rsid w:val="005B3342"/>
    <w:rsid w:val="005B53B3"/>
    <w:rsid w:val="005B69E8"/>
    <w:rsid w:val="005C08F4"/>
    <w:rsid w:val="005C0DE6"/>
    <w:rsid w:val="005C27AB"/>
    <w:rsid w:val="005C27F1"/>
    <w:rsid w:val="005C46DB"/>
    <w:rsid w:val="005D03CA"/>
    <w:rsid w:val="005D1289"/>
    <w:rsid w:val="005D1C0D"/>
    <w:rsid w:val="005E17DA"/>
    <w:rsid w:val="005E1BBF"/>
    <w:rsid w:val="005F42C5"/>
    <w:rsid w:val="005F62DD"/>
    <w:rsid w:val="00604FB8"/>
    <w:rsid w:val="0060528C"/>
    <w:rsid w:val="0060771D"/>
    <w:rsid w:val="00607C27"/>
    <w:rsid w:val="006143C2"/>
    <w:rsid w:val="0061454B"/>
    <w:rsid w:val="006148A6"/>
    <w:rsid w:val="006171F3"/>
    <w:rsid w:val="00617E51"/>
    <w:rsid w:val="00626C38"/>
    <w:rsid w:val="00627902"/>
    <w:rsid w:val="006279CF"/>
    <w:rsid w:val="00635A3E"/>
    <w:rsid w:val="006371D8"/>
    <w:rsid w:val="00637A99"/>
    <w:rsid w:val="00643B6D"/>
    <w:rsid w:val="00647A05"/>
    <w:rsid w:val="00647E74"/>
    <w:rsid w:val="00650F45"/>
    <w:rsid w:val="00657B35"/>
    <w:rsid w:val="00661B63"/>
    <w:rsid w:val="00662EE3"/>
    <w:rsid w:val="006632D5"/>
    <w:rsid w:val="00663F9C"/>
    <w:rsid w:val="00664630"/>
    <w:rsid w:val="006722B1"/>
    <w:rsid w:val="006849A9"/>
    <w:rsid w:val="00686EC2"/>
    <w:rsid w:val="006A7CB6"/>
    <w:rsid w:val="006C07A6"/>
    <w:rsid w:val="006C10F6"/>
    <w:rsid w:val="006C15A4"/>
    <w:rsid w:val="006D0D46"/>
    <w:rsid w:val="006D2EDD"/>
    <w:rsid w:val="006D2F3C"/>
    <w:rsid w:val="006D6889"/>
    <w:rsid w:val="006D7231"/>
    <w:rsid w:val="006E0758"/>
    <w:rsid w:val="006E089C"/>
    <w:rsid w:val="006E1765"/>
    <w:rsid w:val="006E40E3"/>
    <w:rsid w:val="006E7218"/>
    <w:rsid w:val="0071010B"/>
    <w:rsid w:val="00712EA3"/>
    <w:rsid w:val="00714F5F"/>
    <w:rsid w:val="0071617F"/>
    <w:rsid w:val="00723B92"/>
    <w:rsid w:val="00725FEE"/>
    <w:rsid w:val="00726590"/>
    <w:rsid w:val="00732E78"/>
    <w:rsid w:val="00734330"/>
    <w:rsid w:val="007345CC"/>
    <w:rsid w:val="007431FC"/>
    <w:rsid w:val="00745ECE"/>
    <w:rsid w:val="007506DD"/>
    <w:rsid w:val="0075480A"/>
    <w:rsid w:val="0075747C"/>
    <w:rsid w:val="00763ABB"/>
    <w:rsid w:val="007644DA"/>
    <w:rsid w:val="00767C03"/>
    <w:rsid w:val="00776903"/>
    <w:rsid w:val="0078065F"/>
    <w:rsid w:val="00790C12"/>
    <w:rsid w:val="0079480D"/>
    <w:rsid w:val="00794F1B"/>
    <w:rsid w:val="0079639D"/>
    <w:rsid w:val="007965B7"/>
    <w:rsid w:val="007A036E"/>
    <w:rsid w:val="007A1010"/>
    <w:rsid w:val="007A28F9"/>
    <w:rsid w:val="007A5486"/>
    <w:rsid w:val="007B177E"/>
    <w:rsid w:val="007B245C"/>
    <w:rsid w:val="007C07B7"/>
    <w:rsid w:val="007C1DDE"/>
    <w:rsid w:val="007C2600"/>
    <w:rsid w:val="007D191F"/>
    <w:rsid w:val="007D21F2"/>
    <w:rsid w:val="007D708F"/>
    <w:rsid w:val="007D7611"/>
    <w:rsid w:val="007E636E"/>
    <w:rsid w:val="007E645B"/>
    <w:rsid w:val="007E675D"/>
    <w:rsid w:val="007F0D33"/>
    <w:rsid w:val="007F36B6"/>
    <w:rsid w:val="007F385B"/>
    <w:rsid w:val="007F5085"/>
    <w:rsid w:val="007F647B"/>
    <w:rsid w:val="00804624"/>
    <w:rsid w:val="008067C3"/>
    <w:rsid w:val="00806A23"/>
    <w:rsid w:val="00811FCE"/>
    <w:rsid w:val="00814120"/>
    <w:rsid w:val="00822FAC"/>
    <w:rsid w:val="00825E10"/>
    <w:rsid w:val="00826B0B"/>
    <w:rsid w:val="00831D12"/>
    <w:rsid w:val="008331BA"/>
    <w:rsid w:val="008408FC"/>
    <w:rsid w:val="0085464F"/>
    <w:rsid w:val="00862C04"/>
    <w:rsid w:val="00864501"/>
    <w:rsid w:val="00864B9E"/>
    <w:rsid w:val="00865EFE"/>
    <w:rsid w:val="0087205A"/>
    <w:rsid w:val="008820BE"/>
    <w:rsid w:val="00886362"/>
    <w:rsid w:val="00886B25"/>
    <w:rsid w:val="00892AC3"/>
    <w:rsid w:val="008A05AA"/>
    <w:rsid w:val="008A0E9A"/>
    <w:rsid w:val="008A3967"/>
    <w:rsid w:val="008A5114"/>
    <w:rsid w:val="008A7BC8"/>
    <w:rsid w:val="008C3D7F"/>
    <w:rsid w:val="008C573E"/>
    <w:rsid w:val="008C6814"/>
    <w:rsid w:val="008C705E"/>
    <w:rsid w:val="008D3853"/>
    <w:rsid w:val="008D45B3"/>
    <w:rsid w:val="008D58F4"/>
    <w:rsid w:val="008E5B09"/>
    <w:rsid w:val="008E6D76"/>
    <w:rsid w:val="008F5A64"/>
    <w:rsid w:val="008F5CCB"/>
    <w:rsid w:val="008F60FA"/>
    <w:rsid w:val="0091006B"/>
    <w:rsid w:val="00910EE7"/>
    <w:rsid w:val="00913654"/>
    <w:rsid w:val="009164D9"/>
    <w:rsid w:val="009243BD"/>
    <w:rsid w:val="00925FAC"/>
    <w:rsid w:val="00927D51"/>
    <w:rsid w:val="00935C20"/>
    <w:rsid w:val="00936394"/>
    <w:rsid w:val="0094037E"/>
    <w:rsid w:val="00946DF1"/>
    <w:rsid w:val="009507B5"/>
    <w:rsid w:val="00952F58"/>
    <w:rsid w:val="009533B3"/>
    <w:rsid w:val="0095467B"/>
    <w:rsid w:val="00961216"/>
    <w:rsid w:val="0096658E"/>
    <w:rsid w:val="0097280B"/>
    <w:rsid w:val="00976592"/>
    <w:rsid w:val="00985346"/>
    <w:rsid w:val="00990350"/>
    <w:rsid w:val="00993A38"/>
    <w:rsid w:val="00996D8C"/>
    <w:rsid w:val="009A0D29"/>
    <w:rsid w:val="009A348E"/>
    <w:rsid w:val="009A4080"/>
    <w:rsid w:val="009B00D5"/>
    <w:rsid w:val="009C2FCF"/>
    <w:rsid w:val="009D3988"/>
    <w:rsid w:val="009D4A82"/>
    <w:rsid w:val="009D663A"/>
    <w:rsid w:val="009E095D"/>
    <w:rsid w:val="009E6AF3"/>
    <w:rsid w:val="009E6DD9"/>
    <w:rsid w:val="009F5812"/>
    <w:rsid w:val="00A00B19"/>
    <w:rsid w:val="00A022FA"/>
    <w:rsid w:val="00A0267E"/>
    <w:rsid w:val="00A03544"/>
    <w:rsid w:val="00A12EC1"/>
    <w:rsid w:val="00A13E71"/>
    <w:rsid w:val="00A14889"/>
    <w:rsid w:val="00A21AF7"/>
    <w:rsid w:val="00A274CD"/>
    <w:rsid w:val="00A30C79"/>
    <w:rsid w:val="00A463F8"/>
    <w:rsid w:val="00A46510"/>
    <w:rsid w:val="00A618B2"/>
    <w:rsid w:val="00A67DC9"/>
    <w:rsid w:val="00A700CA"/>
    <w:rsid w:val="00A70831"/>
    <w:rsid w:val="00A70D69"/>
    <w:rsid w:val="00A72EC9"/>
    <w:rsid w:val="00A75B47"/>
    <w:rsid w:val="00A801B4"/>
    <w:rsid w:val="00A821E5"/>
    <w:rsid w:val="00A866CB"/>
    <w:rsid w:val="00A90FC3"/>
    <w:rsid w:val="00A9124D"/>
    <w:rsid w:val="00A917FB"/>
    <w:rsid w:val="00A9407F"/>
    <w:rsid w:val="00A94C10"/>
    <w:rsid w:val="00A959B3"/>
    <w:rsid w:val="00AA0C32"/>
    <w:rsid w:val="00AA4F6C"/>
    <w:rsid w:val="00AA61D9"/>
    <w:rsid w:val="00AB4558"/>
    <w:rsid w:val="00AB730B"/>
    <w:rsid w:val="00AB74CD"/>
    <w:rsid w:val="00AD1CA6"/>
    <w:rsid w:val="00AD4B3D"/>
    <w:rsid w:val="00AD7F3C"/>
    <w:rsid w:val="00AE2304"/>
    <w:rsid w:val="00AE2B61"/>
    <w:rsid w:val="00AE30B6"/>
    <w:rsid w:val="00AE3B79"/>
    <w:rsid w:val="00AF2692"/>
    <w:rsid w:val="00AF4687"/>
    <w:rsid w:val="00B005B7"/>
    <w:rsid w:val="00B007CD"/>
    <w:rsid w:val="00B03F1A"/>
    <w:rsid w:val="00B05B15"/>
    <w:rsid w:val="00B068AD"/>
    <w:rsid w:val="00B12944"/>
    <w:rsid w:val="00B14944"/>
    <w:rsid w:val="00B172A0"/>
    <w:rsid w:val="00B239E2"/>
    <w:rsid w:val="00B31D91"/>
    <w:rsid w:val="00B33636"/>
    <w:rsid w:val="00B33867"/>
    <w:rsid w:val="00B403EA"/>
    <w:rsid w:val="00B43F58"/>
    <w:rsid w:val="00B46943"/>
    <w:rsid w:val="00B52063"/>
    <w:rsid w:val="00B54591"/>
    <w:rsid w:val="00B56053"/>
    <w:rsid w:val="00B6046E"/>
    <w:rsid w:val="00B70056"/>
    <w:rsid w:val="00B71203"/>
    <w:rsid w:val="00B72F4C"/>
    <w:rsid w:val="00B73294"/>
    <w:rsid w:val="00B738CE"/>
    <w:rsid w:val="00B87414"/>
    <w:rsid w:val="00B90699"/>
    <w:rsid w:val="00B924A7"/>
    <w:rsid w:val="00B9349D"/>
    <w:rsid w:val="00B9451A"/>
    <w:rsid w:val="00B96D77"/>
    <w:rsid w:val="00B96EB7"/>
    <w:rsid w:val="00B97CC4"/>
    <w:rsid w:val="00BB36F5"/>
    <w:rsid w:val="00BC044C"/>
    <w:rsid w:val="00BC1747"/>
    <w:rsid w:val="00BC60C2"/>
    <w:rsid w:val="00BD68E5"/>
    <w:rsid w:val="00BE1AD1"/>
    <w:rsid w:val="00BE1DAF"/>
    <w:rsid w:val="00BE3B9C"/>
    <w:rsid w:val="00BF0385"/>
    <w:rsid w:val="00BF3CA8"/>
    <w:rsid w:val="00C12A8E"/>
    <w:rsid w:val="00C139D3"/>
    <w:rsid w:val="00C36609"/>
    <w:rsid w:val="00C3679D"/>
    <w:rsid w:val="00C56D06"/>
    <w:rsid w:val="00C62641"/>
    <w:rsid w:val="00C6779D"/>
    <w:rsid w:val="00C73A17"/>
    <w:rsid w:val="00C763DB"/>
    <w:rsid w:val="00C801D6"/>
    <w:rsid w:val="00C82094"/>
    <w:rsid w:val="00C86BD9"/>
    <w:rsid w:val="00C92538"/>
    <w:rsid w:val="00C9778F"/>
    <w:rsid w:val="00C977BE"/>
    <w:rsid w:val="00C97D1B"/>
    <w:rsid w:val="00CA087C"/>
    <w:rsid w:val="00CA54F3"/>
    <w:rsid w:val="00CB0CF6"/>
    <w:rsid w:val="00CB38B5"/>
    <w:rsid w:val="00CB3AEC"/>
    <w:rsid w:val="00CB5993"/>
    <w:rsid w:val="00CC1036"/>
    <w:rsid w:val="00CC2EEE"/>
    <w:rsid w:val="00CC4F70"/>
    <w:rsid w:val="00CC51C7"/>
    <w:rsid w:val="00CC66BE"/>
    <w:rsid w:val="00CC7378"/>
    <w:rsid w:val="00CC79A7"/>
    <w:rsid w:val="00CD0945"/>
    <w:rsid w:val="00CE39E7"/>
    <w:rsid w:val="00CE439D"/>
    <w:rsid w:val="00CF25A1"/>
    <w:rsid w:val="00CF3A7A"/>
    <w:rsid w:val="00D000D0"/>
    <w:rsid w:val="00D04716"/>
    <w:rsid w:val="00D107B7"/>
    <w:rsid w:val="00D12BAF"/>
    <w:rsid w:val="00D15E24"/>
    <w:rsid w:val="00D1634B"/>
    <w:rsid w:val="00D169E7"/>
    <w:rsid w:val="00D17E81"/>
    <w:rsid w:val="00D37A25"/>
    <w:rsid w:val="00D513E8"/>
    <w:rsid w:val="00D6198E"/>
    <w:rsid w:val="00D73916"/>
    <w:rsid w:val="00D756D2"/>
    <w:rsid w:val="00D8566C"/>
    <w:rsid w:val="00D93A6F"/>
    <w:rsid w:val="00D97D8E"/>
    <w:rsid w:val="00DA396F"/>
    <w:rsid w:val="00DA4DCC"/>
    <w:rsid w:val="00DA7ACD"/>
    <w:rsid w:val="00DB25B6"/>
    <w:rsid w:val="00DC5ECF"/>
    <w:rsid w:val="00DC66B3"/>
    <w:rsid w:val="00DE0137"/>
    <w:rsid w:val="00DE1D9B"/>
    <w:rsid w:val="00DE24B2"/>
    <w:rsid w:val="00DE6315"/>
    <w:rsid w:val="00DF4F75"/>
    <w:rsid w:val="00E17467"/>
    <w:rsid w:val="00E17CC9"/>
    <w:rsid w:val="00E318A5"/>
    <w:rsid w:val="00E32EC6"/>
    <w:rsid w:val="00E33B7A"/>
    <w:rsid w:val="00E376FE"/>
    <w:rsid w:val="00E42560"/>
    <w:rsid w:val="00E563EC"/>
    <w:rsid w:val="00E71274"/>
    <w:rsid w:val="00E73B97"/>
    <w:rsid w:val="00E81B1C"/>
    <w:rsid w:val="00E8447D"/>
    <w:rsid w:val="00E84B0D"/>
    <w:rsid w:val="00E87EAF"/>
    <w:rsid w:val="00E95245"/>
    <w:rsid w:val="00E96FCE"/>
    <w:rsid w:val="00EA5546"/>
    <w:rsid w:val="00EB453C"/>
    <w:rsid w:val="00EC04FE"/>
    <w:rsid w:val="00EC3074"/>
    <w:rsid w:val="00EC5D4E"/>
    <w:rsid w:val="00EC68D3"/>
    <w:rsid w:val="00EE684E"/>
    <w:rsid w:val="00EF77B2"/>
    <w:rsid w:val="00F00B46"/>
    <w:rsid w:val="00F02081"/>
    <w:rsid w:val="00F5107D"/>
    <w:rsid w:val="00F5199C"/>
    <w:rsid w:val="00F534F3"/>
    <w:rsid w:val="00F54B43"/>
    <w:rsid w:val="00F600A5"/>
    <w:rsid w:val="00F606C3"/>
    <w:rsid w:val="00F61167"/>
    <w:rsid w:val="00F67FC4"/>
    <w:rsid w:val="00F77DCA"/>
    <w:rsid w:val="00F80546"/>
    <w:rsid w:val="00F81042"/>
    <w:rsid w:val="00F92628"/>
    <w:rsid w:val="00F96906"/>
    <w:rsid w:val="00FA0538"/>
    <w:rsid w:val="00FA101E"/>
    <w:rsid w:val="00FA2C33"/>
    <w:rsid w:val="00FA33EE"/>
    <w:rsid w:val="00FA629B"/>
    <w:rsid w:val="00FB068A"/>
    <w:rsid w:val="00FB59C4"/>
    <w:rsid w:val="00FB62BB"/>
    <w:rsid w:val="00FC24F2"/>
    <w:rsid w:val="00FD6F04"/>
    <w:rsid w:val="00FD7050"/>
    <w:rsid w:val="00FD7CDB"/>
    <w:rsid w:val="00FE1538"/>
    <w:rsid w:val="00FE243B"/>
    <w:rsid w:val="00FE3BF2"/>
    <w:rsid w:val="00FE43BC"/>
    <w:rsid w:val="00FE48C1"/>
    <w:rsid w:val="00FE6CC4"/>
    <w:rsid w:val="00FF38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uiPriority w:val="99"/>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qFormat/>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 w:type="character" w:customStyle="1" w:styleId="apple-converted-space">
    <w:name w:val="apple-converted-space"/>
    <w:basedOn w:val="DefaultParagraphFont"/>
    <w:rsid w:val="00B54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uiPriority w:val="99"/>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qFormat/>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 w:type="character" w:customStyle="1" w:styleId="apple-converted-space">
    <w:name w:val="apple-converted-space"/>
    <w:basedOn w:val="DefaultParagraphFont"/>
    <w:rsid w:val="00B5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1921">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67854580">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8183207">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5867205">
      <w:bodyDiv w:val="1"/>
      <w:marLeft w:val="0"/>
      <w:marRight w:val="0"/>
      <w:marTop w:val="0"/>
      <w:marBottom w:val="0"/>
      <w:divBdr>
        <w:top w:val="none" w:sz="0" w:space="0" w:color="auto"/>
        <w:left w:val="none" w:sz="0" w:space="0" w:color="auto"/>
        <w:bottom w:val="none" w:sz="0" w:space="0" w:color="auto"/>
        <w:right w:val="none" w:sz="0" w:space="0" w:color="auto"/>
      </w:divBdr>
    </w:div>
    <w:div w:id="62111170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84947774">
      <w:bodyDiv w:val="1"/>
      <w:marLeft w:val="0"/>
      <w:marRight w:val="0"/>
      <w:marTop w:val="0"/>
      <w:marBottom w:val="0"/>
      <w:divBdr>
        <w:top w:val="none" w:sz="0" w:space="0" w:color="auto"/>
        <w:left w:val="none" w:sz="0" w:space="0" w:color="auto"/>
        <w:bottom w:val="none" w:sz="0" w:space="0" w:color="auto"/>
        <w:right w:val="none" w:sz="0" w:space="0" w:color="auto"/>
      </w:divBdr>
    </w:div>
    <w:div w:id="905602498">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80714418">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862308">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89550871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subject=Je%20d%C3%A9sire%20obtenir%20des%20informations" TargetMode="External"/><Relationship Id="rId2" Type="http://schemas.openxmlformats.org/officeDocument/2006/relationships/customXml" Target="../customXml/item2.xml"/><Relationship Id="rId16" Type="http://schemas.openxmlformats.org/officeDocument/2006/relationships/hyperlink" Target="http://www.eesc.europa.eu/?i=portal.fr.soc-opinions&amp;itemCode=3804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3XPXQ63Y2AW3-7-4788</_dlc_DocId>
    <_dlc_DocIdUrl xmlns="8835a8a4-5a07-4207-ac1e-223f88a8f7af">
      <Url>http://dm/EESC/2016/_layouts/DocIdRedir.aspx?ID=3XPXQ63Y2AW3-7-4788</Url>
      <Description>3XPXQ63Y2AW3-7-4788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2016-09-20T12:00:00+00:00</ProductionDate>
    <DocumentNumber xmlns="bd7587f5-5d05-4de0-b01a-b53d7118613b">4997</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15</Value>
      <Value>14</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10264</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bd7587f5-5d05-4de0-b01a-b53d7118613b"/>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49097FB0-7D66-4D65-9A67-EE1EEC72B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5072A-AD4B-47B1-8593-E9D0286ABB74}">
  <ds:schemaRefs>
    <ds:schemaRef ds:uri="http://schemas.microsoft.com/sharepoint/events"/>
  </ds:schemaRefs>
</ds:datastoreItem>
</file>

<file path=customXml/itemProps6.xml><?xml version="1.0" encoding="utf-8"?>
<ds:datastoreItem xmlns:ds="http://schemas.openxmlformats.org/officeDocument/2006/customXml" ds:itemID="{31C23C7F-1A69-47DB-B432-5038B580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982</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CP - Droits des prestataires de services à la personne logés à domicile</vt:lpstr>
    </vt:vector>
  </TitlesOfParts>
  <Company>CESE-CdR</Company>
  <LinksUpToDate>false</LinksUpToDate>
  <CharactersWithSpaces>6372</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 Droits des prestataires de services à la personne logés à domicile</dc:title>
  <dc:subject>Communiqué de presse</dc:subject>
  <dc:creator>Milen Minchev</dc:creator>
  <cp:keywords>EESC-2016-04997-00-00-CP-TRA-FR</cp:keywords>
  <dc:description>Rapporteur : -_x000d_
Langue originale : EN_x000d_
Date du document : 20/09/2016_x000d_
Date de la réunion : _x000d_
Documents externes : -_x000d_
Fonctionnaire responsable : ALIBERT CAROLINE, téléphone : + 2 546 9406_x000d_
_x000d_
Résumé :</dc:description>
  <cp:lastModifiedBy>Milen Minchev</cp:lastModifiedBy>
  <cp:revision>3</cp:revision>
  <cp:lastPrinted>2015-11-12T07:45:00Z</cp:lastPrinted>
  <dcterms:created xsi:type="dcterms:W3CDTF">2016-09-21T13:12:00Z</dcterms:created>
  <dcterms:modified xsi:type="dcterms:W3CDTF">2016-09-21T13:35:00Z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0x010100EA97B91038054C99906057A708A1480A0052D2E1C50FFCCA4DB10C28DB2B971CD9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19/09/2016</vt:lpwstr>
  </property>
  <property fmtid="{D5CDD505-2E9C-101B-9397-08002B2CF9AE}" pid="7" name="Pref_Time">
    <vt:lpwstr>14:58:56</vt:lpwstr>
  </property>
  <property fmtid="{D5CDD505-2E9C-101B-9397-08002B2CF9AE}" pid="8" name="Pref_User">
    <vt:lpwstr>mkop</vt:lpwstr>
  </property>
  <property fmtid="{D5CDD505-2E9C-101B-9397-08002B2CF9AE}" pid="9" name="Pref_FileName">
    <vt:lpwstr>EESC-2016-04997-00-00-CP-ORI.docx</vt:lpwstr>
  </property>
  <property fmtid="{D5CDD505-2E9C-101B-9397-08002B2CF9AE}" pid="10" name="_dlc_DocIdItemGuid">
    <vt:lpwstr>67659bf9-f3ef-4b74-9736-522d46e38619</vt:lpwstr>
  </property>
  <property fmtid="{D5CDD505-2E9C-101B-9397-08002B2CF9AE}" pid="11" name="DocumentType_0">
    <vt:lpwstr>CP|de8ad211-9e8d-408b-8324-674d21bb7d18</vt:lpwstr>
  </property>
  <property fmtid="{D5CDD505-2E9C-101B-9397-08002B2CF9AE}" pid="12" name="AvailableTranslations">
    <vt:lpwstr>4;#FR|d2afafd3-4c81-4f60-8f52-ee33f2f54ff3;#10;#EN|f2175f21-25d7-44a3-96da-d6a61b075e1b;#15;#IT|0774613c-01ed-4e5d-a25d-11d2388de825</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4997</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10264</vt:i4>
  </property>
  <property fmtid="{D5CDD505-2E9C-101B-9397-08002B2CF9AE}" pid="36" name="DocumentYear">
    <vt:i4>2016</vt:i4>
  </property>
  <property fmtid="{D5CDD505-2E9C-101B-9397-08002B2CF9AE}" pid="37" name="DocumentLanguage">
    <vt:lpwstr>4;#FR|d2afafd3-4c81-4f60-8f52-ee33f2f54ff3</vt:lpwstr>
  </property>
</Properties>
</file>